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pPr>
      <w:bookmarkStart w:id="0" w:name="tnya-20260930.htm"/>
      <w:bookmarkStart w:id="1" w:name="kstnya20260930"/>
      <w:bookmarkEnd w:id="0"/>
      <w:bookmarkEnd w:id="1"/>
      <w:r>
        <w:t> </w:t>
      </w:r>
    </w:p>
    <w:p>
      <w:pPr>
        <w:pStyle w:val="TextBody"/>
        <w:pBdr>
          <w:top w:val="double" w:sz="4" w:space="1" w:color="000000"/>
        </w:pBdr>
        <w:bidi w:val="0"/>
        <w:jc w:val="center"/>
      </w:pPr>
      <w: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pPr>
      <w: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pPr>
      <w: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quarterly period ended September 30, 2026</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OR</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transition period from ________ to _________</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Commission File Number: 001-40656</w:t>
      </w:r>
    </w:p>
    <w:p>
      <w:pPr>
        <w:pStyle w:val="TextBody"/>
        <w:pBdr>
          <w:bottom w:val="single" w:sz="4" w:space="1" w:color="000000"/>
        </w:pBdr>
        <w:bidi w:val="0"/>
        <w:jc w:val="center"/>
      </w:pPr>
      <w:r>
        <w:t> </w:t>
      </w:r>
    </w:p>
    <w:p>
      <w:pPr>
        <w:pStyle w:val="TextBody"/>
        <w:bidi w:val="0"/>
        <w:jc w:val="center"/>
        <w:rPr>
          <w:rFonts w:ascii="Times New Roman" w:hAnsi="Times New Roman"/>
          <w:b/>
          <w:color w:val="000000"/>
          <w:sz w:val="44"/>
        </w:rPr>
      </w:pPr>
      <w:r>
        <w:rPr>
          <w:rFonts w:ascii="Times New Roman" w:hAnsi="Times New Roman"/>
          <w:b/>
          <w:color w:val="000000"/>
          <w:sz w:val="44"/>
        </w:rPr>
        <w:t>TENAYA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pPr>
      <w:r>
        <w:t> </w:t>
      </w:r>
    </w:p>
    <w:p>
      <w:pPr>
        <w:pStyle w:val="TextBody"/>
        <w:bidi w:val="0"/>
        <w:jc w:val="left"/>
      </w:pPr>
      <w:r>
        <w:t> </w:t>
      </w:r>
    </w:p>
    <w:tbl>
      <w:tblPr>
        <w:tblW w:w="5192" w:type="dxa"/>
        <w:jc w:val="left"/>
        <w:tblInd w:w="0" w:type="dxa"/>
        <w:tblLayout w:type="fixed"/>
        <w:tblCellMar>
          <w:top w:w="28" w:type="dxa"/>
          <w:left w:w="28" w:type="dxa"/>
          <w:bottom w:w="28" w:type="dxa"/>
          <w:right w:w="28" w:type="dxa"/>
        </w:tblCellMar>
      </w:tblPr>
      <w:tblGrid>
        <w:gridCol w:w="3886"/>
        <w:gridCol w:w="1306"/>
      </w:tblGrid>
      <w:tr>
        <w:tc>
          <w:tcPr>
            <w:tcW w:w="38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Delaware</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81-3789973</w:t>
            </w:r>
          </w:p>
        </w:tc>
      </w:tr>
      <w:t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c>
          <w:tcPr>
            <w:tcW w:w="38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2"/>
              </w:rPr>
            </w:pPr>
            <w:r>
              <w:rPr>
                <w:rFonts w:ascii="Times New Roman" w:hAnsi="Times New Roman"/>
                <w:b/>
                <w:color w:val="000000"/>
                <w:sz w:val="22"/>
              </w:rPr>
              <w:t>171 Oyster Point Boulevard, Suite 500</w:t>
            </w:r>
          </w:p>
          <w:p>
            <w:pPr>
              <w:pStyle w:val="TableContents"/>
              <w:bidi w:val="0"/>
              <w:spacing w:before="0" w:after="15"/>
              <w:jc w:val="center"/>
              <w:rPr>
                <w:rFonts w:ascii="Times New Roman" w:hAnsi="Times New Roman"/>
                <w:sz w:val="22"/>
              </w:rPr>
            </w:pPr>
            <w:r>
              <w:rPr>
                <w:rFonts w:ascii="Times New Roman" w:hAnsi="Times New Roman"/>
                <w:b/>
                <w:color w:val="000000"/>
                <w:sz w:val="22"/>
              </w:rPr>
              <w:t>South</w:t>
            </w:r>
            <w:r>
              <w:rPr>
                <w:rFonts w:ascii="Times New Roman" w:hAnsi="Times New Roman"/>
                <w:color w:val="000000"/>
                <w:sz w:val="22"/>
              </w:rPr>
              <w:t xml:space="preserve"> </w:t>
            </w:r>
            <w:r>
              <w:rPr>
                <w:rFonts w:ascii="Times New Roman" w:hAnsi="Times New Roman"/>
                <w:b/>
                <w:color w:val="000000"/>
                <w:sz w:val="22"/>
              </w:rPr>
              <w:t>San Francisco, CA</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94080</w:t>
            </w:r>
          </w:p>
        </w:tc>
      </w:tr>
      <w:tr>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pPr>
      <w:r>
        <w:t> </w:t>
      </w:r>
    </w:p>
    <w:p>
      <w:pPr>
        <w:pStyle w:val="TextBody"/>
        <w:bidi w:val="0"/>
        <w:jc w:val="center"/>
        <w:rPr>
          <w:rFonts w:ascii="Times New Roman" w:hAnsi="Times New Roman"/>
          <w:b/>
          <w:color w:val="000000"/>
          <w:sz w:val="22"/>
        </w:rPr>
      </w:pPr>
      <w:r>
        <w:rPr>
          <w:rFonts w:ascii="Times New Roman" w:hAnsi="Times New Roman"/>
          <w:b/>
          <w:color w:val="000000"/>
          <w:sz w:val="22"/>
        </w:rPr>
        <w:t>(650) 825-6990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jc w:val="center"/>
      </w:pPr>
      <w:r>
        <w:t> </w:t>
      </w:r>
    </w:p>
    <w:p>
      <w:pPr>
        <w:pStyle w:val="TextBody"/>
        <w:bidi w:val="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pPr>
      <w: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TNYA</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Capital Market</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is a shell company (as defined in Rule 12b-2 of the Exchange Act). Yes ☐ No ☒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As of October 29, 2026, the registrant had 227,928,240 shares of common stock, $0.0001 par value per share, outstanding.</w:t>
      </w:r>
    </w:p>
    <w:p>
      <w:pPr>
        <w:pStyle w:val="TextBody"/>
        <w:pBdr>
          <w:bottom w:val="double" w:sz="4" w:space="1" w:color="000000"/>
        </w:pBdr>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09"/>
        <w:gridCol w:w="636"/>
        <w:gridCol w:w="8288"/>
        <w:gridCol w:w="572"/>
      </w:tblGrid>
      <w:tr>
        <w:tc>
          <w:tcPr>
            <w:tcW w:w="7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8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center"/>
            </w:pPr>
            <w:hyperlink w:anchor="part_i_financial_information">
              <w:r>
                <w:rPr>
                  <w:rStyle w:val="InternetLink"/>
                  <w:rFonts w:ascii="Times New Roman" w:hAnsi="Times New Roman"/>
                  <w:b/>
                  <w:color w:val="0000FF"/>
                  <w:sz w:val="20"/>
                  <w:u w:val="single"/>
                </w:rPr>
                <w:t>PART I—FINANCIAL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financial_statements">
              <w:r>
                <w:rPr>
                  <w:rStyle w:val="InternetLink"/>
                  <w:rFonts w:ascii="Times New Roman" w:hAnsi="Times New Roman"/>
                  <w:color w:val="0000FF"/>
                  <w:sz w:val="20"/>
                  <w:u w:val="single"/>
                </w:rPr>
                <w:t>Financial Statements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r>
              <w:t> </w:t>
            </w:r>
          </w:p>
        </w:tc>
        <w:tc>
          <w:tcPr>
            <w:tcW w:w="82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hyperlink w:anchor="condensed_balance_sheets">
              <w:r>
                <w:rPr>
                  <w:rStyle w:val="InternetLink"/>
                  <w:rFonts w:ascii="Times New Roman" w:hAnsi="Times New Roman"/>
                  <w:color w:val="0000FF"/>
                  <w:sz w:val="20"/>
                  <w:u w:val="single"/>
                </w:rPr>
                <w:t>Condensed Balance Sheets as of September 30, 2026 and December 31, 2025</w:t>
              </w:r>
            </w:hyperlink>
            <w:r>
              <w:rPr>
                <w:rFonts w:ascii="Times New Roman" w:hAnsi="Times New Roman"/>
                <w:color w:val="000000"/>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r>
              <w:t> </w:t>
            </w:r>
          </w:p>
        </w:tc>
        <w:tc>
          <w:tcPr>
            <w:tcW w:w="82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hyperlink w:anchor="condensed_statements_operations_comprehe">
              <w:r>
                <w:rPr>
                  <w:rStyle w:val="InternetLink"/>
                  <w:rFonts w:ascii="Times New Roman" w:hAnsi="Times New Roman"/>
                  <w:color w:val="0000FF"/>
                  <w:sz w:val="20"/>
                  <w:u w:val="single"/>
                </w:rPr>
                <w:t>Condensed Statements of Operations and Comprehensive Loss for the three and nine months ended September 30, 2026 and 2025</w:t>
              </w:r>
            </w:hyperlink>
            <w:hyperlink w:anchor="condensed_statements_operations_comprehe">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r>
              <w:t> </w:t>
            </w:r>
          </w:p>
        </w:tc>
        <w:tc>
          <w:tcPr>
            <w:tcW w:w="82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hyperlink w:anchor="condensed_statements_convertible_preferr">
              <w:r>
                <w:rPr>
                  <w:rStyle w:val="InternetLink"/>
                  <w:rFonts w:ascii="Times New Roman" w:hAnsi="Times New Roman"/>
                  <w:color w:val="000080"/>
                  <w:sz w:val="20"/>
                  <w:u w:val="single"/>
                </w:rPr>
                <w:t>Condensed Statements of Stockholders’ Equity</w:t>
              </w:r>
            </w:hyperlink>
            <w:r>
              <w:rPr>
                <w:rFonts w:ascii="Times New Roman" w:hAnsi="Times New Roman"/>
                <w:color w:val="0000FF"/>
                <w:sz w:val="20"/>
                <w:u w:val="single"/>
              </w:rPr>
              <w:t> for the three and nine months ended September 30, 2026 and 2025</w:t>
            </w:r>
            <w:r>
              <w:rPr>
                <w:rFonts w:ascii="Times New Roman" w:hAnsi="Times New Roman"/>
                <w:color w:val="0000FF"/>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r>
              <w:t> </w:t>
            </w:r>
          </w:p>
        </w:tc>
        <w:tc>
          <w:tcPr>
            <w:tcW w:w="82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hyperlink w:anchor="condensed_statements_cash_flows">
              <w:r>
                <w:rPr>
                  <w:rStyle w:val="InternetLink"/>
                  <w:rFonts w:ascii="Times New Roman" w:hAnsi="Times New Roman"/>
                  <w:color w:val="0000FF"/>
                  <w:sz w:val="20"/>
                  <w:u w:val="single"/>
                </w:rPr>
                <w:t>Condensed Statements of Cash Flows for the nine months ended September 30, 2026 and 2025</w:t>
              </w:r>
            </w:hyperlink>
            <w:hyperlink w:anchor="condensed_statements_cash_flows">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r>
              <w:t> </w:t>
            </w:r>
          </w:p>
        </w:tc>
        <w:tc>
          <w:tcPr>
            <w:tcW w:w="82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pPr>
            <w:hyperlink w:anchor="notes_to_unaudited_condensed_financial_s">
              <w:r>
                <w:rPr>
                  <w:rStyle w:val="InternetLink"/>
                  <w:rFonts w:ascii="Times New Roman" w:hAnsi="Times New Roman"/>
                  <w:color w:val="0000FF"/>
                  <w:sz w:val="20"/>
                  <w:u w:val="single"/>
                </w:rPr>
                <w:t>Notes to Unaudited Condensed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controls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center"/>
            </w:pPr>
            <w:hyperlink w:anchor="part_ii_other_information">
              <w:r>
                <w:rPr>
                  <w:rStyle w:val="InternetLink"/>
                  <w:rFonts w:ascii="Times New Roman" w:hAnsi="Times New Roman"/>
                  <w:b/>
                  <w:color w:val="0000FF"/>
                  <w:sz w:val="20"/>
                  <w:u w:val="single"/>
                </w:rPr>
                <w:t>PART II—OTHER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pPr>
            <w:hyperlink w:anchor="item_1_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5_o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bl>
    <w:p>
      <w:pPr>
        <w:pStyle w:val="TextBody"/>
        <w:bidi w:val="0"/>
        <w:jc w:val="left"/>
      </w:pPr>
      <w:r>
        <w:t> </w:t>
      </w:r>
    </w:p>
    <w:p>
      <w:pPr>
        <w:pStyle w:val="TextBody"/>
        <w:bidi w:val="0"/>
        <w:jc w:val="left"/>
      </w:pPr>
      <w:r>
        <w:t> </w:t>
      </w:r>
    </w:p>
    <w:p>
      <w:pPr>
        <w:pStyle w:val="TextBody"/>
        <w:bidi w:val="0"/>
        <w:spacing w:before="24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FORWARD-LOOKING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This Quarterly Report on Form 10-Q (Quarterly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vision to change the treatment paradigm for heart disease;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of our ongoing preclinical studies and ongoing or planned clinical trials to demonstrate safety and efficacy of our product candidates, and other positive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dosing, patient enrollment and populations, progress, and results of preclinical studies and ongoing or planned clinical trials for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scope and likelihood of regulatory filings, approvals, and alignment, including timing of investigational new drugs (INDs), clinical trial applications (CTAs), U.S. Food and Drug Administration (FDA) approvals, engagement with regulators, and final regulatory approval of our current product candidates and any other future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develop and advance our current product candidates and programs into, and successfully complete,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market opportunity for our product candidates, including our estimates of the number of patients who suffer from the diseases we are targeting;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manufacturing, commercialization, and marketing capabilities and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competitive position, potential advantages of our products compared to our competitors, and the success of competing therapies that are or may become available;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plans relating to the further development of our product candidates, including additional indications and targets we may pursue, and our belief in the potential applications of our current product candidates to additional indications and targets;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collaboration with Alnylam, including potential targets, research and development strategy, the timing and duration of the collaboration, expected payments, and the achievement of milestones;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existing laws and regulations and regulatory developments in the United States (U.S.), Europe and other jurisdictions;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tariffs, trade restrictions, and other trade policy changes on our costs and supply chain;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continued reliance on third parties to conduct additional preclinical studies and clinical trials of our product candidates, and for the development and manufacture of our product candidates for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and negotiate favorable terms of, any collaboration, partnership, licensing or other arrangements that may be necessary or desirable to develop, manufacture or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regain or maintain compliance with Nasdaq's continued listing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pricing and reimbursement of our current product candidates and other product candidates we may develop, if approved, including any increase in demand as a result of the availability of reimbursement from the government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rate and degree of market acceptance and clinical utility of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estimates regarding expenses, operating losses, future revenue, cash outlays, capital requirements and needs for additional financing, including expenses arising as a result of being a public company;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financial performance;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period over which we estimate our existing cash, cash equivalents and investments in marketable securities will be sufficient to fund our future operating expenses and capital expenditure requirements;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critical accounting policies on investors’ ability to understand our financial performance;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our expectations regarding the period during which we will remain an emerging growth company under the </w:t>
      </w:r>
      <w:r>
        <w:rPr>
          <w:rFonts w:ascii="Times New Roman" w:hAnsi="Times New Roman"/>
          <w:color w:val="000000"/>
          <w:sz w:val="20"/>
        </w:rPr>
        <w:t>Jumpstart Our Business Startups Act of 2012 (</w:t>
      </w:r>
      <w:r>
        <w:rPr>
          <w:rFonts w:ascii="Times New Roman" w:hAnsi="Times New Roman"/>
          <w:color w:val="231F20"/>
          <w:sz w:val="20"/>
        </w:rPr>
        <w:t>JOBS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pPr>
      <w:r>
        <w:t> </w:t>
      </w:r>
    </w:p>
    <w:p>
      <w:pPr>
        <w:pStyle w:val="TextBody"/>
        <w:bidi w:val="0"/>
        <w:jc w:val="center"/>
        <w:rPr>
          <w:rFonts w:ascii="Times New Roman" w:hAnsi="Times New Roman"/>
          <w:b/>
          <w:caps/>
          <w:color w:val="000000"/>
          <w:sz w:val="20"/>
        </w:rPr>
      </w:pPr>
      <w:bookmarkStart w:id="2" w:name="part_i_financial_information"/>
      <w:bookmarkEnd w:id="2"/>
      <w:r>
        <w:rPr>
          <w:rFonts w:ascii="Times New Roman" w:hAnsi="Times New Roman"/>
          <w:b/>
          <w:caps/>
          <w:color w:val="000000"/>
          <w:sz w:val="20"/>
        </w:rPr>
        <w:t>PART I – FINANCIAL INFORMATION</w:t>
      </w:r>
    </w:p>
    <w:p>
      <w:pPr>
        <w:pStyle w:val="TextBody"/>
        <w:bidi w:val="0"/>
        <w:spacing w:before="240" w:after="283"/>
        <w:jc w:val="center"/>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212"/>
        <w:gridCol w:w="146"/>
        <w:gridCol w:w="216"/>
        <w:gridCol w:w="862"/>
        <w:gridCol w:w="166"/>
        <w:gridCol w:w="146"/>
        <w:gridCol w:w="213"/>
        <w:gridCol w:w="851"/>
        <w:gridCol w:w="393"/>
      </w:tblGrid>
      <w:t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105,586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 200,000,000 shares authorized as of September 30, 2026 and December 31, 2025; no shares issued and outstanding as of September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$0.0001 par value; 1,000,000,000 shares authorized as of September 30, 2026 and December 31, 2025; 227,928,240 and 216,760,283 shares issued and outstanding as of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728,252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(605,008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eading1"/>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3924"/>
        <w:gridCol w:w="146"/>
        <w:gridCol w:w="196"/>
        <w:gridCol w:w="1006"/>
        <w:gridCol w:w="166"/>
        <w:gridCol w:w="146"/>
        <w:gridCol w:w="196"/>
        <w:gridCol w:w="1006"/>
        <w:gridCol w:w="166"/>
        <w:gridCol w:w="146"/>
        <w:gridCol w:w="196"/>
        <w:gridCol w:w="1006"/>
        <w:gridCol w:w="166"/>
        <w:gridCol w:w="146"/>
        <w:gridCol w:w="196"/>
        <w:gridCol w:w="1006"/>
        <w:gridCol w:w="391"/>
      </w:tblGrid>
      <w:t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53,809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Loss on lease termination,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(loss)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(70,422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(70,422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(70,450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Weighted-average 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226,006,534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163,345,972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220,188,197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145,531,495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Heading1"/>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TENAYA THERAPEUTICS, INC.</w:t>
      </w:r>
    </w:p>
    <w:p>
      <w:pPr>
        <w:pStyle w:val="TextBody"/>
        <w:bidi w:val="0"/>
        <w:spacing w:before="240" w:after="283"/>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1846"/>
        <w:gridCol w:w="146"/>
        <w:gridCol w:w="146"/>
        <w:gridCol w:w="146"/>
        <w:gridCol w:w="1006"/>
        <w:gridCol w:w="146"/>
        <w:gridCol w:w="146"/>
        <w:gridCol w:w="249"/>
        <w:gridCol w:w="442"/>
        <w:gridCol w:w="146"/>
        <w:gridCol w:w="146"/>
        <w:gridCol w:w="196"/>
        <w:gridCol w:w="691"/>
        <w:gridCol w:w="146"/>
        <w:gridCol w:w="146"/>
        <w:gridCol w:w="482"/>
        <w:gridCol w:w="854"/>
        <w:gridCol w:w="146"/>
        <w:gridCol w:w="146"/>
        <w:gridCol w:w="217"/>
        <w:gridCol w:w="834"/>
        <w:gridCol w:w="166"/>
        <w:gridCol w:w="146"/>
        <w:gridCol w:w="236"/>
        <w:gridCol w:w="839"/>
        <w:gridCol w:w="395"/>
      </w:tblGrid>
      <w:t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216,760,283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123,265</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216,998,876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106,189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224,230,012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69,409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at-the market sales, net of issuance costs of $73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227,928,240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54,517</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819"/>
        <w:gridCol w:w="146"/>
        <w:gridCol w:w="146"/>
        <w:gridCol w:w="146"/>
        <w:gridCol w:w="1006"/>
        <w:gridCol w:w="146"/>
        <w:gridCol w:w="146"/>
        <w:gridCol w:w="249"/>
        <w:gridCol w:w="442"/>
        <w:gridCol w:w="146"/>
        <w:gridCol w:w="146"/>
        <w:gridCol w:w="196"/>
        <w:gridCol w:w="691"/>
        <w:gridCol w:w="146"/>
        <w:gridCol w:w="146"/>
        <w:gridCol w:w="479"/>
        <w:gridCol w:w="848"/>
        <w:gridCol w:w="166"/>
        <w:gridCol w:w="146"/>
        <w:gridCol w:w="217"/>
        <w:gridCol w:w="834"/>
        <w:gridCol w:w="166"/>
        <w:gridCol w:w="146"/>
        <w:gridCol w:w="236"/>
        <w:gridCol w:w="837"/>
        <w:gridCol w:w="413"/>
      </w:tblGrid>
      <w:tr>
        <w:tc>
          <w:tcPr>
            <w:tcW w:w="1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86,542,340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and warrants in follow-on offering, net of issuance costs of $3,699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48,801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at-the market sales, net of issuance costs of $280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162,660,097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119,396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162,976,102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99,828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exercise of stock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163,744,535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82,868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Heading1"/>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7" w:name="condensed_statements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904"/>
        <w:gridCol w:w="146"/>
        <w:gridCol w:w="234"/>
        <w:gridCol w:w="828"/>
        <w:gridCol w:w="198"/>
        <w:gridCol w:w="174"/>
        <w:gridCol w:w="234"/>
        <w:gridCol w:w="792"/>
        <w:gridCol w:w="695"/>
      </w:tblGrid>
      <w:tr>
        <w:tc>
          <w:tcPr>
            <w:tcW w:w="6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(81,603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(70,422</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6,609</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(accretion) of premium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10,301</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(40,470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(54,324</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10,958</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45,743</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(used)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8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7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56,150</w:t>
            </w:r>
          </w:p>
        </w:tc>
        <w:tc>
          <w:tcPr>
            <w:tcW w:w="6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pre-funded warrants, and warrants in follow-on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48,801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at-the-market sales,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accrued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50,163</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51,989</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100,966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4,742</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67,216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56,731</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Components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56,312</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included in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67,216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56,731</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Receivable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eading1"/>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Heading1"/>
        <w:bidi w:val="0"/>
        <w:spacing w:before="240" w:after="283"/>
        <w:jc w:val="center"/>
        <w:rPr>
          <w:rFonts w:ascii="Times New Roman" w:hAnsi="Times New Roman"/>
          <w:color w:val="000000"/>
          <w:sz w:val="20"/>
        </w:rPr>
      </w:pPr>
      <w:bookmarkStart w:id="8" w:name="notes_to_unaudited_condensed_financial_s"/>
      <w:bookmarkEnd w:id="8"/>
      <w:r>
        <w:rPr>
          <w:rFonts w:ascii="Times New Roman" w:hAnsi="Times New Roman"/>
          <w:color w:val="000000"/>
          <w:sz w:val="20"/>
        </w:rPr>
        <w:t xml:space="preserve">Notes to Unaudited Condensed Financial Statements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Description of the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with potential clinical utility in cardiac, metabolic and muscular conditions, including heart failure with preserved ejection fraction and Duchenne’s muscular dystrophy.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net losses since inception and expects such losses to continue in the future as it conducts research and development activities. As of September 30, 2026, the Company had an accumulated deficit of $686.6 million. The Company incurred a net loss of $81.6 million and $70.4 million during the nine months ended September 30, 2026 and 2025, respectively. The Company had $66.8 million of cash and cash equivalents as of September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and cash equivalents as of September 30, 2026, will be sufficient to fund the Company’s operations for at least the next twelve months following the date these financial statements are filed with the Securities and Exchange Commission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interim condensed balance sheet as of September 30, 2026, the interim condensed statements of operations and comprehensive loss, stockholders’ equity and cash flows for the nine months ended September 30, 2026 and 2025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nine months ended September 30, 2026, are not necessarily indicative of the results to be expected for the full year or for any other future annual or interim period. The condensed balance sheet as of December 31, 2025, included herein was derived from the audited financial statements as of that date. These condensed financial statements should be read in conjunction with the Company’s audited financial statements and the related notes thereto for the year ended December 31, 2025, included in the Company’s Annual Report on Form 10-K, filed with the SEC on March 11,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and revenue recognition related to collaboration agreements. The Company bases its estimates on historical experience, the current economic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environment, and on various other assumptions that are believed to be reasonable under the circumstances. Actual results may differ from those estimates or assumptions.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revisions to the Company’s significant accounting policies described in Note 2, </w:t>
      </w:r>
      <w:r>
        <w:rPr>
          <w:rFonts w:ascii="Times New Roman" w:hAnsi="Times New Roman"/>
          <w:i/>
          <w:color w:val="000000"/>
          <w:sz w:val="20"/>
        </w:rPr>
        <w:t>Summary of Significant Accounting Policies</w:t>
      </w:r>
      <w:r>
        <w:rPr>
          <w:rFonts w:ascii="Times New Roman" w:hAnsi="Times New Roman"/>
          <w:color w:val="000000"/>
          <w:sz w:val="20"/>
        </w:rPr>
        <w:t>, to the financial statements included in the Company’s Annual Report on Form 10-K for the year ended December 31, 2025, except for the accounts receivable, revenue recognition and contract liability policies related to the collaboration agreements entered into during the nine months ended September 30, 2026, as described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accounts receivable relates to licensing and collaboration arrangements. These accounts receivable are short-term in nature. The Company estimates expected credit losses over the life of the financial assets as of the reporting date based on relevant information about past events, current conditions, and reasonable and supportable forecasts. For the nine months ended September 30, 2026 and 2025, the Company had no allowance for credit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recognizes revenue in accordance with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(ASC 606)</w:t>
      </w:r>
      <w:r>
        <w:rPr>
          <w:rFonts w:ascii="Times New Roman" w:hAnsi="Times New Roman"/>
          <w:i/>
          <w:color w:val="000000"/>
          <w:sz w:val="20"/>
        </w:rPr>
        <w:t>.</w:t>
      </w:r>
      <w:r>
        <w:rPr>
          <w:rFonts w:ascii="Times New Roman" w:hAnsi="Times New Roman"/>
          <w:color w:val="000000"/>
          <w:sz w:val="20"/>
        </w:rPr>
        <w:t xml:space="preserve"> Revenue is recognized when promised goods or services are transferred to a customer in an amount that reflects the consideration to which the Company expects to be entitled. To determine the appropriate amount of revenue to be recognized for arrangements determined to be within the scope of ASC 606, the Company performs the following five steps: (i) identify the contract(s) with a customer; (ii) identify the promises and performance obligations in the contract; (iii) determine the transaction price; (iv) allocate the transaction price to the performance obligations in the contract; and (v) recognize revenue when (or as) the Company satisfies the performance obligations. At contract inception, once the contract is determined to be within the scope of ASC 606, the Company assesses the goods or services promised within each contract and determines those that are performance obligations, and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Collaborative Frameworks and Assessment Under ASC 808 and ASC 606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arrangements that may include elements of collaboration with counterparties, such as joint steering committees or shared development activities. The Company evaluates each arrangement to determine whether the counterparty is acting in the capacity of a customer.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the extent that the Company transfers goods or services to a counterparty in its capacity as a customer, the Company accounts for such transactions under ASC 606 and presents the related amounts as revenue. Amounts that do not represent transactions with a customer are accounted for under ASC Topic 808, </w:t>
      </w:r>
      <w:r>
        <w:rPr>
          <w:rFonts w:ascii="Times New Roman" w:hAnsi="Times New Roman"/>
          <w:i/>
          <w:color w:val="000000"/>
          <w:sz w:val="20"/>
        </w:rPr>
        <w:t xml:space="preserve">Collaborative Arrangements </w:t>
      </w:r>
      <w:r>
        <w:rPr>
          <w:rFonts w:ascii="Times New Roman" w:hAnsi="Times New Roman"/>
          <w:color w:val="000000"/>
          <w:sz w:val="20"/>
        </w:rPr>
        <w:t>(ASC 808), and presented within the appropriate operating expense line item.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Licensing and Collaboration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licensing and collaboration arrangements that may include licenses to intellectual property, as well as research, development, or technical support services necessary to enable the licensee to utilize the underlying technology.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Identification of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the nature of its promises in these arrangements to determine whether they are distinct or should be combined. A license of intellectual property is combined with other promised services when the license is not distinct within the context of the contract, such as when the Company’s ongoing research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activities significantly affect the utility of the licensed intellectual property. When a license and related services are not distinct, they are accounted for as a single combined performance obligation.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Recognition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either at a point in time or over time, depending on the nature of the underlying performance obligations. Revenue is recognized at a point in time when control of a promised good or service transfers to the customer and the performance obligation is satisfied. Revenue is recognized over time when the Company satisfies a performance obligation over time, including when the Company’s performance does not create an asset with an alternative use and the Company has an enforceable right to payment for performance completed to date, or when the customer simultaneously receives and consumes the benefits of the Company’s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performance obligations satisfied over time, the Company measures progress using an appropriate method that faithfully depicts the transfer of control of the underlying services. Depending on the nature of the arrangement, the Company may use an input method, such as costs incurred relative to total estimated costs (cost-to-cost method), when such method best reflects the Company’s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arrangements that provide access to intellectual property or other rights over a defined period without additional performance obligations, revenue is recognized ratably over the contractual term.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Upfront License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license to the Company’s intellectual property is determined to be distinct from the other performance obligations identified in the arrangement, the Company will recognize revenue from upfront license fees allocated to the license when the license is transferred to the licensee and the licensee is able to use and benefit from the license. For licenses that are bundled with other promises, the Company determines whether the combined performance obligation is satisfied over time or at a point in time.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regulatory or sales-based milestone payments that may not be subject to a material reversal and, if necessary, adjusts the estimate of the overall transaction price. Any such adjustments are recorded on a cumulative catch-up basis, which would affect license and other revenue, as well as earnings, in the period of adjustment.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Sales-Based Royalties and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arrangements that include sales-based royalties, including milestone payments based on the volume of sales, the Company will determine whether the license is deemed to be the predominant item to which the royalties or sales-based milestones relate and if such is the case, the Company will recognize revenue at the later of (i) when the related sales occur, or (ii) when the performance obligation to which some or all of the royalty has been allocated has been satisfied (or partially satisfied).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 consist primarily of upfront non-refundable payments received under collaboration agreements for which the related performance obligations have not yet been fully satisfied. The Company classifies amounts expected to be recognized as revenue within the next twelve months as contract liabilities, current, with the remainder classified as contract liabilities, noncurrent based on the estimated timing of revenue recognition.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Financial Accounting Standards Board (FASB) issued Accounting Standard Update (ASU) No. 2025-05 (ASU 2025-05), </w:t>
      </w:r>
      <w:r>
        <w:rPr>
          <w:rFonts w:ascii="Times New Roman" w:hAnsi="Times New Roman"/>
          <w:i/>
          <w:color w:val="000000"/>
          <w:sz w:val="20"/>
        </w:rPr>
        <w:t xml:space="preserve">Financial Instruments—Credit Losses (Topic 326): Measurement of Credit Losses for Accounts Receivable and Contract Assets </w:t>
      </w:r>
      <w:r>
        <w:rPr>
          <w:rFonts w:ascii="Times New Roman" w:hAnsi="Times New Roman"/>
          <w:color w:val="000000"/>
          <w:sz w:val="20"/>
        </w:rPr>
        <w:t>(ASU 2025-05), which provides a practical expedient for entities to estimate expected credit losses on current accounts receivable and current contract assets arising from revenue transactions accounted for under ASC 606. ASU 2025-05 is effective for the Company for annual periods beginning after December 15, 2025, and interim periods within those annual periods. The Company adopted this ASU on a prospective basis during the first quarter of 2026. The adoption did not have a material impact on the Company's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(ASU 2025-11), which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is effective for interim periods within annual reporting periods beginning after December 15, 2027, with early adoption permitted. ASU 2025-11 may be applied either prospectively or retrospectively for all prior periods presented. The Company is evaluating the impact of this standard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No. 2025-10, </w:t>
      </w:r>
      <w:r>
        <w:rPr>
          <w:rFonts w:ascii="Times New Roman" w:hAnsi="Times New Roman"/>
          <w:i/>
          <w:color w:val="000000"/>
          <w:sz w:val="20"/>
        </w:rPr>
        <w:t xml:space="preserve">Government Grants (Topic 832): Accounting for Government Grants Received by Business Entities </w:t>
      </w:r>
      <w:r>
        <w:rPr>
          <w:rFonts w:ascii="Times New Roman" w:hAnsi="Times New Roman"/>
          <w:color w:val="000000"/>
          <w:sz w:val="20"/>
        </w:rPr>
        <w:t>(ASU 2025-10), which adds guidance to Accounting Standards Codification (ASC) 832 on the recognition, measurement, and presentation of government grants. The guidance establishes a framework for accounting for government grants, including grants related to assets and grants related to income. ASU 2025-10 is effective for the Company for annual periods beginning after December 15, 2028, and interim periods within those annual periods. Early adoption is permitted. The Company is evaluating the impact of this standard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 (Topic 220): Reporting Comprehensive Income - Expense Disaggregation Disclosures, Disaggregation of Income Statement Expenses </w:t>
      </w:r>
      <w:r>
        <w:rPr>
          <w:rFonts w:ascii="Times New Roman" w:hAnsi="Times New Roman"/>
          <w:color w:val="000000"/>
          <w:sz w:val="20"/>
        </w:rPr>
        <w:t>(ASU 2024-03), which requires public companies to disclose, in interim and 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Collaboration Revenue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Alnylam Collaboration Agreement</w:t>
      </w:r>
    </w:p>
    <w:p>
      <w:pPr>
        <w:pStyle w:val="TextBody"/>
        <w:bidi w:val="0"/>
        <w:jc w:val="left"/>
        <w:rPr>
          <w:rFonts w:ascii="Times New Roman" w:hAnsi="Times New Roman"/>
          <w:color w:val="000000"/>
          <w:sz w:val="20"/>
        </w:rPr>
      </w:pPr>
      <w:r>
        <w:rPr>
          <w:rFonts w:ascii="Times New Roman" w:hAnsi="Times New Roman"/>
          <w:color w:val="000000"/>
          <w:sz w:val="20"/>
        </w:rPr>
        <w:t>In March 2026, the Company entered into a collaboration agreement with Alnylam Pharmaceuticals, Inc. (Alnylam), pursuant to which both parties agreed to a research collaboration to discover and validate novel gene targets for the potential treatment of cardiovascular disease.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Under the agreement, both parties nominated and aligned on a set of collaboration targets to move forward into the collaboration. Following such alignment, the parties will conduct in vitro and in vivo validation activities under a mutually agreed research plan and budget for a period of twenty-four (24) months (which may be extended for completion of the work). The Company expects to take primary responsibility for the performance of all in vitro and in vivo validation activities throughout the validation term; Alnylam will reimburse the Company for full-time employees and out-of-pocket costs and expenses incurred by the Company in accordance with the agreed-upon research budget. After completion of the validation activities, Alnylam will be solely responsible, at its own expense, for all development, manufacture, regulatory and commercialization activities for any products directed to a collaboration target. The Company was also entitled to a non-refundable upfront platform access fee of up to $10.0 million. The upfront platform access fee was initially subject to variability based on the number of collaboration targets selected and became fixed at $10.0 million upon finalization of the collaboration target list. Reimbursement of research costs represents variable consideration and is excluded from the transaction price at contract inception as such amounts are fully constrained. These amounts are recognized as revenue as the related costs are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license and research activities represent a single performance obligation that is satisfied over time. Revenue is recognized using a cost-to-cost input method, which measures progress based on costs incurred relative to total estimated costs under the research plan. For the three and nine months ended September 30, 2026, the Company recognized collaboration revenue of $1.5 million and $2.4 million, respectively, related to the upfront platform access fee and reimbursable research costs incurred during the respective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also receive future milestone payments of up to an aggregate of $1.1 billion under the agreement. Development and regulatory milestones will be recognized when the underlying milestone event is achieved, and it becomes probable that a significant reversal of cumulative revenue recognized will not occur. Sales-based milestones will be recognized when the related sales occur. As of September 30, 2026, the Company is unable to predict or reasonably estimate the amount or timing of such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the aggregate amount of the transaction price allocated to the remaining performance obligation under the collaboration agreement was approximately $8.5 million, which the Company expects to recognize over the remaining validation term of approximately 18 months. The transaction price allocated to the remaining performance obligation does not include variable consideration related to reimbursable research costs as they are contingent on actual qualifying costs incurred. Milestone payments were considered variable consideration and were also not included in the transaction price as they are fully constrained. The Company will reassess the transaction price at each reporting period as uncertainties are resolved.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activity in the Company’s total contract liabilities for the three and nine months ended September 30, 2026. Additions to contract liabilities included $0.6 million of upfront payments from an additional immaterial collaboration arrangement. </w:t>
      </w:r>
    </w:p>
    <w:tbl>
      <w:tblPr>
        <w:tblW w:w="5998" w:type="dxa"/>
        <w:jc w:val="left"/>
        <w:tblInd w:w="0" w:type="dxa"/>
        <w:tblLayout w:type="fixed"/>
        <w:tblCellMar>
          <w:top w:w="28" w:type="dxa"/>
          <w:left w:w="28" w:type="dxa"/>
          <w:bottom w:w="28" w:type="dxa"/>
          <w:right w:w="28" w:type="dxa"/>
        </w:tblCellMar>
      </w:tblPr>
      <w:tblGrid>
        <w:gridCol w:w="4126"/>
        <w:gridCol w:w="146"/>
        <w:gridCol w:w="360"/>
        <w:gridCol w:w="1155"/>
        <w:gridCol w:w="211"/>
      </w:tblGrid>
      <w:t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1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revenue recognized from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revenue recognized from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revenue recognized from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consists of the following:</w:t>
      </w:r>
    </w:p>
    <w:tbl>
      <w:tblPr>
        <w:tblW w:w="7115" w:type="dxa"/>
        <w:jc w:val="left"/>
        <w:tblInd w:w="0" w:type="dxa"/>
        <w:tblLayout w:type="fixed"/>
        <w:tblCellMar>
          <w:top w:w="28" w:type="dxa"/>
          <w:left w:w="28" w:type="dxa"/>
          <w:bottom w:w="28" w:type="dxa"/>
          <w:right w:w="28" w:type="dxa"/>
        </w:tblCellMar>
      </w:tblPr>
      <w:tblGrid>
        <w:gridCol w:w="4111"/>
        <w:gridCol w:w="146"/>
        <w:gridCol w:w="254"/>
        <w:gridCol w:w="886"/>
        <w:gridCol w:w="166"/>
        <w:gridCol w:w="146"/>
        <w:gridCol w:w="244"/>
        <w:gridCol w:w="851"/>
        <w:gridCol w:w="311"/>
      </w:tblGrid>
      <w:t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for the three months ended September 30, 2026 and 2025 was $0.4 million and $1.9 million, respectively. Depreciation and amortization expense for the nine months ended September 30, 2026 and 2025 was $3.9 million and $6.6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early termination of the Union City lease for the Company's Genetic Medicine Manufacturing Center (the GMMC) (see Note 5, </w:t>
      </w:r>
      <w:r>
        <w:rPr>
          <w:rFonts w:ascii="Times New Roman" w:hAnsi="Times New Roman"/>
          <w:i/>
          <w:color w:val="000000"/>
          <w:sz w:val="20"/>
        </w:rPr>
        <w:t>Commitments and Contingencies</w:t>
      </w:r>
      <w:r>
        <w:rPr>
          <w:rFonts w:ascii="Times New Roman" w:hAnsi="Times New Roman"/>
          <w:color w:val="000000"/>
          <w:sz w:val="20"/>
        </w:rPr>
        <w:t xml:space="preserve">), the Company recorded an impairment loss of $21.8 million during the second quarter of 2026. The impairment loss primarily reflects the write-down to zero of leasehold improvements and certain manufacturing and laboratory equipment that, pursuant to the lease termination agreement, are required to remain at the GMMC and be surrendered to the landlord without consideration.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2026, the Company committed to a plan to sell certain laboratory equipment previously expected to be retained for continued use or repurposing following the closure of the GMMC. Upon meeting the criteria for classification as held for sale, the Company measured the equipment at the lower of its carrying amount or fair value less costs to sell and recognized an impairment loss of $0.7 million during the three months ended September 30, 2026. The Company sold substantially all of this equipment through an auction and separate sales arrangements and recognized a net loss on disposal of property and equipment of $0.1 million, which also included losses from the retirement of certain equipment. The impairment charges and net loss on disposal are presented separately within operating expenses in the accompanying condensed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and other current liabilities consist of the following:</w:t>
      </w:r>
    </w:p>
    <w:tbl>
      <w:tblPr>
        <w:tblW w:w="6700" w:type="dxa"/>
        <w:jc w:val="left"/>
        <w:tblInd w:w="0" w:type="dxa"/>
        <w:tblLayout w:type="fixed"/>
        <w:tblCellMar>
          <w:top w:w="28" w:type="dxa"/>
          <w:left w:w="28" w:type="dxa"/>
          <w:bottom w:w="28" w:type="dxa"/>
          <w:right w:w="28" w:type="dxa"/>
        </w:tblCellMar>
      </w:tblPr>
      <w:tblGrid>
        <w:gridCol w:w="3736"/>
        <w:gridCol w:w="146"/>
        <w:gridCol w:w="307"/>
        <w:gridCol w:w="833"/>
        <w:gridCol w:w="146"/>
        <w:gridCol w:w="146"/>
        <w:gridCol w:w="294"/>
        <w:gridCol w:w="801"/>
        <w:gridCol w:w="291"/>
      </w:tblGrid>
      <w:t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tbl>
      <w:tblPr>
        <w:tblW w:w="7295" w:type="dxa"/>
        <w:jc w:val="left"/>
        <w:tblInd w:w="0" w:type="dxa"/>
        <w:tblLayout w:type="fixed"/>
        <w:tblCellMar>
          <w:top w:w="28" w:type="dxa"/>
          <w:left w:w="28" w:type="dxa"/>
          <w:bottom w:w="28" w:type="dxa"/>
          <w:right w:w="28" w:type="dxa"/>
        </w:tblCellMar>
      </w:tblPr>
      <w:tblGrid>
        <w:gridCol w:w="4031"/>
        <w:gridCol w:w="246"/>
        <w:gridCol w:w="307"/>
        <w:gridCol w:w="833"/>
        <w:gridCol w:w="246"/>
        <w:gridCol w:w="246"/>
        <w:gridCol w:w="294"/>
        <w:gridCol w:w="801"/>
        <w:gridCol w:w="291"/>
      </w:tblGrid>
      <w:tr>
        <w:tc>
          <w:tcPr>
            <w:tcW w:w="40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40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0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the Company entered into a lease agreement for office and manufacturing space in Union City, California. The lease commenced in May 2021 and has a ten-year term with one five-year renewal option. On June 29, 2026, the Company entered into a lease termination agreement with the landlord. Pursuant to the agreement, the lease terminated on August 31, 2026, instead of its original expiration in July 2031. The Company is not required to remove tenant improvements or restore the premises and may surrender the facility in its existing condition. As consideration for the lease termination, the Company agreed to forfeit its $1.8 million security deposit and pay a one-time lease termination fee of $0.3 million. The Company accounted for the termination agreement as a lease modification under ASC 842 and remeasured the related operating lease liability and right-of-use asset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2026. As a result of the lease modification, the Company recognized a net loss on lease termination of $1.4 million during the nine months ended September 30, 2026, consisting of the security deposit forfeiture and a brokerage commission incurred in connection with the lease termination, partially offset by the gains recognized upon remeasurement of the operating lease liability and right-of-use asset and the derecognition of the asset retirement obligation liability.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related to operating lease activity during the three and nine months ended September 30, 2026 was as follows (in thousands):</w:t>
      </w:r>
    </w:p>
    <w:tbl>
      <w:tblPr>
        <w:tblW w:w="10205" w:type="dxa"/>
        <w:jc w:val="left"/>
        <w:tblInd w:w="0" w:type="dxa"/>
        <w:tblLayout w:type="fixed"/>
        <w:tblCellMar>
          <w:top w:w="28" w:type="dxa"/>
          <w:left w:w="28" w:type="dxa"/>
          <w:bottom w:w="28" w:type="dxa"/>
          <w:right w:w="28" w:type="dxa"/>
        </w:tblCellMar>
      </w:tblPr>
      <w:tblGrid>
        <w:gridCol w:w="4561"/>
        <w:gridCol w:w="146"/>
        <w:gridCol w:w="299"/>
        <w:gridCol w:w="597"/>
        <w:gridCol w:w="206"/>
        <w:gridCol w:w="206"/>
        <w:gridCol w:w="299"/>
        <w:gridCol w:w="810"/>
        <w:gridCol w:w="146"/>
        <w:gridCol w:w="146"/>
        <w:gridCol w:w="272"/>
        <w:gridCol w:w="736"/>
        <w:gridCol w:w="188"/>
        <w:gridCol w:w="188"/>
        <w:gridCol w:w="272"/>
        <w:gridCol w:w="736"/>
        <w:gridCol w:w="397"/>
      </w:tblGrid>
      <w:t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0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2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397"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As of September 30, 2026, the Company had one operating lease with a remaining lease term of 1.2 years and a discount rate of 7.8%. As of December 31, 2025, the Company’s operating leases had a weighted average remaining lease term of 4.1 years and a weighted average discount rate of 9.1%. Future minimum lease payments under the Company’s operating lease as of September 30, 2026 were as follows: </w:t>
      </w:r>
    </w:p>
    <w:tbl>
      <w:tblPr>
        <w:tblW w:w="6113" w:type="dxa"/>
        <w:jc w:val="left"/>
        <w:tblInd w:w="0" w:type="dxa"/>
        <w:tblLayout w:type="fixed"/>
        <w:tblCellMar>
          <w:top w:w="28" w:type="dxa"/>
          <w:left w:w="28" w:type="dxa"/>
          <w:bottom w:w="28" w:type="dxa"/>
          <w:right w:w="28" w:type="dxa"/>
        </w:tblCellMar>
      </w:tblPr>
      <w:tblGrid>
        <w:gridCol w:w="4436"/>
        <w:gridCol w:w="146"/>
        <w:gridCol w:w="306"/>
        <w:gridCol w:w="834"/>
        <w:gridCol w:w="391"/>
      </w:tblGrid>
      <w:t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(three months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including vendors that provide machinery and equipment. All contracts are terminable, with varying provisions regarding termination. In general, if a contract with a specific vendor were to be terminated, the Company would only be obligated for the products or services that the Company had received up to the time of termination.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September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may include indemnification provisions. Pursuant to such agreements, the Company may indemnify, hold harmless and defend an indemnified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September 30, 2026, the Company did not have any material indemnification claims that were probable or reasonably possible and, consequently, has not recorded any related liabilities.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Inducement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 On January 26, 2026, the Board approved an increase of 2,161,000 shares to the number of shares reserved under the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shares reserved and available for grant under the Inducement Plan as of September 30, 2026, were 848,800.</w:t>
      </w:r>
    </w:p>
    <w:p>
      <w:pPr>
        <w:pStyle w:val="TextBody"/>
        <w:bidi w:val="0"/>
        <w:spacing w:before="240" w:after="283"/>
        <w:jc w:val="left"/>
        <w:rPr>
          <w:rFonts w:ascii="Times New Roman" w:hAnsi="Times New Roman"/>
          <w:sz w:val="20"/>
        </w:rPr>
      </w:pPr>
      <w:r>
        <w:rPr>
          <w:rFonts w:ascii="Times New Roman" w:hAnsi="Times New Roman"/>
          <w:b/>
          <w:i/>
          <w:color w:val="000000"/>
          <w:sz w:val="20"/>
        </w:rPr>
        <w:t>Repricing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22, 2025, the Compensation Committee of the Company's Board approved a repricing of certain outstanding vested and unvested stock option awards under the Amended and Restated 2016 Equity Incentive Plan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were required to remain a Service Provider (as such term is defined in the 2016 Plan or 2021 Plan) through the period (the Retention Period) that began on the Repricing Effective Date and ended on July 24, 2025 (the Retention Date) and not exercise any of their repriced stock options prior to the Retention Date. Option holders who exercised their repriced stock options prior to the Retention Date were required to pay the original exercise price per share of such repriced options. No other changes were made to the terms and conditions of the eligible stock option awards. The stock option repricing impacted 4.1 million stock option awards and affected 89 employees and service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6, 2025, the Company's Board approved an option repricing applicable to Faraz Ali, the Company's Chief Executive Officer,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repricing resulted in a total incremental stock-based compensation expense of $1.3 million, which was calculated using the Black-Scholes option pricing model, of which $1.0 million is associated with vested repriced options as of the Retention Date and were recognized on a straight-line basis over the Retention Period. The remaining $0.3 million of the incremental stock-based compensation expense is associated with unvested repriced options beyond the Retention Period and will be recognized on a straight-line basis over the remaining original vesting periods. For the nine months ended September 30, 2026 and 2025, the Company recognized an immaterial amount and $1.0 million, respectively, of incremental stock-based compensation expense.</w:t>
      </w:r>
    </w:p>
    <w:p>
      <w:pPr>
        <w:pStyle w:val="TextBody"/>
        <w:bidi w:val="0"/>
        <w:spacing w:before="240" w:after="283"/>
        <w:jc w:val="left"/>
        <w:rPr>
          <w:rFonts w:ascii="Times New Roman" w:hAnsi="Times New Roman"/>
          <w:sz w:val="20"/>
        </w:rPr>
      </w:pPr>
      <w:r>
        <w:rPr>
          <w:rFonts w:ascii="Times New Roman" w:hAnsi="Times New Roman"/>
          <w:b/>
          <w:i/>
          <w:color w:val="000000"/>
          <w:sz w:val="20"/>
        </w:rPr>
        <w:t>2021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Company’s 2021 Equity Incentive Plan (the 2021 Plan), 4,000,000 shares of the Company’s common stock were initially reserved for issuance of equity awards to employees, directors, and consultants, under terms and provisions established by the Board. Prior to May 27, 2026, the number of shares of common stock available for issuance under the 2021 Plan automatically increased on the first day of January for a period of ten years, commencing on January 1, 2022, in an amount equal to the lesser of: 4,000,000 shares; 4% of the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the Company’s common stock as of the last day of the immediately preceding year; or such other amount as the board of directors may determine.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27, 2026, the Company’s stockholders approved the Amended and Restated 2021 Equity Incentive Plan (the Restated 2021 Plan). The Restated 2021 Plan increased the number of shares of the Company’s common stock reserved for issuance by 6,509,966 shares. In addition, beginning on January 1, 2027, the annual automatic increase provision was amended such that the number of shares available for issuance under the Restated 2021 Plan will increase on the first day of each fiscal year through 2031 in an amount equal to 4% of the outstanding shares of the Company’s common stock as of the last day of the immediately preceding year, or such lesser amount as the Board or the Compensation Committee may determine, without the previous annual cap of 4,000,000 shares. The Restated 2021 Plan also provides that no more than 15,000,000 shares may be issued pursuant to incentive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reserved and available for grant under the Restated 2021 Plan as of September 30, 2026 was 4,215,105.</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 option activity:</w:t>
      </w:r>
    </w:p>
    <w:tbl>
      <w:tblPr>
        <w:tblW w:w="6142" w:type="dxa"/>
        <w:jc w:val="left"/>
        <w:tblInd w:w="0" w:type="dxa"/>
        <w:tblLayout w:type="fixed"/>
        <w:tblCellMar>
          <w:top w:w="28" w:type="dxa"/>
          <w:left w:w="28" w:type="dxa"/>
          <w:bottom w:w="28" w:type="dxa"/>
          <w:right w:w="28" w:type="dxa"/>
        </w:tblCellMar>
      </w:tblPr>
      <w:tblGrid>
        <w:gridCol w:w="3211"/>
        <w:gridCol w:w="146"/>
        <w:gridCol w:w="146"/>
        <w:gridCol w:w="1036"/>
        <w:gridCol w:w="166"/>
        <w:gridCol w:w="146"/>
        <w:gridCol w:w="281"/>
        <w:gridCol w:w="619"/>
        <w:gridCol w:w="391"/>
      </w:tblGrid>
      <w:t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12,050,796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20,144,910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40"/>
        <w:jc w:val="left"/>
        <w:rPr>
          <w:rFonts w:ascii="Times New Roman" w:hAnsi="Times New Roman"/>
          <w:sz w:val="18"/>
        </w:rPr>
      </w:pPr>
      <w:r>
        <w:rPr>
          <w:rFonts w:ascii="Times New Roman" w:hAnsi="Times New Roman"/>
          <w:color w:val="000000"/>
          <w:sz w:val="20"/>
        </w:rPr>
        <w:t>Stock option awards granted to employees generally vest over a four-year</w:t>
      </w:r>
      <w:r>
        <w:rPr>
          <w:rFonts w:ascii="Times New Roman" w:hAnsi="Times New Roman"/>
          <w:color w:val="000000"/>
          <w:sz w:val="18"/>
        </w:rPr>
        <w:t xml:space="preserve"> </w:t>
      </w:r>
      <w:r>
        <w:rPr>
          <w:rFonts w:ascii="Times New Roman" w:hAnsi="Times New Roman"/>
          <w:color w:val="000000"/>
          <w:sz w:val="20"/>
        </w:rPr>
        <w:t>period. The contractual term of stock option awards is generally 10 years</w:t>
      </w:r>
      <w:r>
        <w:rPr>
          <w:rFonts w:ascii="Times New Roman" w:hAnsi="Times New Roman"/>
          <w:color w:val="000000"/>
          <w:sz w:val="18"/>
        </w:rPr>
        <w:t xml:space="preserve"> </w:t>
      </w:r>
      <w:r>
        <w:rPr>
          <w:rFonts w:ascii="Times New Roman" w:hAnsi="Times New Roman"/>
          <w:color w:val="000000"/>
          <w:sz w:val="20"/>
        </w:rPr>
        <w:t>from the grant date.</w:t>
      </w:r>
      <w:r>
        <w:rPr>
          <w:rFonts w:ascii="Times New Roman" w:hAnsi="Times New Roman"/>
          <w:color w:val="000000"/>
          <w:sz w:val="18"/>
        </w:rPr>
        <w:t xml:space="preserve"> </w:t>
      </w:r>
    </w:p>
    <w:p>
      <w:pPr>
        <w:pStyle w:val="TextBody"/>
        <w:bidi w:val="0"/>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fair value of the Company’s stock option awards is estimated on the date of grant using the Black-Scholes option pricing model using the following assumptions: </w:t>
      </w:r>
    </w:p>
    <w:tbl>
      <w:tblPr>
        <w:tblW w:w="6709" w:type="dxa"/>
        <w:jc w:val="left"/>
        <w:tblInd w:w="0" w:type="dxa"/>
        <w:tblLayout w:type="fixed"/>
        <w:tblCellMar>
          <w:top w:w="28" w:type="dxa"/>
          <w:left w:w="28" w:type="dxa"/>
          <w:bottom w:w="28" w:type="dxa"/>
          <w:right w:w="28" w:type="dxa"/>
        </w:tblCellMar>
      </w:tblPr>
      <w:tblGrid>
        <w:gridCol w:w="2131"/>
        <w:gridCol w:w="146"/>
        <w:gridCol w:w="1141"/>
        <w:gridCol w:w="146"/>
        <w:gridCol w:w="526"/>
        <w:gridCol w:w="146"/>
        <w:gridCol w:w="1141"/>
        <w:gridCol w:w="146"/>
        <w:gridCol w:w="1186"/>
      </w:tblGrid>
      <w:t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 – 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 – 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 – 91%</w:t>
            </w:r>
          </w:p>
        </w:tc>
      </w:tr>
      <w:t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 – 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 – 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4.5%</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pPr>
            <w:r>
              <w:rPr>
                <w:color w:val="000000"/>
              </w:rPr>
              <w:t>—</w:t>
            </w: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Restricted stock units (RSUs) are awards that entitle the holder to receive freely tradable shares of the Company’s common stock upon the completion of a specific period of continued service. RSUs generally vest over a two- to four-year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requisite service period of the awards. The following table summarizes activity of RSUs granted to employees with service-based vesting under the 2021 Plan. </w:t>
      </w:r>
    </w:p>
    <w:tbl>
      <w:tblPr>
        <w:tblW w:w="5642" w:type="dxa"/>
        <w:jc w:val="left"/>
        <w:tblInd w:w="0" w:type="dxa"/>
        <w:tblLayout w:type="fixed"/>
        <w:tblCellMar>
          <w:top w:w="28" w:type="dxa"/>
          <w:left w:w="28" w:type="dxa"/>
          <w:bottom w:w="28" w:type="dxa"/>
          <w:right w:w="28" w:type="dxa"/>
        </w:tblCellMar>
      </w:tblPr>
      <w:tblGrid>
        <w:gridCol w:w="2971"/>
        <w:gridCol w:w="146"/>
        <w:gridCol w:w="146"/>
        <w:gridCol w:w="931"/>
        <w:gridCol w:w="166"/>
        <w:gridCol w:w="146"/>
        <w:gridCol w:w="294"/>
        <w:gridCol w:w="651"/>
        <w:gridCol w:w="191"/>
      </w:tblGrid>
      <w:t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Grant Date</w:t>
              <w:br/>
              <w:t xml:space="preserve">Fair Value </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2021 Employee Stock Purchase Plan (the ESPP), the Company initially reserved 800,000 shares for future issuance. The number of shares of common stock available for issuance under the ESPP 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may determine. As of September 30, 2026, 2,999,814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six months. The ESPP permits eligible employees to purchase common stock through payroll deductions for up to 15% of qualified compensation, up to an annual limit of $25,000 per the Internal Revenue Service. For the nine months ended September 30, 2026 and 2025, the stock-based compensation expense for ESPP was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stock-based compensation recognized in the Company’s condensed statements of operations and comprehensive loss:</w:t>
      </w:r>
    </w:p>
    <w:tbl>
      <w:tblPr>
        <w:tblW w:w="7312"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1"/>
        <w:gridCol w:w="571"/>
        <w:gridCol w:w="146"/>
        <w:gridCol w:w="146"/>
        <w:gridCol w:w="211"/>
        <w:gridCol w:w="571"/>
        <w:gridCol w:w="146"/>
        <w:gridCol w:w="146"/>
        <w:gridCol w:w="211"/>
        <w:gridCol w:w="676"/>
        <w:gridCol w:w="191"/>
      </w:tblGrid>
      <w:t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Lender Warrant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6, 2024, the Company entered into a Loan and Security Agreement (the Loan Agreement) with Silicon Valley Bank (SVB). In connection with the Loan Agreement, the Company issued to SVB a warrant which is </w:t>
      </w:r>
      <w:r>
        <w:rPr>
          <w:rFonts w:ascii="Times New Roman" w:hAnsi="Times New Roman"/>
          <w:color w:val="212529"/>
          <w:sz w:val="20"/>
        </w:rPr>
        <w:t xml:space="preserve">exercisable for up to 73,649 shares of common stock </w:t>
      </w:r>
      <w:r>
        <w:rPr>
          <w:rFonts w:ascii="Times New Roman" w:hAnsi="Times New Roman"/>
          <w:color w:val="000000"/>
          <w:sz w:val="20"/>
        </w:rPr>
        <w:t>at an exercise price of $2.55 per share (the Lender Warrant). The Lender Warrant was classified as equity and its fair value was recorded in the stockholders’ equity section of the balance sheet. The Lender Warrant expires on August 6, 2034. As of September 30, 2026, all borrowing commitments under the Loan Agreement had expired, and no term loans were outstanding.</w:t>
      </w:r>
    </w:p>
    <w:p>
      <w:pPr>
        <w:pStyle w:val="TextBody"/>
        <w:bidi w:val="0"/>
        <w:spacing w:before="240" w:after="283"/>
        <w:jc w:val="left"/>
        <w:rPr>
          <w:color w:val="000000"/>
        </w:rPr>
      </w:pPr>
      <w:r>
        <w:rPr>
          <w:color w:val="000000"/>
        </w:rPr>
        <w:t>“</w:t>
      </w: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10, 2022, the Company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having a maximum aggregate offering price of up to $75.0 million. In January 2025, the Company sold 822,566 shares of common stock under the ATM offering for net proceeds of $0.9 million, after deducting commissions and offering costs of $0.3 million. During the third quarter of 2026, the Company sold 3,341,727 shares of common stock under the ATM offering for net proceeds of $2.4 million, after deducting commissions of $0.1 million. As of September 30, 2026, the Company may issue and sell up to approximately $67.4 million of common stock under the ATM offering.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15, 2025, the Company completed an underwritten public offering of 50,000,000 units, priced at a public offering price of $1.20 per unit, with each unit consisting of one share of its common stock and a warrant to purchase one share of its common stock at an exercise price of $1.50 per share, which were immediately exercisable and expire five years from the date of issuance (December 2025 Warrants), under its registration statement on Form S-3 (File No. 333-286005). The Company received net proceeds of $55.8 million, after deducting underwriting discounts and commissions of $3.6 million and other offering expenses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were immediately exercisable and expire five years from the date of issuance (a Series A Warrant) and a warrant to purchase one-half of a share of its common stock at an exercise price of $0.70 per share, which were immediately exercisable and expired on June 30, 2026 (a Series B Warrant), under its registration statement on Form S-3 (File No. 333-266741). The Company received net proceeds of approximately $48.8 million, after deducting underwriting discounts and commissions of approximately $3.2 million and other offering expenses of approximately $0.5 million. During the second quarter of 2026, certain holders exercised Series B Warrants to purchase 6,955,000 shares of common stock for an aggregate exercise price of $4.9 million. From issuance through their expiration on June 30, 2026, Series B Warrants to purchase 10,211,250 shares of our common stock were exercised, and the remaining Series B Warrants to purchase 27,288,750 shares of our common stock expired.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analyzed the December 2025, Series A, and Series B Warrants under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815-40, </w:t>
      </w:r>
      <w:r>
        <w:rPr>
          <w:rFonts w:ascii="Times New Roman" w:hAnsi="Times New Roman"/>
          <w:i/>
          <w:color w:val="000000"/>
          <w:sz w:val="20"/>
        </w:rPr>
        <w:t>Derivatives and Hedging - Contracts in Entity's Own Equity</w:t>
      </w:r>
      <w:r>
        <w:rPr>
          <w:rFonts w:ascii="Times New Roman" w:hAnsi="Times New Roman"/>
          <w:color w:val="000000"/>
          <w:sz w:val="20"/>
        </w:rPr>
        <w:t xml:space="preserve">, and concluded that they were not liabilities, were indexed to its own stock and met all other conditions for equity classification. Accordingly, the Company has classified them as permanent equity.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2026, total shares of common stock reserved for issuance, on an as-if converted basis, are as follows:</w:t>
      </w:r>
    </w:p>
    <w:tbl>
      <w:tblPr>
        <w:tblW w:w="8850" w:type="dxa"/>
        <w:jc w:val="left"/>
        <w:tblInd w:w="0" w:type="dxa"/>
        <w:tblLayout w:type="fixed"/>
        <w:tblCellMar>
          <w:top w:w="28" w:type="dxa"/>
          <w:left w:w="28" w:type="dxa"/>
          <w:bottom w:w="28" w:type="dxa"/>
          <w:right w:w="28" w:type="dxa"/>
        </w:tblCellMar>
      </w:tblPr>
      <w:tblGrid>
        <w:gridCol w:w="7126"/>
        <w:gridCol w:w="146"/>
        <w:gridCol w:w="146"/>
        <w:gridCol w:w="1141"/>
        <w:gridCol w:w="291"/>
      </w:tblGrid>
      <w:tr>
        <w:tc>
          <w:tcPr>
            <w:tcW w:w="7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7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22,923,708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Lender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Series A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74,987,500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2025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2024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4,215,105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2,999,814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156,048,576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Inputs are unadjusted, quoted prices in active markets for identical assets or liabilities at the measurement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measured at fair value on a recurring basis by level within the fair value hierarchy: </w:t>
      </w:r>
    </w:p>
    <w:tbl>
      <w:tblPr>
        <w:tblW w:w="7762" w:type="dxa"/>
        <w:jc w:val="left"/>
        <w:tblInd w:w="0" w:type="dxa"/>
        <w:tblLayout w:type="fixed"/>
        <w:tblCellMar>
          <w:top w:w="28" w:type="dxa"/>
          <w:left w:w="28" w:type="dxa"/>
          <w:bottom w:w="28" w:type="dxa"/>
          <w:right w:w="28" w:type="dxa"/>
        </w:tblCellMar>
      </w:tblPr>
      <w:tblGrid>
        <w:gridCol w:w="1901"/>
        <w:gridCol w:w="146"/>
        <w:gridCol w:w="856"/>
        <w:gridCol w:w="146"/>
        <w:gridCol w:w="211"/>
        <w:gridCol w:w="676"/>
        <w:gridCol w:w="146"/>
        <w:gridCol w:w="146"/>
        <w:gridCol w:w="335"/>
        <w:gridCol w:w="551"/>
        <w:gridCol w:w="146"/>
        <w:gridCol w:w="146"/>
        <w:gridCol w:w="335"/>
        <w:gridCol w:w="551"/>
        <w:gridCol w:w="146"/>
        <w:gridCol w:w="146"/>
        <w:gridCol w:w="211"/>
        <w:gridCol w:w="676"/>
        <w:gridCol w:w="291"/>
      </w:tblGrid>
      <w:t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63,071</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7762" w:type="dxa"/>
        <w:jc w:val="left"/>
        <w:tblInd w:w="0" w:type="dxa"/>
        <w:tblLayout w:type="fixed"/>
        <w:tblCellMar>
          <w:top w:w="28" w:type="dxa"/>
          <w:left w:w="28" w:type="dxa"/>
          <w:bottom w:w="28" w:type="dxa"/>
          <w:right w:w="28" w:type="dxa"/>
        </w:tblCellMar>
      </w:tblPr>
      <w:tblGrid>
        <w:gridCol w:w="1901"/>
        <w:gridCol w:w="146"/>
        <w:gridCol w:w="856"/>
        <w:gridCol w:w="146"/>
        <w:gridCol w:w="211"/>
        <w:gridCol w:w="676"/>
        <w:gridCol w:w="146"/>
        <w:gridCol w:w="146"/>
        <w:gridCol w:w="335"/>
        <w:gridCol w:w="551"/>
        <w:gridCol w:w="146"/>
        <w:gridCol w:w="146"/>
        <w:gridCol w:w="335"/>
        <w:gridCol w:w="551"/>
        <w:gridCol w:w="146"/>
        <w:gridCol w:w="146"/>
        <w:gridCol w:w="211"/>
        <w:gridCol w:w="676"/>
        <w:gridCol w:w="291"/>
      </w:tblGrid>
      <w:t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Money market funds are classified as Level 1 because they are valued using quoted market prices in active markets for identical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 of the Company’s remaining financial assets and liabilities, which include cash, receivables and payables, approximate their fair values due to their short-term 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The Company maintains a significant majority of its cash balances with a single financial institution, with the remainder held at other financial institutions. The Company’s cash balances exceed federally insured limits. The Company has not experienced any losses on its cash balances and management monitors the creditworthiness of these institutions and believes the Company is not exposed to significant credit risk related to these balances.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2026 and 2025, the Company did not record any income tax expense or benefit. The Company has recorded a full valuation allowance against its U.S. federal and state deferred tax assets as the Company believes it is more likely than not that the benefit will not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tbl>
      <w:tblPr>
        <w:tblW w:w="7539" w:type="dxa"/>
        <w:jc w:val="left"/>
        <w:tblInd w:w="0" w:type="dxa"/>
        <w:tblLayout w:type="fixed"/>
        <w:tblCellMar>
          <w:top w:w="28" w:type="dxa"/>
          <w:left w:w="28" w:type="dxa"/>
          <w:bottom w:w="28" w:type="dxa"/>
          <w:right w:w="28" w:type="dxa"/>
        </w:tblCellMar>
      </w:tblPr>
      <w:tblGrid>
        <w:gridCol w:w="4336"/>
        <w:gridCol w:w="146"/>
        <w:gridCol w:w="146"/>
        <w:gridCol w:w="1141"/>
        <w:gridCol w:w="146"/>
        <w:gridCol w:w="146"/>
        <w:gridCol w:w="146"/>
        <w:gridCol w:w="1141"/>
        <w:gridCol w:w="191"/>
      </w:tblGrid>
      <w:t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22,923,708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13,986,181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Lender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Series A and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2025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147,984,857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126,101,430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is a clinical-stage biotechnology company focused on discovering, developing and delivering curative therapies that address the underlying drivers of heart disease and has one operating and reportable segment. The Company’s chief operating decision maker (CODM) is the chief executive officer.</w:t>
      </w:r>
    </w:p>
    <w:p>
      <w:pPr>
        <w:pStyle w:val="TextBody"/>
        <w:bidi w:val="0"/>
        <w:jc w:val="left"/>
        <w:rPr>
          <w:rFonts w:ascii="Times New Roman" w:hAnsi="Times New Roman"/>
          <w:color w:val="000000"/>
          <w:sz w:val="20"/>
        </w:rPr>
      </w:pPr>
      <w:r>
        <w:rPr>
          <w:rFonts w:ascii="Times New Roman" w:hAnsi="Times New Roman"/>
          <w:color w:val="000000"/>
          <w:sz w:val="20"/>
        </w:rPr>
        <w:t xml:space="preserve">The statement of operations includes research and development expenses, general and administrative costs, interest income, and income taxes; the Company has not generated any product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the Company’s operating expenses by function and includes a reconciliation to net loss.</w:t>
      </w:r>
    </w:p>
    <w:tbl>
      <w:tblPr>
        <w:tblW w:w="10002" w:type="dxa"/>
        <w:jc w:val="left"/>
        <w:tblInd w:w="0" w:type="dxa"/>
        <w:tblLayout w:type="fixed"/>
        <w:tblCellMar>
          <w:top w:w="28" w:type="dxa"/>
          <w:left w:w="28" w:type="dxa"/>
          <w:bottom w:w="28" w:type="dxa"/>
          <w:right w:w="28" w:type="dxa"/>
        </w:tblCellMar>
      </w:tblPr>
      <w:tblGrid>
        <w:gridCol w:w="3776"/>
        <w:gridCol w:w="146"/>
        <w:gridCol w:w="256"/>
        <w:gridCol w:w="896"/>
        <w:gridCol w:w="202"/>
        <w:gridCol w:w="177"/>
        <w:gridCol w:w="256"/>
        <w:gridCol w:w="896"/>
        <w:gridCol w:w="166"/>
        <w:gridCol w:w="146"/>
        <w:gridCol w:w="248"/>
        <w:gridCol w:w="866"/>
        <w:gridCol w:w="195"/>
        <w:gridCol w:w="171"/>
        <w:gridCol w:w="248"/>
        <w:gridCol w:w="866"/>
        <w:gridCol w:w="491"/>
      </w:tblGrid>
      <w:t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(pre-commercial)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lease termination,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(18,938</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2025, included in our Annual Report on Form 10-K filed with the Securities and Exchange Commission on March 11,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historical financial information, this discussion and analysis and other parts of this report contain forward-looking statements within the meaning of Section 27A of the Securities Act of 1933, as amended (the Securities Act),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discovering, developing and delivering potentially curative therapies that address the underlying drivers of heart disease. Heart disease remains the leading cause of death in the world. We believe the emerging insights into the genetic causes of cardiovascular conditions and increased recognition for precision medicine approaches has created an opportunity to change the treatment paradigm for heart disease, and in doing so improve and extend the lives of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founded with a long-term goal of building a fully integrated biopharmaceutical company focused on discovering, developing and ultimately commercializing first-/best-in-class precision medicines for heart disease. Early on in our company history, we invested in differentiated capabilities to enable modality-agnostic target identification and validation, anchored in human genetics and the use of human disease models. These highly productive platform drug discovery capabilities directly contributed to the development of our three clinical-stage programs, as well as to several earlier-stage pipeline programs.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Today, we are focused on advancing our clinical-stage gene therapy candidates, TN-201 for </w:t>
      </w:r>
      <w:r>
        <w:rPr>
          <w:rFonts w:ascii="Times New Roman" w:hAnsi="Times New Roman"/>
          <w:i/>
          <w:color w:val="000000"/>
          <w:sz w:val="20"/>
        </w:rPr>
        <w:t>MYBPC3</w:t>
      </w:r>
      <w:r>
        <w:rPr>
          <w:rFonts w:ascii="Times New Roman" w:hAnsi="Times New Roman"/>
          <w:color w:val="000000"/>
          <w:sz w:val="20"/>
        </w:rPr>
        <w:t xml:space="preserve">-associated hypertrophic cardiomyopathy (HCM), and TN-401 for </w:t>
      </w:r>
      <w:r>
        <w:rPr>
          <w:rFonts w:ascii="Times New Roman" w:hAnsi="Times New Roman"/>
          <w:i/>
          <w:color w:val="000000"/>
          <w:sz w:val="20"/>
        </w:rPr>
        <w:t>PKP2</w:t>
      </w:r>
      <w:r>
        <w:rPr>
          <w:rFonts w:ascii="Times New Roman" w:hAnsi="Times New Roman"/>
          <w:color w:val="000000"/>
          <w:sz w:val="20"/>
        </w:rPr>
        <w:t>-associated arrhythmogenic right ventricular cardiomyopathy (ARVC). Each candidate is currently in Phase 1b/2 trials to establish the safety profile of two different doses in adults with disease due to pathogenic/likely pathogenic mutations. We have presented promising interim results for both product candidates and are engaging with regulators to discuss pivotal trial plans. We plan to share additional follow-up data in the fourth quarter of 2026 and to provide an update on our interactions with regulators. We are also advancing a third internally discovered clinical-stage candidate, TN-301, a highly specific small molecule inhibitor of histone deacetylase 6 (HDAC6) with potentially broad utility in heart failure with preserved ejection fraction (HFpEF) and other cardiac, metabolic, muscular and pulmonary diseases, including but not limited to Duchenne muscular dystrophy (DMD), genetic dilated cardiomyopathy (DCM) and pulmonary arterial hypertension (PAH).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programs arising out of our modality agnostic drug discovery platform that address relatively rare conditions our strategy is to develop and commercialize at least some of these programs on our own, although we may selectively consider partnerships to access technology, accelerate our progress, or improve our global reach to patients. Where our discovery efforts lead to product candidates intended for relatively prevalent indications, our strategy is to out-license or partner such programs. Our core capabilities and expertise offer additional opportunities for collaboration. In March 2026, we entered into a multi-target research collaboration with Alnylam Pharmaceuticals, Inc. (Alnylam), to identify and validate novel gene targets for the potential treatment of cardiovascular disease in exchange for a $10 million upfront payment, reimbursement for research efforts and up to $1.1 billion in development and commercial milestones payments. Our genetic medicines manufacturing know-how provides the basis for licensing, collaboration, and/or other agreements with global contract development and manufacturing and/or life science reagent companies.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TN-201 is our investigational gene therapy for individuals with HCM due to </w:t>
      </w:r>
      <w:r>
        <w:rPr>
          <w:rFonts w:ascii="Times New Roman" w:hAnsi="Times New Roman"/>
          <w:i/>
          <w:color w:val="000000"/>
          <w:sz w:val="20"/>
        </w:rPr>
        <w:t>MYBPC3</w:t>
      </w:r>
      <w:r>
        <w:rPr>
          <w:rFonts w:ascii="Times New Roman" w:hAnsi="Times New Roman"/>
          <w:color w:val="000000"/>
          <w:sz w:val="20"/>
        </w:rPr>
        <w:t xml:space="preserve"> gene mutations. These mutations result in a deficiency of myosin-binding protein C (MyBP-C), which in turn can cause the heart walls of affected individuals to become significantly thickened, leading to fibrosis, abnormal heart rhythms, cardiac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dysfunction, heart failure and death. HCM is a chronic, progressive condition, and those diagnosed with the disease often experience significant impairment in overall quality of life and may be at higher risk for serious complications and co-morbidities. TN-201 utilizes a recombinant AAV9 capsid and is designed to deliver a working </w:t>
      </w:r>
      <w:r>
        <w:rPr>
          <w:rFonts w:ascii="Times New Roman" w:hAnsi="Times New Roman"/>
          <w:i/>
          <w:color w:val="000000"/>
          <w:sz w:val="20"/>
        </w:rPr>
        <w:t xml:space="preserve">MYBPC3 </w:t>
      </w:r>
      <w:r>
        <w:rPr>
          <w:rFonts w:ascii="Times New Roman" w:hAnsi="Times New Roman"/>
          <w:color w:val="000000"/>
          <w:sz w:val="20"/>
        </w:rPr>
        <w:t xml:space="preserve">gene to specific cells of the heart in order to produce MyBP-C and thereby potentially slow or even reverse the course of </w:t>
      </w:r>
      <w:r>
        <w:rPr>
          <w:rFonts w:ascii="Times New Roman" w:hAnsi="Times New Roman"/>
          <w:i/>
          <w:color w:val="000000"/>
          <w:sz w:val="20"/>
        </w:rPr>
        <w:t>MYBPC3</w:t>
      </w:r>
      <w:r>
        <w:rPr>
          <w:rFonts w:ascii="Times New Roman" w:hAnsi="Times New Roman"/>
          <w:color w:val="000000"/>
          <w:sz w:val="20"/>
        </w:rPr>
        <w:t>-associated HCM following a single infusion.</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MyPEAK</w:t>
      </w:r>
      <w:r>
        <w:rPr>
          <w:rFonts w:ascii="Times New Roman" w:hAnsi="Times New Roman"/>
          <w:color w:val="000000"/>
          <w:sz w:val="13"/>
        </w:rPr>
        <w:t>TM</w:t>
      </w:r>
      <w:r>
        <w:rPr>
          <w:rFonts w:ascii="Times New Roman" w:hAnsi="Times New Roman"/>
          <w:color w:val="000000"/>
          <w:sz w:val="20"/>
        </w:rPr>
        <w:t>-1 is our Phase 1b/2 multi-center, open-label clinical trial, designed to assess the safety, tolerability and efficacy of a one-time intravenous infusion of TN-201. We have completed enrollment in MyPEAK-1 necessary to characterize dose response and inform dose selection for late-stage clinical trials, including three patients at the 3E13 vg/kg dose (Cohort 1), three at the 6E13 vg/kg dose (Cohort 2) and additional patients in the 6E13 vg/kg dose expansion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we presented new interim safety and efficacy data from MyPEAK-1 as of a May 2026 data cut off. Data shared included 78-104 weeks of follow-up for the three Cohort 1 patients and 26-52 weeks of follow-up for four patients dosed with TN-201 at 6E13 vg/kg. Other than Patient 5, all patients have completed every scheduled visit and remain in the trial. Among the latest findings reported, six patients evaluable for efficacy endpoints demonstrated improvements in multiple clinical parameters of disease including echocardiographic (ECG) measures of hypertrophy, and one or more measures of symptom burden. Cardiac troponin, a known risk factor for cardiac-related morbidities or mortality, improved or remained stable in five of six patients and NT-pro BNP, a measure of heart muscle strain, improved in three patients. ECG measures of left ventricular structure showed decreases in multiple measures of left ventricular hypertrophy, a defining characteristic of HCM. All six evaluable patients achieved reductions in left ventricular mass index (LVMI) and five of six demonstrated reductions in one or more measures of wall thickness. Decreases in LVMI were durable through two years for the first two Cohort 1 patients and decreases among Cohort 2 patients were observed at an earlier timepoint post-dose compared to Cohort 1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all six patients, treatment with TN-201 resulted in a lessening of symptom burden as assessed by either New York Heart Association (NYHA) classification, a physician assessment of the impact of heart failure symptoms on activities of daily living, and/or the Kansas City Cardiomyopathy Questionnaire (KCCQ), a validated tool for measuring health status, symptom burden and quality of life among HCM patients. All patients were symptomatic at baseline (NYHA class II-III) and five of six improved by at least one class following treatment with TN-201. All five were assessed as Class I and no longer have heart failure symptoms that interfere with activities of daily living, while the sixth patient remained stable. Four of six patients demonstrated meaningful benefit in symptoms and quality of life, with KCCQ Clinical Summary Scores (KCCQ-CSS) improving by between 12 to 56 points from baseline, while the three evaluable Cohort 2 patients who received TN-201 at a dose of 6E13 vg/kg had improved KCCQ-CSS with a mean increase of 36 points. An improvement of 5 points or greater is considered clinically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Functional capacity was also assessed by six-minute walk test (6MWT) and cardiopulmonary exercise testing (CPET) and improved by at least one of the two measures in three patients, with Cohort 2 patients showing greater benefit. Two patients from Cohort 2 and one Cohort 1 patient achieved meaningful improvements in 6MWT with changes from baseline ranging from 50- to 255-meters. An increase of 30 meters is considered clinically meaningful. Patient 4 from Cohort 2 also demonstrated clinically meaningful improvement in peak oxygen consumption (pVO2). CPET were not available as of the data cut off for the remaining Cohort 2 patients. Two patients from Cohort 1 experienced a decline in 6MWT, and no Cohort 1 patients saw improvements in CPET. Cohort 1 performance may be confounded by preexisting functional limitations and/or relatively longer duration and higher dose of immunosuppression.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TN-201 continued to be generally well tolerated across both MyPEAK-1 dose cohorts for the seven patients for whom safety data was reported. No dose-limiting toxicities were observed and all patients have tapered off immunosuppressive medicines. Adjustments to monitoring and immunosuppression during Cohort 1 resulted in faster tapers and lower cumulative corticosteroid doses in Cohort 2, despite the higher TN-201 dose. Results from serial cardiac biopsies taken at baseline or Week 8 and again post-dose or Week 52 showed that TN-201 DNA transduction and mRNA expression were robust, and MyBP-C levels increased by an average of 4% over time. Protein level changes were measured using liquid chromatography mass spectrometry (LCMS) normalized to myosin heavy chain (MYHC). As of the most recent assessment, MyBP-C levels were shown to increase in four of six patients, while variation in expression between individual biopsies is believed to have contributed to smaller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differences in the remaining two patients. While additional follow-up is needed, the totality of results suggest that the higher dose of 6E13 vg/kg may result in equivalent or greater clinical benefit at an earlier timepoint post-dose.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present one-year Cohort 2 data and two-year durability data for Cohort 1 from MyPEAK-1 by year end. We are also in ongoing discussions with regulatory authorities, with an additional interaction planned to explore late-stage pivotal trial plans for TN-201, and intend to provide an update by year end.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Despite advances in the treatment of the obstructive HCM in recent years with the approval of cardiac myosin inhibitors, there are no approved treatments for those with the non-obstructive form of disease and limited options for those diagnosed before the age of 18. Recognizing the urgent medical need among pediatric patients, we initiated MyClimb, a retrospective and prospective natural history study of pediatric patients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MyClimb completed enrollment of more than 200 individuals and is believed to be the largest study of pediatric individuals with </w:t>
      </w:r>
      <w:r>
        <w:rPr>
          <w:rFonts w:ascii="Times New Roman" w:hAnsi="Times New Roman"/>
          <w:i/>
          <w:color w:val="000000"/>
          <w:sz w:val="20"/>
        </w:rPr>
        <w:t>MYBPC3</w:t>
      </w:r>
      <w:r>
        <w:rPr>
          <w:rFonts w:ascii="Times New Roman" w:hAnsi="Times New Roman"/>
          <w:color w:val="000000"/>
          <w:sz w:val="20"/>
        </w:rPr>
        <w:t>-associated HCM ever conducted. Initial data indicated that 93% of participants had the nonobstructive HCM phenotype, for which there are currently no approved treatment options and that genotype was a significant predictor of risk. The data also revealed that LVMI may serve as a surrogate marker for poor long-term outcomes and as an appropriate marker to evaluate the early effectiveness of TN-201’s potential in a future pivotal trial.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FDA has granted TN-201 Fast Track, Orphan Drug and Rare Pediatric Drug Designations. TN-201 has also been accepted into the agency’s Rare Disease Evidence Principles (RDEP) process for biallelic children with </w:t>
      </w:r>
      <w:r>
        <w:rPr>
          <w:rFonts w:ascii="Times New Roman" w:hAnsi="Times New Roman"/>
          <w:i/>
          <w:color w:val="000000"/>
          <w:sz w:val="20"/>
        </w:rPr>
        <w:t>MYBPC3</w:t>
      </w:r>
      <w:r>
        <w:rPr>
          <w:rFonts w:ascii="Times New Roman" w:hAnsi="Times New Roman"/>
          <w:color w:val="000000"/>
          <w:sz w:val="20"/>
        </w:rPr>
        <w:t>-associated HCM. TN-201 received orphan medicinal product designation from the European Commission (EC) and was granted PRIority MEdicine (PRIME) designation by the European Medicines Agency (EMA).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TN-401 is our AAV9-based gene therapy for the treatment of ARVC due to disease-causing variants in the </w:t>
      </w:r>
      <w:r>
        <w:rPr>
          <w:rFonts w:ascii="Times New Roman" w:hAnsi="Times New Roman"/>
          <w:i/>
          <w:color w:val="000000"/>
          <w:sz w:val="20"/>
        </w:rPr>
        <w:t xml:space="preserve">PKP2 </w:t>
      </w:r>
      <w:r>
        <w:rPr>
          <w:rFonts w:ascii="Times New Roman" w:hAnsi="Times New Roman"/>
          <w:color w:val="000000"/>
          <w:sz w:val="20"/>
        </w:rPr>
        <w:t xml:space="preserve">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hAnsi="Times New Roman"/>
          <w:i/>
          <w:color w:val="000000"/>
          <w:sz w:val="20"/>
        </w:rPr>
        <w:t>PKP2</w:t>
      </w:r>
      <w:r>
        <w:rPr>
          <w:rFonts w:ascii="Times New Roman" w:hAnsi="Times New Roman"/>
          <w:color w:val="000000"/>
          <w:sz w:val="20"/>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hAnsi="Times New Roman"/>
          <w:i/>
          <w:color w:val="000000"/>
          <w:sz w:val="20"/>
        </w:rPr>
        <w:t xml:space="preserve">PKP2 </w:t>
      </w:r>
      <w:r>
        <w:rPr>
          <w:rFonts w:ascii="Times New Roman" w:hAnsi="Times New Roman"/>
          <w:color w:val="000000"/>
          <w:sz w:val="20"/>
        </w:rPr>
        <w:t xml:space="preserve">gene to heart muscle cells in order to produce plakophilin protein and potentially slow or even reverse the course of </w:t>
      </w:r>
      <w:r>
        <w:rPr>
          <w:rFonts w:ascii="Times New Roman" w:hAnsi="Times New Roman"/>
          <w:i/>
          <w:color w:val="000000"/>
          <w:sz w:val="20"/>
        </w:rPr>
        <w:t>PKP2</w:t>
      </w:r>
      <w:r>
        <w:rPr>
          <w:rFonts w:ascii="Times New Roman" w:hAnsi="Times New Roman"/>
          <w:color w:val="000000"/>
          <w:sz w:val="20"/>
        </w:rPr>
        <w:t>-associated ARVC following a single infusion.</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RIDGE</w:t>
      </w:r>
      <w:r>
        <w:rPr>
          <w:rFonts w:ascii="Times New Roman" w:hAnsi="Times New Roman"/>
          <w:color w:val="000000"/>
          <w:sz w:val="13"/>
        </w:rPr>
        <w:t>TM</w:t>
      </w:r>
      <w:r>
        <w:rPr>
          <w:rFonts w:ascii="Times New Roman" w:hAnsi="Times New Roman"/>
          <w:color w:val="000000"/>
          <w:sz w:val="20"/>
        </w:rPr>
        <w:t>-1 is our Phase 1b/2 multi-center, open-label clinical trial, designed to assess the safety, tolerability and efficacy of a one-time intravenous infusion of TN-401. We have completed enrollment in RIDGE-1 necessary to characterize dose response and inform dose selection for late-stage clinical trials, including three patients at the 3E13 vg/kg dose (Cohort 1), three at the 6E13 vg/kg dose (Cohort 2) and additional patients in the 6E13 vg/kg dose expansion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2026, we presented interim data from the first six patients dosed in RIDGE-1 at the American Society of Gene and Cell Therapies 2026 Annual Meeting. Data reported included electrophysiology, biopsy and safety results 20-52 weeks post-dose following a single infusion of TN-401. As of the April 2026 data cut off, all patients have completed all assessments and remain on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 with TN-401 resulted in dramatic improvements in electrical stability, as measured by premature ventricular contractions (PVCs) and non-sustained ventricular tachycardias (NSVTs). PVCs and NSVTs are each important prognosticators of more serious, potentially life-ending ventricular arrythmias and their frequency is utilized as an important component in calculating patient risk and the need for an implantable cardiac defibrillator (ICD). All six patients had PVC counts of greater than 500 per day at baseline and demonstrated meaningful reductions in arrhythmia burden with a mean reduction in average daily PVC count of 60% for Cohort 1 and 67% for Cohort 2. Two patients with a high rate of NSVTs at baseline experienced substantial decreases, apparent as early as Week 20. Patient 2 had an NSVT burden of 78 counts per 24-hours, which dropped to zero and remained stable at Week 52. At baseline, Patient 5 had an NSVT count of 43 per 24 hours, which dropped to 4 per 24 hours at Week 20. Four patients had low NSVT burden at baseline and remained low. Other measures of clinical response including ECG changes (QRS duration and T wave inversions), heart structure and function and NYHA class were in the normal range at baseline and/or remained stable during the post-dose follow-up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Post-dose biopsies provided evidence of robust transduction and TN-401-specific expression for the first five patients for whom data was available at the time of data cut off. Biopsy samples were collected from the right ventricular septum at Week 8 for the first four patients and at Week 22 for Patient 5, with results from a second post-dose biopsy at Week 52 available for Cohort 1 patients. Robust evidence of dose-dependent TN-401 DNA transduction and mRNA expression were apparent, while changes in PKP2 protein levels in heart muscle cells from baseline to the most recent timepoints ranged from -4% to +15% as measured by LCMS normalized to MYHC. Measurements of PKP2 protein levels were impacted by the varied composition of cardiac tissue in an ARVC heart.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TN-401 was well tolerated across both RIDGE-1 dose cohorts and no dose-limiting toxicities had occurred as of the April 2026 data cut off. The prophylactic immune suppression regimen of sirolimus and prednisone successfully managed immune responses and all patients discontinued immunosuppressive medicines. Adverse events associated with TN-401 treatment were asymptomatic and self-resolved or responded to treatment. There was no clinical thrombotic microangiopathy, no ventricular arrhythmias related to TN-401 and no other cardiotoxicities associated with TN-401.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present interim data by year end, including one-year data for Cohort 2 and durability data for Cohort 1. We are also engaging with regulators and have upcoming meetings scheduled to discuss late-stage pivotal trial planning for TN-401. We plan to provide an update on the feedback received from our discussions by year 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were awarded a Clinical Grant (Clin2) of $8.0 million from California Institute for Regenerative Medicine (CIRM), a state of California Agency that funds regenerative medicine, stem cell, and gene therapy research. Proceeds from the grant help fund clinical trial costs for our ongoing Phase 1b/2 RIDGE-1 clinical trial of TN-401 gene therapy. RIDGE-1 is being conducted at multiple clinical trial sites with ARVC expertise at leading cardiology centers in the U.S. and United Kingdom.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support our development efforts for TN-401, we have initiated RIDGE, a global noninterventional natural history and seroprevalence study of nearly 200 patients with ARVC due to </w:t>
      </w:r>
      <w:r>
        <w:rPr>
          <w:rFonts w:ascii="Times New Roman" w:hAnsi="Times New Roman"/>
          <w:i/>
          <w:color w:val="000000"/>
          <w:sz w:val="20"/>
        </w:rPr>
        <w:t xml:space="preserve">PKP2 </w:t>
      </w:r>
      <w:r>
        <w:rPr>
          <w:rFonts w:ascii="Times New Roman" w:hAnsi="Times New Roman"/>
          <w:color w:val="000000"/>
          <w:sz w:val="20"/>
        </w:rPr>
        <w:t xml:space="preserve">gene mutations. RIDGE is believed to be the largest natural history study of adults with </w:t>
      </w:r>
      <w:r>
        <w:rPr>
          <w:rFonts w:ascii="Times New Roman" w:hAnsi="Times New Roman"/>
          <w:i/>
          <w:color w:val="000000"/>
          <w:sz w:val="20"/>
        </w:rPr>
        <w:t>PKP2</w:t>
      </w:r>
      <w:r>
        <w:rPr>
          <w:rFonts w:ascii="Times New Roman" w:hAnsi="Times New Roman"/>
          <w:color w:val="000000"/>
          <w:sz w:val="20"/>
        </w:rPr>
        <w:t xml:space="preserve">-associated ARVC. Interim data from RIDGE was presented at Heart Rhythm Society’s annual meeting in April 2025 and showed that patients with </w:t>
      </w:r>
      <w:r>
        <w:rPr>
          <w:rFonts w:ascii="Times New Roman" w:hAnsi="Times New Roman"/>
          <w:i/>
          <w:color w:val="000000"/>
          <w:sz w:val="20"/>
        </w:rPr>
        <w:t>PKP2</w:t>
      </w:r>
      <w:r>
        <w:rPr>
          <w:rFonts w:ascii="Times New Roman" w:hAnsi="Times New Roman"/>
          <w:color w:val="000000"/>
          <w:sz w:val="20"/>
        </w:rPr>
        <w:t xml:space="preserve">-associated ARVC experience a high burden of arrhythmias despite treatments with approved anti-arrhythmic medications including flecainide, beta blockers and surgical interventions such as ablation and ICD placement. Further, current treatments appeared to do little to halt or prevent progressive structural changes to the heart that occur as a result of </w:t>
      </w:r>
      <w:r>
        <w:rPr>
          <w:rFonts w:ascii="Times New Roman" w:hAnsi="Times New Roman"/>
          <w:i/>
          <w:color w:val="000000"/>
          <w:sz w:val="20"/>
        </w:rPr>
        <w:t>PKP2</w:t>
      </w:r>
      <w:r>
        <w:rPr>
          <w:rFonts w:ascii="Times New Roman" w:hAnsi="Times New Roman"/>
          <w:color w:val="000000"/>
          <w:sz w:val="20"/>
        </w:rPr>
        <w:t xml:space="preserve"> mutations. A large majority of adults with </w:t>
      </w:r>
      <w:r>
        <w:rPr>
          <w:rFonts w:ascii="Times New Roman" w:hAnsi="Times New Roman"/>
          <w:i/>
          <w:color w:val="000000"/>
          <w:sz w:val="20"/>
        </w:rPr>
        <w:t>PKP2</w:t>
      </w:r>
      <w:r>
        <w:rPr>
          <w:rFonts w:ascii="Times New Roman" w:hAnsi="Times New Roman"/>
          <w:color w:val="000000"/>
          <w:sz w:val="20"/>
        </w:rPr>
        <w:t>-associated ARVC would be eligible to participate in RIDGE-1 based on low levels of pre-existing antibodies to AAV9.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TN-401 has received Orphan Drug, Fast Track and Regenerative Medicine Advanced Therapy designation from the FDA. TN-401 has also received orphan medicinal product designation from the EC and was granted PRIME designation by the EMA.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also advancing TN-301, a highly specific HDAC6 inhibitor that has potential utility in HFpEF and other cardiac, metabolic, muscular and pulmonary diseases. TN-301 was initially discovered and validated as having cardioprotective qualities in preclinical studies of a rapidly worsening mouse model of </w:t>
      </w:r>
      <w:r>
        <w:rPr>
          <w:rFonts w:ascii="Times New Roman" w:hAnsi="Times New Roman"/>
          <w:i/>
          <w:color w:val="000000"/>
          <w:sz w:val="20"/>
        </w:rPr>
        <w:t xml:space="preserve">BAG3 </w:t>
      </w:r>
      <w:r>
        <w:rPr>
          <w:rFonts w:ascii="Times New Roman" w:hAnsi="Times New Roman"/>
          <w:color w:val="000000"/>
          <w:sz w:val="20"/>
        </w:rPr>
        <w:t xml:space="preserve">mutant DCM. HDAC6 is a cytoplasmic enzyme known to regulate diverse cellular processes. Based on TN-301’s multi-modal mechanism of action, that includes reductions in inflammation, oxidative stress, fibrosis, and metabolic dysregulation, as well as improvements in autophagy, protein quality control, mitochondrial metabolism, and lipid metabolism, TN-301 may be well suited to the treatment of HFpEF, as well as other cardiac, metabolic, muscular and pulmonary disorders where there is strong alignment between TN-301’s mechanism and the pathophysiology of disease.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Extensive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 xml:space="preserve">in vivo </w:t>
      </w:r>
      <w:r>
        <w:rPr>
          <w:rFonts w:ascii="Times New Roman" w:hAnsi="Times New Roman"/>
          <w:color w:val="000000"/>
          <w:sz w:val="20"/>
        </w:rPr>
        <w:t xml:space="preserve">studies in HFpEF disease models have also shown that TN-301 addresses diverse pathological processes with direct and systemic benefits in models of HFpEF. In comparative studies, selective HDAC6 inhibition as a single agent has been shown to have similar efficacy to empagliflozin, an SGLT2 inhibitor which is approved for the treatment of HFpEF and co-administration of our HDAC6 inhibition with a SGLT2 inhibitor demonstrated additive benefit. Taken together, these data support continued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TN-301 as a potential treatment for patients with HFpEF and other severe diseases including those outside of cardiology in which inflammation, fibrosis and metabolic dysregulation may be implicated.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Based on our observations of TN-301’s mechanism and evidence of efficacy for an approved pan-HDAC agent, we are also exploring the development of TN-301 for DMD, a condition caused by genetic mutations in the </w:t>
      </w:r>
      <w:r>
        <w:rPr>
          <w:rFonts w:ascii="Times New Roman" w:hAnsi="Times New Roman"/>
          <w:i/>
          <w:color w:val="000000"/>
          <w:sz w:val="20"/>
        </w:rPr>
        <w:t>dystrophin</w:t>
      </w:r>
      <w:r>
        <w:rPr>
          <w:rFonts w:ascii="Times New Roman" w:hAnsi="Times New Roman"/>
          <w:color w:val="000000"/>
          <w:sz w:val="20"/>
        </w:rPr>
        <w:t xml:space="preserve"> gene, leading to absence of functional dystrophin protein in the heart and skeletal muscle. The muscle pathologies that underlie muscle wasting in the absence of dystrophin include inflammation, fibrosis, altered regeneration, mitochondrial dysfunction and disrupted autophagic flux – all processes that can be improved by HDAC6 inhibition.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At the Muscular Dystrophy Association Clinical &amp; Scientific Congress 2026, we presented results from preclinical studies comparing TN-301 with the FDA-approved pan HDAC inhibitor, givinostat, in a well-established mouse model of DMD, and in human induced Pluripotent Stem Cell (iPSC)-derived cardiomyocytes from DMD patients. After five weeks of once-daily oral dosing, TN-301 showed a statistically significant increase in forelimb grip strength in </w:t>
      </w:r>
      <w:r>
        <w:rPr>
          <w:rFonts w:ascii="Times New Roman" w:hAnsi="Times New Roman"/>
          <w:i/>
          <w:color w:val="000000"/>
          <w:sz w:val="20"/>
        </w:rPr>
        <w:t>mdx</w:t>
      </w:r>
      <w:r>
        <w:rPr>
          <w:rFonts w:ascii="Times New Roman" w:hAnsi="Times New Roman"/>
          <w:color w:val="000000"/>
          <w:sz w:val="20"/>
        </w:rPr>
        <w:t xml:space="preserve"> mice at both 3 mg/kg and 30 mg/kg compared to vehicle with both doses of TN-301 achieving wildtype levels of grip strength after five weeks. Further, TN-301 demonstrated greater efficacy at both doses compared to the 10 mg/kg dose of givinostat, which corresponds to the clinically relevant dose used in DMD patients. Notably, the effects of TN-301 at both doses approached those observed with the 30 mg/kg dose of givinostat, a level that is not tolerated in humans.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engineered heart tissues derived from human DMD-induced iPSCs, TN-301 corrected calcium handling abnormalities, a key driver of DMD cardiomyopathy, including beat-to-beat fluctuations in calcium amplitude. In contrast, givinostat exacerbated calcium handling irregularities. In an experiment of DMD patient-derived iPSC cardiomyocytes designed to measure oxygen consumption and mitochondrial stress, both known contributors to DMD cardiomyopathy, TN-301 corrected basal and maximal respiration whereas givinostat worsened both measures. Taken together, these data support the potential advancement of TN-301 in DMD therapy, suggesting that HDAC6 inhibition may have benefits for both skeletal and cardiac muscle and reduced liabilities compared to pan-HDAC inhibitors.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advance TN-301 toward clinical trials in patients in order to generate proof-of-activity data, with HFpEF and DMD being among the most promising potential indications identified to date. We are currently conducting enabling toxicology work to support such advancement and plan to initiate at least one company-sponsored Phase 2 clinical trial in the second half of 2027. Consistent with our strategy, we believe that TN-301’s late-stage development and commercialization in large indications would best be led by a strategic pharmaceutical partner with global resources to explore the full potential of the molecule.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granted both Orphan Drug and Rare Pediatric Drug Designations to TN-301 as a treatment for DMD.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clinical-stage candidates, we have multiple early-stage programs using various therapeutic approaches, including gene addition, gene editing, gene silencing, and cellular regeneration to address other forms of rare and/or prevalent forms of heart disease. We do not have any products approved for sale and have not generated any product revenue to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tbl>
      <w:tblPr>
        <w:tblW w:w="8240" w:type="dxa"/>
        <w:jc w:val="left"/>
        <w:tblInd w:w="0" w:type="dxa"/>
        <w:tblLayout w:type="fixed"/>
        <w:tblCellMar>
          <w:top w:w="28" w:type="dxa"/>
          <w:left w:w="28" w:type="dxa"/>
          <w:bottom w:w="28" w:type="dxa"/>
          <w:right w:w="28" w:type="dxa"/>
        </w:tblCellMar>
      </w:tblPr>
      <w:tblGrid>
        <w:gridCol w:w="3776"/>
        <w:gridCol w:w="146"/>
        <w:gridCol w:w="211"/>
        <w:gridCol w:w="736"/>
        <w:gridCol w:w="166"/>
        <w:gridCol w:w="146"/>
        <w:gridCol w:w="211"/>
        <w:gridCol w:w="736"/>
        <w:gridCol w:w="166"/>
        <w:gridCol w:w="146"/>
        <w:gridCol w:w="211"/>
        <w:gridCol w:w="571"/>
        <w:gridCol w:w="166"/>
        <w:gridCol w:w="146"/>
        <w:gridCol w:w="706"/>
      </w:tblGrid>
      <w:t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NM - Not Meaningful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for the three months ended September 30, 2026 was $1.7 million, compared to none in the prior year period. The increase consisted of $1.1 million from the recognition of revenue associated with upfront fees and $0.6 million from reimbursements for research and development activities under collaboration arrangements entered into during the first quarter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In connection with the closure of our Genetic Medicines Manufacturing Center (GMMC), our external research and development expenses may include fees paid to third-party contract development manufacturing organizations (CDMOs) for future process development and manufacturing activities.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of certain research and development activities are recognized based on estimates derived from a number of factors, including an evaluation of the progress of the activities, as well as input from external service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The level of our research and development expenses over the next twelve months will be subject to operational decisions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made following data generated from our MyPEAK-1 and RIDGE-1 clinical trials and our ability to achieve regulatory alignment on our pivotal trial plans for our TN-201 and TN-401 programs, as well as our Phase 2 development plans for TN-301.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tbl>
      <w:tblPr>
        <w:tblW w:w="8200"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846"/>
      </w:tblGrid>
      <w:t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c>
          <w:tcPr>
            <w:tcW w:w="36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(pre-commercial)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(40%)</w:t>
            </w:r>
          </w:p>
        </w:tc>
      </w:tr>
      <w:t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$14.9 million and $15.4 million for the three months ended September 30, 2026 and 2025, respectively. The decrease of $0.5 million, or 3%,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$2.6 million decrease in manufacturing costs, reflecting primarily reduced manufacturing-related expenses following the closure of our GMMC, including lower depreciation, facility-related and personnel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$1.4 million decrease in other research and development costs, reflecting primarily lower stock-based compensation, consulting expenses and personnel-related costs,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$2.1 million increase in clinical costs, reflecting primarily higher clinical trial expenses associated with our TN-201 and TN-401 programs, as well as the impact of grant funding recognized as a reduction of clinical expenses in the prior-year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$1.5 million increase in research cost, reflecting primarily increased research and preclinical development activities associated with our TN-301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incur legal, accounting, insurance and other expenses in operating our business as a public company, including costs associated with regulatory and compliance activities. As with our research and development, the level of our general and administrative expenses over the next twelve months will be subject to operational decisions made following data generated from our MyPEAK-1 and RIDGE-1 clinical trials and our ability to achieve regulatory alignment on our pivotal trial plans for our TN-201 and TN-401 programs, as well as our Phase 2 development plans for TN-301.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remained relatively consistent at $5.6 million for the three months ended September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loss was $0.7 million for the three months ended September 30, 2026, compared to no impairment loss for the same period in 2025. The impairment loss was primarily related to the write-down of property and equipment classified as held for sale to its estimated fair value less costs to sell.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our cash and cash equivalents balances. Interest income remained relatively consistent at $0.6 million and $0.7 million for the three months ended September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three months ended September 30, 2026, was $18.9 million, compared to a net loss of $20.3 million for the three months ended September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tbl>
      <w:tblPr>
        <w:tblW w:w="8445" w:type="dxa"/>
        <w:jc w:val="left"/>
        <w:tblInd w:w="0" w:type="dxa"/>
        <w:tblLayout w:type="fixed"/>
        <w:tblCellMar>
          <w:top w:w="28" w:type="dxa"/>
          <w:left w:w="28" w:type="dxa"/>
          <w:bottom w:w="28" w:type="dxa"/>
          <w:right w:w="28" w:type="dxa"/>
        </w:tblCellMar>
      </w:tblPr>
      <w:tblGrid>
        <w:gridCol w:w="3776"/>
        <w:gridCol w:w="146"/>
        <w:gridCol w:w="211"/>
        <w:gridCol w:w="736"/>
        <w:gridCol w:w="166"/>
        <w:gridCol w:w="146"/>
        <w:gridCol w:w="211"/>
        <w:gridCol w:w="736"/>
        <w:gridCol w:w="166"/>
        <w:gridCol w:w="146"/>
        <w:gridCol w:w="211"/>
        <w:gridCol w:w="736"/>
        <w:gridCol w:w="166"/>
        <w:gridCol w:w="146"/>
        <w:gridCol w:w="746"/>
      </w:tblGrid>
      <w:t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(14%)</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(12%)</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lease termination,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NM</w:t>
            </w:r>
          </w:p>
        </w:tc>
      </w:tr>
      <w:t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NM - Not Meaningful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tbl>
      <w:tblPr>
        <w:tblW w:w="8200"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846"/>
      </w:tblGrid>
      <w:t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c>
          <w:tcPr>
            <w:tcW w:w="36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(pre-commercial)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(19%)</w:t>
            </w:r>
          </w:p>
        </w:tc>
      </w:tr>
      <w:t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$46.3 million and $53.8 million for the nine months ended September 30, 2026 and 2025, respectively. The decrease of $7.5 million, or 14%,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$4.8 million in manufacturing costs, primarily reflecting lower depreciation and facility-related expenses associated with the closure of our GMMC, as well as lower employee-related costs resulting from the workforce reduction implemented in March 2025 (the 2025 Workforce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$2.1 million decrease in other research and development expenses, primarily reflecting lower stock-based compensation and employee-related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$1.9 million decrease in research expenses, primarily reflecting lower employee-related costs resulting from the 2025 Workforce Reduction and reduced laboratory supplies as well as facility-related expenses,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$1.3 million increase in clinical cost, primarily reflecting increased clinical study expenses and the impact of grant funding recognized as a reduction of clinical expenses in the prior-year period, partially offset by lower clinical consulting and temporary labor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$16.5 million and $18.7 million for the nine months ended September 30, 2026 and 2025, respectively. The decrease of $2.2 million, or 12%, was primarily due to a $2.2 million decrease in stock-based compensation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loss was $22.5 million for the nine months ended September 30, 2026, compared to no impairment loss for the same period in 2025. The impairment loss primarily related to the $21.8 million write-down of long-lived assets associated with the closure of our GMMC, as well as additional impairment charges on property and equipment classified as held for sale.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Lease Termination,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2026, we recognized a net loss on lease termination of $1.4 million in connection with the termination of the lease for our Union City manufacturing facility. The loss primarily reflected the forfeiture of the facility’s security deposit and a brokerage commission incurred in connection with the lease termination, partially offset by gains associated with the remeasurement of the operating lease right-of-use asset and lease liability and the derecognition of the related asset retirement obligation liability. No comparable loss was recognized in the prior-year periods.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our cash and cash equivalents balances. Interest income remained relatively consistent at $2.1 million for each of the nine months ended September 30, 2026 and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nine months ended September 30, 2026, was $81.6 million, compared to a net loss of $70.4 million for the nine months ended September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generated limited collaboration revenue and no product revenue, and we have incurred significant net losses and negative cash flows from operations. From our inception through September 30, 2026, we have funded our operations primarily from the sale and issuance of our equity securities. As of September 30, 2026, we had cash and cash equivalents of $66.8 million and an accumulated deficit of $686.6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CIRM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we announced we were awarded an $8.0 million grant from the CIRM to support RIDGE-1. The award is payable to us upon achievement of certain clinical milestones. We expect this grant to provide funding for a portion of our research and development activities, subject to the achievement of applicable milestones and compliance with the grant terms.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continue to incur operating losses over the foreseeable future. Our operating expenses may increase in the future,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advance our lead product candidates, TN-201, TN-401 and TN-301;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the scope of our existing clinical trials and transition into late-stage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of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relationships with CDMOs to support commercial-scale manufacturing;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information systems and personnel to support our future product development and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research programs and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preclinical studies and clinical trials for any additional product candidates we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future product candidates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develop, expand, enforce, defend and protect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cash and cash equivalents will be sufficient to meet our working capital and capital expenditure needs through at least the next twelve months following the date of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w:t>
      </w:r>
    </w:p>
    <w:tbl>
      <w:tblPr>
        <w:tblW w:w="7579" w:type="dxa"/>
        <w:jc w:val="left"/>
        <w:tblInd w:w="0" w:type="dxa"/>
        <w:tblLayout w:type="fixed"/>
        <w:tblCellMar>
          <w:top w:w="28" w:type="dxa"/>
          <w:left w:w="28" w:type="dxa"/>
          <w:bottom w:w="28" w:type="dxa"/>
          <w:right w:w="28" w:type="dxa"/>
        </w:tblCellMar>
      </w:tblPr>
      <w:tblGrid>
        <w:gridCol w:w="4836"/>
        <w:gridCol w:w="146"/>
        <w:gridCol w:w="211"/>
        <w:gridCol w:w="736"/>
        <w:gridCol w:w="166"/>
        <w:gridCol w:w="146"/>
        <w:gridCol w:w="211"/>
        <w:gridCol w:w="736"/>
        <w:gridCol w:w="391"/>
      </w:tblGrid>
      <w:t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8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8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8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2026 was $40.5 million, which consisted primarily of a net loss of $81.6 million, partially offset by $35.0 million in non-cash charges and a net change in operating assets and liabilities of $6.2 million. The change in net operating assets and liabilities was primarily due to an increase of contract liabilities of $8.5 million, partially offset by a decrease in operating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of $2.6 million. Cash flows from operations are generally impacted by the timing of payments to vendors and vendor payment terms. The non-cash charges primarily consisted of loss on impairment of $22.5 million, stock-based compensation of $5.6 million and depreciation and amortization of $3.9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2025 was $54.3 million, which consisted primarily of a net loss of $70.4 million and a net change in operating assets and liabilities of $3.3 million, partially offset by $18.6 million in non-cash charges. The change in net operating assets and liabilities was primarily due to a decrease in accounts payable and accrued expenses and other current liabilities of $2.6 million. Cash flows from operations are generally impacted by the timing of payments to vendors and vendor payment terms. The non-cash charges primarily consisted of stock-based compensation of $10.3 million and depreciation and amortization of $6.6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nine months ended September 30, 2026 was $0.1 million, which consisted of purchases of property and equipment, partially offset by proceeds from sales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nine months ended September 30, 2025 was $56.2 million, which consisted primarily of proceeds from maturities of marketable securities of $45.7 million and sales of marketable securities of $11.0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in financing activities for the nine months ended September 30, 2026 was approximately $6.9 million, which consisted primarily of $4.9 million proceeds from exercise of warrants and $2.4 million net proceeds from at-the-market sales, partially offset by payments of accrued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2025 was $50.2 million, which primarily consisted of net proceeds from our March 2025 follow-on offering of $48.8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than the early termination of the Union City lease in connection with the closure of our GMMC, as discussed in Note 5, </w:t>
      </w:r>
      <w:r>
        <w:rPr>
          <w:rFonts w:ascii="Times New Roman" w:hAnsi="Times New Roman"/>
          <w:i/>
          <w:color w:val="000000"/>
          <w:sz w:val="20"/>
        </w:rPr>
        <w:t>Commitments and Contingencies</w:t>
      </w:r>
      <w:r>
        <w:rPr>
          <w:rFonts w:ascii="Times New Roman" w:hAnsi="Times New Roman"/>
          <w:color w:val="000000"/>
          <w:sz w:val="20"/>
        </w:rPr>
        <w:t>, to our condensed financial statements, there have been no material changes from the contractual obligations and commitments previously disclosed in our Annual Report on Form 10-K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not engaged in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critical accounting policies and estimates is presented in Part II, Item 7 of our Annual Report on Form 10-K for the year ended December 31, 2025. There were no material changes to our critical accounting policies and estimates during the three and nine months ended September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to our unaudited interim condensed financial statements for more information about recent accounting pronouncements, the timing of their adoption, and our assessment, to the extent we have made one yet, of their potential impact on our financial condition or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We will remain an emerging growth company until the earliest to occur of: (i) the last day of the fiscal year in which we have more than $1.235 billion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 smaller reporting company, as defined by Rule 12b-2 under the Securities Exchange Act of 1934 and in Item 10(f)(1) of Regulation S-K, and are not required to provide the information under this item.</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Chief Financial Officer, has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September 30, 2026,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212529"/>
          <w:sz w:val="20"/>
        </w:rPr>
      </w:pPr>
      <w:r>
        <w:rPr>
          <w:rFonts w:ascii="Times New Roman" w:hAnsi="Times New Roman"/>
          <w:b/>
          <w:color w:val="212529"/>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 Factors Summary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ability to execute on our business strategy is subject to a number of risks and uncertainties, including those outside of our control, that could cause our actual results to be harmed, including risks regarding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have not generated any product revenue to date, have incurred significant net losses since our inception, and expect to continue to incur significant net losses for the foreseeable future.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experience delays in completing, or ultimately be unable to complete, the development and commercialization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Financial Position, Need for Additional Capital and Limited Operating History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have limited experience conducting clinical trials, have no products approved for commercial sale and have not generated any product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may be more difficult for investors to accurately predict our likelihood of success and viability than it would be if we had a longer operating history.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pStyle w:val="TextBody"/>
        <w:bidi w:val="0"/>
        <w:spacing w:before="240" w:after="283"/>
        <w:jc w:val="left"/>
        <w:rPr>
          <w:rFonts w:ascii="Times New Roman" w:hAnsi="Times New Roman"/>
          <w:sz w:val="20"/>
        </w:rPr>
      </w:pPr>
      <w:r>
        <w:rPr>
          <w:rFonts w:ascii="Times New Roman" w:hAnsi="Times New Roman"/>
          <w:b/>
          <w:i/>
          <w:color w:val="231F20"/>
          <w:sz w:val="20"/>
        </w:rPr>
        <w:t>We have not generated any product revenue to date, have incurred significant net losses since our inception, and expect to continue to incur significant net losses for the foreseeable future.</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incurred significant net losses since our inception, have not generated any product revenue to date and have financed our operations principally through issuances of our stock. As of September 30, 2026, we had an accumulated deficit of $686.6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successful and timely completion of preclinical and clinical development of product candidates and programs, including, but not limited to, generating sufficient data to support the initiation or continuation of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of INDs or other regulatory applications for our planned clinical trials, obtaining regulatory approval to commence clinical trials of our product candidates, and achieving favorable results from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relationships with contract research organizations (CROs) and clinical sites for the clinical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initiation and successful patient enrollment and completion of clinical trials on a timely basis;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acceptable frequency and severity of adverse events in the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efficacy and safety profiles that are satisfactory to the FDA or any comparable foreign regulatory authority for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timely receipt of marketing approvals from applicable regulatory authorities for any product candidates for which we successfully complete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complying with any required post-marketing approval commitments to applicable regulatory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an efficient and scalable manufacturing process for our product candidates, and the timely manufacture of sufficient quantities of a product candidate for use in clinical trials and, if approved, commercialization;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commercial launch following any marketing approval, including the development of a commercial infrastructure, whether in-house or with one or more collaborators;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achievement of development, regulatory and sales-based milestones under our collaboration agreement with Alnylam;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outputs from our capsid engineering and promoter and regulatory elements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continued acceptable safety profile following any marketing approval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actual market-size, ability to identify patients and the demographics of patients eligible for our product candidates, which may be different than expected;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commercial acceptance of our product candidates by patients, the medical community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distribute our products to certain segments of the patient population only accessible through restricted or closed distribution channels;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satisfying any required post-marketing approval commitments to applicable regulatory authorities;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maintaining consistent quality, purity, and potency across clinical supplies and commercial supplies for any approved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identifying, assessing and developing new product candidates, and our ability to expand into multiple indications;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maintaining, and expanding patent and other intellectual property protection, trade secret protection and regulatory exclusivity, both in the U.S. and internationally;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protecting and enforcing our rights in our intellectual property portfolio;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defending against third-party infringement, misappropriation, or other claims, if 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entering into, on favorable terms, any collaboration, licensing or other arrangements that may be necessary or desirable to develop, manufacture or commercialize our product candidates and to meet our obligations set forth under such arrangements;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coverage and adequate reimbursement by third-party payors for our products and patients’ willingness to pay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additional funding to develop, manufacture and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addressing any competing therapies and technological and market developments;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managing costs, including any unforeseen costs, that we may incur as a result of nonclinical study or clinical trial delays;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attracting, hiring and retaining qualified and key personnel including clinical, scientific, management and administrative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value and could impair our ability to maintain or further our research and development efforts, raise additional necessary capital, grow our business and continue our operations.</w:t>
      </w:r>
    </w:p>
    <w:p>
      <w:pPr>
        <w:pStyle w:val="TextBody"/>
        <w:bidi w:val="0"/>
        <w:spacing w:before="240" w:after="283"/>
        <w:jc w:val="left"/>
        <w:rPr>
          <w:rFonts w:ascii="Times New Roman" w:hAnsi="Times New Roman"/>
          <w:sz w:val="20"/>
        </w:rPr>
      </w:pPr>
      <w:r>
        <w:rPr>
          <w:rFonts w:ascii="Times New Roman" w:hAnsi="Times New Roman"/>
          <w:b/>
          <w:i/>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over the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of September 30, 2026, we had $66.8 million in cash and cash equivalents.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For example, under our collaboration agreement with Alnylam, we are not permitted to </w:t>
      </w:r>
      <w:r>
        <w:rPr>
          <w:rFonts w:ascii="Times New Roman" w:hAnsi="Times New Roman"/>
          <w:color w:val="000000"/>
          <w:sz w:val="20"/>
        </w:rPr>
        <w:t xml:space="preserve">conduct any research or development activities with respect to certain collaboration targets or any therapeutic products designed to be directed to such targets, for as long as the target remains a collaboration target. </w:t>
      </w:r>
      <w:r>
        <w:rPr>
          <w:rFonts w:ascii="Times New Roman" w:hAnsi="Times New Roman"/>
          <w:color w:val="231F20"/>
          <w:sz w:val="20"/>
        </w:rPr>
        <w:t>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color w:val="000000"/>
          <w:sz w:val="20"/>
        </w:rPr>
        <w: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utilize our net operating loss carryforwards and certain other tax attributes to offset future taxable income may be limited.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enacted a temporary suspension on the use of state NOLs in taxable years beginning in 2024, 2025 and 2026, which would adversely affect our company if we earn taxable income in 2026. Consequently, our ability to use our NOLs and certain other tax attributes may be limited.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Discovery, Development, Manufacturing and Commercialization of Our Product Candidates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Before we are able to generate any revenue from product sales, each of our programs and product candidates will require additional preclinical and/or clinical development, expansion of manufacturing capabilities and expertise or successfully outsourcing manufacturing,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If we do not successfully initiate and complete our clinical trials in a timely manner, including the successful manufacturing of the relevant product candidate,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pStyle w:val="TextBody"/>
        <w:bidi w:val="0"/>
        <w:spacing w:before="120" w:after="283"/>
        <w:jc w:val="left"/>
        <w:rPr>
          <w:rFonts w:ascii="Times New Roman" w:hAnsi="Times New Roman"/>
          <w:sz w:val="20"/>
        </w:rPr>
      </w:pPr>
      <w:r>
        <w:rPr>
          <w:rFonts w:ascii="Times New Roman" w:hAnsi="Times New Roman"/>
          <w:color w:val="231F20"/>
          <w:sz w:val="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hAnsi="Times New Roman"/>
          <w:i/>
          <w:color w:val="231F20"/>
          <w:sz w:val="20"/>
        </w:rPr>
        <w:t>Our ability to generate revenue and achieve profitability depends significantly on our ability to achieve several objectives relating to the discovery, development and commercialization of our product candidates, if approved</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and market additional product candidates. Even as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will need to meet safety and efficacy standards applicable to any new biologic under the regulatory framework administered by the FDA. In addition to FDA oversight and oversight by investigational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approval for that or other product candidates for the treatment of other diseases. If we are unable to successfully develop and commercialize our product candidates, our business will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Preclinical and </w:t>
      </w:r>
      <w:r>
        <w:rPr>
          <w:rFonts w:ascii="Times New Roman" w:hAnsi="Times New Roman"/>
          <w:color w:val="231F20"/>
          <w:sz w:val="20"/>
        </w:rPr>
        <w:t xml:space="preserve">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w:t>
      </w:r>
      <w:r>
        <w:rPr>
          <w:rFonts w:ascii="Times New Roman" w:hAnsi="Times New Roman"/>
          <w:color w:val="000000"/>
          <w:sz w:val="20"/>
        </w:rPr>
        <w:t xml:space="preserve">Failure can occur at any stage of testing. </w:t>
      </w:r>
      <w:r>
        <w:rPr>
          <w:rFonts w:ascii="Times New Roman" w:hAnsi="Times New Roman"/>
          <w:color w:val="231F20"/>
          <w:sz w:val="20"/>
        </w:rPr>
        <w:t>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clinical trial application, initiation of a clinical trial, receipt of marketing approval or our ability to commercialize our product candidates, or require us to suspend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w:t>
      </w:r>
      <w:r>
        <w:rPr>
          <w:rFonts w:ascii="Times New Roman" w:hAnsi="Times New Roman"/>
          <w:color w:val="000000"/>
          <w:sz w:val="20"/>
        </w:rPr>
        <w:t xml:space="preserve"> </w:t>
      </w:r>
      <w:r>
        <w:rPr>
          <w:rFonts w:ascii="Times New Roman" w:hAnsi="Times New Roman"/>
          <w:color w:val="231F20"/>
          <w:sz w:val="20"/>
        </w:rPr>
        <w:t>we cannot assure you that any preclinical studies, clinical trials or post-marketing studies that we conduct will demonstrate consistent or adequate efficacy and safety to support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 are also subject to regulatory requirements and policies of the MHRA. Compliance with the CTR and/or MHRA requirements by us, our collaborators and third-party service providers, such as CROs,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inability to generate sufficient preclinical, toxicology, or other </w:t>
      </w:r>
      <w:r>
        <w:rPr>
          <w:rFonts w:ascii="Times New Roman" w:hAnsi="Times New Roman"/>
          <w:i/>
          <w:color w:val="231F20"/>
          <w:sz w:val="20"/>
        </w:rPr>
        <w:t xml:space="preserve">in vivo </w:t>
      </w:r>
      <w:r>
        <w:rPr>
          <w:rFonts w:ascii="Times New Roman" w:hAnsi="Times New Roman"/>
          <w:color w:val="231F20"/>
          <w:sz w:val="20"/>
        </w:rPr>
        <w:t xml:space="preserve">or </w:t>
      </w:r>
      <w:r>
        <w:rPr>
          <w:rFonts w:ascii="Times New Roman" w:hAnsi="Times New Roman"/>
          <w:i/>
          <w:color w:val="231F20"/>
          <w:sz w:val="20"/>
        </w:rPr>
        <w:t xml:space="preserve">in vitro </w:t>
      </w:r>
      <w:r>
        <w:rPr>
          <w:rFonts w:ascii="Times New Roman" w:hAnsi="Times New Roman"/>
          <w:color w:val="231F20"/>
          <w:sz w:val="20"/>
        </w:rPr>
        <w:t>data to support the initiation of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sufficiently developing, characterizing or controlling a manufacturing process suitable for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receipt of feedback from regulatory authorities that requires us to modify the design of our preclinical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preclinical study or clinical trial observations or results that require us to modify the design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negative or inconclusive preclinical study or clinical trial results that may require us to conduct additional preclinical studies or clinical trials or abandon certain research and/or drug development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extended IRB, IBC and/or EC review process, or inability to obtain approval from one or more of these committees;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failure or delay in reaching an agreement with CROs and clinical trial sites;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suspension or termination of our clinical trials, as a result of </w:t>
      </w:r>
      <w:r>
        <w:rPr>
          <w:rFonts w:ascii="Times New Roman" w:hAnsi="Times New Roman"/>
          <w:color w:val="000000"/>
          <w:sz w:val="20"/>
        </w:rPr>
        <w:t>a clinical hold by regulatory authorities or a voluntary pause,</w:t>
      </w:r>
      <w:r>
        <w:rPr>
          <w:rFonts w:ascii="Times New Roman" w:hAnsi="Times New Roman"/>
          <w:color w:val="231F20"/>
          <w:sz w:val="20"/>
        </w:rPr>
        <w:t xml:space="preserve"> for various reasons, such as we experienced with MyPEAK-1;</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to clinical trial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sites deviating from trial protocol or dropping out of a trial;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and/or duration of preclinical studies or clinical trials being greater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supply or quality of our product candidates or other materials necessary to conduct clinical trials of our product candidates being insufficient or inadequate or slower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subjects experiencing serious, severe, unexpected or otherwise important drug-related or study-related adverse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selection of clinical end points that require prolonged periods of clinical observation or analysis of the resulting data;</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inaccurate or untimely clinical data collection, entry, analysis or reporting by clinical sites, third-party contractors and/or CROs;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variability of efficacy assessments;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changes to our manufacturing process that may be necessary or desired;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regulators revising the requirements for approving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unsuccessful post-marketing study or failure to complete such a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absence in some countries of established groups with sufficient regulatory expertise for review of AAV gene therapy protocols;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283"/>
        <w:jc w:val="left"/>
        <w:rPr>
          <w:rFonts w:ascii="Times New Roman" w:hAnsi="Times New Roman"/>
          <w:sz w:val="16"/>
        </w:rPr>
      </w:pPr>
      <w:r>
        <w:rPr>
          <w:rFonts w:ascii="Times New Roman" w:hAnsi="Times New Roman"/>
          <w:color w:val="231F20"/>
          <w:sz w:val="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r>
        <w:rPr>
          <w:rFonts w:ascii="Times New Roman" w:hAnsi="Times New Roman"/>
          <w:color w:val="000000"/>
          <w:sz w:val="16"/>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hAnsi="Times New Roman"/>
          <w:color w:val="000000"/>
          <w:sz w:val="20"/>
        </w:rPr>
        <w:t>mitting an IND, initiating clinical trials or seek</w:t>
      </w:r>
      <w:r>
        <w:rPr>
          <w:rFonts w:ascii="Times New Roman" w:hAnsi="Times New Roman"/>
          <w:color w:val="231F20"/>
          <w:sz w:val="20"/>
        </w:rPr>
        <w:t xml:space="preserve">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rFonts w:ascii="Times New Roman" w:hAnsi="Times New Roman"/>
          <w:sz w:val="20"/>
        </w:rPr>
      </w:pPr>
      <w:r>
        <w:rPr>
          <w:rFonts w:ascii="Times New Roman" w:hAnsi="Times New Roman"/>
          <w:color w:val="000000"/>
          <w:sz w:val="20"/>
        </w:rPr>
        <w:t>We are developing novel therapies for the treatment of heart disease. As a result, there is uncertainty as to the safety profile of product candidates we may develop. Patients who received our product candidates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and other programs may result in deaths or other adverse medical events, either during the course of or after receiving our product candidates.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the extent we supply any of our product candidates to independent third parties, such as investigator-initiated clinical studies or physicians who initiate and sponsor treatment protocols under expanded access, or compassionate use, outside of well-controlled studies, where we are not the sponsor and thus do not control the conduct of such treatment protocols or clinical studies, unexpected or serious adverse events, even if not directly related to our product candidate, or non-compliance by such third parties could have a material adverse effect on our clinical development plans, result in negative press, or raise questions regarding the safety profile or effectiveness of our product candidates. By supplying our product candidates for such limited uses outside of well-controlled studies sponsored or conducted by us could expose us to additional regulatory obligations and risks, including reporting obligations to the FDA and other regulatory authorities under expanded access regulations and exposure to potential product liability.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Serious adverse events or other side effects observed in any of our clinical trials, through our expanded access program, or in similar trials by other sponsors, may result in difficulty recruiting patients to the clinical trials, cause patients to drop out of our trials, or require that we abandon the trials or our development efforts of that product candidate altogether.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For example, in November 2025, we announced that the FDA placed MyPEAK-1 on clinical hold to request a protocol amendment, primarily to standardize activities related to patient monitoring and management of the immunosuppressive regimen across trial sites. While the hold was lifted after swift and collaborative engagement with the FDA, there is no assurance that it or any future hold on our clinical trials would not have a material adverse effect on our business or our data milestones or development timelines for TN-201 or other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know whether any clinical trials we may conduct will demonstrate consistent or adequate efficacy and safety sufficient to obtain approval to market any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Enrollment may also be impacted by an IRB or ethics committee decision to pause or stop enrollment at a trial site, a DSMB recommendation to pause or stop trial enrollment, or a decision by a regulatory authority to pause or stop trial enrollment in a particular country. Additionally, the FDA, EMA or other comparable foreign regulatory authorities may require long-term follow-up assessments for a certain number of patients, which could delay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expect patient enrollment to be affected because our competitors have ongoing clinical trials for programs that are under development or are approved for the same indications as our product candidates, and patients who would otherwise be eligible for our clinical trials could instead enroll in clinical trials of our competitors’ programs or choose to take an approved medication. Patient enrollment for our clinical trials has been and may continue to be affected by other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size and nature of the patient population;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risks and benefits of novel, unproven approaches;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severity of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availability and efficacy of approved drugs for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ongoing clinical trials evaluating other product candidates in the same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eligibility criteria for the trial in question as defined in the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risks and benefits of the product candidate under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actions, ongoing IRB and/or ethics committee decisions and DSMB recommendations;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public perception about the use of genetic medicines in human therapeutics or precision medicine;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referral practices of physicians;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associated with recruiting eligible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to monitor patients adequately during and after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limited staff and resources at clinical trial sites, including support for clinical trial enrollment and the availability of hospital beds;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activities of key opinion leaders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proximity and availability of clinical trial sites for prospective patients and the ability of patients to travel to these sites;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practical and financial burden of the trial protocol on patients, including conflicts with their work, family and personal activities, as well as travel costs, lodging, lost wages and insufficient reimbursement or support;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site activation, contracting and budget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protocol amendments, reviews and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risk that patients enrolled in clinical trials will drop out of the trials before completion or, because they may have an advanced disease, will not survive the full terms of the clinical trials;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limitations on the rate of patient enrollment required by the clinical trial protocol, including those that may be requested by health authorities.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sz w:val="20"/>
        </w:rPr>
      </w:pPr>
      <w:r>
        <w:rPr>
          <w:rFonts w:ascii="Times New Roman" w:hAnsi="Times New Roman"/>
          <w:color w:val="231F20"/>
          <w:sz w:val="20"/>
        </w:rPr>
        <w:t>Due to the significant resources required for the development of product candidates, in particular our product candidates in clinical trials, we must decide which programs, product candidates and indications to pursue and advance the amount of resources to allocate to each.</w:t>
      </w:r>
      <w:r>
        <w:rPr>
          <w:rFonts w:ascii="Times New Roman" w:hAnsi="Times New Roman"/>
          <w:color w:val="000000"/>
          <w:sz w:val="20"/>
        </w:rPr>
        <w:t xml:space="preserve"> </w:t>
      </w:r>
      <w:r>
        <w:rPr>
          <w:rFonts w:ascii="Times New Roman" w:hAnsi="Times New Roman"/>
          <w:color w:val="231F20"/>
          <w:sz w:val="20"/>
        </w:rPr>
        <w:t xml:space="preserve">Our decisions concerning the allocation of research, development, collaboration, management and financial resources toward particular programs, product candidates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preclinical studies or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effectively, our opportunity to generate revenue from the sale of our products we may develop, if approved, could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Initial, interim and topline data from our clinical trials that we announce or publish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trials, or different conclusions or considerations may qualify such results, once additional data have been received 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ensure that the process works and the product candidate is made strictly and consistently in compliance with the process. Problems with the manufacturing process, even minor deviations from the normal process, including during the manufacture of drug substance, drug product, filling, labeling, packaging, storage, shipping, QC and testing and/or in connection with release assays, including potency assays, could result in product defects, lot failures, product recalls, product liability claims or insufficient inventory, and may ultimately disrupt or delay the supply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some of our employees have experience in the manufacturing of biopharmaceutical products from prior employment at other companies, we as a company have limited experience in manufacturing and oversight of CDMOs conducting manufacturing activities on our behalf. We may also encounter problems hiring and retaining the experienced personnel needed to manage our complex manufacturing operations, including those outsourced to CDMOs. If we experience unanticipated employee shortage or turnover in any of these areas, we may not be able to maintain oversight of our QC, conduct further process improvements or meet our product development timelines; we may also experience difficulties in maintaining compliance with applicable regulatory requirements, which would impair our product development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our product candidates have been manufactured in quantities adequate for preclinical studies and our Phase 1b/2 clinical trials for our lead product candidates. We will need to manufacture product candidates in larger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quantities for commercialization of the resulting product, if that product candidate is approved for sale, and we may need to manufacture more product to conduct later-stage clinical trials.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Moreover, as a result of the closure of our GMMC, we may be required to conduct additional studies to ensure comparability of TN-201 and TN-401, notify and submit additional filings to regulatory authorities, and obtain regulatory approval for any new facilities used to produce these gene therapy clinical product candidates, which approval may be delayed or never received. While the manufacturing process alone is complex, quality issues may also arise during drug product filling, labeling, packaging, storage, shipping and ongoing QC and testing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manufacture of our product candidates will be subject to significant government regulations and approvals, which are often costly and could result in adverse consequences to our business if we or our CDMO’s fail to comply with the regulations or maintain the approvals.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will need to comply with the FDA’s and applicable foreign regulatory authorities’ cGMP requirements for the production of product candidates for clinical trials and, if approved, commercial supply. We and our CDMOs will be subject to inspections by the FDA and comparable agencies in other jurisdictions to confirm compliance with applicable regulatory requirements. These requirements include the qualification and validation of manufacturing equipment and processes. Any failure to follow cGMP or other regulatory requirements or delay, interruption or other issues that arise in the manufacture of our product candidates as a result of a failure of our facilities or the facilities or operations of our CDMOs or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revenue and we may not become profitable. The degree of market acceptance of any of our approved product candidates will depend on a number of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efficacy and safety profile as demonstrated in clinical trials compared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safety and efficacy profile and ease of use for pediatric patient population if approved for a pediatric indication;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of market introduction of the product candidate as well as competitive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clinical indications for which a product candidate is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physicians, hospitals, treatment centers and patients considering our product candidates a safe, pure and effective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prevalence and severity of any side effects for our product candidates compared to the prevalence and severity of any side effects for conventional products and other gene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and perceived advantages of our product candidates over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of treatment in relation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relative convenience and ease of administration;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willingness of the target patient population or their caregivers to try new therapies and of physicians to prescribe these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relevant pediatric patient population if approved for a pediatric indication, including challenges associated with diagnosing or identifying pediatric populations with the applicable target disease or condition;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of coverage and adequate reimbursement by third-party payors, including government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patients’ willingness to pay for these therapies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effectiveness of sales and marketing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support from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negative public perception about the use of genetic medicines, whether related to our technology or our competitor’s technology;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unfavorable publicity relating to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of other new therapies for the same indications;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acceptance and use of genetic testing required to diagnose the disease and identify patients who qualify for treatment with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There is significant uncertainty related to third-party payor coverage and reimbursement of newly approved products. In the U.S., for example, principal decisions about reimbursement for new products are typically made by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be sued if any of our product candidates or any medications, procedures or activities associated with our clinical trial protocols or our expanded access program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Regardless of the merits or eventual outcome, liability claims may result 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 EMA or other regulatory authority investigation of the safety and effectiveness of our products, our manufacturing processes and the facilities used to manufacture our products or our marketing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decreased or interrupted demand for our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injury to our reputation;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withdrawal of clinical trial participants and inability to continue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costs to defend the related litigation;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diversion of management’s time and our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substantial monetary awards to trial participants or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recalls, withdrawals or labeling, marketing, or promotional restrictions;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loss of revenue;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inability to raise capital or enter into strategic agreements for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exhaustion of any available insurance and our capital resources;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inability to commercialize any products.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Regulatory Approval and Other Legal Compliance Matters</w:t>
      </w:r>
    </w:p>
    <w:p>
      <w:pPr>
        <w:pStyle w:val="TextBody"/>
        <w:bidi w:val="0"/>
        <w:spacing w:before="120" w:after="283"/>
        <w:jc w:val="left"/>
        <w:rPr>
          <w:rFonts w:ascii="Times New Roman" w:hAnsi="Times New Roman"/>
          <w:sz w:val="20"/>
        </w:rPr>
      </w:pPr>
      <w:r>
        <w:rPr>
          <w:rFonts w:ascii="Times New Roman" w:hAnsi="Times New Roman"/>
          <w:b/>
          <w:i/>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the design, implementation or results of our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refuse to accept an application or decide not to accept data from our clinical trials conducted in locations outside of their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our interpretation of data from preclinical studies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FDA, EMA or other comparable foreign regulatory authorities may require that we conduct additional preclinical studies or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the manufacturing processes, test procedures and specifications or facilities of CDMOs and/or third-party manufacturers with which we contract for clinical and commercial supplies;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companion diagnostic tests required for commercialization of our product candidates;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 the FDA may lack adequate staff and resources to meet current review, approval, and inspection schedules, which could delay our anticipated timelines. It is unclear how our industry and our clinical programs will be impacted by policies, regulations and initiatives implemented under the current administration and FDA commissioner, or other executive orders. There is significant uncertainty in the industry and how federal agencies like the FDA will operate under the current administration, which may delay or negatively impact our regulatory review processes with the FDA.</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 FDA or EMA grants marketing approval of a product candidate, other comparable regulatory authorities in foreign jurisdictions must still approve the manufacturing, marketing and promotion and reimbursement of the 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Even if our product candidates receive regulatory approval, such approval may be for a narrower indication than we seek, and our product candidates will be subject to significant post-marketing regulatory requirements and oversight.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an NDA or biologics license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if the FDA, EMA or other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 facilities where the products are manufactured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or the rejection of product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our ability to conduct clinical trials, including full or partial clinical holds on ongoing or planned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products, manufacturers or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warning or untitled letters;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civil and criminal penalties;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injunctions;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suspension or withdrawal of regulatory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seizures, detentions or import bans;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voluntary or mandatory product recalls and publicity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total or partial suspension of production;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imposition of restrictions on operations, including costly new manufacturing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pediatric populations can also result in significant financial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 </w:t>
      </w:r>
    </w:p>
    <w:p>
      <w:pPr>
        <w:pStyle w:val="TextBody"/>
        <w:bidi w:val="0"/>
        <w:spacing w:lineRule="auto" w:line="360" w:before="120" w:after="283"/>
        <w:jc w:val="left"/>
        <w:rPr>
          <w:rFonts w:ascii="Times New Roman" w:hAnsi="Times New Roman"/>
          <w:sz w:val="13"/>
        </w:rPr>
      </w:pPr>
      <w:r>
        <w:rPr>
          <w:rFonts w:ascii="Times New Roman" w:hAnsi="Times New Roman"/>
          <w:color w:val="231F20"/>
          <w:sz w:val="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hAnsi="Times New Roman"/>
          <w:i/>
          <w:color w:val="231F20"/>
          <w:sz w:val="20"/>
        </w:rPr>
        <w:t>Catalyst Pharms., Inc. v. Becerra</w:t>
      </w:r>
      <w:r>
        <w:rPr>
          <w:rFonts w:ascii="Times New Roman" w:hAnsi="Times New Roman"/>
          <w:color w:val="231F20"/>
          <w:sz w:val="20"/>
        </w:rPr>
        <w:t>, 14 F.4</w:t>
      </w:r>
      <w:r>
        <w:rPr>
          <w:rFonts w:ascii="Times New Roman" w:hAnsi="Times New Roman"/>
          <w:color w:val="231F20"/>
          <w:sz w:val="13"/>
        </w:rPr>
        <w:t xml:space="preserve">th </w:t>
      </w:r>
      <w:r>
        <w:rPr>
          <w:rFonts w:ascii="Times New Roman" w:hAnsi="Times New Roman"/>
          <w:color w:val="231F20"/>
          <w:sz w:val="20"/>
        </w:rPr>
        <w:t>1299 (11</w:t>
      </w:r>
      <w:r>
        <w:rPr>
          <w:rFonts w:ascii="Times New Roman" w:hAnsi="Times New Roman"/>
          <w:color w:val="231F20"/>
          <w:sz w:val="13"/>
        </w:rPr>
        <w:t xml:space="preserve">th </w:t>
      </w:r>
      <w:r>
        <w:rPr>
          <w:rFonts w:ascii="Times New Roman" w:hAnsi="Times New Roman"/>
          <w:color w:val="231F20"/>
          <w:sz w:val="20"/>
        </w:rPr>
        <w:t xml:space="preserve">Cir. 2021) case, in a January 2023 notice, the FDA clarified that while the agency complies with the court’s order in </w:t>
      </w:r>
      <w:r>
        <w:rPr>
          <w:rFonts w:ascii="Times New Roman" w:hAnsi="Times New Roman"/>
          <w:i/>
          <w:color w:val="231F20"/>
          <w:sz w:val="20"/>
        </w:rPr>
        <w:t>Catalyst</w:t>
      </w:r>
      <w:r>
        <w:rPr>
          <w:rFonts w:ascii="Times New Roman" w:hAnsi="Times New Roman"/>
          <w:color w:val="231F20"/>
          <w:sz w:val="20"/>
        </w:rPr>
        <w:t xml:space="preserve">, the FDA intends to continue to apply its longstanding interpretation of the regulations to matters outside of the scope of the </w:t>
      </w:r>
      <w:r>
        <w:rPr>
          <w:rFonts w:ascii="Times New Roman" w:hAnsi="Times New Roman"/>
          <w:i/>
          <w:color w:val="231F20"/>
          <w:sz w:val="20"/>
        </w:rPr>
        <w:t xml:space="preserve">Catalyst </w:t>
      </w:r>
      <w:r>
        <w:rPr>
          <w:rFonts w:ascii="Times New Roman" w:hAnsi="Times New Roman"/>
          <w:color w:val="231F20"/>
          <w:sz w:val="20"/>
        </w:rPr>
        <w:t>order. The Consolidated Appropriations Act of 2026, signed into law in February 2026, codified this longstanding FDA interpretation of the Orphan Drug Act, allowing the FDA to approve multiple versions of the same orphan drug for different subindications and subpopulations.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r>
        <w:rPr>
          <w:rFonts w:ascii="Times New Roman" w:hAnsi="Times New Roman"/>
          <w:color w:val="000000"/>
          <w:sz w:val="13"/>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has been extended by Congress through September 2029 under the Consolidated Appropriations Act, 2026, which means the FDA may not award any priority review vouchers under this program after September 30, 2029. There is no guarantee that any of our product candidates will be approved by that date, or at all. We may not obtain a priority review voucher prior to expiration of the program, unless Congress further reauthorizes the program.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of our clinical product candidates have been granted orphan drug designation by the FDA and/or the EC, and we may seek orphan drug designation for other product candidates in the U.S., Europe and other jurisdictions. Both TN-201 and TN-301 have also received rare pediatric disease designation from the FDA for MYBPC3-associated HCM and DMD, respectively.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w:t>
      </w:r>
      <w:r>
        <w:rPr>
          <w:rFonts w:ascii="Times New Roman" w:hAnsi="Times New Roman"/>
          <w:color w:val="231F20"/>
          <w:sz w:val="20"/>
        </w:rPr>
        <w:t>there can be no assurances that we will be able to obtain orphan drug designation for our other product candidates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face difficulties from changes to current FDA and healthcare regulations and future legislation.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the FDA’s ability to engage in oversight and implementation activities in the normal course or constraints on our business operations, including operations of our contractors, our business may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decreases in FDA staff and resources under the current administration could impact continuity of our interactions with the agency and increase delays in our correspondence and regulatory review processes.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pharmaceutical industry in the U.S. has also been significantly impacted by other major legislative initiatives.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September and October 2025, the government announced the first agreements with two major pharmaceutical companies to bring American drug prices in line with the lowest paid by other developed nations, requiring the companies to offer medicines at a deep discount off the list price when selling directly to American patients. In January 2026, CMS launched the GENEROUS Model (GENErating cost Reductions fOr U.S. Medicaid Model), which aims to ensure fair and reasonable drug prices for Medicaid through CMS-led negotiations with drug manufacturers. Under the GENEROUS Model, manufacturers will provide supplemental rebates to participating states for drugs included in the model to align Medicaid net prices with what certain other countries pay. The GENEROUS Model is voluntary for manufacturers and states. In October 2026, CMS published the Global Benchmark for Efficient Drug Pricing (GLOBE) Model Final Rule, which will implement a mandatory Medicare Part B five-year demonstration payment model that will require manufacturers of certain high-spend Part B drugs and biologicals to pay rebates to CMS tied to international drug prices for those products. The Final Rule added exclusions for orphan-only drugs, cellular and gene therapy products, and plasma-derived products, and delayed the start of the first performance year to April 1, 2027. CMS also noted that it intends to waive GLOBE’s mandatory participation requirements for manufacturers in any calendar quarter during which they are participating in the GENEROUS Model. The GLOBE Model final rule is subject of ongoing litigation, which can impact its implementation. These and other government measures that use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any future healthcare measures and agency rules implemented by the current administration on us and the pharmaceutical industry as a whole is unclear. Further, changes to the leadership of federal agencies under the current administration, as well as new policies, executive orders and actions, such as a freeze on hiring, return-to-office policy, and a freeze on implementing new regulations and on external 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transfer, security and other processing of personal information.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Outside of the U.S., we are subject to extensive legal requirements relating to privacy, data protection, security and the collection, distribution, use, disclosure, storage, transfer and other processing of personal data. For example, the collection and use of health data and other personal data, including personal data collected in clinical trials, is governed in the EU by the GDPR, which imposes substantial obligations upon companies and provides rights for individuals, and by certain EU member state-level legislation. </w:t>
      </w:r>
      <w:r>
        <w:rPr>
          <w:rFonts w:ascii="Times New Roman" w:hAnsi="Times New Roman"/>
          <w:color w:val="000000"/>
          <w:sz w:val="20"/>
        </w:rPr>
        <w:t xml:space="preserve">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hAnsi="Times New Roman"/>
          <w:color w:val="231F20"/>
          <w:sz w:val="20"/>
        </w:rPr>
        <w:t xml:space="preserve">Failure to comply with the GDPR or UK GDPR may result in fines up to €20,000,000 </w:t>
      </w:r>
      <w:r>
        <w:rPr>
          <w:rFonts w:ascii="Times New Roman" w:hAnsi="Times New Roman"/>
          <w:color w:val="000000"/>
          <w:sz w:val="20"/>
        </w:rPr>
        <w:t xml:space="preserve">(£17.5 million in the UK) </w:t>
      </w:r>
      <w:r>
        <w:rPr>
          <w:rFonts w:ascii="Times New Roman" w:hAnsi="Times New Roman"/>
          <w:color w:val="231F20"/>
          <w:sz w:val="20"/>
        </w:rPr>
        <w:t xml:space="preserve">or 4% of the total worldwide annual turnover of the preceding financial year, whichever is higher, and other administrative penalties. The GDPR or UK GDPR impose significant responsibility and expose us to potential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jurisdictions to the U.S. or other regions,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w:t>
      </w:r>
      <w:r>
        <w:rPr>
          <w:rFonts w:ascii="Times New Roman" w:hAnsi="Times New Roman"/>
          <w:color w:val="000000"/>
          <w:sz w:val="20"/>
        </w:rPr>
        <w:t>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the U.S., a variety of laws, rules, regulations and standards relating to privacy, data protection, security, and the distribution, use, disclosure, storage, transfer and other processing of data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other states have enacted laws relating to privacy and data security that either are in operation or slated to go into operation over the next several years.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many cases, these laws are comprehensive privacy laws similar to the CCPA, with potentially greater penalties and more rigorous compliance requirements.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States also are enacting laws addressing specific subject matter, such as Washington’s My Health, My Data Act, which includes a private right of action. Laws in all 50 states may require businesses to provide notice to individuals whose personal data has been disclosed as a result of a data breach. The U.S. government also has instituted rules, effective April 8, 2025, that prohibit or restrict transactions involving certain types and amounts of sensitive data between U.S. persons and foreign persons associated with specific countries of concern. Among other things, these new rules require U.S. businesses to seek assurances from certain foreign parties with which they share sensitive data (under certain types of agreements) that those parties will not further share that data with parties in countries of concern.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 the GDPR, PIPEDA, CCPA, and other laws, regulations and other obligations relating to privacy, data protection and security imposing new and relatively burdensome obligations, and with substantial uncertainty over the interpretation and application of these laws, regulations and other obligations, we may face challenges in addressing their requirements and making necessary changes to our policies and practices and may incur significant costs and expenses in an effort to do so.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federal consumer protection and unfair competition laws, which broadly regulate marketplace activities and activities that potentially harm consumers;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and implemented a compliance program,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public officials, including officials of non-U.S. governments. Additionally, in many other countries, hospitals are owned and operated by the government, and doctors and other hospital employees would be considered foreign officials under the FCPA.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 For example, legislation in 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Other new regulations could affect the transfer of certain types of data abroad, including to China, and may add expenses or unforeseen burdens to the process of contracting with service providers. These regulations,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Increased tariffs on imports, trade sanctions, other trade restrictions, or a global trade war could increase our costs and materially and adversely affect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negatively affected by tariffs, trade restrictions, and other governmental actions, any of which can be imposed suddenly and unpredictably. For example, there is currently significant uncertainty about the future relationship between the U.S. and various other countries with respect to trade policies, treaties, trade regulations, and tariffs. Beginning in 2025, the U.S. government imposed or announced various new tariffs on certain imports, including commodity-specific, reciprocal, and country-specific tariffs, and additional tariffs may be forthcoming. For example, in April 2025, the U.S. Department of Commerce initiated an investigation into potential tariffs on pharmaceuticals, pharmaceutical ingredients, and derivative products; when these investigations are complete, the U.S. government may decide to levy additional tariffs on these products. These or additional tariffs (and the uncertainty around their implementation) could affect inputs to our products, as well as equipment, materials, or components that we import into the U.S. from our suppliers, which could significantly impact the cost of these items. Retaliatory tariffs could also negatively affect our ability to export and sell our potential products into those countries. If these tariffs are implemented, reinstated or adjusted, if additional tariffs are placed, or if any related countermeasures are taken by the U.S. or other countries, our business, financial condition, and results of operations may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The ultimate impact of any tariffs or trade restrictions will depend on various factors, including the timing of implementation and the duration, amount, scope, and nature of the tariffs and trade restrictions and reactions from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Tariffs, trade restrictions or any resulting trade war could negatively affect the global market, including for pharmaceuticals, and could have a significant adverse effect on our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tax law could increase the tax burden on our orphan drug programs and adversely affect our business and financial condition.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On July 4, 2025, the U.S. federal tax legislation commonly referred to as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While we have </w:t>
      </w:r>
      <w:r>
        <w:rPr>
          <w:rFonts w:ascii="Times New Roman" w:hAnsi="Times New Roman"/>
          <w:color w:val="000000"/>
          <w:sz w:val="20"/>
        </w:rPr>
        <w:t>reflected the effects of the enactment of OBBB Act for the fiscal year ended December 31, 2025, w</w:t>
      </w:r>
      <w:r>
        <w:rPr>
          <w:rFonts w:ascii="Times New Roman" w:hAnsi="Times New Roman"/>
          <w:color w:val="231F20"/>
          <w:sz w:val="20"/>
        </w:rPr>
        <w:t>e will continue to evaluate the full impact of the legislation on us. These changes could affect our total U.S. federal tax liability when and if we become profitable.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sz w:val="20"/>
        </w:rPr>
      </w:pPr>
      <w:r>
        <w:rPr>
          <w:rFonts w:ascii="Times New Roman" w:hAnsi="Times New Roman"/>
          <w:color w:val="231F20"/>
          <w:sz w:val="20"/>
        </w:rPr>
        <w:t>We are highly dependent on the principal members of our management, our scientific and clinical advisors and consultants, and our scientific and medical staff.</w:t>
      </w:r>
      <w:r>
        <w:rPr>
          <w:rFonts w:ascii="Times New Roman" w:hAnsi="Times New Roman"/>
          <w:color w:val="000000"/>
          <w:sz w:val="20"/>
        </w:rPr>
        <w:t xml:space="preserve"> </w:t>
      </w:r>
      <w:r>
        <w:rPr>
          <w:rFonts w:ascii="Times New Roman" w:hAnsi="Times New Roman"/>
          <w:color w:val="231F20"/>
          <w:sz w:val="20"/>
        </w:rPr>
        <w:t>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advisors and consultants or if they provide services to our competitors, our development and commercialization efforts will be impaired and our business will be significantly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 order to successfully implement our long-term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order to successfully implement our development and commercialization plans and strategies, we expect to need additional managerial, operational, sales, marketing, financial and other personnel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283"/>
        <w:jc w:val="left"/>
        <w:rPr>
          <w:rFonts w:ascii="Times New Roman" w:hAnsi="Times New Roman"/>
          <w:sz w:val="20"/>
        </w:rPr>
      </w:pPr>
      <w:r>
        <w:rPr>
          <w:rFonts w:ascii="Times New Roman" w:hAnsi="Times New Roman"/>
          <w:color w:val="000000"/>
          <w:sz w:val="20"/>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w:t>
      </w:r>
      <w:r>
        <w:rPr>
          <w:rFonts w:ascii="Times New Roman" w:hAnsi="Times New Roman"/>
          <w:color w:val="231F20"/>
          <w:sz w:val="20"/>
        </w:rPr>
        <w:t xml:space="preserve">usiness information (such as research data and personal information). Despite the implementation of security measures in an effort to protect systems that store our 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and cyber-attacks and other hacking attempts by malicious third parties, which may disrupt or compromise our system infrastructure or lead to the loss, destruction, alteration,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prevention of access to, disclosure, dissemination of, or damage or unauthorized access to, our data or other data that we process or maintain or that is processed or maintained on our behalf, or other assets. Evolving technologies, including artificial intelligence (AI) technologies that facilitate the identification and exploitation of security vulnerabilities, may increase the risks of security breaches and incidents and the impacts of security breaches and incidents that occur. Although we have not observed material impacts of cyber-attacks on our operations and financial condition </w:t>
      </w:r>
      <w:r>
        <w:rPr>
          <w:rFonts w:ascii="Times New Roman" w:hAnsi="Times New Roman"/>
          <w:color w:val="000000"/>
          <w:sz w:val="20"/>
        </w:rPr>
        <w:t>to date, we and our third-party service providers have frequently been the target of threats of this nature and we expect these threats and attacks to continue.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delay of the development and commercialization of our product candidates. The loss, corruption, or unavailability of clinical trial data for our product candidates 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 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While we maintain cybersecurity insurance that we believe to be reasonable for our business, our current cybersecurity insurance may not fully cover the damages arising from the assertion of one or more large claims against us in connection with a breach or other cybersecurity-related matter, which could adversely affect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 any noncompliance with certain state, federal and international privacy and security laws, rules, regulations and standards.</w:t>
      </w:r>
    </w:p>
    <w:p>
      <w:pPr>
        <w:pStyle w:val="TextBody"/>
        <w:bidi w:val="0"/>
        <w:spacing w:before="120" w:after="283"/>
        <w:jc w:val="left"/>
        <w:rPr>
          <w:rFonts w:ascii="Times New Roman" w:hAnsi="Times New Roman"/>
          <w:sz w:val="20"/>
        </w:rPr>
      </w:pPr>
      <w:r>
        <w:rPr>
          <w:rFonts w:ascii="Times New Roman" w:hAnsi="Times New Roman"/>
          <w:b/>
          <w:i/>
          <w:color w:val="000000"/>
          <w:sz w:val="20"/>
        </w:rPr>
        <w:t>We use AI technologies in various aspects of our business operations, and the use of these technologies may not produce the anticipated benefits and could expose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utilize AI technologies in various aspects of our business operations, including drug discovery, clinical trial design, data analysis, and general and administrative functions. We expect that our use of AI technologies may increase as we continue to develop our product portfolio and advance our business. However, these technologies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rapidly evolving, and there can be no assurance that their use will improve the efficiency, accuracy or success of our research and development activities or business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AI models depend on the quality, quantity and appropriateness of the data and methodologies used to develop, train and operate them, and their outputs may be inaccurate, incomplete, biased or otherwise unreliable. Results generated or assisted by AI models may not be reproducible or predictive of results obtained in preclinical studies, clinical trials or other development activities. If we rely on inaccurate or misleading outputs, we could make incorrect research or development decisions, spend resources on product candidates that ultimately prove unsuccessful, or fail to identify potentially promising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external AI providers may require us to provide or permit access to proprietary data, confidential information or intellectual property. Although we seek to protect such information through contractual, technical, and other safeguards, these measures may not prevent unauthorized access, use, or disclosure. We may also be subject to disputes concerning ownership or rights in data, models, inventions or other intellectual property developed or generated through the use of AI technologies, and third-party AI technologies may incorporate data or intellectual property for which sufficient rights have not been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and regulatory frameworks applicable to AI technologies are rapidly evolving in the US and other jurisdictions and may impose additional requirements relating to data protection, intellectual property, validation, transparency, cybersecurity or the use of AI in drug development. Compliance with new or evolving requirements could increase our costs, restrict our use of certain technologies or require changes to our research and development or general business practices. Any failure of AI technologies to perform as anticipated, loss or unauthorized disclosure of proprietary information, intellectual property disputes, cybersecurity incidents, or failure to comply with applicable legal or regulatory requirements could adversely affect our research and development activities, competitive position,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operations are vulnerable to interruption by fire, earthquakes, power loss, telecommunications failure, terrorist activity, pandemics and other events beyond our control, which could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 variety of risks associated with development and marketing our product candidates internationally, subject to regulatory approval in applicable jurisdictions, could materially adversely affect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differing regulatory requirements and reimbursement regimes;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unexpected changes in tariffs, trade barriers, price and exchange controls and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economic weakness, including inflation, or political instability in particular foreign economies and markets;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compliance with tax, employment, immigration and labor laws for employees living or traveling abroad;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taxes, including withholding of payroll taxes;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currency fluctuations, which could result in increased operating expenses and reduced revenue, and other obligations incident to doing business in another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difficulties staffing and managing foreign operations;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workforce uncertainty in countries where labor unrest is more common than in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potential liability under the FCPA or comparable foreign regulations;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obtaining, maintaining, protecting, defending and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production shortages resulting from any events affecting raw material supply or manufacturing capabilities abroad;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business interruptions resulting from geo-political actions, including war and terrorism.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and other risks associated with our international operations may materially adversely affect our ability to attain or maintain profitable operations.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t>
      </w:r>
      <w:r>
        <w:rPr>
          <w:rFonts w:ascii="Times New Roman" w:hAnsi="Times New Roman"/>
          <w:color w:val="000000"/>
          <w:sz w:val="20"/>
        </w:rPr>
        <w:t xml:space="preserve">Additionally, recent reforms and changes at government agencies of the U.S. and those of non-U.S. jurisdictions could increase the uncertainties, timing and costs surrounding the prosecution or maintenance of our patent applications, and the maintenance, enforcement, or defense of our issued patents. </w:t>
      </w:r>
      <w:r>
        <w:rPr>
          <w:rFonts w:ascii="Times New Roman" w:hAnsi="Times New Roman"/>
          <w:color w:val="231F20"/>
          <w:sz w:val="20"/>
        </w:rPr>
        <w:t>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USPTO and various foreign governmental patent agencies require compliance with a number of procedural, documentary, fee payment and other provisions during the patent process,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non-compliance with which can result in abandonment or lapse of a patent or patent application, and partial or complete loss of patent rights in the relevant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 applications may not result in any patents being issued;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may be challenged, invalidated, modified, revoked, circumvented, found to be unenforceable, narrowed in scope or otherwise may not provide any competitive advantage;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pStyle w:val="TextBody"/>
        <w:bidi w:val="0"/>
        <w:spacing w:before="120" w:after="283"/>
        <w:jc w:val="left"/>
        <w:rPr>
          <w:rFonts w:ascii="Times New Roman" w:hAnsi="Times New Roman"/>
          <w:sz w:val="20"/>
        </w:rPr>
      </w:pPr>
      <w:r>
        <w:rPr>
          <w:rFonts w:ascii="Times New Roman" w:hAnsi="Times New Roman"/>
          <w:color w:val="231F20"/>
          <w:sz w:val="20"/>
        </w:rPr>
        <w:t>The issuance of a patent is not conclusive as to its inventorship, scope, validity or enforceability, and the inventorship, scope, validity or enforceability of our patents, potential future patents or the patents of our licensors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w:t>
      </w:r>
      <w:r>
        <w:rPr>
          <w:rFonts w:ascii="Times New Roman" w:hAnsi="Times New Roman"/>
          <w:color w:val="000000"/>
          <w:sz w:val="20"/>
        </w:rPr>
        <w:t xml:space="preserve"> </w:t>
      </w:r>
      <w:r>
        <w:rPr>
          <w:rFonts w:ascii="Times New Roman" w:hAnsi="Times New Roman"/>
          <w:color w:val="231F20"/>
          <w:sz w:val="20"/>
        </w:rPr>
        <w:t>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the biotechnology industry expands and more patents are issued, the risk increases that our product candidates may be subject to claims of infringement, misappropriation or other violation of the patent or other intellectual property rights of third parties.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sz w:val="20"/>
        </w:rPr>
      </w:pPr>
      <w:r>
        <w:rPr>
          <w:rFonts w:ascii="Times New Roman" w:hAnsi="Times New Roman"/>
          <w:color w:val="000000"/>
          <w:sz w:val="20"/>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the U.S. Congress or other foreign legislative bodies may pass patent reform legislation that is unfavorable to us. Patent reform legislation could increase the uncertainties and costs surrounding the prosecution of patent applications and the enforcement or defense of issued patents.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w:t>
      </w:r>
      <w:r>
        <w:rPr>
          <w:rFonts w:ascii="Times New Roman" w:hAnsi="Times New Roman"/>
          <w:color w:val="000000"/>
          <w:sz w:val="20"/>
        </w:rPr>
        <w:t xml:space="preserve">For example, the U.S. Supreme Court held in 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w:t>
      </w:r>
      <w:r>
        <w:rPr>
          <w:rFonts w:ascii="Times New Roman" w:hAnsi="Times New Roman"/>
          <w:color w:val="231F20"/>
          <w:sz w:val="20"/>
        </w:rPr>
        <w:t xml:space="preserve">Similarly, foreign courts have made and will continue to make changes in how the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laws in their respective jurisdictions are interpreted. We cannot predict future changes in the interpretation of patent laws or changes to patent laws that might be enacted into law by U.S. and foreign legislative bodies. </w:t>
      </w:r>
      <w:r>
        <w:rPr>
          <w:rFonts w:ascii="Times New Roman" w:hAnsi="Times New Roman"/>
          <w:color w:val="000000"/>
          <w:sz w:val="20"/>
        </w:rPr>
        <w:t>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w:t>
      </w:r>
      <w:r>
        <w:rPr>
          <w:rFonts w:ascii="Times New Roman" w:hAnsi="Times New Roman"/>
          <w:color w:val="231F20"/>
          <w:sz w:val="20"/>
        </w:rPr>
        <w:t xml:space="preserve">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challenging the inventorship or ownership of our owned patents, patent applications or in-licensed patent rights and other 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although we are not aware of any inventorship disputes as of the date of this periodic report,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protect our intellectual property rights throughout the world.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competitive position and may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that we or our employees, consultants, advisors or contractors have wrongfully used or disclosed alleged confidential information or trade secrets.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licensors may have relied on third-party consultants or collaborators or on funds from third parties such that our licensors are not the sole and exclusive owners of the patents we in-licensed. If other third parties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Dependence on Third Parties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In particular, we </w:t>
      </w:r>
      <w:r>
        <w:rPr>
          <w:rFonts w:ascii="Times New Roman" w:hAnsi="Times New Roman"/>
          <w:color w:val="000000"/>
          <w:sz w:val="20"/>
        </w:rPr>
        <w:t xml:space="preserve">decommissioned the GMMC in 2025 to reduce costs. Although we have retained our internal process and assay development know-how and plan to transfer our AAV manufacturing process to a contract development manufacturing organization with global capabilities in anticipation of future late-stage development and/or commercial launch of TN-201 and/or TN-401, any delay, cGMP or quality issues, or difficulties in negotiating favorable terms with the contract manufacturing organization could result in a material adverse effect on our business operations and our clinical development plans. </w:t>
      </w:r>
      <w:r>
        <w:rPr>
          <w:rFonts w:ascii="Times New Roman" w:hAnsi="Times New Roman"/>
          <w:color w:val="231F20"/>
          <w:sz w:val="20"/>
        </w:rPr>
        <w:t xml:space="preserve">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could result in delays in our manufacturing supply chain which could delay or otherwise impact development of our programs and result in increased costs.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maintain or establish required agreements with third-party manufacturers on acceptable terms. Even if we are able to do so, reliance on third-party manufacturers entails additional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termination or nonrenewal of arrangements or agreements by our third-party contractors at a time that is costly or inconvenient for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breach by the third-party contractors of our agreements with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third-party contractors to manufacture our product candidates according to our specifications or comply with applicable regulatory requirements, including cGMP;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infringement, misappropriation or other violation of our intellectual property or proprietary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increased operating expenses and cash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assumption of additional indebtedness or contingent liabilities;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assimilation of operations, intellectual property and products of an acquired company, including difficulties associated with integrating new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diversion of our management’s attention from our existing programs and initiatives in pursuing such a strategic partnership or acquisition;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unauthorized use or disclosure of our confidential information accessed in connection with partnership activities;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loss of key personnel and uncertainties in our ability to maintain key business relationships;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risks and uncertainties associated with the other party to such a transaction, including the prospects of that party and their existing products or product candidates and marketing approvals;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generate revenue from acquired technology and/or products sufficient to meet our objectives in undertaking the acquisition or even to offset the associated acquisition and maintenance costs;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realize anticipated efficiencies and strategic benefits from such acquisitions or strategic partnerships.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costly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reach a definitive agreement, we may have to curtail the development of a product candidate, reduce or delay its development program or one or more of our other development programs or technical capabilities,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reduce our planned capital expenditures across other areas of our business or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If we enter into any collaboration arrangements with any third parties, we will likely have limited control over the amount and timing of resources that our collaborators dedicate to the development or commercialization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231F20"/>
          <w:sz w:val="20"/>
        </w:rPr>
        <w:t>product candidates. For example, under our collaboration agreement with Alnylam, following the completion of the validation activities, Alnylam will have complete control of</w:t>
      </w:r>
      <w:r>
        <w:rPr>
          <w:rFonts w:ascii="Times New Roman" w:hAnsi="Times New Roman"/>
          <w:color w:val="000000"/>
          <w:sz w:val="20"/>
        </w:rPr>
        <w:t xml:space="preserve"> all development, manufacture, regulatory and commercialization activities for any products directed to a collaboration target. </w:t>
      </w:r>
      <w:r>
        <w:rPr>
          <w:rFonts w:ascii="Times New Roman" w:hAnsi="Times New Roman"/>
          <w:color w:val="231F20"/>
          <w:sz w:val="20"/>
        </w:rPr>
        <w:t>Our ability to generate revenues from these arrangements will depend on our collaborators’ abilities and efforts to successfully perform the functions assigned to them in these arrangements. Collaborations involving our product candidates or technical capabilities would pose numerous risks to us,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relationship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grant exclusive rights to our collaborators that would prevent us from collaborating with others;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 agreements may not lead to development or commercialization of product candidates in the most efficient manner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collaborator’s sales and marketing activities or other operations may not be in compliance with applicable laws resulting in civil or criminal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Securities Market and Ownership of Our Common Stock</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The price of our stock is volatile, and you could lose all or part of your investment.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timing of achievement of our research, clinical, regulatory and other milestones for our product candidates;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results of preclinical studies and clinical trials of our product candidates, those conducted by third parties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success of competitive products or announcements by potential competitors of their product development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actions with respect to our product candidates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our growth rate relative to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or legal developments in the U.S. and other countries;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application of new standards and practices applied by the FDA for review of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litigation, including developments or disputes concerning patent applications, issued patents or other intellectual property or proprietary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recruitment or departure of key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announcements by us or our competitors of significant acquisitions, strategic collaborations, joint ventures, licensing arrangements or capital commitments;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decision to terminate or dispose of any preclinical or clinical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level of research and development expenses incurred for our product candidates and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estimates as to financial results, development timelines or coverage and/or recommendations by securities analysts;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fluctuations in the valuation of companies perceived by investors to be comparable to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market conditions in the pharmaceutical and biotechnology sector;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in the structure of healthcare payment systems;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share price and volume fluctuations attributable to inconsistent trading volume levels of our shares;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 or expectation of additional financing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our common stock by us, our insiders or our other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expiration of market stand-off or lock-up agreements;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any natural disasters or public health emergencies;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fluctuations in interest rates and inflation rates;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 economic, political, industry and market conditions.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listing standards of the Nasdaq Global Select Market require, among other things, that the minimum price of a listed company’s stock be at or above $1.00. On January 28, 2026, we received a letter from the Staff of Nasdaq indicating that, based upon the closing bid price of shares of our common stock for the 30 consecutive business day period between December 12, 2025, through January 27, 2026, we did not meet the minimum bid price of $1.00 per share required for continued listing on the Nasdaq Global Select Market pursuant to Nasdaq Listing Rule 5450(a)(1). In accordance with Nasdaq’s listing rules, we have been afforded 180 calendar days to regain compliance with the bid price requirement. In order to regain compliance, the bid price of our common stock must close at a price of at least $1.00 per share for a minimum of 10 consecutive trading days within the 180-day grace period. While we did not regain compliance by the end of the Compliance Period, we were eligible for additional time to regain compliance (the Second Compliance Period) pursuant to Nasdaq Listing Rule 5810(c)(3)(A)(i) by transferring to the Nasdaq Capital Market. To qualify for the Second Compliance Period, we submitted a transfer application and paid an application fee. Our common stock was transferred to the Nasdaq Capital Market effective as of the opening of business on July 31, 2026 and continues to trade under the symbol “TNYA”. In addition, we are required to meet the continued listing requirement for the market value of our publicly held shares and all other initial listing standards for Nasdaq, with the exception of the bid price requirement, and provided written notice of our intention to cure the deficiency during the Second Compliance Period, by effecting a reverse stock split, if necessary. On October 23, 2026, we filed our definitive proxy statement relating to a special meeting of our stockholders to approve an amendment to our certificate of incorporation to effect, at the discretion of our board of directors, a reverse stock split. Even if we effect this reverse stock split, there can be no assurance that we will be able to regain or maintain compliance with the minimum bid price requirement or any other Nasdaq listing standards, if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regain compliance with or continue to satisfy the Nasdaq continued listing requirements, our common stock will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September 30, 2026, our executive officers, directors, holders of 5% or more of our capital stock and their respective affiliates beneficially owned approximately 27%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Sales of a substantial number of shares of our common stock in the public market could occur at any time. For example, we filed (i) on March 4, 2025, a prospectus supplement to our shelf registration statement on Form S-3 that became effective on August 10, 2022 that covered the offering, issuance and sale of 75,000,000 shares of our common stock, Series A Warrants to purchase 75,000,000 shares of our common stock, and Series B warrants to purchase 37,500,000 shares of our common stock, (ii) </w:t>
      </w:r>
      <w:r>
        <w:rPr>
          <w:rFonts w:ascii="Times New Roman" w:hAnsi="Times New Roman"/>
          <w:color w:val="000000"/>
          <w:sz w:val="20"/>
        </w:rPr>
        <w:t>a new shelf registration statement on Form S-3 that became effective on March 31, 2025</w:t>
      </w:r>
      <w:r>
        <w:rPr>
          <w:rFonts w:ascii="Times New Roman" w:hAnsi="Times New Roman"/>
          <w:color w:val="231F20"/>
          <w:sz w:val="20"/>
        </w:rPr>
        <w:t>, which will allow us to undertake various equity and debt offerings up to $300.0 million (the 2025 Shelf Registration), and (iii) on December 12, 2025, a prospectus supplement to our 2025 Shelf Registration that covered the offering, issuance and sale of 50,000,000 shares of our common stock and warrants to purchase 50,000,000 shares of our common stock</w:t>
      </w:r>
      <w:r>
        <w:rPr>
          <w:rFonts w:ascii="Times New Roman" w:hAnsi="Times New Roman"/>
          <w:color w:val="000000"/>
          <w:sz w:val="20"/>
        </w:rPr>
        <w:t>. From issuance through their expiration on June 30, 2026, Series B Warrants to purchase 10,211,250 shares of our common stock were exercised, and the remaining Series B Warrants to purchase 27,288,750 shares of our common stock expired on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unexpired Series A Warrants and December 2025 Warrants are exercised and shares are sold, or if it is perceived that they will be sold, in the public market, the trading price of our common stock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prevent any attempts by our stockholders to replace or remove our current management by making it more difficult for stockholders to replace members of our board of directors. These provisions, among other things: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 classified board of directors so that not all members of our board are elected at one time;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permit only the board of directors to establish the number of directors and fill vacancies on the board;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provide that directors may only be removed “for cause”;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the issuance of “blank check” preferred stock that our board could use to implement a stockholder rights plan (also known as a poison pill);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eliminate the ability of our stockholders to call special meetings of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stockholder action by written consent, which requires all stockholder actions to be taken at a meeting of our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cumulative voting;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our board of directors to amend the bylaws;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require a super-majority vote of stockholders to amend or repeal specified provisions of our certificate of incorporation and bylaws.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derivative action or proceeding brought on our behalf;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of breach of fiduciary duty;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arising under the DGCL, our certificate of incorporation or our bylaws;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that is governed by the internal-affairs doctrine.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This provision would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further provide that the federal district courts of the United States of America will be the exclusive forum for resolving any complaint asserting a cause of action arising under the Securities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exclusive-forum provisions may limit a stockholder’s ability to bring a claim in a judicial forum that it finds favorable for disputes with us or our directors, officers or other employees. In addition, these exclusive-forum provisions may impose additional litigation costs for stockholders who determine to pursue any such lawsuits against 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pStyle w:val="TextBody"/>
        <w:bidi w:val="0"/>
        <w:spacing w:before="24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no sales of unregistered equity securities during the period covered by this report that were not previously reported in a Quarterly Report on Form 10-Q or a Current Report on Form 8-K.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September 30, 2026,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12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60"/>
        <w:gridCol w:w="146"/>
        <w:gridCol w:w="6347"/>
        <w:gridCol w:w="586"/>
        <w:gridCol w:w="754"/>
        <w:gridCol w:w="736"/>
        <w:gridCol w:w="776"/>
      </w:tblGrid>
      <w:tr>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c>
          <w:tcPr>
            <w:tcW w:w="860"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Filing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FF"/>
                  <w:sz w:val="20"/>
                  <w:u w:val="single"/>
                </w:rPr>
                <w:t>Composite Amended and Restated Certificate of Incorporation of Tenaya Therapeutics, Inc., as amended</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8-9-2023</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Amended and Restated Bylaws of Tenaya Therapeutics, Inc.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3-21-2023</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hyperlink w:anchor="tny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hyperlink w:anchor="tny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hyperlink w:anchor="tnya-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compensatory plan or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6524" w:type="dxa"/>
        <w:jc w:val="left"/>
        <w:tblInd w:w="0" w:type="dxa"/>
        <w:tblLayout w:type="fixed"/>
        <w:tblCellMar>
          <w:top w:w="28" w:type="dxa"/>
          <w:left w:w="28" w:type="dxa"/>
          <w:bottom w:w="28" w:type="dxa"/>
          <w:right w:w="28" w:type="dxa"/>
        </w:tblCellMar>
      </w:tblPr>
      <w:tblGrid>
        <w:gridCol w:w="2101"/>
        <w:gridCol w:w="146"/>
        <w:gridCol w:w="406"/>
        <w:gridCol w:w="387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Tenaya Therapeutics, Inc.</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Hyllengren, M.B.A.</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Hyllengren, M.B.A.</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pPr>
      <w:r/>
    </w:p>
    <w:p>
      <w:pPr>
        <w:pStyle w:val="TextBody"/>
        <w:bidi w:val="0"/>
        <w:jc w:val="right"/>
        <w:rPr>
          <w:rFonts w:ascii="Times New Roman" w:hAnsi="Times New Roman"/>
          <w:sz w:val="20"/>
        </w:rPr>
      </w:pPr>
      <w:bookmarkStart w:id="21" w:name="tnya-ex31_1.htm"/>
      <w:bookmarkStart w:id="22" w:name="kstnyaex31_1"/>
      <w:bookmarkEnd w:id="21"/>
      <w:bookmarkEnd w:id="22"/>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 Faraz Ali, M.B.A., certify that: </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Tenaya Therapeutics, Inc.;</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Date: November 4, 2026</w:t>
      </w:r>
    </w:p>
    <w:tbl>
      <w:tblPr>
        <w:tblW w:w="3913" w:type="dxa"/>
        <w:jc w:val="left"/>
        <w:tblInd w:w="0" w:type="dxa"/>
        <w:tblLayout w:type="fixed"/>
        <w:tblCellMar>
          <w:top w:w="28" w:type="dxa"/>
          <w:left w:w="28" w:type="dxa"/>
          <w:bottom w:w="28" w:type="dxa"/>
          <w:right w:w="28" w:type="dxa"/>
        </w:tblCellMar>
      </w:tblPr>
      <w:tblGrid>
        <w:gridCol w:w="161"/>
        <w:gridCol w:w="631"/>
        <w:gridCol w:w="3121"/>
      </w:tblGrid>
      <w:t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left"/>
            </w:pPr>
            <w:r>
              <w:t> </w:t>
            </w:r>
          </w:p>
        </w:tc>
        <w:tc>
          <w:tcPr>
            <w:tcW w:w="3121"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7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752"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12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Faraz Ali, M.B.A.</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Faraz Ali, M.B.A.</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sz w:val="20"/>
        </w:rPr>
      </w:pPr>
      <w:bookmarkStart w:id="23" w:name="tnya-ex31_2.htm"/>
      <w:bookmarkStart w:id="24" w:name="kstnyaex31_2"/>
      <w:bookmarkEnd w:id="23"/>
      <w:bookmarkEnd w:id="24"/>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 Eric Hyllengren, M.B.A., certify that: </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Tenaya Therapeutics, Inc.;</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Date: November 4, 2026</w:t>
      </w:r>
    </w:p>
    <w:tbl>
      <w:tblPr>
        <w:tblW w:w="4663" w:type="dxa"/>
        <w:jc w:val="left"/>
        <w:tblInd w:w="0" w:type="dxa"/>
        <w:tblLayout w:type="fixed"/>
        <w:tblCellMar>
          <w:top w:w="28" w:type="dxa"/>
          <w:left w:w="28" w:type="dxa"/>
          <w:bottom w:w="28" w:type="dxa"/>
          <w:right w:w="28" w:type="dxa"/>
        </w:tblCellMar>
      </w:tblPr>
      <w:tblGrid>
        <w:gridCol w:w="161"/>
        <w:gridCol w:w="631"/>
        <w:gridCol w:w="3871"/>
      </w:tblGrid>
      <w:t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50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502"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Eric Hyllengren, M.B.A.</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Eric Hyllengren, M.B.A.</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87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5" w:name="tnya-ex32_1.htm"/>
      <w:bookmarkStart w:id="26" w:name="kstnyaex32_1"/>
      <w:bookmarkEnd w:id="25"/>
      <w:bookmarkEnd w:id="26"/>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pPr>
      <w: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w:t>
      </w:r>
    </w:p>
    <w:p>
      <w:pPr>
        <w:pStyle w:val="TextBody"/>
        <w:bidi w:val="0"/>
        <w:jc w:val="center"/>
        <w:rPr>
          <w:rFonts w:ascii="Times New Roman" w:hAnsi="Times New Roman"/>
          <w:b/>
          <w:color w:val="000000"/>
          <w:sz w:val="18"/>
        </w:rPr>
      </w:pPr>
      <w:r>
        <w:rPr>
          <w:rFonts w:ascii="Times New Roman" w:hAnsi="Times New Roman"/>
          <w:b/>
          <w:color w:val="000000"/>
          <w:sz w:val="18"/>
        </w:rPr>
        <w:t>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jc w:val="center"/>
      </w:pPr>
      <w: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Faraz Ali, M.B.A., certify, pursuant to 18 U.S.C. Section 1350 as adopted pursuant to Section 906 of the Sarbanes-Oxley Act of 2002, that, (1) the Quarterly Report on Form 10-Q of Tenaya Therapeutics, Inc. (the “Company”) for the quarterly period ended September 30, 2026,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left"/>
      </w:pPr>
      <w:r>
        <w:t> </w:t>
      </w:r>
    </w:p>
    <w:tbl>
      <w:tblPr>
        <w:tblW w:w="5368" w:type="dxa"/>
        <w:jc w:val="left"/>
        <w:tblInd w:w="0" w:type="dxa"/>
        <w:tblLayout w:type="fixed"/>
        <w:tblCellMar>
          <w:top w:w="28" w:type="dxa"/>
          <w:left w:w="28" w:type="dxa"/>
          <w:bottom w:w="28" w:type="dxa"/>
          <w:right w:w="28" w:type="dxa"/>
        </w:tblCellMar>
      </w:tblPr>
      <w:tblGrid>
        <w:gridCol w:w="2101"/>
        <w:gridCol w:w="146"/>
        <w:gridCol w:w="312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2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2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Eric Hyllengren, M.B.A., certify, pursuant to 18 U.S.C. Section 1350 as adopted pursuant to Section 906 of the Sarbanes-Oxley Act of 2002, that, (1) the Quarterly Report on Form 10-Q of Tenaya Therapeutics, Inc. (the “Company”) for the quarterly period ended September 30, 2026,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both"/>
      </w:pPr>
      <w:r>
        <w:t> </w:t>
      </w:r>
    </w:p>
    <w:tbl>
      <w:tblPr>
        <w:tblW w:w="6118" w:type="dxa"/>
        <w:jc w:val="left"/>
        <w:tblInd w:w="0" w:type="dxa"/>
        <w:tblLayout w:type="fixed"/>
        <w:tblCellMar>
          <w:top w:w="28" w:type="dxa"/>
          <w:left w:w="28" w:type="dxa"/>
          <w:bottom w:w="28" w:type="dxa"/>
          <w:right w:w="28" w:type="dxa"/>
        </w:tblCellMar>
      </w:tblPr>
      <w:tblGrid>
        <w:gridCol w:w="2101"/>
        <w:gridCol w:w="146"/>
        <w:gridCol w:w="387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Hyllengren, M.B.A.</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Hyllengren, M.B.A.</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8848/000095017023040651/tnya-ex3_1.htm" TargetMode="External"/><Relationship Id="rId3" Type="http://schemas.openxmlformats.org/officeDocument/2006/relationships/hyperlink" Target="https://www.sec.gov/Archives/edgar/data/1858848/000095017023008934/tnya-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59998</Words>
  <Characters>338800</Characters>
  <CharactersWithSpaces>399153</CharactersWithSpaces>
  <Paragraphs>6008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