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194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949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Hoey Timothy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02/23/2024</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02/23/2024</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12,500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248,646</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02/23/2024</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75,000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03/23/2024</w:t>
            </w:r>
            <w:r>
              <w:rPr>
                <w:rFonts w:ascii="Times New Roman" w:cs="Times New Roman" w:eastAsia="Times New Roman" w:hAnsi="Times New Roman"/>
                <w:sz w:val="21"/>
                <w:szCs w:val="21"/>
                <w:color w:val="008000"/>
                <w:vertAlign w:val="superscript"/>
              </w:rPr>
              <w:t>(4)</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02/22/2034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75,000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jc w:val="right"/>
              <w:ind w:righ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18" w:lineRule="exact"/>
        <w:rPr>
          <w:rFonts w:ascii="Times New Roman" w:cs="Times New Roman" w:eastAsia="Times New Roman" w:hAnsi="Times New Roman"/>
          <w:sz w:val="13"/>
          <w:szCs w:val="13"/>
          <w:color w:val="008000"/>
        </w:rPr>
      </w:pPr>
    </w:p>
    <w:p>
      <w:pPr>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2024, and 1/8th of the total number of shares subject to the restricted stock unit award every six months thereafter until fully vested.</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50,000 shares of Tenaya Therapeutics, Inc. common stock that will be issued to the Reporting Person upon vesting of restricted stock units.</w:t>
      </w:r>
    </w:p>
    <w:p>
      <w:pPr>
        <w:spacing w:after="0" w:line="42" w:lineRule="exact"/>
        <w:rPr>
          <w:rFonts w:ascii="Times New Roman" w:cs="Times New Roman" w:eastAsia="Times New Roman" w:hAnsi="Times New Roman"/>
          <w:sz w:val="13"/>
          <w:szCs w:val="13"/>
          <w:color w:val="008000"/>
        </w:rPr>
      </w:pPr>
    </w:p>
    <w:p>
      <w:pPr>
        <w:ind w:left="40" w:right="58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693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2024-02-27T18:34:20Z</dcterms:created>
  <dcterms:modified xsi:type="dcterms:W3CDTF">2024-02-27T18:34:20Z</dcterms:modified>
</cp:coreProperties>
</file>