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tnya-20230630.htm"/>
      <w:bookmarkStart w:id="1" w:name="kstnya20230630"/>
      <w:bookmarkEnd w:id="0"/>
      <w:bookmarkEnd w:id="1"/>
      <w:r>
        <w:rPr/>
        <w:t> </w:t>
      </w:r>
    </w:p>
    <w:p>
      <w:pPr>
        <w:pStyle w:val="TextBody"/>
        <w:pBdr>
          <w:top w:val="double" w:sz="6" w:space="1" w:color="000000"/>
        </w:pBdr>
        <w:bidi w:val="0"/>
        <w:spacing w:before="0" w:after="0"/>
        <w:jc w:val="center"/>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0" w:after="0"/>
        <w:jc w:val="center"/>
        <w:rPr/>
      </w:pPr>
      <w:r>
        <w:rPr/>
        <w:t> </w:t>
      </w:r>
    </w:p>
    <w:p>
      <w:pPr>
        <w:pStyle w:val="TextBody"/>
        <w:bidi w:val="0"/>
        <w:spacing w:before="8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0" w:after="0"/>
        <w:jc w:val="center"/>
        <w:rPr/>
      </w:pPr>
      <w:r>
        <w:rPr/>
        <w:t> </w:t>
      </w:r>
    </w:p>
    <w:p>
      <w:pPr>
        <w:pStyle w:val="TextBody"/>
        <w:bidi w:val="0"/>
        <w:spacing w:before="80" w:after="0"/>
        <w:jc w:val="left"/>
        <w:rPr>
          <w:rFonts w:ascii="Times New Roman;serif" w:hAnsi="Times New Roman;serif"/>
          <w:b/>
          <w:sz w:val="16"/>
        </w:rPr>
      </w:pPr>
      <w:r>
        <w:rPr>
          <w:rFonts w:ascii="Times New Roman;serif" w:hAnsi="Times New Roman;serif"/>
          <w:b/>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serif" w:hAnsi="Times New Roman;serif"/>
                <w:b/>
                <w:sz w:val="22"/>
              </w:rPr>
            </w:pPr>
            <w:r>
              <w:rPr>
                <w:rFonts w:ascii="Times New Roman;serif" w:hAnsi="Times New Roman;serif"/>
                <w:b/>
                <w:sz w:val="22"/>
              </w:rPr>
              <w:t>QUARTERLY REPORT PURSUANT TO SECTION 13 OR 15(d) OF THE SECURITIES EXCHANGE ACT OF 1934</w:t>
            </w:r>
          </w:p>
        </w:tc>
      </w:tr>
    </w:tbl>
    <w:p>
      <w:pPr>
        <w:pStyle w:val="TextBody"/>
        <w:bidi w:val="0"/>
        <w:spacing w:before="80" w:after="0"/>
        <w:jc w:val="center"/>
        <w:rPr>
          <w:rFonts w:ascii="Times New Roman;serif" w:hAnsi="Times New Roman;serif"/>
          <w:b/>
          <w:sz w:val="22"/>
        </w:rPr>
      </w:pPr>
      <w:r>
        <w:rPr>
          <w:rFonts w:ascii="Times New Roman;serif" w:hAnsi="Times New Roman;serif"/>
          <w:b/>
          <w:sz w:val="22"/>
        </w:rPr>
        <w:t>For the quarterly period ended June 30, 2023</w:t>
      </w:r>
    </w:p>
    <w:p>
      <w:pPr>
        <w:pStyle w:val="TextBody"/>
        <w:bidi w:val="0"/>
        <w:spacing w:before="80" w:after="0"/>
        <w:jc w:val="center"/>
        <w:rPr>
          <w:rFonts w:ascii="Times New Roman;serif" w:hAnsi="Times New Roman;serif"/>
          <w:b/>
          <w:sz w:val="22"/>
        </w:rPr>
      </w:pPr>
      <w:r>
        <w:rPr>
          <w:rFonts w:ascii="Times New Roman;serif" w:hAnsi="Times New Roman;serif"/>
          <w:b/>
          <w:sz w:val="22"/>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80" w:after="0"/>
              <w:ind w:left="0" w:right="0" w:hanging="0"/>
              <w:jc w:val="left"/>
              <w:rPr/>
            </w:pPr>
            <w:r>
              <w:rPr/>
              <w:t>☐</w:t>
            </w:r>
          </w:p>
        </w:tc>
        <w:tc>
          <w:tcPr>
            <w:tcW w:w="9874" w:type="dxa"/>
            <w:tcBorders/>
            <w:vAlign w:val="center"/>
          </w:tcPr>
          <w:p>
            <w:pPr>
              <w:pStyle w:val="TableContents"/>
              <w:bidi w:val="0"/>
              <w:spacing w:before="80" w:after="0"/>
              <w:ind w:left="0" w:right="0" w:hanging="0"/>
              <w:jc w:val="left"/>
              <w:rPr>
                <w:rFonts w:ascii="Times New Roman;serif" w:hAnsi="Times New Roman;serif"/>
                <w:b/>
                <w:sz w:val="22"/>
              </w:rPr>
            </w:pPr>
            <w:r>
              <w:rPr>
                <w:rFonts w:ascii="Times New Roman;serif" w:hAnsi="Times New Roman;serif"/>
                <w:b/>
                <w:sz w:val="22"/>
              </w:rPr>
              <w:t>TRANSITION REPORT PURSUANT TO SECTION 13 OR 15(d) OF THE SECURITIES EXCHANGE ACT OF 1934</w:t>
            </w:r>
          </w:p>
        </w:tc>
      </w:tr>
    </w:tbl>
    <w:p>
      <w:pPr>
        <w:pStyle w:val="TextBody"/>
        <w:bidi w:val="0"/>
        <w:spacing w:before="80" w:after="0"/>
        <w:jc w:val="center"/>
        <w:rPr>
          <w:rFonts w:ascii="Times New Roman;serif" w:hAnsi="Times New Roman;serif"/>
          <w:b/>
          <w:sz w:val="22"/>
        </w:rPr>
      </w:pPr>
      <w:r>
        <w:rPr>
          <w:rFonts w:ascii="Times New Roman;serif" w:hAnsi="Times New Roman;serif"/>
          <w:b/>
          <w:sz w:val="22"/>
        </w:rPr>
        <w:t>For the transition period from ________ to _________</w:t>
      </w:r>
    </w:p>
    <w:p>
      <w:pPr>
        <w:pStyle w:val="TextBody"/>
        <w:bidi w:val="0"/>
        <w:spacing w:before="80" w:after="0"/>
        <w:jc w:val="center"/>
        <w:rPr>
          <w:rFonts w:ascii="Times New Roman;serif" w:hAnsi="Times New Roman;serif"/>
          <w:b/>
          <w:sz w:val="22"/>
        </w:rPr>
      </w:pPr>
      <w:r>
        <w:rPr>
          <w:rFonts w:ascii="Times New Roman;serif" w:hAnsi="Times New Roman;serif"/>
          <w:b/>
          <w:sz w:val="22"/>
        </w:rPr>
        <w:t>Commission File Number: 001-40656</w:t>
      </w:r>
    </w:p>
    <w:p>
      <w:pPr>
        <w:pStyle w:val="TextBody"/>
        <w:pBdr>
          <w:bottom w:val="single" w:sz="4" w:space="1" w:color="000000"/>
        </w:pBdr>
        <w:bidi w:val="0"/>
        <w:spacing w:before="0" w:after="0"/>
        <w:jc w:val="center"/>
        <w:rPr/>
      </w:pPr>
      <w:r>
        <w:rPr/>
        <w:t> </w:t>
      </w:r>
    </w:p>
    <w:p>
      <w:pPr>
        <w:pStyle w:val="TextBody"/>
        <w:bidi w:val="0"/>
        <w:spacing w:before="0" w:after="0"/>
        <w:jc w:val="center"/>
        <w:rPr>
          <w:rFonts w:ascii="Times New Roman;serif" w:hAnsi="Times New Roman;serif"/>
          <w:b/>
          <w:sz w:val="44"/>
        </w:rPr>
      </w:pPr>
      <w:r>
        <w:rPr>
          <w:rFonts w:ascii="Times New Roman;serif" w:hAnsi="Times New Roman;serif"/>
          <w:b/>
          <w:sz w:val="44"/>
        </w:rPr>
        <w:t>TENAYA THERAPEUTICS, INC.</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0" w:after="0"/>
        <w:jc w:val="center"/>
        <w:rPr/>
      </w:pPr>
      <w:r>
        <w:rPr/>
        <w:t> </w:t>
      </w:r>
    </w:p>
    <w:p>
      <w:pPr>
        <w:pStyle w:val="TextBody"/>
        <w:bidi w:val="0"/>
        <w:spacing w:before="0" w:after="0"/>
        <w:jc w:val="left"/>
        <w:rPr/>
      </w:pPr>
      <w:r>
        <w:rPr/>
        <w:t> </w:t>
      </w:r>
    </w:p>
    <w:tbl>
      <w:tblPr>
        <w:tblW w:w="5192" w:type="dxa"/>
        <w:jc w:val="left"/>
        <w:tblInd w:w="0" w:type="dxa"/>
        <w:tblLayout w:type="fixed"/>
        <w:tblCellMar>
          <w:top w:w="28" w:type="dxa"/>
          <w:left w:w="28" w:type="dxa"/>
          <w:bottom w:w="28" w:type="dxa"/>
          <w:right w:w="28" w:type="dxa"/>
        </w:tblCellMar>
      </w:tblPr>
      <w:tblGrid>
        <w:gridCol w:w="3886"/>
        <w:gridCol w:w="1306"/>
      </w:tblGrid>
      <w:tr>
        <w:trPr/>
        <w:tc>
          <w:tcPr>
            <w:tcW w:w="388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3886" w:type="dxa"/>
            <w:tcBorders/>
            <w:vAlign w:val="center"/>
          </w:tcPr>
          <w:p>
            <w:pPr>
              <w:pStyle w:val="TableContents"/>
              <w:bidi w:val="0"/>
              <w:spacing w:before="0" w:after="0"/>
              <w:ind w:left="0" w:right="0" w:hanging="0"/>
              <w:jc w:val="center"/>
              <w:rPr>
                <w:rFonts w:ascii="Times New Roman;serif" w:hAnsi="Times New Roman;serif"/>
                <w:b/>
                <w:sz w:val="22"/>
              </w:rPr>
            </w:pPr>
            <w:r>
              <w:rPr>
                <w:rFonts w:ascii="Times New Roman;serif" w:hAnsi="Times New Roman;serif"/>
                <w:b/>
                <w:sz w:val="22"/>
              </w:rPr>
              <w:t>Delaware</w:t>
            </w:r>
          </w:p>
        </w:tc>
        <w:tc>
          <w:tcPr>
            <w:tcW w:w="1306" w:type="dxa"/>
            <w:tcBorders/>
            <w:vAlign w:val="center"/>
          </w:tcPr>
          <w:p>
            <w:pPr>
              <w:pStyle w:val="TableContents"/>
              <w:bidi w:val="0"/>
              <w:spacing w:before="0" w:after="0"/>
              <w:ind w:left="0" w:right="0" w:hanging="0"/>
              <w:jc w:val="center"/>
              <w:rPr>
                <w:rFonts w:ascii="Times New Roman;serif" w:hAnsi="Times New Roman;serif"/>
                <w:b/>
                <w:sz w:val="22"/>
              </w:rPr>
            </w:pPr>
            <w:r>
              <w:rPr>
                <w:rFonts w:ascii="Times New Roman;serif" w:hAnsi="Times New Roman;serif"/>
                <w:b/>
                <w:sz w:val="22"/>
              </w:rPr>
              <w:t>81-3789973</w:t>
            </w:r>
          </w:p>
        </w:tc>
      </w:tr>
      <w:tr>
        <w:trPr/>
        <w:tc>
          <w:tcPr>
            <w:tcW w:w="3886" w:type="dxa"/>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bidi w:val="0"/>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306" w:type="dxa"/>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(I.R.S. Employer</w:t>
              <w:br/>
              <w:t>Identification No.)</w:t>
            </w:r>
          </w:p>
        </w:tc>
      </w:tr>
      <w:tr>
        <w:trPr/>
        <w:tc>
          <w:tcPr>
            <w:tcW w:w="3886" w:type="dxa"/>
            <w:tcBorders/>
            <w:vAlign w:val="center"/>
          </w:tcPr>
          <w:p>
            <w:pPr>
              <w:pStyle w:val="TableContents"/>
              <w:bidi w:val="0"/>
              <w:spacing w:before="0" w:after="15"/>
              <w:ind w:left="0" w:right="0" w:hanging="0"/>
              <w:jc w:val="center"/>
              <w:rPr>
                <w:rFonts w:ascii="Times New Roman;serif" w:hAnsi="Times New Roman;serif"/>
                <w:b/>
                <w:sz w:val="22"/>
              </w:rPr>
            </w:pPr>
            <w:r>
              <w:rPr>
                <w:rFonts w:ascii="Times New Roman;serif" w:hAnsi="Times New Roman;serif"/>
                <w:b/>
                <w:sz w:val="22"/>
              </w:rPr>
              <w:t>171 Oyster Point Boulevard, Suite 500</w:t>
            </w:r>
          </w:p>
          <w:p>
            <w:pPr>
              <w:pStyle w:val="TableContents"/>
              <w:bidi w:val="0"/>
              <w:spacing w:before="0" w:after="15"/>
              <w:ind w:left="0" w:right="0" w:hanging="0"/>
              <w:jc w:val="center"/>
              <w:rPr>
                <w:rFonts w:ascii="Times New Roman" w:hAnsi="Times New Roman"/>
                <w:sz w:val="22"/>
              </w:rPr>
            </w:pPr>
            <w:r>
              <w:rPr>
                <w:rFonts w:ascii="Times New Roman;serif" w:hAnsi="Times New Roman;serif"/>
                <w:b/>
                <w:sz w:val="22"/>
              </w:rPr>
              <w:t>South</w:t>
            </w:r>
            <w:r>
              <w:rPr>
                <w:rFonts w:ascii="Times New Roman;serif" w:hAnsi="Times New Roman;serif"/>
                <w:sz w:val="22"/>
              </w:rPr>
              <w:t xml:space="preserve"> </w:t>
            </w:r>
            <w:r>
              <w:rPr>
                <w:rFonts w:ascii="Times New Roman;serif" w:hAnsi="Times New Roman;serif"/>
                <w:b/>
                <w:sz w:val="22"/>
              </w:rPr>
              <w:t>San Francisco, CA</w:t>
            </w:r>
          </w:p>
        </w:tc>
        <w:tc>
          <w:tcPr>
            <w:tcW w:w="1306" w:type="dxa"/>
            <w:tcBorders/>
            <w:vAlign w:val="center"/>
          </w:tcPr>
          <w:p>
            <w:pPr>
              <w:pStyle w:val="TableContents"/>
              <w:bidi w:val="0"/>
              <w:spacing w:before="0" w:after="0"/>
              <w:ind w:left="0" w:right="0" w:hanging="0"/>
              <w:jc w:val="center"/>
              <w:rPr>
                <w:rFonts w:ascii="Times New Roman;serif" w:hAnsi="Times New Roman;serif"/>
                <w:b/>
                <w:sz w:val="22"/>
              </w:rPr>
            </w:pPr>
            <w:r>
              <w:rPr>
                <w:rFonts w:ascii="Times New Roman;serif" w:hAnsi="Times New Roman;serif"/>
                <w:b/>
                <w:sz w:val="22"/>
              </w:rPr>
              <w:t>94080</w:t>
            </w:r>
          </w:p>
        </w:tc>
      </w:tr>
      <w:tr>
        <w:trPr/>
        <w:tc>
          <w:tcPr>
            <w:tcW w:w="3886" w:type="dxa"/>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306" w:type="dxa"/>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sz w:val="22"/>
        </w:rPr>
      </w:pPr>
      <w:r>
        <w:rPr>
          <w:rFonts w:ascii="Times New Roman;serif" w:hAnsi="Times New Roman;serif"/>
          <w:b/>
          <w:sz w:val="22"/>
        </w:rPr>
        <w:t>(650) 825-6990</w:t>
      </w:r>
    </w:p>
    <w:p>
      <w:pPr>
        <w:pStyle w:val="TextBody"/>
        <w:bidi w:val="0"/>
        <w:spacing w:before="0" w:after="0"/>
        <w:jc w:val="center"/>
        <w:rPr>
          <w:rFonts w:ascii="Times New Roman;serif" w:hAnsi="Times New Roman;serif"/>
          <w:b/>
          <w:sz w:val="14"/>
        </w:rPr>
      </w:pPr>
      <w:r>
        <w:rPr>
          <w:rFonts w:ascii="Times New Roman;serif" w:hAnsi="Times New Roman;serif"/>
          <w:b/>
          <w:sz w:val="14"/>
        </w:rPr>
        <w:t>(Registrant’s telephone number, including area code)</w:t>
      </w:r>
    </w:p>
    <w:p>
      <w:pPr>
        <w:pStyle w:val="TextBody"/>
        <w:pBdr>
          <w:bottom w:val="single" w:sz="4" w:space="1" w:color="000000"/>
        </w:pBdr>
        <w:bidi w:val="0"/>
        <w:spacing w:before="0" w:after="0"/>
        <w:jc w:val="center"/>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28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par value $0.0001 per share</w:t>
            </w:r>
          </w:p>
        </w:tc>
        <w:tc>
          <w:tcPr>
            <w:tcW w:w="14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TNYA</w:t>
            </w:r>
          </w:p>
        </w:tc>
        <w:tc>
          <w:tcPr>
            <w:tcW w:w="146" w:type="dxa"/>
            <w:tcBorders/>
            <w:vAlign w:val="center"/>
          </w:tcPr>
          <w:p>
            <w:pPr>
              <w:pStyle w:val="TableContents"/>
              <w:bidi w:val="0"/>
              <w:spacing w:before="0" w:after="0"/>
              <w:ind w:left="0" w:right="0" w:hanging="0"/>
              <w:jc w:val="center"/>
              <w:rPr/>
            </w:pPr>
            <w:r>
              <w:rPr/>
              <w:t> </w:t>
            </w:r>
          </w:p>
        </w:tc>
        <w:tc>
          <w:tcPr>
            <w:tcW w:w="331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Nasdaq Global Select Market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8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8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 </w:t>
            </w:r>
          </w:p>
        </w:tc>
        <w:tc>
          <w:tcPr>
            <w:tcW w:w="462" w:type="dxa"/>
            <w:gridSpan w:val="2"/>
            <w:tcBorders/>
            <w:vAlign w:val="center"/>
          </w:tcPr>
          <w:p>
            <w:pPr>
              <w:pStyle w:val="TableContents"/>
              <w:bidi w:val="0"/>
              <w:spacing w:before="0" w:after="0"/>
              <w:ind w:left="0" w:right="0" w:hanging="0"/>
              <w:jc w:val="left"/>
              <w:rPr/>
            </w:pPr>
            <w:r>
              <w:rPr/>
              <w:t> </w:t>
            </w:r>
          </w:p>
        </w:tc>
        <w:tc>
          <w:tcPr>
            <w:tcW w:w="2187" w:type="dxa"/>
            <w:gridSpan w:val="2"/>
            <w:tcBorders/>
            <w:vAlign w:val="center"/>
          </w:tcPr>
          <w:p>
            <w:pPr>
              <w:pStyle w:val="TableContents"/>
              <w:bidi w:val="0"/>
              <w:spacing w:before="0" w:after="0"/>
              <w:ind w:left="0" w:right="0" w:hanging="0"/>
              <w:jc w:val="left"/>
              <w:rPr/>
            </w:pPr>
            <w:r>
              <w:rPr/>
              <w:t> </w:t>
            </w:r>
          </w:p>
        </w:tc>
        <w:tc>
          <w:tcPr>
            <w:tcW w:w="507" w:type="dxa"/>
            <w:gridSpan w:val="2"/>
            <w:tcBorders/>
            <w:vAlign w:val="center"/>
          </w:tcPr>
          <w:p>
            <w:pPr>
              <w:pStyle w:val="TableContents"/>
              <w:bidi w:val="0"/>
              <w:spacing w:before="0" w:after="0"/>
              <w:ind w:left="0" w:right="0" w:hanging="0"/>
              <w:jc w:val="left"/>
              <w:rPr/>
            </w:pPr>
            <w:r>
              <w:rPr/>
              <w:t> </w:t>
            </w:r>
          </w:p>
        </w:tc>
      </w:tr>
      <w:tr>
        <w:trPr/>
        <w:tc>
          <w:tcPr>
            <w:tcW w:w="16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1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0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Times New Roman;serif" w:hAnsi="Times New Roman;serif"/>
          <w:b w:val="false"/>
          <w:sz w:val="18"/>
        </w:rPr>
        <w:t>As of August 3, 2023, the registrant had 67,865,158</w:t>
      </w:r>
      <w:r>
        <w:rPr>
          <w:rFonts w:ascii="Times New Roman" w:hAnsi="Times New Roman"/>
          <w:sz w:val="20"/>
        </w:rPr>
        <w:t xml:space="preserve"> </w:t>
      </w:r>
      <w:r>
        <w:rPr>
          <w:rFonts w:ascii="Times New Roman;serif" w:hAnsi="Times New Roman;serif"/>
          <w:b w:val="false"/>
          <w:sz w:val="18"/>
        </w:rPr>
        <w:t>shares of common stock, $0.0001 par value per share, outstanding.</w:t>
      </w:r>
    </w:p>
    <w:p>
      <w:pPr>
        <w:pStyle w:val="TextBody"/>
        <w:pBdr>
          <w:bottom w:val="double" w:sz="6" w:space="1" w:color="000000"/>
        </w:pBdr>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41"/>
        <w:gridCol w:w="636"/>
        <w:gridCol w:w="8256"/>
        <w:gridCol w:w="572"/>
      </w:tblGrid>
      <w:tr>
        <w:trPr/>
        <w:tc>
          <w:tcPr>
            <w:tcW w:w="74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825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25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57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Page</w:t>
            </w:r>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256" w:type="dxa"/>
            <w:tcBorders/>
            <w:tcMar>
              <w:top w:w="0" w:type="dxa"/>
              <w:left w:w="0" w:type="dxa"/>
              <w:bottom w:w="0" w:type="dxa"/>
              <w:right w:w="0" w:type="dxa"/>
            </w:tcMar>
            <w:vAlign w:val="center"/>
          </w:tcPr>
          <w:p>
            <w:pPr>
              <w:pStyle w:val="TableContents"/>
              <w:bidi w:val="0"/>
              <w:spacing w:before="0" w:after="0"/>
              <w:ind w:left="0" w:right="0" w:hanging="0"/>
              <w:jc w:val="center"/>
              <w:rPr/>
            </w:pPr>
            <w:hyperlink w:anchor="part_i_financial_information">
              <w:r>
                <w:rPr>
                  <w:rStyle w:val="InternetLink"/>
                  <w:rFonts w:ascii="Times New Roman;serif" w:hAnsi="Times New Roman;serif"/>
                  <w:b/>
                  <w:sz w:val="20"/>
                  <w:u w:val="single"/>
                </w:rPr>
                <w:t>PART I—FINANCIAL INFORMATION</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25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6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25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 (Unaudited)</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6" w:type="dxa"/>
            <w:tcBorders/>
            <w:tcMar>
              <w:top w:w="0" w:type="dxa"/>
              <w:left w:w="0" w:type="dxa"/>
              <w:bottom w:w="0" w:type="dxa"/>
              <w:right w:w="0" w:type="dxa"/>
            </w:tcMar>
            <w:vAlign w:val="center"/>
          </w:tcPr>
          <w:p>
            <w:pPr>
              <w:pStyle w:val="TableContents"/>
              <w:bidi w:val="0"/>
              <w:spacing w:before="0" w:after="0"/>
              <w:ind w:left="0" w:right="0" w:firstLine="490"/>
              <w:jc w:val="left"/>
              <w:rPr/>
            </w:pPr>
            <w:r>
              <w:rPr/>
              <w:t> </w:t>
            </w:r>
          </w:p>
        </w:tc>
        <w:tc>
          <w:tcPr>
            <w:tcW w:w="8256" w:type="dxa"/>
            <w:tcBorders/>
            <w:tcMar>
              <w:top w:w="0" w:type="dxa"/>
              <w:left w:w="0" w:type="dxa"/>
              <w:bottom w:w="0" w:type="dxa"/>
              <w:right w:w="0" w:type="dxa"/>
            </w:tcMar>
            <w:vAlign w:val="center"/>
          </w:tcPr>
          <w:p>
            <w:pPr>
              <w:pStyle w:val="TableContents"/>
              <w:pBdr/>
              <w:bidi w:val="0"/>
              <w:spacing w:before="0" w:after="0"/>
              <w:ind w:left="245" w:right="0" w:hanging="245"/>
              <w:jc w:val="left"/>
              <w:rPr/>
            </w:pPr>
            <w:hyperlink w:anchor="condensed_balance_sheets">
              <w:r>
                <w:rPr>
                  <w:rStyle w:val="InternetLink"/>
                  <w:rFonts w:ascii="Times New Roman;serif" w:hAnsi="Times New Roman;serif"/>
                  <w:b w:val="false"/>
                  <w:sz w:val="20"/>
                  <w:u w:val="single"/>
                </w:rPr>
                <w:t>Condensed Balance Sheets as of June 30, 2023 and December 31, 2022</w:t>
              </w:r>
            </w:hyperlink>
            <w:r>
              <w:rPr>
                <w:rFonts w:ascii="Times New Roman" w:hAnsi="Times New Roman"/>
                <w:sz w:val="20"/>
              </w:rPr>
              <w:t xml:space="preserve"> </w:t>
            </w:r>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6" w:type="dxa"/>
            <w:tcBorders/>
            <w:tcMar>
              <w:top w:w="0" w:type="dxa"/>
              <w:left w:w="0" w:type="dxa"/>
              <w:bottom w:w="0" w:type="dxa"/>
              <w:right w:w="0" w:type="dxa"/>
            </w:tcMar>
            <w:vAlign w:val="center"/>
          </w:tcPr>
          <w:p>
            <w:pPr>
              <w:pStyle w:val="TableContents"/>
              <w:bidi w:val="0"/>
              <w:spacing w:before="0" w:after="0"/>
              <w:ind w:left="0" w:right="0" w:firstLine="490"/>
              <w:jc w:val="left"/>
              <w:rPr/>
            </w:pPr>
            <w:r>
              <w:rPr/>
              <w:t> </w:t>
            </w:r>
          </w:p>
        </w:tc>
        <w:tc>
          <w:tcPr>
            <w:tcW w:w="8256" w:type="dxa"/>
            <w:tcBorders/>
            <w:tcMar>
              <w:top w:w="0" w:type="dxa"/>
              <w:left w:w="0" w:type="dxa"/>
              <w:bottom w:w="0" w:type="dxa"/>
              <w:right w:w="0" w:type="dxa"/>
            </w:tcMar>
            <w:vAlign w:val="center"/>
          </w:tcPr>
          <w:p>
            <w:pPr>
              <w:pStyle w:val="TableContents"/>
              <w:pBdr/>
              <w:bidi w:val="0"/>
              <w:spacing w:before="0" w:after="0"/>
              <w:ind w:left="245" w:right="0" w:hanging="245"/>
              <w:jc w:val="left"/>
              <w:rPr/>
            </w:pPr>
            <w:hyperlink w:anchor="condensed_statements_operations_comprehe">
              <w:r>
                <w:rPr>
                  <w:rStyle w:val="InternetLink"/>
                  <w:rFonts w:ascii="Times New Roman;serif" w:hAnsi="Times New Roman;serif"/>
                  <w:b w:val="false"/>
                  <w:sz w:val="20"/>
                  <w:u w:val="single"/>
                </w:rPr>
                <w:t>Condensed Statements of Operations and Comprehensive Loss for the three and six months ended June 30, 2023 and 2022</w:t>
              </w:r>
            </w:hyperlink>
            <w:hyperlink w:anchor="condensed_statements_operations_comprehe">
              <w:r>
                <w:rPr>
                  <w:rStyle w:val="InternetLink"/>
                  <w:rFonts w:ascii="Times New Roman" w:hAnsi="Times New Roman"/>
                  <w:sz w:val="20"/>
                </w:rPr>
                <w:t xml:space="preserve"> </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6" w:type="dxa"/>
            <w:tcBorders/>
            <w:tcMar>
              <w:top w:w="0" w:type="dxa"/>
              <w:left w:w="0" w:type="dxa"/>
              <w:bottom w:w="0" w:type="dxa"/>
              <w:right w:w="0" w:type="dxa"/>
            </w:tcMar>
            <w:vAlign w:val="center"/>
          </w:tcPr>
          <w:p>
            <w:pPr>
              <w:pStyle w:val="TableContents"/>
              <w:bidi w:val="0"/>
              <w:spacing w:before="0" w:after="0"/>
              <w:ind w:left="0" w:right="0" w:firstLine="490"/>
              <w:jc w:val="left"/>
              <w:rPr/>
            </w:pPr>
            <w:r>
              <w:rPr/>
              <w:t> </w:t>
            </w:r>
          </w:p>
        </w:tc>
        <w:tc>
          <w:tcPr>
            <w:tcW w:w="8256" w:type="dxa"/>
            <w:tcBorders/>
            <w:tcMar>
              <w:top w:w="0" w:type="dxa"/>
              <w:left w:w="0" w:type="dxa"/>
              <w:bottom w:w="0" w:type="dxa"/>
              <w:right w:w="0" w:type="dxa"/>
            </w:tcMar>
            <w:vAlign w:val="center"/>
          </w:tcPr>
          <w:p>
            <w:pPr>
              <w:pStyle w:val="TableContents"/>
              <w:pBdr/>
              <w:bidi w:val="0"/>
              <w:spacing w:before="0" w:after="0"/>
              <w:ind w:left="245" w:right="0" w:hanging="245"/>
              <w:jc w:val="left"/>
              <w:rPr/>
            </w:pPr>
            <w:hyperlink w:anchor="condensed_statements_convertible_preferr">
              <w:r>
                <w:rPr>
                  <w:rStyle w:val="InternetLink"/>
                  <w:rFonts w:ascii="Times New Roman;serif" w:hAnsi="Times New Roman;serif"/>
                  <w:b w:val="false"/>
                  <w:sz w:val="20"/>
                  <w:u w:val="single"/>
                </w:rPr>
                <w:t>Condensed Statements of Stockholders’ Equity</w:t>
              </w:r>
            </w:hyperlink>
            <w:r>
              <w:rPr>
                <w:rFonts w:ascii="Times New Roman" w:hAnsi="Times New Roman"/>
                <w:sz w:val="20"/>
                <w:u w:val="single"/>
              </w:rPr>
              <w:t> </w:t>
            </w:r>
            <w:r>
              <w:rPr>
                <w:rFonts w:ascii="Times New Roman;serif" w:hAnsi="Times New Roman;serif"/>
                <w:b w:val="false"/>
                <w:sz w:val="20"/>
                <w:u w:val="single"/>
              </w:rPr>
              <w:t>for the three and six months ended June 30, 2023 and 2022</w:t>
            </w:r>
            <w:r>
              <w:rPr>
                <w:rFonts w:ascii="Times New Roman" w:hAnsi="Times New Roman"/>
                <w:sz w:val="20"/>
              </w:rPr>
              <w:t xml:space="preserve"> </w:t>
            </w:r>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6" w:type="dxa"/>
            <w:tcBorders/>
            <w:tcMar>
              <w:top w:w="0" w:type="dxa"/>
              <w:left w:w="0" w:type="dxa"/>
              <w:bottom w:w="0" w:type="dxa"/>
              <w:right w:w="0" w:type="dxa"/>
            </w:tcMar>
            <w:vAlign w:val="center"/>
          </w:tcPr>
          <w:p>
            <w:pPr>
              <w:pStyle w:val="TableContents"/>
              <w:bidi w:val="0"/>
              <w:spacing w:before="0" w:after="0"/>
              <w:ind w:left="0" w:right="0" w:firstLine="490"/>
              <w:jc w:val="left"/>
              <w:rPr/>
            </w:pPr>
            <w:r>
              <w:rPr/>
              <w:t> </w:t>
            </w:r>
          </w:p>
        </w:tc>
        <w:tc>
          <w:tcPr>
            <w:tcW w:w="8256" w:type="dxa"/>
            <w:tcBorders/>
            <w:tcMar>
              <w:top w:w="0" w:type="dxa"/>
              <w:left w:w="0" w:type="dxa"/>
              <w:bottom w:w="0" w:type="dxa"/>
              <w:right w:w="0" w:type="dxa"/>
            </w:tcMar>
            <w:vAlign w:val="center"/>
          </w:tcPr>
          <w:p>
            <w:pPr>
              <w:pStyle w:val="TableContents"/>
              <w:pBdr/>
              <w:bidi w:val="0"/>
              <w:spacing w:before="0" w:after="0"/>
              <w:ind w:left="245" w:right="0" w:hanging="245"/>
              <w:jc w:val="left"/>
              <w:rPr/>
            </w:pPr>
            <w:hyperlink w:anchor="condensed_statements_cash_flows">
              <w:r>
                <w:rPr>
                  <w:rStyle w:val="InternetLink"/>
                  <w:rFonts w:ascii="Times New Roman;serif" w:hAnsi="Times New Roman;serif"/>
                  <w:b w:val="false"/>
                  <w:sz w:val="20"/>
                  <w:u w:val="single"/>
                </w:rPr>
                <w:t>Condensed Statements of Cash Flows for the six months ended June 30, 2023 and 2022</w:t>
              </w:r>
            </w:hyperlink>
            <w:hyperlink w:anchor="condensed_statements_cash_flows">
              <w:r>
                <w:rPr>
                  <w:rStyle w:val="InternetLink"/>
                  <w:rFonts w:ascii="Times New Roman" w:hAnsi="Times New Roman"/>
                  <w:sz w:val="20"/>
                </w:rPr>
                <w:t xml:space="preserve"> </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6" w:type="dxa"/>
            <w:tcBorders/>
            <w:tcMar>
              <w:top w:w="0" w:type="dxa"/>
              <w:left w:w="0" w:type="dxa"/>
              <w:bottom w:w="0" w:type="dxa"/>
              <w:right w:w="0" w:type="dxa"/>
            </w:tcMar>
            <w:vAlign w:val="center"/>
          </w:tcPr>
          <w:p>
            <w:pPr>
              <w:pStyle w:val="TableContents"/>
              <w:bidi w:val="0"/>
              <w:spacing w:before="0" w:after="0"/>
              <w:ind w:left="0" w:right="0" w:firstLine="490"/>
              <w:jc w:val="left"/>
              <w:rPr/>
            </w:pPr>
            <w:r>
              <w:rPr/>
              <w:t> </w:t>
            </w:r>
          </w:p>
        </w:tc>
        <w:tc>
          <w:tcPr>
            <w:tcW w:w="8256" w:type="dxa"/>
            <w:tcBorders/>
            <w:tcMar>
              <w:top w:w="0" w:type="dxa"/>
              <w:left w:w="0" w:type="dxa"/>
              <w:bottom w:w="0" w:type="dxa"/>
              <w:right w:w="0" w:type="dxa"/>
            </w:tcMar>
            <w:vAlign w:val="center"/>
          </w:tcPr>
          <w:p>
            <w:pPr>
              <w:pStyle w:val="TableContents"/>
              <w:pBdr/>
              <w:bidi w:val="0"/>
              <w:spacing w:before="0" w:after="0"/>
              <w:ind w:left="245" w:right="0" w:hanging="245"/>
              <w:jc w:val="left"/>
              <w:rPr/>
            </w:pPr>
            <w:hyperlink w:anchor="notes_to_unaudited_condensed_financial_s">
              <w:r>
                <w:rPr>
                  <w:rStyle w:val="InternetLink"/>
                  <w:rFonts w:ascii="Times New Roman;serif" w:hAnsi="Times New Roman;serif"/>
                  <w:b w:val="false"/>
                  <w:sz w:val="20"/>
                  <w:u w:val="single"/>
                </w:rPr>
                <w:t>Notes to Unaudited Condensed Financial Statements</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6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25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6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25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6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25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r>
      <w:tr>
        <w:trPr/>
        <w:tc>
          <w:tcPr>
            <w:tcW w:w="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256" w:type="dxa"/>
            <w:tcBorders/>
            <w:tcMar>
              <w:top w:w="0" w:type="dxa"/>
              <w:left w:w="0" w:type="dxa"/>
              <w:bottom w:w="0" w:type="dxa"/>
              <w:right w:w="0" w:type="dxa"/>
            </w:tcMar>
            <w:vAlign w:val="center"/>
          </w:tcPr>
          <w:p>
            <w:pPr>
              <w:pStyle w:val="TableContents"/>
              <w:bidi w:val="0"/>
              <w:spacing w:before="0" w:after="0"/>
              <w:ind w:left="0" w:right="0" w:hanging="0"/>
              <w:jc w:val="center"/>
              <w:rPr/>
            </w:pPr>
            <w:hyperlink w:anchor="part_iior_information">
              <w:r>
                <w:rPr>
                  <w:rStyle w:val="InternetLink"/>
                  <w:rFonts w:ascii="Times New Roman;serif" w:hAnsi="Times New Roman;serif"/>
                  <w:b/>
                  <w:sz w:val="20"/>
                  <w:u w:val="single"/>
                </w:rPr>
                <w:t>PART II—OTHER INFORMATION</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63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256" w:type="dxa"/>
            <w:tcBorders/>
            <w:tcMar>
              <w:top w:w="0" w:type="dxa"/>
              <w:left w:w="0" w:type="dxa"/>
              <w:bottom w:w="0" w:type="dxa"/>
              <w:right w:w="0" w:type="dxa"/>
            </w:tcMar>
            <w:vAlign w:val="center"/>
          </w:tcPr>
          <w:p>
            <w:pPr>
              <w:pStyle w:val="TableContents"/>
              <w:pBdr/>
              <w:bidi w:val="0"/>
              <w:spacing w:before="0" w:after="0"/>
              <w:ind w:left="0" w:right="0" w:hanging="245"/>
              <w:jc w:val="left"/>
              <w:rPr/>
            </w:pPr>
            <w:hyperlink w:anchor="item_1_legal_proceedings">
              <w:r>
                <w:rPr>
                  <w:rStyle w:val="InternetLink"/>
                  <w:rFonts w:ascii="Times New Roman;serif" w:hAnsi="Times New Roman;serif"/>
                  <w:b w:val="false"/>
                  <w:sz w:val="20"/>
                  <w:u w:val="single"/>
                </w:rPr>
                <w:t>Legal Proceedings</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6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25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6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25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6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25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6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25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6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25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6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25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r>
      <w:tr>
        <w:trPr/>
        <w:tc>
          <w:tcPr>
            <w:tcW w:w="9633" w:type="dxa"/>
            <w:gridSpan w:val="3"/>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caps/>
          <w:sz w:val="20"/>
        </w:rPr>
      </w:pPr>
      <w:r>
        <w:rPr>
          <w:rFonts w:ascii="Times New Roman;serif" w:hAnsi="Times New Roman;serif"/>
          <w:b/>
          <w:caps/>
          <w:sz w:val="20"/>
        </w:rPr>
        <w:t>SPECIAL NOTE REGARDING FORWARD LOOKING STATEMENTS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This Quarterly Report on Form 10-Q, or Quarterly Report, contains forward-looking statements within the meaning of Section 27A of the Securities Act of 1933 and Section 21E of the Securities Act of 1934. All statements other than statements of historical facts contained in this Quarterly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or “continue” or the negative of these terms or other similar expressions. These forward-looking statements include, but are not limited to, statements about: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vision to change the treatment paradigm for heart disease;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ability of our ongoing preclinical studies and ongoing or planned clinical trials to demonstrate safety and efficacy of our product candidates, and other positive results;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timing, dosing, patient enrollment and populations, progress, and results of preclinical studies and ongoing or planned clinical trials for our current product candidates and other product candidates we may develop;</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timing, scope and likelihood of regulatory filings and approvals, including timing of investigational new drugs (INDs), clinical trial applications (CTAs), U.S. Food and Drug Administration (FDA) approvals, and final regulatory approval of our current product candidates and any other future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develop and advance our current product candidates and programs into, and successfully complete,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size of the market opportunity for our product candidates, including our estimates of the number of patients who suffer from the diseases we are targeting;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manufacturing, commercialization, and marketing capabilities and strategy;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competitive position and the success of competing therapies that are or may become available;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plans relating to the further development of our product candidates, including additional indications and targets we may pursue;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existing laws and regulations and regulatory developments in the United States (U.S), Europe and other jurisdictions;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intellectual property position, including the scope and length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continued reliance on third parties to conduct additional preclinical studies and clinical trials of our product candidates, and for the development and manufacture of our product candidates for preclinical studies and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obtain, and negotiate favorable terms of, any collaboration, partnership, licensing or other arrangements that may be necessary or desirable to develop, manufacture or commercialize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pricing and reimbursement of our current product candidates and other product candidates we may develop, if approved, including any increase in demand as a result of the availability of reimbursement from the government and third-party payors;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rate and degree of market acceptance and clinical utility of our current product candidates and other product candidates we may develop;</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estimates regarding expenses, operating losses, future revenue, cash outlays, capital requirements and needs for additional financing, including expenses arising as a result of being a public company;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financial performance;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facilities;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period over which we estimate our existing cash, cash equivalents and investments in marketable securities will be sufficient to fund our future operating expenses and capital expenditure requirements;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critical accounting policies on investor’s ability to understand our financial performance;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our expectations regarding the period during which we will remain an emerging growth company under the Jumpstart Our Business Startups Act of 2012 (JOBS Act).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120" w:after="0"/>
        <w:jc w:val="left"/>
        <w:rPr/>
      </w:pPr>
      <w:r>
        <w:rPr/>
        <w:t> </w:t>
      </w:r>
    </w:p>
    <w:p>
      <w:pPr>
        <w:pStyle w:val="TextBody"/>
        <w:bidi w:val="0"/>
        <w:spacing w:before="0" w:after="0"/>
        <w:jc w:val="center"/>
        <w:rPr>
          <w:rFonts w:ascii="Times New Roman;serif" w:hAnsi="Times New Roman;serif"/>
          <w:b/>
          <w:caps/>
          <w:sz w:val="20"/>
        </w:rPr>
      </w:pPr>
      <w:bookmarkStart w:id="2" w:name="part_i_financial_information"/>
      <w:bookmarkEnd w:id="2"/>
      <w:r>
        <w:rPr>
          <w:rFonts w:ascii="Times New Roman;serif" w:hAnsi="Times New Roman;serif"/>
          <w:b/>
          <w:caps/>
          <w:sz w:val="20"/>
        </w:rPr>
        <w:t>PART I – FINANCIAL INFORMATION</w:t>
      </w:r>
    </w:p>
    <w:p>
      <w:pPr>
        <w:pStyle w:val="TextBody"/>
        <w:bidi w:val="0"/>
        <w:spacing w:before="240" w:after="0"/>
        <w:jc w:val="center"/>
        <w:rPr>
          <w:rFonts w:ascii="Times New Roman;serif" w:hAnsi="Times New Roman;serif"/>
          <w:b/>
          <w:sz w:val="20"/>
        </w:rPr>
      </w:pPr>
      <w:bookmarkStart w:id="3" w:name="item_1_financial_statements"/>
      <w:bookmarkEnd w:id="3"/>
      <w:r>
        <w:rPr>
          <w:rFonts w:ascii="Times New Roman;serif" w:hAnsi="Times New Roman;serif"/>
          <w:b/>
          <w:sz w:val="20"/>
        </w:rPr>
        <w:t>Item 1. Financial Statements.</w:t>
      </w:r>
    </w:p>
    <w:p>
      <w:pPr>
        <w:pStyle w:val="TextBody"/>
        <w:bidi w:val="0"/>
        <w:spacing w:before="240" w:after="0"/>
        <w:jc w:val="center"/>
        <w:rPr>
          <w:rFonts w:ascii="Times New Roman" w:hAnsi="Times New Roman"/>
          <w:sz w:val="20"/>
        </w:rPr>
      </w:pPr>
      <w:r>
        <w:rPr>
          <w:rFonts w:ascii="Times New Roman;serif" w:hAnsi="Times New Roman;serif"/>
          <w:b/>
          <w:caps/>
          <w:sz w:val="20"/>
        </w:rPr>
        <w:t>TENAYA THERAPEUTICS, INC.</w:t>
      </w:r>
      <w:r>
        <w:rPr>
          <w:rFonts w:ascii="Times New Roman" w:hAnsi="Times New Roman"/>
          <w:caps/>
          <w:sz w:val="20"/>
        </w:rPr>
        <w:t xml:space="preserve"> </w:t>
      </w:r>
    </w:p>
    <w:p>
      <w:pPr>
        <w:pStyle w:val="TextBody"/>
        <w:bidi w:val="0"/>
        <w:spacing w:before="240" w:after="0"/>
        <w:jc w:val="center"/>
        <w:rPr>
          <w:rFonts w:ascii="Times New Roman;serif" w:hAnsi="Times New Roman;serif"/>
          <w:b/>
          <w:sz w:val="20"/>
        </w:rPr>
      </w:pPr>
      <w:bookmarkStart w:id="4" w:name="condensed_balance_sheets"/>
      <w:bookmarkEnd w:id="4"/>
      <w:r>
        <w:rPr>
          <w:rFonts w:ascii="Times New Roman;serif" w:hAnsi="Times New Roman;serif"/>
          <w:b/>
          <w:sz w:val="20"/>
        </w:rPr>
        <w:t>Condensed Balance Sheets</w:t>
      </w:r>
    </w:p>
    <w:p>
      <w:pPr>
        <w:pStyle w:val="TextBody"/>
        <w:bidi w:val="0"/>
        <w:spacing w:before="0" w:after="0"/>
        <w:jc w:val="center"/>
        <w:rPr>
          <w:rFonts w:ascii="Times New Roman;serif" w:hAnsi="Times New Roman;serif"/>
          <w:b/>
          <w:i/>
          <w:sz w:val="20"/>
        </w:rPr>
      </w:pPr>
      <w:r>
        <w:rPr>
          <w:rFonts w:ascii="Times New Roman;serif" w:hAnsi="Times New Roman;serif"/>
          <w:b/>
          <w:i/>
          <w:sz w:val="20"/>
        </w:rPr>
        <w:t>(In thousands)</w:t>
      </w:r>
    </w:p>
    <w:p>
      <w:pPr>
        <w:pStyle w:val="TextBody"/>
        <w:bidi w:val="0"/>
        <w:spacing w:before="0" w:after="0"/>
        <w:jc w:val="center"/>
        <w:rPr>
          <w:rFonts w:ascii="Times New Roman;serif" w:hAnsi="Times New Roman;serif"/>
          <w:b/>
          <w:i/>
          <w:sz w:val="20"/>
        </w:rPr>
      </w:pPr>
      <w:r>
        <w:rPr>
          <w:rFonts w:ascii="Times New Roman;serif" w:hAnsi="Times New Roman;serif"/>
          <w:b/>
          <w:i/>
          <w:sz w:val="20"/>
        </w:rPr>
        <w:t>(Unaudited)</w:t>
      </w:r>
    </w:p>
    <w:p>
      <w:pPr>
        <w:pStyle w:val="TextBody"/>
        <w:bidi w:val="0"/>
        <w:spacing w:before="0" w:after="0"/>
        <w:jc w:val="left"/>
        <w:rPr/>
      </w:pPr>
      <w:r>
        <w:rPr/>
        <w:t> </w:t>
      </w:r>
    </w:p>
    <w:tbl>
      <w:tblPr>
        <w:tblW w:w="7317" w:type="dxa"/>
        <w:jc w:val="left"/>
        <w:tblInd w:w="0" w:type="dxa"/>
        <w:tblLayout w:type="fixed"/>
        <w:tblCellMar>
          <w:top w:w="28" w:type="dxa"/>
          <w:left w:w="28" w:type="dxa"/>
          <w:bottom w:w="28" w:type="dxa"/>
          <w:right w:w="28" w:type="dxa"/>
        </w:tblCellMar>
      </w:tblPr>
      <w:tblGrid>
        <w:gridCol w:w="4321"/>
        <w:gridCol w:w="146"/>
        <w:gridCol w:w="211"/>
        <w:gridCol w:w="841"/>
        <w:gridCol w:w="166"/>
        <w:gridCol w:w="146"/>
        <w:gridCol w:w="219"/>
        <w:gridCol w:w="876"/>
        <w:gridCol w:w="3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391" w:type="dxa"/>
            <w:tcBorders/>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100"/>
              <w:jc w:val="right"/>
              <w:rPr/>
            </w:pPr>
            <w:r>
              <w:rPr/>
              <w:t> </w:t>
            </w:r>
          </w:p>
        </w:tc>
      </w:tr>
      <w:tr>
        <w:trPr/>
        <w:tc>
          <w:tcPr>
            <w:tcW w:w="43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75,565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95,272</w:t>
            </w:r>
          </w:p>
        </w:tc>
        <w:tc>
          <w:tcPr>
            <w:tcW w:w="391" w:type="dxa"/>
            <w:tcBorders/>
            <w:vAlign w:val="center"/>
          </w:tcPr>
          <w:p>
            <w:pPr>
              <w:pStyle w:val="TableContents"/>
              <w:bidi w:val="0"/>
              <w:spacing w:before="0" w:after="0"/>
              <w:ind w:left="0" w:right="0" w:firstLine="100"/>
              <w:jc w:val="left"/>
              <w:rPr/>
            </w:pPr>
            <w:r>
              <w:rPr/>
              <w:t> </w:t>
            </w:r>
          </w:p>
        </w:tc>
      </w:tr>
      <w:tr>
        <w:trPr/>
        <w:tc>
          <w:tcPr>
            <w:tcW w:w="43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Short-term investments in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56,940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91,255</w:t>
            </w:r>
          </w:p>
        </w:tc>
        <w:tc>
          <w:tcPr>
            <w:tcW w:w="391" w:type="dxa"/>
            <w:tcBorders/>
            <w:vAlign w:val="center"/>
          </w:tcPr>
          <w:p>
            <w:pPr>
              <w:pStyle w:val="TableContents"/>
              <w:bidi w:val="0"/>
              <w:spacing w:before="0" w:after="0"/>
              <w:ind w:left="0" w:right="0" w:firstLine="100"/>
              <w:jc w:val="left"/>
              <w:rPr/>
            </w:pPr>
            <w:r>
              <w:rPr/>
              <w:t> </w:t>
            </w:r>
          </w:p>
        </w:tc>
      </w:tr>
      <w:tr>
        <w:trPr/>
        <w:tc>
          <w:tcPr>
            <w:tcW w:w="43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7,227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3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138,906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193,754</w:t>
            </w:r>
          </w:p>
        </w:tc>
        <w:tc>
          <w:tcPr>
            <w:tcW w:w="391" w:type="dxa"/>
            <w:tcBorders/>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47,039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51,032</w:t>
            </w:r>
          </w:p>
        </w:tc>
        <w:tc>
          <w:tcPr>
            <w:tcW w:w="391" w:type="dxa"/>
            <w:tcBorders/>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11,663</w:t>
            </w:r>
          </w:p>
        </w:tc>
        <w:tc>
          <w:tcPr>
            <w:tcW w:w="391" w:type="dxa"/>
            <w:tcBorders/>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investments in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17,703</w:t>
            </w:r>
          </w:p>
        </w:tc>
        <w:tc>
          <w:tcPr>
            <w:tcW w:w="391" w:type="dxa"/>
            <w:tcBorders/>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4,793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3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220,754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278,945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100"/>
              <w:jc w:val="right"/>
              <w:rPr/>
            </w:pPr>
            <w:r>
              <w:rPr/>
              <w:t> </w:t>
            </w:r>
          </w:p>
        </w:tc>
      </w:tr>
      <w:tr>
        <w:trPr/>
        <w:tc>
          <w:tcPr>
            <w:tcW w:w="43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9,578</w:t>
            </w:r>
          </w:p>
        </w:tc>
        <w:tc>
          <w:tcPr>
            <w:tcW w:w="391" w:type="dxa"/>
            <w:tcBorders/>
            <w:vAlign w:val="center"/>
          </w:tcPr>
          <w:p>
            <w:pPr>
              <w:pStyle w:val="TableContents"/>
              <w:bidi w:val="0"/>
              <w:spacing w:before="0" w:after="0"/>
              <w:ind w:left="0" w:right="0" w:firstLine="100"/>
              <w:jc w:val="left"/>
              <w:rPr/>
            </w:pPr>
            <w:r>
              <w:rPr/>
              <w:t> </w:t>
            </w:r>
          </w:p>
        </w:tc>
      </w:tr>
      <w:tr>
        <w:trPr/>
        <w:tc>
          <w:tcPr>
            <w:tcW w:w="43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Accrued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10,664</w:t>
            </w:r>
          </w:p>
        </w:tc>
        <w:tc>
          <w:tcPr>
            <w:tcW w:w="391" w:type="dxa"/>
            <w:tcBorders/>
            <w:vAlign w:val="center"/>
          </w:tcPr>
          <w:p>
            <w:pPr>
              <w:pStyle w:val="TableContents"/>
              <w:bidi w:val="0"/>
              <w:spacing w:before="0" w:after="0"/>
              <w:ind w:left="0" w:right="0" w:firstLine="100"/>
              <w:jc w:val="left"/>
              <w:rPr/>
            </w:pPr>
            <w:r>
              <w:rPr/>
              <w:t> </w:t>
            </w:r>
          </w:p>
        </w:tc>
      </w:tr>
      <w:tr>
        <w:trPr/>
        <w:tc>
          <w:tcPr>
            <w:tcW w:w="43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Operating lease liabilities, current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3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24,248</w:t>
            </w:r>
          </w:p>
        </w:tc>
        <w:tc>
          <w:tcPr>
            <w:tcW w:w="391" w:type="dxa"/>
            <w:tcBorders/>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noncurrent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11,093</w:t>
            </w:r>
          </w:p>
        </w:tc>
        <w:tc>
          <w:tcPr>
            <w:tcW w:w="391" w:type="dxa"/>
            <w:tcBorders/>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3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35,569</w:t>
            </w:r>
          </w:p>
        </w:tc>
        <w:tc>
          <w:tcPr>
            <w:tcW w:w="391" w:type="dxa"/>
            <w:tcBorders/>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6)</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100"/>
              <w:jc w:val="right"/>
              <w:rPr/>
            </w:pPr>
            <w:r>
              <w:rPr/>
              <w:t> </w:t>
            </w:r>
          </w:p>
        </w:tc>
      </w:tr>
      <w:tr>
        <w:trPr/>
        <w:tc>
          <w:tcPr>
            <w:tcW w:w="43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Common stock</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391" w:type="dxa"/>
            <w:tcBorders/>
            <w:vAlign w:val="center"/>
          </w:tcPr>
          <w:p>
            <w:pPr>
              <w:pStyle w:val="TableContents"/>
              <w:bidi w:val="0"/>
              <w:spacing w:before="0" w:after="0"/>
              <w:ind w:left="0" w:right="0" w:firstLine="100"/>
              <w:jc w:val="left"/>
              <w:rPr/>
            </w:pPr>
            <w:r>
              <w:rPr/>
              <w:t> </w:t>
            </w:r>
          </w:p>
        </w:tc>
      </w:tr>
      <w:tr>
        <w:trPr/>
        <w:tc>
          <w:tcPr>
            <w:tcW w:w="43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534,470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522,945</w:t>
            </w:r>
          </w:p>
        </w:tc>
        <w:tc>
          <w:tcPr>
            <w:tcW w:w="391" w:type="dxa"/>
            <w:tcBorders/>
            <w:vAlign w:val="center"/>
          </w:tcPr>
          <w:p>
            <w:pPr>
              <w:pStyle w:val="TableContents"/>
              <w:bidi w:val="0"/>
              <w:spacing w:before="0" w:after="0"/>
              <w:ind w:left="0" w:right="0" w:firstLine="100"/>
              <w:jc w:val="left"/>
              <w:rPr/>
            </w:pPr>
            <w:r>
              <w:rPr/>
              <w:t> </w:t>
            </w:r>
          </w:p>
        </w:tc>
      </w:tr>
      <w:tr>
        <w:trPr/>
        <w:tc>
          <w:tcPr>
            <w:tcW w:w="43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(378</w:t>
            </w:r>
          </w:p>
        </w:tc>
        <w:tc>
          <w:tcPr>
            <w:tcW w:w="39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(344,204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(279,198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189,940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243,376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220,754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278,945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unaudited condensed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caps/>
          <w:sz w:val="20"/>
        </w:rPr>
        <w:t>TENAYA THERAPEUTICS, INC.</w:t>
      </w:r>
      <w:r>
        <w:rPr>
          <w:rFonts w:ascii="Times New Roman" w:hAnsi="Times New Roman"/>
          <w:caps/>
          <w:sz w:val="20"/>
        </w:rPr>
        <w:t xml:space="preserve"> </w:t>
      </w:r>
    </w:p>
    <w:p>
      <w:pPr>
        <w:pStyle w:val="TextBody"/>
        <w:bidi w:val="0"/>
        <w:spacing w:before="240" w:after="0"/>
        <w:jc w:val="center"/>
        <w:rPr>
          <w:rFonts w:ascii="Times New Roman" w:hAnsi="Times New Roman"/>
          <w:sz w:val="20"/>
        </w:rPr>
      </w:pPr>
      <w:bookmarkStart w:id="5" w:name="condensed_statements_operations_comprehe"/>
      <w:bookmarkEnd w:id="5"/>
      <w:r>
        <w:rPr>
          <w:rFonts w:ascii="Times New Roman;serif" w:hAnsi="Times New Roman;serif"/>
          <w:b/>
          <w:sz w:val="20"/>
        </w:rPr>
        <w:t>Condensed Statements of Operations and Comprehensive Loss</w:t>
      </w:r>
      <w:r>
        <w:rPr>
          <w:rFonts w:ascii="Times New Roman" w:hAnsi="Times New Roman"/>
          <w:sz w:val="20"/>
        </w:rPr>
        <w:t xml:space="preserve"> </w:t>
      </w:r>
    </w:p>
    <w:p>
      <w:pPr>
        <w:pStyle w:val="TextBody"/>
        <w:bidi w:val="0"/>
        <w:spacing w:before="0" w:after="0"/>
        <w:jc w:val="center"/>
        <w:rPr>
          <w:rFonts w:ascii="Times New Roman;serif" w:hAnsi="Times New Roman;serif"/>
          <w:b/>
          <w:i/>
          <w:sz w:val="20"/>
        </w:rPr>
      </w:pPr>
      <w:r>
        <w:rPr>
          <w:rFonts w:ascii="Times New Roman;serif" w:hAnsi="Times New Roman;serif"/>
          <w:b/>
          <w:i/>
          <w:sz w:val="20"/>
        </w:rPr>
        <w:t>(In thousands, except share and per share data)</w:t>
      </w:r>
    </w:p>
    <w:p>
      <w:pPr>
        <w:pStyle w:val="TextBody"/>
        <w:bidi w:val="0"/>
        <w:spacing w:before="0" w:after="0"/>
        <w:jc w:val="center"/>
        <w:rPr>
          <w:rFonts w:ascii="Times New Roman;serif" w:hAnsi="Times New Roman;serif"/>
          <w:b/>
          <w:i/>
          <w:sz w:val="20"/>
        </w:rPr>
      </w:pPr>
      <w:r>
        <w:rPr>
          <w:rFonts w:ascii="Times New Roman;serif" w:hAnsi="Times New Roman;serif"/>
          <w:b/>
          <w:i/>
          <w:sz w:val="20"/>
        </w:rPr>
        <w:t>(Unaudited)</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100"/>
              <w:jc w:val="right"/>
              <w:rPr/>
            </w:pPr>
            <w:r>
              <w:rPr/>
              <w:t> </w:t>
            </w:r>
          </w:p>
        </w:tc>
      </w:tr>
      <w:tr>
        <w:trPr/>
        <w:tc>
          <w:tcPr>
            <w:tcW w:w="372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52,082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45,031</w:t>
            </w:r>
          </w:p>
        </w:tc>
        <w:tc>
          <w:tcPr>
            <w:tcW w:w="411" w:type="dxa"/>
            <w:tcBorders/>
            <w:vAlign w:val="center"/>
          </w:tcPr>
          <w:p>
            <w:pPr>
              <w:pStyle w:val="TableContents"/>
              <w:bidi w:val="0"/>
              <w:spacing w:before="0" w:after="0"/>
              <w:ind w:left="0" w:right="0" w:firstLine="100"/>
              <w:jc w:val="left"/>
              <w:rPr/>
            </w:pPr>
            <w:r>
              <w:rPr/>
              <w:t> </w:t>
            </w:r>
          </w:p>
        </w:tc>
      </w:tr>
      <w:tr>
        <w:trPr/>
        <w:tc>
          <w:tcPr>
            <w:tcW w:w="372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14,742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7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59,773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(28,619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(59,773</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100"/>
              <w:jc w:val="right"/>
              <w:rPr/>
            </w:pPr>
            <w:r>
              <w:rPr/>
              <w:t> </w:t>
            </w:r>
          </w:p>
        </w:tc>
      </w:tr>
      <w:tr>
        <w:trPr/>
        <w:tc>
          <w:tcPr>
            <w:tcW w:w="372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w:t>
            </w:r>
          </w:p>
        </w:tc>
        <w:tc>
          <w:tcPr>
            <w:tcW w:w="411" w:type="dxa"/>
            <w:tcBorders/>
            <w:vAlign w:val="center"/>
          </w:tcPr>
          <w:p>
            <w:pPr>
              <w:pStyle w:val="TableContents"/>
              <w:bidi w:val="0"/>
              <w:spacing w:before="0" w:after="0"/>
              <w:ind w:left="0" w:right="0" w:firstLine="100"/>
              <w:jc w:val="left"/>
              <w:rPr/>
            </w:pPr>
            <w:r>
              <w:rPr/>
              <w:t> </w:t>
            </w:r>
          </w:p>
        </w:tc>
      </w:tr>
      <w:tr>
        <w:trPr/>
        <w:tc>
          <w:tcPr>
            <w:tcW w:w="372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7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before income tax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(65,006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(59,453</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(65,006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(59,453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100"/>
              <w:jc w:val="right"/>
              <w:rPr/>
            </w:pPr>
            <w:r>
              <w:rPr/>
              <w:t> </w:t>
            </w:r>
          </w:p>
        </w:tc>
      </w:tr>
      <w:tr>
        <w:trPr/>
        <w:tc>
          <w:tcPr>
            <w:tcW w:w="372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unrealized gain (loss) on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(33,482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(64,961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(60,051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used in computing net loss per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73,399,847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41,302,157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73,249,702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41,285,168</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4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unaudited condensed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caps/>
          <w:sz w:val="20"/>
        </w:rPr>
      </w:pPr>
      <w:r>
        <w:rPr>
          <w:rFonts w:ascii="Times New Roman;serif" w:hAnsi="Times New Roman;serif"/>
          <w:b/>
          <w:caps/>
          <w:sz w:val="20"/>
        </w:rPr>
        <w:t>TENAYA THERAPEUTICS, INC.</w:t>
      </w:r>
    </w:p>
    <w:p>
      <w:pPr>
        <w:pStyle w:val="TextBody"/>
        <w:bidi w:val="0"/>
        <w:spacing w:before="240" w:after="0"/>
        <w:jc w:val="center"/>
        <w:rPr>
          <w:rFonts w:ascii="Times New Roman;serif" w:hAnsi="Times New Roman;serif"/>
          <w:b/>
          <w:sz w:val="20"/>
        </w:rPr>
      </w:pPr>
      <w:bookmarkStart w:id="6" w:name="condensed_statements_convertible_preferr"/>
      <w:bookmarkEnd w:id="6"/>
      <w:r>
        <w:rPr>
          <w:rFonts w:ascii="Times New Roman;serif" w:hAnsi="Times New Roman;serif"/>
          <w:b/>
          <w:sz w:val="20"/>
        </w:rPr>
        <w:t>Condensed Statements of Stockholders’ Equity</w:t>
      </w:r>
    </w:p>
    <w:p>
      <w:pPr>
        <w:pStyle w:val="TextBody"/>
        <w:bidi w:val="0"/>
        <w:spacing w:before="0" w:after="0"/>
        <w:jc w:val="center"/>
        <w:rPr>
          <w:rFonts w:ascii="Times New Roman;serif" w:hAnsi="Times New Roman;serif"/>
          <w:b/>
          <w:i/>
          <w:sz w:val="20"/>
        </w:rPr>
      </w:pPr>
      <w:r>
        <w:rPr>
          <w:rFonts w:ascii="Times New Roman;serif" w:hAnsi="Times New Roman;serif"/>
          <w:b/>
          <w:i/>
          <w:sz w:val="20"/>
        </w:rPr>
        <w:t>(In thousands, except share data)</w:t>
      </w:r>
    </w:p>
    <w:p>
      <w:pPr>
        <w:pStyle w:val="TextBody"/>
        <w:bidi w:val="0"/>
        <w:spacing w:before="0" w:after="0"/>
        <w:jc w:val="center"/>
        <w:rPr>
          <w:rFonts w:ascii="Times New Roman;serif" w:hAnsi="Times New Roman;serif"/>
          <w:b/>
          <w:i/>
          <w:sz w:val="20"/>
        </w:rPr>
      </w:pPr>
      <w:r>
        <w:rPr>
          <w:rFonts w:ascii="Times New Roman;serif" w:hAnsi="Times New Roman;serif"/>
          <w:b/>
          <w:i/>
          <w:sz w:val="20"/>
        </w:rPr>
        <w:t>(Unaudited)</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1678"/>
        <w:gridCol w:w="146"/>
        <w:gridCol w:w="146"/>
        <w:gridCol w:w="146"/>
        <w:gridCol w:w="916"/>
        <w:gridCol w:w="146"/>
        <w:gridCol w:w="146"/>
        <w:gridCol w:w="249"/>
        <w:gridCol w:w="442"/>
        <w:gridCol w:w="146"/>
        <w:gridCol w:w="146"/>
        <w:gridCol w:w="196"/>
        <w:gridCol w:w="691"/>
        <w:gridCol w:w="146"/>
        <w:gridCol w:w="146"/>
        <w:gridCol w:w="465"/>
        <w:gridCol w:w="1035"/>
        <w:gridCol w:w="166"/>
        <w:gridCol w:w="146"/>
        <w:gridCol w:w="217"/>
        <w:gridCol w:w="834"/>
        <w:gridCol w:w="166"/>
        <w:gridCol w:w="146"/>
        <w:gridCol w:w="248"/>
        <w:gridCol w:w="882"/>
        <w:gridCol w:w="414"/>
      </w:tblGrid>
      <w:tr>
        <w:trPr/>
        <w:tc>
          <w:tcPr>
            <w:tcW w:w="1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67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Other 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Stockholders’</w:t>
            </w:r>
          </w:p>
        </w:tc>
        <w:tc>
          <w:tcPr>
            <w:tcW w:w="414" w:type="dxa"/>
            <w:tcBorders/>
            <w:vAlign w:val="center"/>
          </w:tcPr>
          <w:p>
            <w:pPr>
              <w:pStyle w:val="TableContents"/>
              <w:bidi w:val="0"/>
              <w:spacing w:before="0" w:after="0"/>
              <w:ind w:left="0" w:right="0" w:hanging="0"/>
              <w:jc w:val="center"/>
              <w:rPr/>
            </w:pPr>
            <w:r>
              <w:rPr/>
              <w:t> </w:t>
            </w:r>
          </w:p>
        </w:tc>
      </w:tr>
      <w:tr>
        <w:trPr/>
        <w:tc>
          <w:tcPr>
            <w:tcW w:w="167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7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January 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66,857,113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4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522,945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3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(279,198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243,376</w:t>
            </w:r>
          </w:p>
        </w:tc>
        <w:tc>
          <w:tcPr>
            <w:tcW w:w="414" w:type="dxa"/>
            <w:tcBorders/>
            <w:vAlign w:val="center"/>
          </w:tcPr>
          <w:p>
            <w:pPr>
              <w:pStyle w:val="TableContents"/>
              <w:bidi w:val="0"/>
              <w:spacing w:before="0" w:after="0"/>
              <w:ind w:left="0" w:right="0" w:firstLine="200"/>
              <w:jc w:val="left"/>
              <w:rPr/>
            </w:pPr>
            <w:r>
              <w:rPr/>
              <w:t> </w:t>
            </w:r>
          </w:p>
        </w:tc>
      </w:tr>
      <w:tr>
        <w:trPr/>
        <w:tc>
          <w:tcPr>
            <w:tcW w:w="167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Issuance of common stock upon exercise</w:t>
              <w:br/>
              <w:t>   of stock options and vesting of restricted</w:t>
              <w:br/>
              <w:t>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8,311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pPr>
            <w:r>
              <w:rPr/>
              <w:t>—</w:t>
            </w:r>
          </w:p>
        </w:tc>
        <w:tc>
          <w:tcPr>
            <w:tcW w:w="414" w:type="dxa"/>
            <w:tcBorders/>
            <w:vAlign w:val="center"/>
          </w:tcPr>
          <w:p>
            <w:pPr>
              <w:pStyle w:val="TableContents"/>
              <w:bidi w:val="0"/>
              <w:spacing w:before="0" w:after="0"/>
              <w:ind w:left="0" w:right="0" w:firstLine="200"/>
              <w:jc w:val="left"/>
              <w:rPr/>
            </w:pPr>
            <w:r>
              <w:rPr/>
              <w:t> </w:t>
            </w:r>
          </w:p>
        </w:tc>
      </w:tr>
      <w:tr>
        <w:trPr/>
        <w:tc>
          <w:tcPr>
            <w:tcW w:w="167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Vesting of early exercised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414" w:type="dxa"/>
            <w:tcBorders/>
            <w:vAlign w:val="center"/>
          </w:tcPr>
          <w:p>
            <w:pPr>
              <w:pStyle w:val="TableContents"/>
              <w:bidi w:val="0"/>
              <w:spacing w:before="0" w:after="0"/>
              <w:ind w:left="0" w:right="0" w:firstLine="200"/>
              <w:jc w:val="left"/>
              <w:rPr/>
            </w:pPr>
            <w:r>
              <w:rPr/>
              <w:t> </w:t>
            </w:r>
          </w:p>
        </w:tc>
      </w:tr>
      <w:tr>
        <w:trPr/>
        <w:tc>
          <w:tcPr>
            <w:tcW w:w="167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3,514</w:t>
            </w:r>
          </w:p>
        </w:tc>
        <w:tc>
          <w:tcPr>
            <w:tcW w:w="414" w:type="dxa"/>
            <w:tcBorders/>
            <w:vAlign w:val="center"/>
          </w:tcPr>
          <w:p>
            <w:pPr>
              <w:pStyle w:val="TableContents"/>
              <w:bidi w:val="0"/>
              <w:spacing w:before="0" w:after="0"/>
              <w:ind w:left="0" w:right="0" w:firstLine="200"/>
              <w:jc w:val="left"/>
              <w:rPr/>
            </w:pPr>
            <w:r>
              <w:rPr/>
              <w:t> </w:t>
            </w:r>
          </w:p>
        </w:tc>
      </w:tr>
      <w:tr>
        <w:trPr/>
        <w:tc>
          <w:tcPr>
            <w:tcW w:w="167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comprehensive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258</w:t>
            </w:r>
          </w:p>
        </w:tc>
        <w:tc>
          <w:tcPr>
            <w:tcW w:w="414" w:type="dxa"/>
            <w:tcBorders/>
            <w:vAlign w:val="center"/>
          </w:tcPr>
          <w:p>
            <w:pPr>
              <w:pStyle w:val="TableContents"/>
              <w:bidi w:val="0"/>
              <w:spacing w:before="0" w:after="0"/>
              <w:ind w:left="0" w:right="0" w:firstLine="200"/>
              <w:jc w:val="left"/>
              <w:rPr/>
            </w:pPr>
            <w:r>
              <w:rPr/>
              <w:t> </w:t>
            </w:r>
          </w:p>
        </w:tc>
      </w:tr>
      <w:tr>
        <w:trPr/>
        <w:tc>
          <w:tcPr>
            <w:tcW w:w="167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(31,737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(31,737</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67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66,865,424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526,460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(310,935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215,412</w:t>
            </w:r>
          </w:p>
        </w:tc>
        <w:tc>
          <w:tcPr>
            <w:tcW w:w="414"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67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Issuance of common stock in connection with</w:t>
              <w:br/>
              <w:t>   at-the-market sales, net of issuance costs of $120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535,767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65"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3,868</w:t>
            </w:r>
          </w:p>
        </w:tc>
        <w:tc>
          <w:tcPr>
            <w:tcW w:w="414" w:type="dxa"/>
            <w:tcBorders/>
            <w:vAlign w:val="center"/>
          </w:tcPr>
          <w:p>
            <w:pPr>
              <w:pStyle w:val="TableContents"/>
              <w:bidi w:val="0"/>
              <w:spacing w:before="0" w:after="0"/>
              <w:ind w:left="0" w:right="0" w:firstLine="200"/>
              <w:jc w:val="left"/>
              <w:rPr/>
            </w:pPr>
            <w:r>
              <w:rPr/>
              <w:t> </w:t>
            </w:r>
          </w:p>
        </w:tc>
      </w:tr>
      <w:tr>
        <w:trPr/>
        <w:tc>
          <w:tcPr>
            <w:tcW w:w="167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Issuance of common stock upon exercise</w:t>
              <w:br/>
              <w:t>  of pre-funded warrants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302,517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65"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pPr>
            <w:r>
              <w:rPr/>
              <w:t>—</w:t>
            </w:r>
          </w:p>
        </w:tc>
        <w:tc>
          <w:tcPr>
            <w:tcW w:w="414" w:type="dxa"/>
            <w:tcBorders/>
            <w:vAlign w:val="center"/>
          </w:tcPr>
          <w:p>
            <w:pPr>
              <w:pStyle w:val="TableContents"/>
              <w:bidi w:val="0"/>
              <w:spacing w:before="0" w:after="0"/>
              <w:ind w:left="0" w:right="0" w:firstLine="200"/>
              <w:jc w:val="left"/>
              <w:rPr/>
            </w:pPr>
            <w:r>
              <w:rPr/>
              <w:t> </w:t>
            </w:r>
          </w:p>
        </w:tc>
      </w:tr>
      <w:tr>
        <w:trPr/>
        <w:tc>
          <w:tcPr>
            <w:tcW w:w="167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 xml:space="preserve">Issuance of common stock pursuant to </w:t>
              <w:br/>
              <w:t>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150,575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65"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282</w:t>
            </w:r>
          </w:p>
        </w:tc>
        <w:tc>
          <w:tcPr>
            <w:tcW w:w="414" w:type="dxa"/>
            <w:tcBorders/>
            <w:vAlign w:val="center"/>
          </w:tcPr>
          <w:p>
            <w:pPr>
              <w:pStyle w:val="TableContents"/>
              <w:bidi w:val="0"/>
              <w:spacing w:before="0" w:after="0"/>
              <w:ind w:left="0" w:right="0" w:firstLine="200"/>
              <w:jc w:val="left"/>
              <w:rPr/>
            </w:pPr>
            <w:r>
              <w:rPr/>
              <w:t> </w:t>
            </w:r>
          </w:p>
        </w:tc>
      </w:tr>
      <w:tr>
        <w:trPr/>
        <w:tc>
          <w:tcPr>
            <w:tcW w:w="167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Issuance of common stock upon exercise</w:t>
              <w:br/>
              <w:t>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10,875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65"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w:t>
            </w:r>
          </w:p>
        </w:tc>
        <w:tc>
          <w:tcPr>
            <w:tcW w:w="414" w:type="dxa"/>
            <w:tcBorders/>
            <w:vAlign w:val="center"/>
          </w:tcPr>
          <w:p>
            <w:pPr>
              <w:pStyle w:val="TableContents"/>
              <w:bidi w:val="0"/>
              <w:spacing w:before="0" w:after="0"/>
              <w:ind w:left="0" w:right="0" w:firstLine="200"/>
              <w:jc w:val="left"/>
              <w:rPr/>
            </w:pPr>
            <w:r>
              <w:rPr/>
              <w:t> </w:t>
            </w:r>
          </w:p>
        </w:tc>
      </w:tr>
      <w:tr>
        <w:trPr/>
        <w:tc>
          <w:tcPr>
            <w:tcW w:w="167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65"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3,831</w:t>
            </w:r>
          </w:p>
        </w:tc>
        <w:tc>
          <w:tcPr>
            <w:tcW w:w="414" w:type="dxa"/>
            <w:tcBorders/>
            <w:vAlign w:val="center"/>
          </w:tcPr>
          <w:p>
            <w:pPr>
              <w:pStyle w:val="TableContents"/>
              <w:bidi w:val="0"/>
              <w:spacing w:before="0" w:after="0"/>
              <w:ind w:left="0" w:right="0" w:firstLine="200"/>
              <w:jc w:val="left"/>
              <w:rPr/>
            </w:pPr>
            <w:r>
              <w:rPr/>
              <w:t> </w:t>
            </w:r>
          </w:p>
        </w:tc>
      </w:tr>
      <w:tr>
        <w:trPr/>
        <w:tc>
          <w:tcPr>
            <w:tcW w:w="167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comprehensive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65"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(213</w:t>
            </w:r>
          </w:p>
        </w:tc>
        <w:tc>
          <w:tcPr>
            <w:tcW w:w="414"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67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(33,269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(33,269</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67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67,865,158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534,470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(344,204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189,940</w:t>
            </w:r>
          </w:p>
        </w:tc>
        <w:tc>
          <w:tcPr>
            <w:tcW w:w="4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08"/>
        <w:gridCol w:w="146"/>
        <w:gridCol w:w="146"/>
        <w:gridCol w:w="146"/>
        <w:gridCol w:w="916"/>
        <w:gridCol w:w="146"/>
        <w:gridCol w:w="146"/>
        <w:gridCol w:w="249"/>
        <w:gridCol w:w="442"/>
        <w:gridCol w:w="146"/>
        <w:gridCol w:w="146"/>
        <w:gridCol w:w="196"/>
        <w:gridCol w:w="691"/>
        <w:gridCol w:w="146"/>
        <w:gridCol w:w="146"/>
        <w:gridCol w:w="481"/>
        <w:gridCol w:w="1071"/>
        <w:gridCol w:w="166"/>
        <w:gridCol w:w="146"/>
        <w:gridCol w:w="217"/>
        <w:gridCol w:w="834"/>
        <w:gridCol w:w="166"/>
        <w:gridCol w:w="146"/>
        <w:gridCol w:w="252"/>
        <w:gridCol w:w="896"/>
        <w:gridCol w:w="414"/>
      </w:tblGrid>
      <w:tr>
        <w:trPr/>
        <w:tc>
          <w:tcPr>
            <w:tcW w:w="1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60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Other 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8"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Stockholders’</w:t>
            </w:r>
          </w:p>
        </w:tc>
        <w:tc>
          <w:tcPr>
            <w:tcW w:w="414" w:type="dxa"/>
            <w:tcBorders/>
            <w:vAlign w:val="center"/>
          </w:tcPr>
          <w:p>
            <w:pPr>
              <w:pStyle w:val="TableContents"/>
              <w:bidi w:val="0"/>
              <w:spacing w:before="0" w:after="0"/>
              <w:ind w:left="0" w:right="0" w:hanging="0"/>
              <w:jc w:val="center"/>
              <w:rPr/>
            </w:pPr>
            <w:r>
              <w:rPr/>
              <w:t> </w:t>
            </w:r>
          </w:p>
        </w:tc>
      </w:tr>
      <w:tr>
        <w:trPr/>
        <w:tc>
          <w:tcPr>
            <w:tcW w:w="160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0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January 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41,291,374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4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434,196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(155,533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278,526</w:t>
            </w:r>
          </w:p>
        </w:tc>
        <w:tc>
          <w:tcPr>
            <w:tcW w:w="414" w:type="dxa"/>
            <w:tcBorders/>
            <w:vAlign w:val="center"/>
          </w:tcPr>
          <w:p>
            <w:pPr>
              <w:pStyle w:val="TableContents"/>
              <w:bidi w:val="0"/>
              <w:spacing w:before="0" w:after="0"/>
              <w:ind w:left="0" w:right="0" w:firstLine="200"/>
              <w:jc w:val="left"/>
              <w:rPr/>
            </w:pPr>
            <w:r>
              <w:rPr/>
              <w:t> </w:t>
            </w:r>
          </w:p>
        </w:tc>
      </w:tr>
      <w:tr>
        <w:trPr/>
        <w:tc>
          <w:tcPr>
            <w:tcW w:w="160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Issuance of common stock upon exercise</w:t>
              <w:br/>
              <w:t>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7,652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w:t>
            </w:r>
          </w:p>
        </w:tc>
        <w:tc>
          <w:tcPr>
            <w:tcW w:w="414" w:type="dxa"/>
            <w:tcBorders/>
            <w:vAlign w:val="center"/>
          </w:tcPr>
          <w:p>
            <w:pPr>
              <w:pStyle w:val="TableContents"/>
              <w:bidi w:val="0"/>
              <w:spacing w:before="0" w:after="0"/>
              <w:ind w:left="0" w:right="0" w:firstLine="200"/>
              <w:jc w:val="left"/>
              <w:rPr/>
            </w:pPr>
            <w:r>
              <w:rPr/>
              <w:t> </w:t>
            </w:r>
          </w:p>
        </w:tc>
      </w:tr>
      <w:tr>
        <w:trPr/>
        <w:tc>
          <w:tcPr>
            <w:tcW w:w="160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Vesting of early exercised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414" w:type="dxa"/>
            <w:tcBorders/>
            <w:vAlign w:val="center"/>
          </w:tcPr>
          <w:p>
            <w:pPr>
              <w:pStyle w:val="TableContents"/>
              <w:bidi w:val="0"/>
              <w:spacing w:before="0" w:after="0"/>
              <w:ind w:left="0" w:right="0" w:firstLine="200"/>
              <w:jc w:val="left"/>
              <w:rPr/>
            </w:pPr>
            <w:r>
              <w:rPr/>
              <w:t> </w:t>
            </w:r>
          </w:p>
        </w:tc>
      </w:tr>
      <w:tr>
        <w:trPr/>
        <w:tc>
          <w:tcPr>
            <w:tcW w:w="160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2,094</w:t>
            </w:r>
          </w:p>
        </w:tc>
        <w:tc>
          <w:tcPr>
            <w:tcW w:w="414" w:type="dxa"/>
            <w:tcBorders/>
            <w:vAlign w:val="center"/>
          </w:tcPr>
          <w:p>
            <w:pPr>
              <w:pStyle w:val="TableContents"/>
              <w:bidi w:val="0"/>
              <w:spacing w:before="0" w:after="0"/>
              <w:ind w:left="0" w:right="0" w:firstLine="200"/>
              <w:jc w:val="left"/>
              <w:rPr/>
            </w:pPr>
            <w:r>
              <w:rPr/>
              <w:t> </w:t>
            </w:r>
          </w:p>
        </w:tc>
      </w:tr>
      <w:tr>
        <w:trPr/>
        <w:tc>
          <w:tcPr>
            <w:tcW w:w="160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comprehensive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(490</w:t>
            </w:r>
          </w:p>
        </w:tc>
        <w:tc>
          <w:tcPr>
            <w:tcW w:w="414"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60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(31,056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(31,056</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60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41,299,026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436,313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(186,589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249,097</w:t>
            </w:r>
          </w:p>
        </w:tc>
        <w:tc>
          <w:tcPr>
            <w:tcW w:w="414"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60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Issuance of common stock upon exercise</w:t>
              <w:br/>
              <w:t>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13,186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81"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w:t>
            </w:r>
          </w:p>
        </w:tc>
        <w:tc>
          <w:tcPr>
            <w:tcW w:w="414" w:type="dxa"/>
            <w:tcBorders/>
            <w:vAlign w:val="center"/>
          </w:tcPr>
          <w:p>
            <w:pPr>
              <w:pStyle w:val="TableContents"/>
              <w:bidi w:val="0"/>
              <w:spacing w:before="0" w:after="0"/>
              <w:ind w:left="0" w:right="0" w:firstLine="200"/>
              <w:jc w:val="left"/>
              <w:rPr/>
            </w:pPr>
            <w:r>
              <w:rPr/>
              <w:t> </w:t>
            </w:r>
          </w:p>
        </w:tc>
      </w:tr>
      <w:tr>
        <w:trPr/>
        <w:tc>
          <w:tcPr>
            <w:tcW w:w="160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 xml:space="preserve">Issuance of common stock pursuant to </w:t>
              <w:br/>
              <w:t>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51,608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81"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230</w:t>
            </w:r>
          </w:p>
        </w:tc>
        <w:tc>
          <w:tcPr>
            <w:tcW w:w="414" w:type="dxa"/>
            <w:tcBorders/>
            <w:vAlign w:val="center"/>
          </w:tcPr>
          <w:p>
            <w:pPr>
              <w:pStyle w:val="TableContents"/>
              <w:bidi w:val="0"/>
              <w:spacing w:before="0" w:after="0"/>
              <w:ind w:left="0" w:right="0" w:firstLine="200"/>
              <w:jc w:val="left"/>
              <w:rPr/>
            </w:pPr>
            <w:r>
              <w:rPr/>
              <w:t> </w:t>
            </w:r>
          </w:p>
        </w:tc>
      </w:tr>
      <w:tr>
        <w:trPr/>
        <w:tc>
          <w:tcPr>
            <w:tcW w:w="160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Vesting of early exercised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81"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w:t>
            </w:r>
          </w:p>
        </w:tc>
        <w:tc>
          <w:tcPr>
            <w:tcW w:w="414" w:type="dxa"/>
            <w:tcBorders/>
            <w:vAlign w:val="center"/>
          </w:tcPr>
          <w:p>
            <w:pPr>
              <w:pStyle w:val="TableContents"/>
              <w:bidi w:val="0"/>
              <w:spacing w:before="0" w:after="0"/>
              <w:ind w:left="0" w:right="0" w:firstLine="200"/>
              <w:jc w:val="left"/>
              <w:rPr/>
            </w:pPr>
            <w:r>
              <w:rPr/>
              <w:t> </w:t>
            </w:r>
          </w:p>
        </w:tc>
      </w:tr>
      <w:tr>
        <w:trPr/>
        <w:tc>
          <w:tcPr>
            <w:tcW w:w="160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81"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3,012</w:t>
            </w:r>
          </w:p>
        </w:tc>
        <w:tc>
          <w:tcPr>
            <w:tcW w:w="414" w:type="dxa"/>
            <w:tcBorders/>
            <w:vAlign w:val="center"/>
          </w:tcPr>
          <w:p>
            <w:pPr>
              <w:pStyle w:val="TableContents"/>
              <w:bidi w:val="0"/>
              <w:spacing w:before="0" w:after="0"/>
              <w:ind w:left="0" w:right="0" w:firstLine="200"/>
              <w:jc w:val="left"/>
              <w:rPr/>
            </w:pPr>
            <w:r>
              <w:rPr/>
              <w:t> </w:t>
            </w:r>
          </w:p>
        </w:tc>
      </w:tr>
      <w:tr>
        <w:trPr/>
        <w:tc>
          <w:tcPr>
            <w:tcW w:w="160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comprehensive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81"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(108</w:t>
            </w:r>
          </w:p>
        </w:tc>
        <w:tc>
          <w:tcPr>
            <w:tcW w:w="414"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608"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(28,397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(28,397</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60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41,363,820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439,588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(214,986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223,867</w:t>
            </w:r>
          </w:p>
        </w:tc>
        <w:tc>
          <w:tcPr>
            <w:tcW w:w="4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unaudited condensed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caps/>
          <w:sz w:val="20"/>
        </w:rPr>
        <w:t>TENAYA THERAPEUTICS, INC.</w:t>
      </w:r>
      <w:r>
        <w:rPr>
          <w:rFonts w:ascii="Times New Roman" w:hAnsi="Times New Roman"/>
          <w:caps/>
          <w:sz w:val="20"/>
        </w:rPr>
        <w:t xml:space="preserve"> </w:t>
      </w:r>
    </w:p>
    <w:p>
      <w:pPr>
        <w:pStyle w:val="TextBody"/>
        <w:bidi w:val="0"/>
        <w:spacing w:before="240" w:after="0"/>
        <w:jc w:val="center"/>
        <w:rPr>
          <w:rFonts w:ascii="Times New Roman;serif" w:hAnsi="Times New Roman;serif"/>
          <w:b/>
          <w:sz w:val="20"/>
        </w:rPr>
      </w:pPr>
      <w:bookmarkStart w:id="7" w:name="condensed_statements_cash_flows"/>
      <w:bookmarkEnd w:id="7"/>
      <w:r>
        <w:rPr>
          <w:rFonts w:ascii="Times New Roman;serif" w:hAnsi="Times New Roman;serif"/>
          <w:b/>
          <w:sz w:val="20"/>
        </w:rPr>
        <w:t>Condensed Statements of Cash Flows</w:t>
      </w:r>
    </w:p>
    <w:p>
      <w:pPr>
        <w:pStyle w:val="TextBody"/>
        <w:bidi w:val="0"/>
        <w:spacing w:before="0" w:after="0"/>
        <w:jc w:val="center"/>
        <w:rPr>
          <w:rFonts w:ascii="Times New Roman;serif" w:hAnsi="Times New Roman;serif"/>
          <w:b/>
          <w:i/>
          <w:sz w:val="20"/>
        </w:rPr>
      </w:pPr>
      <w:r>
        <w:rPr>
          <w:rFonts w:ascii="Times New Roman;serif" w:hAnsi="Times New Roman;serif"/>
          <w:b/>
          <w:i/>
          <w:sz w:val="20"/>
        </w:rPr>
        <w:t>(In thousands)</w:t>
      </w:r>
    </w:p>
    <w:p>
      <w:pPr>
        <w:pStyle w:val="TextBody"/>
        <w:bidi w:val="0"/>
        <w:spacing w:before="0" w:after="0"/>
        <w:jc w:val="center"/>
        <w:rPr>
          <w:rFonts w:ascii="Times New Roman;serif" w:hAnsi="Times New Roman;serif"/>
          <w:b/>
          <w:i/>
          <w:sz w:val="20"/>
        </w:rPr>
      </w:pPr>
      <w:r>
        <w:rPr>
          <w:rFonts w:ascii="Times New Roman;serif" w:hAnsi="Times New Roman;serif"/>
          <w:b/>
          <w:i/>
          <w:sz w:val="20"/>
        </w:rPr>
        <w:t>(Unaudited)</w:t>
      </w:r>
    </w:p>
    <w:p>
      <w:pPr>
        <w:pStyle w:val="TextBody"/>
        <w:bidi w:val="0"/>
        <w:spacing w:before="0" w:after="0"/>
        <w:jc w:val="left"/>
        <w:rPr/>
      </w:pPr>
      <w:r>
        <w:rPr/>
        <w:t> </w:t>
      </w:r>
    </w:p>
    <w:tbl>
      <w:tblPr>
        <w:tblW w:w="9552" w:type="dxa"/>
        <w:jc w:val="left"/>
        <w:tblInd w:w="0" w:type="dxa"/>
        <w:tblLayout w:type="fixed"/>
        <w:tblCellMar>
          <w:top w:w="28" w:type="dxa"/>
          <w:left w:w="28" w:type="dxa"/>
          <w:bottom w:w="28" w:type="dxa"/>
          <w:right w:w="28" w:type="dxa"/>
        </w:tblCellMar>
      </w:tblPr>
      <w:tblGrid>
        <w:gridCol w:w="6646"/>
        <w:gridCol w:w="146"/>
        <w:gridCol w:w="197"/>
        <w:gridCol w:w="665"/>
        <w:gridCol w:w="167"/>
        <w:gridCol w:w="147"/>
        <w:gridCol w:w="197"/>
        <w:gridCol w:w="696"/>
        <w:gridCol w:w="691"/>
      </w:tblGrid>
      <w:tr>
        <w:trPr/>
        <w:tc>
          <w:tcPr>
            <w:tcW w:w="6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6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8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7" w:type="dxa"/>
            <w:tcBorders/>
            <w:vAlign w:val="center"/>
          </w:tcPr>
          <w:p>
            <w:pPr>
              <w:pStyle w:val="TableContents"/>
              <w:bidi w:val="0"/>
              <w:spacing w:before="0" w:after="0"/>
              <w:ind w:left="0" w:right="0" w:hanging="0"/>
              <w:jc w:val="left"/>
              <w:rPr/>
            </w:pPr>
            <w:r>
              <w:rPr/>
              <w:t> </w:t>
            </w:r>
          </w:p>
        </w:tc>
        <w:tc>
          <w:tcPr>
            <w:tcW w:w="89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862" w:type="dxa"/>
            <w:gridSpan w:val="2"/>
            <w:tcBorders/>
            <w:vAlign w:val="center"/>
          </w:tcPr>
          <w:p>
            <w:pPr>
              <w:pStyle w:val="TableContents"/>
              <w:bidi w:val="0"/>
              <w:spacing w:before="0" w:after="283"/>
              <w:ind w:left="0" w:right="0" w:hanging="0"/>
              <w:jc w:val="left"/>
              <w:rPr>
                <w:sz w:val="4"/>
                <w:szCs w:val="4"/>
              </w:rPr>
            </w:pPr>
            <w:r>
              <w:rPr>
                <w:sz w:val="4"/>
                <w:szCs w:val="4"/>
              </w:rPr>
            </w:r>
          </w:p>
        </w:tc>
        <w:tc>
          <w:tcPr>
            <w:tcW w:w="167"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893" w:type="dxa"/>
            <w:gridSpan w:val="2"/>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 </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(65,006</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7"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(59,453</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862" w:type="dxa"/>
            <w:gridSpan w:val="2"/>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893" w:type="dxa"/>
            <w:gridSpan w:val="2"/>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firstLine="200"/>
              <w:jc w:val="right"/>
              <w:rPr/>
            </w:pPr>
            <w:r>
              <w:rPr/>
              <w:t> </w:t>
            </w:r>
          </w:p>
        </w:tc>
      </w:tr>
      <w:tr>
        <w:trPr/>
        <w:tc>
          <w:tcPr>
            <w:tcW w:w="664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4,325</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2,263</w:t>
            </w:r>
          </w:p>
        </w:tc>
        <w:tc>
          <w:tcPr>
            <w:tcW w:w="691" w:type="dxa"/>
            <w:tcBorders/>
            <w:vAlign w:val="center"/>
          </w:tcPr>
          <w:p>
            <w:pPr>
              <w:pStyle w:val="TableContents"/>
              <w:bidi w:val="0"/>
              <w:spacing w:before="0" w:after="0"/>
              <w:ind w:left="0" w:right="0" w:firstLine="200"/>
              <w:jc w:val="left"/>
              <w:rPr/>
            </w:pPr>
            <w:r>
              <w:rPr/>
              <w:t> </w:t>
            </w:r>
          </w:p>
        </w:tc>
      </w:tr>
      <w:tr>
        <w:trPr/>
        <w:tc>
          <w:tcPr>
            <w:tcW w:w="664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(Accretion) amortization of (discount) premium on marketable securities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(1,056</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253</w:t>
            </w:r>
          </w:p>
        </w:tc>
        <w:tc>
          <w:tcPr>
            <w:tcW w:w="691" w:type="dxa"/>
            <w:tcBorders/>
            <w:vAlign w:val="center"/>
          </w:tcPr>
          <w:p>
            <w:pPr>
              <w:pStyle w:val="TableContents"/>
              <w:bidi w:val="0"/>
              <w:spacing w:before="0" w:after="0"/>
              <w:ind w:left="0" w:right="0" w:firstLine="200"/>
              <w:jc w:val="left"/>
              <w:rPr/>
            </w:pPr>
            <w:r>
              <w:rPr/>
              <w:t> </w:t>
            </w:r>
          </w:p>
        </w:tc>
      </w:tr>
      <w:tr>
        <w:trPr/>
        <w:tc>
          <w:tcPr>
            <w:tcW w:w="664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Stock-based compensation</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7,345</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5,106</w:t>
            </w:r>
          </w:p>
        </w:tc>
        <w:tc>
          <w:tcPr>
            <w:tcW w:w="691" w:type="dxa"/>
            <w:tcBorders/>
            <w:vAlign w:val="center"/>
          </w:tcPr>
          <w:p>
            <w:pPr>
              <w:pStyle w:val="TableContents"/>
              <w:bidi w:val="0"/>
              <w:spacing w:before="0" w:after="0"/>
              <w:ind w:left="0" w:right="0" w:firstLine="200"/>
              <w:jc w:val="left"/>
              <w:rPr/>
            </w:pPr>
            <w:r>
              <w:rPr/>
              <w:t> </w:t>
            </w:r>
          </w:p>
        </w:tc>
      </w:tr>
      <w:tr>
        <w:trPr/>
        <w:tc>
          <w:tcPr>
            <w:tcW w:w="664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Non-cash operating lease expense</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1,530</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795</w:t>
            </w:r>
          </w:p>
        </w:tc>
        <w:tc>
          <w:tcPr>
            <w:tcW w:w="691" w:type="dxa"/>
            <w:tcBorders/>
            <w:vAlign w:val="center"/>
          </w:tcPr>
          <w:p>
            <w:pPr>
              <w:pStyle w:val="TableContents"/>
              <w:bidi w:val="0"/>
              <w:spacing w:before="0" w:after="0"/>
              <w:ind w:left="0" w:right="0" w:firstLine="200"/>
              <w:jc w:val="left"/>
              <w:rPr/>
            </w:pPr>
            <w:r>
              <w:rPr/>
              <w:t> </w:t>
            </w:r>
          </w:p>
        </w:tc>
      </w:tr>
      <w:tr>
        <w:trPr/>
        <w:tc>
          <w:tcPr>
            <w:tcW w:w="664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Other</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691" w:type="dxa"/>
            <w:tcBorders/>
            <w:vAlign w:val="center"/>
          </w:tcPr>
          <w:p>
            <w:pPr>
              <w:pStyle w:val="TableContents"/>
              <w:bidi w:val="0"/>
              <w:spacing w:before="0" w:after="0"/>
              <w:ind w:left="0" w:right="0" w:firstLine="200"/>
              <w:jc w:val="left"/>
              <w:rPr/>
            </w:pPr>
            <w:r>
              <w:rPr/>
              <w:t> </w:t>
            </w:r>
          </w:p>
        </w:tc>
      </w:tr>
      <w:tr>
        <w:trPr/>
        <w:tc>
          <w:tcPr>
            <w:tcW w:w="664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862" w:type="dxa"/>
            <w:gridSpan w:val="2"/>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893" w:type="dxa"/>
            <w:gridSpan w:val="2"/>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firstLine="400"/>
              <w:jc w:val="right"/>
              <w:rPr/>
            </w:pPr>
            <w:r>
              <w:rPr/>
              <w:t> </w:t>
            </w:r>
          </w:p>
        </w:tc>
      </w:tr>
      <w:tr>
        <w:trPr/>
        <w:tc>
          <w:tcPr>
            <w:tcW w:w="6646"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733</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(438</w:t>
            </w:r>
          </w:p>
        </w:tc>
        <w:tc>
          <w:tcPr>
            <w:tcW w:w="69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646"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Other noncurrent assets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(726</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(132</w:t>
            </w:r>
          </w:p>
        </w:tc>
        <w:tc>
          <w:tcPr>
            <w:tcW w:w="69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646"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Accounts payable</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(223</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(2,120</w:t>
            </w:r>
          </w:p>
        </w:tc>
        <w:tc>
          <w:tcPr>
            <w:tcW w:w="69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646"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Accrued and other current liabilities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(1,542</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711</w:t>
            </w:r>
          </w:p>
        </w:tc>
        <w:tc>
          <w:tcPr>
            <w:tcW w:w="691" w:type="dxa"/>
            <w:tcBorders/>
            <w:vAlign w:val="center"/>
          </w:tcPr>
          <w:p>
            <w:pPr>
              <w:pStyle w:val="TableContents"/>
              <w:bidi w:val="0"/>
              <w:spacing w:before="0" w:after="0"/>
              <w:ind w:left="0" w:right="0" w:firstLine="400"/>
              <w:jc w:val="left"/>
              <w:rPr/>
            </w:pPr>
            <w:r>
              <w:rPr/>
              <w:t> </w:t>
            </w:r>
          </w:p>
        </w:tc>
      </w:tr>
      <w:tr>
        <w:trPr/>
        <w:tc>
          <w:tcPr>
            <w:tcW w:w="6646"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(1,995</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(1,206</w:t>
            </w:r>
          </w:p>
        </w:tc>
        <w:tc>
          <w:tcPr>
            <w:tcW w:w="69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646"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Other noncurrent liabilities</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6646" w:type="dxa"/>
            <w:tcBorders/>
            <w:vAlign w:val="center"/>
          </w:tcPr>
          <w:p>
            <w:pPr>
              <w:pStyle w:val="TableContents"/>
              <w:bidi w:val="0"/>
              <w:spacing w:before="0" w:after="0"/>
              <w:ind w:left="500" w:right="0" w:hanging="0"/>
              <w:jc w:val="left"/>
              <w:rPr>
                <w:rFonts w:ascii="Times New Roman;serif" w:hAnsi="Times New Roman;serif"/>
                <w:b w:val="false"/>
                <w:sz w:val="16"/>
              </w:rPr>
            </w:pPr>
            <w:r>
              <w:rPr>
                <w:rFonts w:ascii="Times New Roman;serif" w:hAnsi="Times New Roman;serif"/>
                <w:b w:val="false"/>
                <w:sz w:val="16"/>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(56,510</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(54,186</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862" w:type="dxa"/>
            <w:gridSpan w:val="2"/>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893" w:type="dxa"/>
            <w:gridSpan w:val="2"/>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firstLine="200"/>
              <w:jc w:val="right"/>
              <w:rPr/>
            </w:pPr>
            <w:r>
              <w:rPr/>
              <w:t> </w:t>
            </w:r>
          </w:p>
        </w:tc>
      </w:tr>
      <w:tr>
        <w:trPr/>
        <w:tc>
          <w:tcPr>
            <w:tcW w:w="664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Purchases of property and equipment</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(837</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(15,771</w:t>
            </w:r>
          </w:p>
        </w:tc>
        <w:tc>
          <w:tcPr>
            <w:tcW w:w="691"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664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Purchases of marketable securities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(40,998</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(65,135</w:t>
            </w:r>
          </w:p>
        </w:tc>
        <w:tc>
          <w:tcPr>
            <w:tcW w:w="691"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664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Proceeds from maturities of marketable securities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74,984</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127,550</w:t>
            </w:r>
          </w:p>
        </w:tc>
        <w:tc>
          <w:tcPr>
            <w:tcW w:w="691" w:type="dxa"/>
            <w:tcBorders/>
            <w:vAlign w:val="center"/>
          </w:tcPr>
          <w:p>
            <w:pPr>
              <w:pStyle w:val="TableContents"/>
              <w:bidi w:val="0"/>
              <w:spacing w:before="0" w:after="0"/>
              <w:ind w:left="0" w:right="0" w:firstLine="200"/>
              <w:jc w:val="left"/>
              <w:rPr/>
            </w:pPr>
            <w:r>
              <w:rPr/>
              <w:t> </w:t>
            </w:r>
          </w:p>
        </w:tc>
      </w:tr>
      <w:tr>
        <w:trPr/>
        <w:tc>
          <w:tcPr>
            <w:tcW w:w="664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Other</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6646" w:type="dxa"/>
            <w:tcBorders/>
            <w:vAlign w:val="center"/>
          </w:tcPr>
          <w:p>
            <w:pPr>
              <w:pStyle w:val="TableContents"/>
              <w:bidi w:val="0"/>
              <w:spacing w:before="0" w:after="0"/>
              <w:ind w:left="500" w:right="0" w:hanging="0"/>
              <w:jc w:val="left"/>
              <w:rPr>
                <w:rFonts w:ascii="Times New Roman;serif" w:hAnsi="Times New Roman;serif"/>
                <w:b w:val="false"/>
                <w:sz w:val="16"/>
              </w:rPr>
            </w:pPr>
            <w:r>
              <w:rPr>
                <w:rFonts w:ascii="Times New Roman;serif" w:hAnsi="Times New Roman;serif"/>
                <w:b w:val="false"/>
                <w:sz w:val="16"/>
              </w:rPr>
              <w:t>Net cash provided by investing activities</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33,146</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46,644</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862" w:type="dxa"/>
            <w:gridSpan w:val="2"/>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893" w:type="dxa"/>
            <w:gridSpan w:val="2"/>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firstLine="200"/>
              <w:jc w:val="right"/>
              <w:rPr/>
            </w:pPr>
            <w:r>
              <w:rPr/>
              <w:t> </w:t>
            </w:r>
          </w:p>
        </w:tc>
      </w:tr>
      <w:tr>
        <w:trPr/>
        <w:tc>
          <w:tcPr>
            <w:tcW w:w="664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Proceeds from at-the-market sales, net of issuance costs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3,868</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firstLine="200"/>
              <w:jc w:val="left"/>
              <w:rPr/>
            </w:pPr>
            <w:r>
              <w:rPr/>
              <w:t> </w:t>
            </w:r>
          </w:p>
        </w:tc>
      </w:tr>
      <w:tr>
        <w:trPr/>
        <w:tc>
          <w:tcPr>
            <w:tcW w:w="664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Payment of accrued offering costs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(501</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firstLine="200"/>
              <w:jc w:val="left"/>
              <w:rPr/>
            </w:pPr>
            <w:r>
              <w:rPr/>
              <w:t> </w:t>
            </w:r>
          </w:p>
        </w:tc>
      </w:tr>
      <w:tr>
        <w:trPr/>
        <w:tc>
          <w:tcPr>
            <w:tcW w:w="664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Proceeds from exercise of stock options and employee stock purchase plan</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311</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275</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6646" w:type="dxa"/>
            <w:tcBorders/>
            <w:vAlign w:val="center"/>
          </w:tcPr>
          <w:p>
            <w:pPr>
              <w:pStyle w:val="TableContents"/>
              <w:bidi w:val="0"/>
              <w:spacing w:before="0" w:after="0"/>
              <w:ind w:left="500" w:right="0" w:hanging="0"/>
              <w:jc w:val="left"/>
              <w:rPr>
                <w:rFonts w:ascii="Times New Roman;serif" w:hAnsi="Times New Roman;serif"/>
                <w:b w:val="false"/>
                <w:sz w:val="16"/>
              </w:rPr>
            </w:pPr>
            <w:r>
              <w:rPr>
                <w:rFonts w:ascii="Times New Roman;serif" w:hAnsi="Times New Roman;serif"/>
                <w:b w:val="false"/>
                <w:sz w:val="16"/>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3,678</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275</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change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(19,686</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(7,267</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and cash equivalents and restricted cash at beginning of period</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95,671</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38,676</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and cash equivalents and restricted cash at end of period</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75,985</w:t>
            </w:r>
          </w:p>
        </w:tc>
        <w:tc>
          <w:tcPr>
            <w:tcW w:w="1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31,409</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Components of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862" w:type="dxa"/>
            <w:gridSpan w:val="2"/>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893" w:type="dxa"/>
            <w:gridSpan w:val="2"/>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 </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and cash equivalents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75,565</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31,010</w:t>
            </w:r>
          </w:p>
        </w:tc>
        <w:tc>
          <w:tcPr>
            <w:tcW w:w="691" w:type="dxa"/>
            <w:tcBorders/>
            <w:vAlign w:val="center"/>
          </w:tcPr>
          <w:p>
            <w:pPr>
              <w:pStyle w:val="TableContents"/>
              <w:bidi w:val="0"/>
              <w:spacing w:before="0" w:after="0"/>
              <w:ind w:left="0" w:right="0" w:hanging="0"/>
              <w:jc w:val="left"/>
              <w:rPr/>
            </w:pPr>
            <w:r>
              <w:rPr/>
              <w:t> </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Restricted cash included in other noncurrent assets</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420</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399</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75,985</w:t>
            </w:r>
          </w:p>
        </w:tc>
        <w:tc>
          <w:tcPr>
            <w:tcW w:w="1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31,409</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Supplemental disclosure of non-cash investing and financing activities:</w:t>
            </w:r>
          </w:p>
        </w:tc>
        <w:tc>
          <w:tcPr>
            <w:tcW w:w="146" w:type="dxa"/>
            <w:tcBorders/>
            <w:vAlign w:val="center"/>
          </w:tcPr>
          <w:p>
            <w:pPr>
              <w:pStyle w:val="TableContents"/>
              <w:bidi w:val="0"/>
              <w:spacing w:before="0" w:after="0"/>
              <w:ind w:left="0" w:right="0" w:hanging="0"/>
              <w:jc w:val="left"/>
              <w:rPr/>
            </w:pPr>
            <w:r>
              <w:rPr/>
              <w:t> </w:t>
            </w:r>
          </w:p>
        </w:tc>
        <w:tc>
          <w:tcPr>
            <w:tcW w:w="862" w:type="dxa"/>
            <w:gridSpan w:val="2"/>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893" w:type="dxa"/>
            <w:gridSpan w:val="2"/>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firstLine="200"/>
              <w:jc w:val="right"/>
              <w:rPr/>
            </w:pPr>
            <w:r>
              <w:rPr/>
              <w:t> </w:t>
            </w:r>
          </w:p>
        </w:tc>
      </w:tr>
      <w:tr>
        <w:trPr/>
        <w:tc>
          <w:tcPr>
            <w:tcW w:w="664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Property and equipment included in accounts payable and accrued and other current liabilities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3,060</w:t>
            </w:r>
          </w:p>
        </w:tc>
        <w:tc>
          <w:tcPr>
            <w:tcW w:w="6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unaudited condensed financial statements.</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caps/>
          <w:sz w:val="20"/>
        </w:rPr>
        <w:t>TENAYA THERAPEUTICS, INC.</w:t>
      </w:r>
      <w:r>
        <w:rPr>
          <w:rFonts w:ascii="Times New Roman" w:hAnsi="Times New Roman"/>
          <w:caps/>
          <w:sz w:val="20"/>
        </w:rPr>
        <w:t xml:space="preserve"> </w:t>
      </w:r>
    </w:p>
    <w:p>
      <w:pPr>
        <w:pStyle w:val="TextBody"/>
        <w:bidi w:val="0"/>
        <w:spacing w:before="240" w:after="0"/>
        <w:jc w:val="center"/>
        <w:rPr>
          <w:rFonts w:ascii="Times New Roman" w:hAnsi="Times New Roman"/>
          <w:sz w:val="20"/>
        </w:rPr>
      </w:pPr>
      <w:bookmarkStart w:id="8" w:name="notes_to_unaudited_condensed_financial_s"/>
      <w:bookmarkEnd w:id="8"/>
      <w:r>
        <w:rPr>
          <w:rFonts w:ascii="Times New Roman;serif" w:hAnsi="Times New Roman;serif"/>
          <w:b/>
          <w:sz w:val="20"/>
        </w:rPr>
        <w:t>Notes to Unaudited Condensed Financial Statements</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1.</w:t>
      </w:r>
    </w:p>
    <w:p>
      <w:pPr>
        <w:pStyle w:val="TextBody"/>
        <w:bidi w:val="0"/>
        <w:spacing w:before="240" w:after="283"/>
        <w:jc w:val="left"/>
        <w:rPr>
          <w:rFonts w:ascii="Times New Roman;serif" w:hAnsi="Times New Roman;serif"/>
          <w:b/>
          <w:sz w:val="20"/>
        </w:rPr>
      </w:pPr>
      <w:r>
        <w:rPr>
          <w:rFonts w:ascii="Times New Roman;serif" w:hAnsi="Times New Roman;serif"/>
          <w:b/>
          <w:sz w:val="20"/>
        </w:rPr>
        <w:t xml:space="preserve">Organization and Description of the Business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Description of the Business</w:t>
      </w:r>
    </w:p>
    <w:p>
      <w:pPr>
        <w:pStyle w:val="TextBody"/>
        <w:bidi w:val="0"/>
        <w:spacing w:before="120" w:after="0"/>
        <w:jc w:val="left"/>
        <w:rPr>
          <w:rFonts w:ascii="Times New Roman" w:hAnsi="Times New Roman"/>
          <w:sz w:val="20"/>
        </w:rPr>
      </w:pPr>
      <w:r>
        <w:rPr>
          <w:rFonts w:ascii="Times New Roman;serif" w:hAnsi="Times New Roman;serif"/>
          <w:b w:val="false"/>
          <w:sz w:val="20"/>
        </w:rPr>
        <w:t>Tenaya Therapeutics, Inc. (the Company) was incorporated in the state of Delaware in August 2016 and is headquartered in South San Francisco, California. The Company is a clinical-stage biotechnology company focused on discovering, developing and delivering curative therapies that address the underlying drivers of heart disease. The Company’s lead product candidates include, TN-201, a gene therapy for myosin binding protein C3-associated hypertrophic cardiomyopathy, TN-301, a small molecule for heart failure with preserved ejection fraction, and TN-401, a gene therapy for plakophilin 2-associated arrhythmogenic right ventricular cardiomyopathy.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Liquidity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incurred net losses since inception and expects such losses to continue in the future as it conducts research and development activities. As of June 30, 2023, the Company had an accumulated deficit of $344.2</w:t>
      </w:r>
      <w:r>
        <w:rPr>
          <w:rFonts w:ascii="Times New Roman" w:hAnsi="Times New Roman"/>
          <w:sz w:val="20"/>
        </w:rPr>
        <w:t xml:space="preserve"> </w:t>
      </w:r>
      <w:r>
        <w:rPr>
          <w:rFonts w:ascii="Times New Roman;serif" w:hAnsi="Times New Roman;serif"/>
          <w:b w:val="false"/>
          <w:sz w:val="20"/>
        </w:rPr>
        <w:t>million. The Company incurred a net loss of $65.0</w:t>
      </w:r>
      <w:r>
        <w:rPr>
          <w:rFonts w:ascii="Times New Roman" w:hAnsi="Times New Roman"/>
          <w:sz w:val="20"/>
        </w:rPr>
        <w:t xml:space="preserve"> </w:t>
      </w:r>
      <w:r>
        <w:rPr>
          <w:rFonts w:ascii="Times New Roman;serif" w:hAnsi="Times New Roman;serif"/>
          <w:b w:val="false"/>
          <w:sz w:val="20"/>
        </w:rPr>
        <w:t>million and $59.5</w:t>
      </w:r>
      <w:r>
        <w:rPr>
          <w:rFonts w:ascii="Times New Roman" w:hAnsi="Times New Roman"/>
          <w:sz w:val="20"/>
        </w:rPr>
        <w:t xml:space="preserve"> </w:t>
      </w:r>
      <w:r>
        <w:rPr>
          <w:rFonts w:ascii="Times New Roman;serif" w:hAnsi="Times New Roman;serif"/>
          <w:b w:val="false"/>
          <w:sz w:val="20"/>
        </w:rPr>
        <w:t>million during the six months ended June 30, 2023 and 2022, respectively. The Company had $151.6</w:t>
      </w:r>
      <w:r>
        <w:rPr>
          <w:rFonts w:ascii="Times New Roman" w:hAnsi="Times New Roman"/>
          <w:sz w:val="20"/>
        </w:rPr>
        <w:t xml:space="preserve"> </w:t>
      </w:r>
      <w:r>
        <w:rPr>
          <w:rFonts w:ascii="Times New Roman;serif" w:hAnsi="Times New Roman;serif"/>
          <w:b w:val="false"/>
          <w:sz w:val="20"/>
        </w:rPr>
        <w:t>million of cash, cash equivalents and investments in marketable securities as of June 30, 2023.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Management recognizes the need to raise additional capital to fully implement its business plan. The Company may seek to raise capital through equity financings, debt financings, license agreements, collaborative agreements or other sources of financing. Management believes that its existing cash, cash equivalents and investments in marketable securities as of June 30, 2023 will be sufficient to fund the Company’s operations for at least the next twelve months following the date these condensed financial statements are filed with the Securities and Exchange Commission (SEC).</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2.</w:t>
      </w:r>
    </w:p>
    <w:p>
      <w:pPr>
        <w:pStyle w:val="TextBody"/>
        <w:bidi w:val="0"/>
        <w:spacing w:before="240" w:after="283"/>
        <w:jc w:val="left"/>
        <w:rPr>
          <w:rFonts w:ascii="Times New Roman;serif" w:hAnsi="Times New Roman;serif"/>
          <w:b/>
          <w:sz w:val="20"/>
        </w:rPr>
      </w:pPr>
      <w:r>
        <w:rPr>
          <w:rFonts w:ascii="Times New Roman;serif" w:hAnsi="Times New Roman;serif"/>
          <w:b/>
          <w:sz w:val="20"/>
        </w:rPr>
        <w:t>Summary of Significant Accounting Policies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Basis of Presentation</w:t>
      </w:r>
    </w:p>
    <w:p>
      <w:pPr>
        <w:pStyle w:val="TextBody"/>
        <w:bidi w:val="0"/>
        <w:spacing w:before="120" w:after="0"/>
        <w:jc w:val="left"/>
        <w:rPr>
          <w:rFonts w:ascii="Times New Roman" w:hAnsi="Times New Roman"/>
          <w:sz w:val="20"/>
        </w:rPr>
      </w:pPr>
      <w:r>
        <w:rPr>
          <w:rFonts w:ascii="Times New Roman;serif" w:hAnsi="Times New Roman;serif"/>
          <w:b w:val="false"/>
          <w:sz w:val="20"/>
        </w:rPr>
        <w:t>The accompanying condensed financial statements have been prepared in accordance with accounting principles generally accepted in the United States of America (GAAP) and follow the requirements of the SEC for interim reporting. As permitted under those rules, certain footnotes or other financial information that are normally required by GAAP can be condensed or omitted.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interim condensed balance sheet as of June 30, 2023, the interim condensed statements of operations and comprehensive loss, stockholders’ equity and cash flows for the six months ended June 30, 2023 and 2022 are unaudited. These unaudited interim condensed financial statements have been prepared on the same basis as the Company’s annual financial statements and reflect all adjustments that are necessary for the fair statement of the Company’s financial position, results of operations and cash flows for the interim periods presented. The condensed results of operations for the six months ended June 30, 2023, are not necessarily indicative of the results to be expected for the full year or for any other future annual or interim period. The condensed balance sheet as of December 31, 2022, included herein was derived from the audited financial statements as of that date. These condensed financial statements should be read in conjunction with the Company’s audited financial statements and the related notes thereto for the year ended December 31, 2022, included in Company’s Annual Report on Form 10-K, filed with the SEC on March 8, 2023.</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Use of Estimates</w:t>
      </w:r>
    </w:p>
    <w:p>
      <w:pPr>
        <w:pStyle w:val="TextBody"/>
        <w:bidi w:val="0"/>
        <w:spacing w:before="120" w:after="0"/>
        <w:jc w:val="left"/>
        <w:rPr>
          <w:rFonts w:ascii="Times New Roman" w:hAnsi="Times New Roman"/>
          <w:sz w:val="20"/>
        </w:rPr>
      </w:pPr>
      <w:r>
        <w:rPr>
          <w:rFonts w:ascii="Times New Roman;serif" w:hAnsi="Times New Roman;serif"/>
          <w:b w:val="false"/>
          <w:sz w:val="20"/>
        </w:rPr>
        <w:t>The preparation of condensed financial statements in conformity with GAAP requires management to make estimates and assumptions that affect the reported amounts of assets, liabilities, and the disclosure of contingent assets and liabilities at the date of the condensed financial statements and the reported amounts of expenses during the reporting period. On an ongoing basis, management evaluates its estimates, including those related to clinical trial accrued liabilities, income tax valuation allowance and stock-based compensation.</w:t>
      </w:r>
      <w:r>
        <w:rPr>
          <w:rFonts w:ascii="Times New Roman" w:hAnsi="Times New Roman"/>
          <w:sz w:val="20"/>
        </w:rPr>
        <w:t xml:space="preserve"> </w:t>
      </w:r>
      <w:r>
        <w:rPr>
          <w:rFonts w:ascii="Times New Roman;serif" w:hAnsi="Times New Roman;serif"/>
          <w:b w:val="false"/>
          <w:sz w:val="20"/>
        </w:rPr>
        <w:t>Management bases its estimates on historical experience, the current economic environment, and on various other assumptions that are believed to be reasonable under the circumstances. Actual results may differ from those estimates or assumptions.</w:t>
      </w:r>
    </w:p>
    <w:p>
      <w:pPr>
        <w:pStyle w:val="TextBody"/>
        <w:bidi w:val="0"/>
        <w:spacing w:before="240" w:after="0"/>
        <w:jc w:val="left"/>
        <w:rPr>
          <w:rFonts w:ascii="Times New Roman" w:hAnsi="Times New Roman"/>
          <w:sz w:val="20"/>
        </w:rPr>
      </w:pPr>
      <w:r>
        <w:rPr>
          <w:rFonts w:ascii="Times New Roman;serif" w:hAnsi="Times New Roman;serif"/>
          <w:b/>
          <w:i/>
          <w:sz w:val="20"/>
        </w:rPr>
        <w:t>Significant Accounting Policies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Except for the changes below, there have been no material revisions to the Company’s significant accounting policies described in Note 2 to the consolidated financial statements included in the Company’s Annual Report on Form 10-K for the year ended December 31, 2022.</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Marketable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invests in marketable securities, primarily securities issued by the U.S. government and its agencies, commercial paper and corporate bonds. All marketable securities have been classified as available-for-sale and are carried at estimated fair value as determined based upon quoted market prices or pricing models for similar securities. Management determines the appropriate classification of its marketable debt securities at the time of purchase and reevaluates such designation at each balance sheet date. The Company evaluates securities for impairment at the end of each reporting period. Factors considered in the evaluation include whether a decline in fair value below the amortized cost basis is due to credit-related factors or non-credit-related factors, the financial condition and near-term prospect of the issuer, and the Company’s intent and ability to hold the investment to allow for anticipated recovery in fair value. A credit-related impairment is recognized as an allowance on the balance sheet with a corresponding adjustment to earnings. Any impairment that is not credit-related is reported as a component of other comprehensive loss. Realized gains and losses are included in other income (expense), net. The cost of securities sold is based on the specific-identification method. Interest earned on marketable securities is included in interest income.</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Recently Adopted Accounting Standards</w:t>
      </w:r>
    </w:p>
    <w:p>
      <w:pPr>
        <w:pStyle w:val="TextBody"/>
        <w:bidi w:val="0"/>
        <w:spacing w:before="120" w:after="0"/>
        <w:jc w:val="left"/>
        <w:rPr>
          <w:rFonts w:ascii="Times New Roman" w:hAnsi="Times New Roman"/>
          <w:sz w:val="20"/>
        </w:rPr>
      </w:pPr>
      <w:r>
        <w:rPr>
          <w:rFonts w:ascii="Times New Roman;serif" w:hAnsi="Times New Roman;serif"/>
          <w:b w:val="false"/>
          <w:sz w:val="20"/>
        </w:rPr>
        <w:t>In June 2016, the Financial Accounting Standards Board (FASB) issued Accounting Standards Update (ASU) No. 2016-13, Financial Instruments – Credit Losses (Topic 326): Measurement of Credit Losses on Financial Instruments (ASU 2016-13), which replaces the existing incurred loss impairment model with an expected credit loss model. This standard requires companies to recognize an allowance for credit losses on available-for-sale debt securities rather than the prior approach of recording a reduction to the carrying value of the asset. ASU 2016-13 became effective for the Company beginning January 1, 2023. The adoption</w:t>
      </w:r>
      <w:r>
        <w:rPr>
          <w:rFonts w:ascii="Times New Roman" w:hAnsi="Times New Roman"/>
          <w:sz w:val="20"/>
        </w:rPr>
        <w:t xml:space="preserve"> </w:t>
      </w:r>
      <w:r>
        <w:rPr>
          <w:rFonts w:ascii="Times New Roman;serif" w:hAnsi="Times New Roman;serif"/>
          <w:b w:val="false"/>
          <w:sz w:val="20"/>
        </w:rPr>
        <w:t>of this standard did not have a material impact on the Company's financial statements.</w:t>
      </w:r>
    </w:p>
    <w:p>
      <w:pPr>
        <w:pStyle w:val="TextBody"/>
        <w:bidi w:val="0"/>
        <w:spacing w:before="240" w:after="0"/>
        <w:jc w:val="left"/>
        <w:rPr>
          <w:rFonts w:ascii="Times New Roman" w:hAnsi="Times New Roman"/>
          <w:b/>
          <w:sz w:val="20"/>
        </w:rPr>
      </w:pPr>
      <w:r>
        <w:rPr>
          <w:rFonts w:ascii="Times New Roman" w:hAnsi="Times New Roman"/>
          <w:b/>
          <w:sz w:val="20"/>
        </w:rPr>
        <w:t>3.</w:t>
      </w:r>
    </w:p>
    <w:p>
      <w:pPr>
        <w:pStyle w:val="TextBody"/>
        <w:bidi w:val="0"/>
        <w:spacing w:before="240" w:after="283"/>
        <w:jc w:val="left"/>
        <w:rPr>
          <w:rFonts w:ascii="Times New Roman;serif" w:hAnsi="Times New Roman;serif"/>
          <w:b/>
          <w:sz w:val="20"/>
        </w:rPr>
      </w:pPr>
      <w:r>
        <w:rPr>
          <w:rFonts w:ascii="Times New Roman;serif" w:hAnsi="Times New Roman;serif"/>
          <w:b/>
          <w:sz w:val="20"/>
        </w:rPr>
        <w:t>Fair Value Measurements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Level 1 - Inputs are unadjusted, quoted prices in active markets for identical assets or liabilities at the measurement date.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Level 3 -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tables summarize the Company’s financial assets measured at fair value on a recurring basis by level within the fair value hierarchy:</w:t>
      </w:r>
      <w:r>
        <w:rPr>
          <w:rFonts w:ascii="Times New Roman" w:hAnsi="Times New Roman"/>
          <w:sz w:val="20"/>
        </w:rPr>
        <w:t xml:space="preserve"> </w:t>
      </w:r>
    </w:p>
    <w:tbl>
      <w:tblPr>
        <w:tblW w:w="8507" w:type="dxa"/>
        <w:jc w:val="left"/>
        <w:tblInd w:w="0" w:type="dxa"/>
        <w:tblLayout w:type="fixed"/>
        <w:tblCellMar>
          <w:top w:w="28" w:type="dxa"/>
          <w:left w:w="28" w:type="dxa"/>
          <w:bottom w:w="28" w:type="dxa"/>
          <w:right w:w="28" w:type="dxa"/>
        </w:tblCellMar>
      </w:tblPr>
      <w:tblGrid>
        <w:gridCol w:w="2416"/>
        <w:gridCol w:w="146"/>
        <w:gridCol w:w="856"/>
        <w:gridCol w:w="146"/>
        <w:gridCol w:w="211"/>
        <w:gridCol w:w="781"/>
        <w:gridCol w:w="146"/>
        <w:gridCol w:w="146"/>
        <w:gridCol w:w="335"/>
        <w:gridCol w:w="551"/>
        <w:gridCol w:w="146"/>
        <w:gridCol w:w="146"/>
        <w:gridCol w:w="270"/>
        <w:gridCol w:w="616"/>
        <w:gridCol w:w="166"/>
        <w:gridCol w:w="146"/>
        <w:gridCol w:w="211"/>
        <w:gridCol w:w="781"/>
        <w:gridCol w:w="2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652"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Valuation</w:t>
              <w:br/>
              <w:t>Hierarchy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w:t>
              <w:br/>
              <w:t>Gain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w:t>
              <w:b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652"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91" w:type="dxa"/>
            <w:tcBorders/>
            <w:vAlign w:val="center"/>
          </w:tcPr>
          <w:p>
            <w:pPr>
              <w:pStyle w:val="TableContents"/>
              <w:bidi w:val="0"/>
              <w:spacing w:before="0" w:after="0"/>
              <w:ind w:left="0" w:right="0" w:hanging="0"/>
              <w:jc w:val="center"/>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firstLine="100"/>
              <w:jc w:val="left"/>
              <w:rPr/>
            </w:pPr>
            <w:r>
              <w:rPr/>
              <w:t> </w:t>
            </w:r>
          </w:p>
        </w:tc>
      </w:tr>
      <w:tr>
        <w:trPr/>
        <w:tc>
          <w:tcPr>
            <w:tcW w:w="2416" w:type="dxa"/>
            <w:tcBorders/>
            <w:vAlign w:val="center"/>
          </w:tcPr>
          <w:p>
            <w:pPr>
              <w:pStyle w:val="TableContents"/>
              <w:bidi w:val="0"/>
              <w:spacing w:before="0" w:after="0"/>
              <w:ind w:left="100" w:right="0" w:hanging="0"/>
              <w:jc w:val="left"/>
              <w:rPr>
                <w:rFonts w:ascii="Times New Roman;serif" w:hAnsi="Times New Roman;serif"/>
                <w:b/>
                <w:sz w:val="20"/>
              </w:rPr>
            </w:pPr>
            <w:r>
              <w:rPr>
                <w:rFonts w:ascii="Times New Roman;serif" w:hAnsi="Times New Roman;serif"/>
                <w:b/>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firstLine="100"/>
              <w:jc w:val="left"/>
              <w:rPr/>
            </w:pPr>
            <w:r>
              <w:rPr/>
              <w:t> </w:t>
            </w:r>
          </w:p>
        </w:tc>
      </w:tr>
      <w:tr>
        <w:trPr/>
        <w:tc>
          <w:tcPr>
            <w:tcW w:w="24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283"/>
              <w:ind w:left="0" w:right="0" w:hanging="0"/>
              <w:jc w:val="left"/>
              <w:rPr>
                <w:sz w:val="4"/>
                <w:szCs w:val="4"/>
              </w:rPr>
            </w:pPr>
            <w:r>
              <w:rPr>
                <w:sz w:val="4"/>
                <w:szCs w:val="4"/>
              </w:rPr>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4,785</w:t>
            </w:r>
          </w:p>
        </w:tc>
        <w:tc>
          <w:tcPr>
            <w:tcW w:w="291" w:type="dxa"/>
            <w:tcBorders/>
            <w:vAlign w:val="center"/>
          </w:tcPr>
          <w:p>
            <w:pPr>
              <w:pStyle w:val="TableContents"/>
              <w:bidi w:val="0"/>
              <w:spacing w:before="0" w:after="0"/>
              <w:ind w:left="0" w:right="0" w:firstLine="100"/>
              <w:jc w:val="left"/>
              <w:rPr/>
            </w:pPr>
            <w:r>
              <w:rPr/>
              <w:t> </w:t>
            </w:r>
          </w:p>
        </w:tc>
      </w:tr>
      <w:tr>
        <w:trPr/>
        <w:tc>
          <w:tcPr>
            <w:tcW w:w="24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U.S. treasuries</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16,155</w:t>
            </w:r>
          </w:p>
        </w:tc>
        <w:tc>
          <w:tcPr>
            <w:tcW w:w="291" w:type="dxa"/>
            <w:tcBorders/>
            <w:vAlign w:val="center"/>
          </w:tcPr>
          <w:p>
            <w:pPr>
              <w:pStyle w:val="TableContents"/>
              <w:bidi w:val="0"/>
              <w:spacing w:before="0" w:after="0"/>
              <w:ind w:left="0" w:right="0" w:firstLine="100"/>
              <w:jc w:val="left"/>
              <w:rPr/>
            </w:pPr>
            <w:r>
              <w:rPr/>
              <w:t> </w:t>
            </w:r>
          </w:p>
        </w:tc>
      </w:tr>
      <w:tr>
        <w:trPr/>
        <w:tc>
          <w:tcPr>
            <w:tcW w:w="24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32,863</w:t>
            </w:r>
          </w:p>
        </w:tc>
        <w:tc>
          <w:tcPr>
            <w:tcW w:w="291" w:type="dxa"/>
            <w:tcBorders/>
            <w:vAlign w:val="center"/>
          </w:tcPr>
          <w:p>
            <w:pPr>
              <w:pStyle w:val="TableContents"/>
              <w:bidi w:val="0"/>
              <w:spacing w:before="0" w:after="0"/>
              <w:ind w:left="0" w:right="0" w:firstLine="100"/>
              <w:jc w:val="left"/>
              <w:rPr/>
            </w:pPr>
            <w:r>
              <w:rPr/>
              <w:t> </w:t>
            </w:r>
          </w:p>
        </w:tc>
      </w:tr>
      <w:tr>
        <w:trPr/>
        <w:tc>
          <w:tcPr>
            <w:tcW w:w="24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Government agencies bonds</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19,907</w:t>
            </w:r>
          </w:p>
        </w:tc>
        <w:tc>
          <w:tcPr>
            <w:tcW w:w="291" w:type="dxa"/>
            <w:tcBorders/>
            <w:vAlign w:val="center"/>
          </w:tcPr>
          <w:p>
            <w:pPr>
              <w:pStyle w:val="TableContents"/>
              <w:bidi w:val="0"/>
              <w:spacing w:before="0" w:after="0"/>
              <w:ind w:left="0" w:right="0" w:firstLine="100"/>
              <w:jc w:val="left"/>
              <w:rPr/>
            </w:pPr>
            <w:r>
              <w:rPr/>
              <w:t> </w:t>
            </w:r>
          </w:p>
        </w:tc>
      </w:tr>
      <w:tr>
        <w:trPr/>
        <w:tc>
          <w:tcPr>
            <w:tcW w:w="2416" w:type="dxa"/>
            <w:tcBorders/>
            <w:vAlign w:val="center"/>
          </w:tcPr>
          <w:p>
            <w:pPr>
              <w:pStyle w:val="TableContents"/>
              <w:bidi w:val="0"/>
              <w:spacing w:before="0" w:after="0"/>
              <w:ind w:left="100" w:right="0" w:hanging="0"/>
              <w:jc w:val="left"/>
              <w:rPr>
                <w:rFonts w:ascii="Times New Roman;serif" w:hAnsi="Times New Roman;serif"/>
                <w:b/>
                <w:sz w:val="20"/>
              </w:rPr>
            </w:pPr>
            <w:r>
              <w:rPr>
                <w:rFonts w:ascii="Times New Roman;serif" w:hAnsi="Times New Roman;serif"/>
                <w:b/>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24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U.S. treasuries</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17,089</w:t>
            </w:r>
          </w:p>
        </w:tc>
        <w:tc>
          <w:tcPr>
            <w:tcW w:w="291" w:type="dxa"/>
            <w:tcBorders/>
            <w:vAlign w:val="center"/>
          </w:tcPr>
          <w:p>
            <w:pPr>
              <w:pStyle w:val="TableContents"/>
              <w:bidi w:val="0"/>
              <w:spacing w:before="0" w:after="0"/>
              <w:ind w:left="0" w:right="0" w:firstLine="100"/>
              <w:jc w:val="left"/>
              <w:rPr/>
            </w:pPr>
            <w:r>
              <w:rPr/>
              <w:t> </w:t>
            </w:r>
          </w:p>
        </w:tc>
      </w:tr>
      <w:tr>
        <w:trPr/>
        <w:tc>
          <w:tcPr>
            <w:tcW w:w="24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7,461</w:t>
            </w:r>
          </w:p>
        </w:tc>
        <w:tc>
          <w:tcPr>
            <w:tcW w:w="291" w:type="dxa"/>
            <w:tcBorders/>
            <w:vAlign w:val="center"/>
          </w:tcPr>
          <w:p>
            <w:pPr>
              <w:pStyle w:val="TableContents"/>
              <w:bidi w:val="0"/>
              <w:spacing w:before="0" w:after="0"/>
              <w:ind w:left="0" w:right="0" w:firstLine="100"/>
              <w:jc w:val="left"/>
              <w:rPr/>
            </w:pPr>
            <w:r>
              <w:rPr/>
              <w:t> </w:t>
            </w:r>
          </w:p>
        </w:tc>
      </w:tr>
      <w:tr>
        <w:trPr/>
        <w:tc>
          <w:tcPr>
            <w:tcW w:w="24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Government agencies bonds</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51,526</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financial assets</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150,118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149,786</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tbl>
      <w:tblPr>
        <w:tblW w:w="8507" w:type="dxa"/>
        <w:jc w:val="left"/>
        <w:tblInd w:w="0" w:type="dxa"/>
        <w:tblLayout w:type="fixed"/>
        <w:tblCellMar>
          <w:top w:w="28" w:type="dxa"/>
          <w:left w:w="28" w:type="dxa"/>
          <w:bottom w:w="28" w:type="dxa"/>
          <w:right w:w="28" w:type="dxa"/>
        </w:tblCellMar>
      </w:tblPr>
      <w:tblGrid>
        <w:gridCol w:w="2416"/>
        <w:gridCol w:w="146"/>
        <w:gridCol w:w="856"/>
        <w:gridCol w:w="146"/>
        <w:gridCol w:w="211"/>
        <w:gridCol w:w="781"/>
        <w:gridCol w:w="146"/>
        <w:gridCol w:w="146"/>
        <w:gridCol w:w="335"/>
        <w:gridCol w:w="551"/>
        <w:gridCol w:w="146"/>
        <w:gridCol w:w="146"/>
        <w:gridCol w:w="270"/>
        <w:gridCol w:w="616"/>
        <w:gridCol w:w="166"/>
        <w:gridCol w:w="146"/>
        <w:gridCol w:w="211"/>
        <w:gridCol w:w="781"/>
        <w:gridCol w:w="2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652"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Valuation</w:t>
              <w:br/>
              <w:t>Hierarchy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w:t>
              <w:br/>
              <w:t>Gain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w:t>
              <w:b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652"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91" w:type="dxa"/>
            <w:tcBorders/>
            <w:vAlign w:val="center"/>
          </w:tcPr>
          <w:p>
            <w:pPr>
              <w:pStyle w:val="TableContents"/>
              <w:bidi w:val="0"/>
              <w:spacing w:before="0" w:after="0"/>
              <w:ind w:left="0" w:right="0" w:hanging="0"/>
              <w:jc w:val="center"/>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firstLine="100"/>
              <w:jc w:val="left"/>
              <w:rPr/>
            </w:pPr>
            <w:r>
              <w:rPr/>
              <w:t> </w:t>
            </w:r>
          </w:p>
        </w:tc>
      </w:tr>
      <w:tr>
        <w:trPr/>
        <w:tc>
          <w:tcPr>
            <w:tcW w:w="2416" w:type="dxa"/>
            <w:tcBorders/>
            <w:vAlign w:val="center"/>
          </w:tcPr>
          <w:p>
            <w:pPr>
              <w:pStyle w:val="TableContents"/>
              <w:bidi w:val="0"/>
              <w:spacing w:before="0" w:after="0"/>
              <w:ind w:left="100" w:right="0" w:hanging="0"/>
              <w:jc w:val="left"/>
              <w:rPr>
                <w:rFonts w:ascii="Times New Roman;serif" w:hAnsi="Times New Roman;serif"/>
                <w:b/>
                <w:sz w:val="20"/>
              </w:rPr>
            </w:pPr>
            <w:r>
              <w:rPr>
                <w:rFonts w:ascii="Times New Roman;serif" w:hAnsi="Times New Roman;serif"/>
                <w:b/>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firstLine="100"/>
              <w:jc w:val="left"/>
              <w:rPr/>
            </w:pPr>
            <w:r>
              <w:rPr/>
              <w:t> </w:t>
            </w:r>
          </w:p>
        </w:tc>
      </w:tr>
      <w:tr>
        <w:trPr/>
        <w:tc>
          <w:tcPr>
            <w:tcW w:w="24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20,532</w:t>
            </w:r>
          </w:p>
        </w:tc>
        <w:tc>
          <w:tcPr>
            <w:tcW w:w="291" w:type="dxa"/>
            <w:tcBorders/>
            <w:vAlign w:val="center"/>
          </w:tcPr>
          <w:p>
            <w:pPr>
              <w:pStyle w:val="TableContents"/>
              <w:bidi w:val="0"/>
              <w:spacing w:before="0" w:after="0"/>
              <w:ind w:left="0" w:right="0" w:firstLine="100"/>
              <w:jc w:val="left"/>
              <w:rPr/>
            </w:pPr>
            <w:r>
              <w:rPr/>
              <w:t> </w:t>
            </w:r>
          </w:p>
        </w:tc>
      </w:tr>
      <w:tr>
        <w:trPr/>
        <w:tc>
          <w:tcPr>
            <w:tcW w:w="24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7,203</w:t>
            </w:r>
          </w:p>
        </w:tc>
        <w:tc>
          <w:tcPr>
            <w:tcW w:w="291" w:type="dxa"/>
            <w:tcBorders/>
            <w:vAlign w:val="center"/>
          </w:tcPr>
          <w:p>
            <w:pPr>
              <w:pStyle w:val="TableContents"/>
              <w:bidi w:val="0"/>
              <w:spacing w:before="0" w:after="0"/>
              <w:ind w:left="0" w:right="0" w:firstLine="100"/>
              <w:jc w:val="left"/>
              <w:rPr/>
            </w:pPr>
            <w:r>
              <w:rPr/>
              <w:t> </w:t>
            </w:r>
          </w:p>
        </w:tc>
      </w:tr>
      <w:tr>
        <w:trPr/>
        <w:tc>
          <w:tcPr>
            <w:tcW w:w="24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11,968</w:t>
            </w:r>
          </w:p>
        </w:tc>
        <w:tc>
          <w:tcPr>
            <w:tcW w:w="291" w:type="dxa"/>
            <w:tcBorders/>
            <w:vAlign w:val="center"/>
          </w:tcPr>
          <w:p>
            <w:pPr>
              <w:pStyle w:val="TableContents"/>
              <w:bidi w:val="0"/>
              <w:spacing w:before="0" w:after="0"/>
              <w:ind w:left="0" w:right="0" w:firstLine="100"/>
              <w:jc w:val="left"/>
              <w:rPr/>
            </w:pPr>
            <w:r>
              <w:rPr/>
              <w:t> </w:t>
            </w:r>
          </w:p>
        </w:tc>
      </w:tr>
      <w:tr>
        <w:trPr/>
        <w:tc>
          <w:tcPr>
            <w:tcW w:w="24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Government agencies bonds</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54,581</w:t>
            </w:r>
          </w:p>
        </w:tc>
        <w:tc>
          <w:tcPr>
            <w:tcW w:w="291" w:type="dxa"/>
            <w:tcBorders/>
            <w:vAlign w:val="center"/>
          </w:tcPr>
          <w:p>
            <w:pPr>
              <w:pStyle w:val="TableContents"/>
              <w:bidi w:val="0"/>
              <w:spacing w:before="0" w:after="0"/>
              <w:ind w:left="0" w:right="0" w:firstLine="100"/>
              <w:jc w:val="left"/>
              <w:rPr/>
            </w:pPr>
            <w:r>
              <w:rPr/>
              <w:t> </w:t>
            </w:r>
          </w:p>
        </w:tc>
      </w:tr>
      <w:tr>
        <w:trPr/>
        <w:tc>
          <w:tcPr>
            <w:tcW w:w="2416" w:type="dxa"/>
            <w:tcBorders/>
            <w:vAlign w:val="center"/>
          </w:tcPr>
          <w:p>
            <w:pPr>
              <w:pStyle w:val="TableContents"/>
              <w:bidi w:val="0"/>
              <w:spacing w:before="0" w:after="0"/>
              <w:ind w:left="100" w:right="0" w:hanging="0"/>
              <w:jc w:val="left"/>
              <w:rPr>
                <w:rFonts w:ascii="Times New Roman;serif" w:hAnsi="Times New Roman;serif"/>
                <w:b/>
                <w:sz w:val="20"/>
              </w:rPr>
            </w:pPr>
            <w:r>
              <w:rPr>
                <w:rFonts w:ascii="Times New Roman;serif" w:hAnsi="Times New Roman;serif"/>
                <w:b/>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24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U.S. treasuries</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25,127</w:t>
            </w:r>
          </w:p>
        </w:tc>
        <w:tc>
          <w:tcPr>
            <w:tcW w:w="291" w:type="dxa"/>
            <w:tcBorders/>
            <w:vAlign w:val="center"/>
          </w:tcPr>
          <w:p>
            <w:pPr>
              <w:pStyle w:val="TableContents"/>
              <w:bidi w:val="0"/>
              <w:spacing w:before="0" w:after="0"/>
              <w:ind w:left="0" w:right="0" w:firstLine="100"/>
              <w:jc w:val="left"/>
              <w:rPr/>
            </w:pPr>
            <w:r>
              <w:rPr/>
              <w:t> </w:t>
            </w:r>
          </w:p>
        </w:tc>
      </w:tr>
      <w:tr>
        <w:trPr/>
        <w:tc>
          <w:tcPr>
            <w:tcW w:w="24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43,484</w:t>
            </w:r>
          </w:p>
        </w:tc>
        <w:tc>
          <w:tcPr>
            <w:tcW w:w="291" w:type="dxa"/>
            <w:tcBorders/>
            <w:vAlign w:val="center"/>
          </w:tcPr>
          <w:p>
            <w:pPr>
              <w:pStyle w:val="TableContents"/>
              <w:bidi w:val="0"/>
              <w:spacing w:before="0" w:after="0"/>
              <w:ind w:left="0" w:right="0" w:firstLine="100"/>
              <w:jc w:val="left"/>
              <w:rPr/>
            </w:pPr>
            <w:r>
              <w:rPr/>
              <w:t> </w:t>
            </w:r>
          </w:p>
        </w:tc>
      </w:tr>
      <w:tr>
        <w:trPr/>
        <w:tc>
          <w:tcPr>
            <w:tcW w:w="24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2,678</w:t>
            </w:r>
          </w:p>
        </w:tc>
        <w:tc>
          <w:tcPr>
            <w:tcW w:w="291" w:type="dxa"/>
            <w:tcBorders/>
            <w:vAlign w:val="center"/>
          </w:tcPr>
          <w:p>
            <w:pPr>
              <w:pStyle w:val="TableContents"/>
              <w:bidi w:val="0"/>
              <w:spacing w:before="0" w:after="0"/>
              <w:ind w:left="0" w:right="0" w:firstLine="100"/>
              <w:jc w:val="left"/>
              <w:rPr/>
            </w:pPr>
            <w:r>
              <w:rPr/>
              <w:t> </w:t>
            </w:r>
          </w:p>
        </w:tc>
      </w:tr>
      <w:tr>
        <w:trPr/>
        <w:tc>
          <w:tcPr>
            <w:tcW w:w="24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Government agencies bonds</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37,770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37,669</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financial assets</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203,620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203,242</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Money market funds and U.S. treasury securities are classified as Level 1 because they are valued using quoted market prices in active markets for identical assets. Financial instruments classified within Level 2 of the fair value hierarchy are valued based on observable inputs or can be derived from non-binding quotes from the Company’s investment managers, which are based on proprietary valuation models of independent pricing services. These models generally use inputs such as observable market data, quoted market prices for similar instruments, or historical pricing trends of a security relative to its peers.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believes it is more likely than not that its marketable securities in an unrealized loss position will be held until maturity or the recovery of the cost basis of the investment. To date, the Company has not recorded any allowance for credit losses on its investment securities. Based upon its quarterly impairment review, the Company determined that the unrealized losses were not attributed to credit risk, but were primarily driven by the broader change in interest rates.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the fair value of available-for-sale marketable securities was $76.1</w:t>
      </w:r>
      <w:r>
        <w:rPr>
          <w:rFonts w:ascii="Times New Roman" w:hAnsi="Times New Roman"/>
          <w:sz w:val="20"/>
        </w:rPr>
        <w:t xml:space="preserve"> </w:t>
      </w:r>
      <w:r>
        <w:rPr>
          <w:rFonts w:ascii="Times New Roman;serif" w:hAnsi="Times New Roman;serif"/>
          <w:b w:val="false"/>
          <w:sz w:val="20"/>
        </w:rPr>
        <w:t>million. $56.9</w:t>
      </w:r>
      <w:r>
        <w:rPr>
          <w:rFonts w:ascii="Times New Roman" w:hAnsi="Times New Roman"/>
          <w:sz w:val="20"/>
        </w:rPr>
        <w:t xml:space="preserve"> </w:t>
      </w:r>
      <w:r>
        <w:rPr>
          <w:rFonts w:ascii="Times New Roman;serif" w:hAnsi="Times New Roman;serif"/>
          <w:b w:val="false"/>
          <w:sz w:val="20"/>
        </w:rPr>
        <w:t>million of available-for-sale marketable securities had remaining maturities of less than one year. The remaining $19.1</w:t>
      </w:r>
      <w:r>
        <w:rPr>
          <w:rFonts w:ascii="Times New Roman" w:hAnsi="Times New Roman"/>
          <w:sz w:val="20"/>
        </w:rPr>
        <w:t xml:space="preserve"> </w:t>
      </w:r>
      <w:r>
        <w:rPr>
          <w:rFonts w:ascii="Times New Roman;serif" w:hAnsi="Times New Roman;serif"/>
          <w:b w:val="false"/>
          <w:sz w:val="20"/>
        </w:rPr>
        <w:t>million of marketable securities had remaining maturities between one</w:t>
      </w:r>
      <w:r>
        <w:rPr>
          <w:rFonts w:ascii="Times New Roman" w:hAnsi="Times New Roman"/>
          <w:sz w:val="20"/>
        </w:rPr>
        <w:t xml:space="preserve"> </w:t>
      </w:r>
      <w:r>
        <w:rPr>
          <w:rFonts w:ascii="Times New Roman;serif" w:hAnsi="Times New Roman;serif"/>
          <w:b w:val="false"/>
          <w:sz w:val="20"/>
        </w:rPr>
        <w:t>and two years.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carrying amount of the Company’s remaining financial assets and liabilities, which include cash, receivables and payables, approximate their fair values due to their short-term nature.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b/>
          <w:sz w:val="20"/>
        </w:rPr>
      </w:pPr>
      <w:r>
        <w:rPr>
          <w:rFonts w:ascii="Times New Roman" w:hAnsi="Times New Roman"/>
          <w:b/>
          <w:sz w:val="20"/>
        </w:rPr>
        <w:t>4.</w:t>
      </w:r>
    </w:p>
    <w:p>
      <w:pPr>
        <w:pStyle w:val="TextBody"/>
        <w:bidi w:val="0"/>
        <w:spacing w:before="240" w:after="283"/>
        <w:jc w:val="left"/>
        <w:rPr>
          <w:rFonts w:ascii="Times New Roman;serif" w:hAnsi="Times New Roman;serif"/>
          <w:b/>
          <w:sz w:val="20"/>
        </w:rPr>
      </w:pPr>
      <w:r>
        <w:rPr>
          <w:rFonts w:ascii="Times New Roman;serif" w:hAnsi="Times New Roman;serif"/>
          <w:b/>
          <w:sz w:val="20"/>
        </w:rPr>
        <w:t xml:space="preserve">Balance Sheet Components </w:t>
      </w:r>
    </w:p>
    <w:p>
      <w:pPr>
        <w:pStyle w:val="TextBody"/>
        <w:bidi w:val="0"/>
        <w:spacing w:before="240" w:after="0"/>
        <w:jc w:val="left"/>
        <w:rPr>
          <w:rFonts w:ascii="Times New Roman" w:hAnsi="Times New Roman"/>
          <w:sz w:val="20"/>
        </w:rPr>
      </w:pPr>
      <w:r>
        <w:rPr>
          <w:rFonts w:ascii="Times New Roman;serif" w:hAnsi="Times New Roman;serif"/>
          <w:b/>
          <w:i/>
          <w:sz w:val="20"/>
        </w:rPr>
        <w:t>Property and Equipment, Net</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Property and equipment, net consists of the following:</w:t>
      </w:r>
    </w:p>
    <w:tbl>
      <w:tblPr>
        <w:tblW w:w="6922" w:type="dxa"/>
        <w:jc w:val="left"/>
        <w:tblInd w:w="0" w:type="dxa"/>
        <w:tblLayout w:type="fixed"/>
        <w:tblCellMar>
          <w:top w:w="28" w:type="dxa"/>
          <w:left w:w="28" w:type="dxa"/>
          <w:bottom w:w="28" w:type="dxa"/>
          <w:right w:w="28" w:type="dxa"/>
        </w:tblCellMar>
      </w:tblPr>
      <w:tblGrid>
        <w:gridCol w:w="4111"/>
        <w:gridCol w:w="146"/>
        <w:gridCol w:w="211"/>
        <w:gridCol w:w="736"/>
        <w:gridCol w:w="166"/>
        <w:gridCol w:w="146"/>
        <w:gridCol w:w="244"/>
        <w:gridCol w:w="851"/>
        <w:gridCol w:w="3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54"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11" w:type="dxa"/>
            <w:tcBorders/>
            <w:vAlign w:val="center"/>
          </w:tcPr>
          <w:p>
            <w:pPr>
              <w:pStyle w:val="TableContents"/>
              <w:bidi w:val="0"/>
              <w:spacing w:before="0" w:after="0"/>
              <w:ind w:left="0" w:right="0" w:hanging="0"/>
              <w:jc w:val="center"/>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23,605</w:t>
            </w:r>
          </w:p>
        </w:tc>
        <w:tc>
          <w:tcPr>
            <w:tcW w:w="3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Laboratory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20,537</w:t>
            </w:r>
          </w:p>
        </w:tc>
        <w:tc>
          <w:tcPr>
            <w:tcW w:w="3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Manufacturing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17,468</w:t>
            </w:r>
          </w:p>
        </w:tc>
        <w:tc>
          <w:tcPr>
            <w:tcW w:w="3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progress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3,128</w:t>
            </w:r>
          </w:p>
        </w:tc>
        <w:tc>
          <w:tcPr>
            <w:tcW w:w="3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 and software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1,060</w:t>
            </w:r>
          </w:p>
        </w:tc>
        <w:tc>
          <w:tcPr>
            <w:tcW w:w="3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910</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411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67,040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66,708</w:t>
            </w:r>
          </w:p>
        </w:tc>
        <w:tc>
          <w:tcPr>
            <w:tcW w:w="3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(15,676</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11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47,039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51,032</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Depreciation and amortization expense for the three months ended June 30, 2023 and 2022 was $2.2</w:t>
      </w:r>
      <w:r>
        <w:rPr>
          <w:rFonts w:ascii="Times New Roman" w:hAnsi="Times New Roman"/>
          <w:sz w:val="20"/>
        </w:rPr>
        <w:t xml:space="preserve"> </w:t>
      </w:r>
      <w:r>
        <w:rPr>
          <w:rFonts w:ascii="Times New Roman;serif" w:hAnsi="Times New Roman;serif"/>
          <w:b w:val="false"/>
          <w:sz w:val="20"/>
        </w:rPr>
        <w:t>million and $1.3</w:t>
      </w:r>
      <w:r>
        <w:rPr>
          <w:rFonts w:ascii="Times New Roman" w:hAnsi="Times New Roman"/>
          <w:sz w:val="20"/>
        </w:rPr>
        <w:t xml:space="preserve"> </w:t>
      </w:r>
      <w:r>
        <w:rPr>
          <w:rFonts w:ascii="Times New Roman;serif" w:hAnsi="Times New Roman;serif"/>
          <w:b w:val="false"/>
          <w:sz w:val="20"/>
        </w:rPr>
        <w:t>million, respectively. Depreciation and amortization expense for the six months ended June 30, 2023 and 2022 was $4.3</w:t>
      </w:r>
      <w:r>
        <w:rPr>
          <w:rFonts w:ascii="Times New Roman" w:hAnsi="Times New Roman"/>
          <w:sz w:val="20"/>
        </w:rPr>
        <w:t xml:space="preserve"> </w:t>
      </w:r>
      <w:r>
        <w:rPr>
          <w:rFonts w:ascii="Times New Roman;serif" w:hAnsi="Times New Roman;serif"/>
          <w:b w:val="false"/>
          <w:sz w:val="20"/>
        </w:rPr>
        <w:t>million and $2.3</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Accrued and Other Current Liabilities</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Accrued and other current liabilities consist of the following:</w:t>
      </w:r>
    </w:p>
    <w:tbl>
      <w:tblPr>
        <w:tblW w:w="6342" w:type="dxa"/>
        <w:jc w:val="left"/>
        <w:tblInd w:w="0" w:type="dxa"/>
        <w:tblLayout w:type="fixed"/>
        <w:tblCellMar>
          <w:top w:w="28" w:type="dxa"/>
          <w:left w:w="28" w:type="dxa"/>
          <w:bottom w:w="28" w:type="dxa"/>
          <w:right w:w="28" w:type="dxa"/>
        </w:tblCellMar>
      </w:tblPr>
      <w:tblGrid>
        <w:gridCol w:w="3736"/>
        <w:gridCol w:w="146"/>
        <w:gridCol w:w="211"/>
        <w:gridCol w:w="571"/>
        <w:gridCol w:w="146"/>
        <w:gridCol w:w="146"/>
        <w:gridCol w:w="260"/>
        <w:gridCol w:w="835"/>
        <w:gridCol w:w="2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69"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91" w:type="dxa"/>
            <w:tcBorders/>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compensation and related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6,299</w:t>
            </w:r>
          </w:p>
        </w:tc>
        <w:tc>
          <w:tcPr>
            <w:tcW w:w="29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3,214</w:t>
            </w:r>
          </w:p>
        </w:tc>
        <w:tc>
          <w:tcPr>
            <w:tcW w:w="29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facility management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professional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w:t>
            </w:r>
          </w:p>
        </w:tc>
        <w:tc>
          <w:tcPr>
            <w:tcW w:w="29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ESPP deduction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29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373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accrued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10,664</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left"/>
        <w:rPr>
          <w:rFonts w:ascii="Times New Roman" w:hAnsi="Times New Roman"/>
          <w:b/>
          <w:sz w:val="20"/>
        </w:rPr>
      </w:pPr>
      <w:r>
        <w:rPr>
          <w:rFonts w:ascii="Times New Roman" w:hAnsi="Times New Roman"/>
          <w:b/>
          <w:sz w:val="20"/>
        </w:rPr>
        <w:t>5.</w:t>
      </w:r>
    </w:p>
    <w:p>
      <w:pPr>
        <w:pStyle w:val="TextBody"/>
        <w:bidi w:val="0"/>
        <w:spacing w:before="240" w:after="283"/>
        <w:jc w:val="left"/>
        <w:rPr>
          <w:rFonts w:ascii="Times New Roman;serif" w:hAnsi="Times New Roman;serif"/>
          <w:b/>
          <w:sz w:val="20"/>
        </w:rPr>
      </w:pPr>
      <w:r>
        <w:rPr>
          <w:rFonts w:ascii="Times New Roman;serif" w:hAnsi="Times New Roman;serif"/>
          <w:b/>
          <w:sz w:val="20"/>
        </w:rPr>
        <w:t>License Agreements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Gladstone License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In October 2016, the Company entered into a license agreement with the J. David Gladstone Institute (Gladstone), pursuant to which Gladstone granted the Company a worldwide, royalty-bearing exclusive patent license and a non-exclusive technology license to develop and commercialize certain products for certain diseases (Gladstone License Agreement). Pursuant to the Gladstone License Agreement, the Company is obligated, among other things, to pay Gladstone (i) annual license maintenance fees ranging from $25,000</w:t>
      </w:r>
      <w:r>
        <w:rPr>
          <w:rFonts w:ascii="Times New Roman" w:hAnsi="Times New Roman"/>
          <w:sz w:val="20"/>
        </w:rPr>
        <w:t xml:space="preserve"> </w:t>
      </w:r>
      <w:r>
        <w:rPr>
          <w:rFonts w:ascii="Times New Roman;serif" w:hAnsi="Times New Roman;serif"/>
          <w:b w:val="false"/>
          <w:sz w:val="20"/>
        </w:rPr>
        <w:t>up to $0.1</w:t>
      </w:r>
      <w:r>
        <w:rPr>
          <w:rFonts w:ascii="Times New Roman" w:hAnsi="Times New Roman"/>
          <w:sz w:val="20"/>
        </w:rPr>
        <w:t xml:space="preserve"> </w:t>
      </w:r>
      <w:r>
        <w:rPr>
          <w:rFonts w:ascii="Times New Roman;serif" w:hAnsi="Times New Roman;serif"/>
          <w:b w:val="false"/>
          <w:sz w:val="20"/>
        </w:rPr>
        <w:t>million per year, which will be creditable against royalties paid in the following twelve month period, (ii) milestone payments up to $4.1</w:t>
      </w:r>
      <w:r>
        <w:rPr>
          <w:rFonts w:ascii="Times New Roman" w:hAnsi="Times New Roman"/>
          <w:sz w:val="20"/>
        </w:rPr>
        <w:t xml:space="preserve"> </w:t>
      </w:r>
      <w:r>
        <w:rPr>
          <w:rFonts w:ascii="Times New Roman;serif" w:hAnsi="Times New Roman;serif"/>
          <w:b w:val="false"/>
          <w:sz w:val="20"/>
        </w:rPr>
        <w:t>million for royalty-bearing products directed to a particular target, which are contingent upon achieving specific clinical and commercialization milestone events, and (iii) tiered low-single digit royalties on future net sales of each royalty-bearing product. Under the agreement, the Company is subject to diligence requirements to develop and commercialize at least one royalty-bearing product. The Company may pay $50,000</w:t>
      </w:r>
      <w:r>
        <w:rPr>
          <w:rFonts w:ascii="Times New Roman" w:hAnsi="Times New Roman"/>
          <w:sz w:val="20"/>
        </w:rPr>
        <w:t xml:space="preserve"> </w:t>
      </w:r>
      <w:r>
        <w:rPr>
          <w:rFonts w:ascii="Times New Roman;serif" w:hAnsi="Times New Roman;serif"/>
          <w:b w:val="false"/>
          <w:sz w:val="20"/>
        </w:rPr>
        <w:t>to $100,000</w:t>
      </w:r>
      <w:r>
        <w:rPr>
          <w:rFonts w:ascii="Times New Roman" w:hAnsi="Times New Roman"/>
          <w:sz w:val="20"/>
        </w:rPr>
        <w:t xml:space="preserve"> </w:t>
      </w:r>
      <w:r>
        <w:rPr>
          <w:rFonts w:ascii="Times New Roman;serif" w:hAnsi="Times New Roman;serif"/>
          <w:b w:val="false"/>
          <w:sz w:val="20"/>
        </w:rPr>
        <w:t>to extend the deadline for its diligence milestone obligations for up to four</w:t>
      </w:r>
      <w:r>
        <w:rPr>
          <w:rFonts w:ascii="Times New Roman" w:hAnsi="Times New Roman"/>
          <w:sz w:val="20"/>
        </w:rPr>
        <w:t xml:space="preserve"> </w:t>
      </w:r>
      <w:r>
        <w:rPr>
          <w:rFonts w:ascii="Times New Roman;serif" w:hAnsi="Times New Roman;serif"/>
          <w:b w:val="false"/>
          <w:sz w:val="20"/>
        </w:rPr>
        <w:t>additional one-year</w:t>
      </w:r>
      <w:r>
        <w:rPr>
          <w:rFonts w:ascii="Times New Roman" w:hAnsi="Times New Roman"/>
          <w:sz w:val="20"/>
        </w:rPr>
        <w:t xml:space="preserve"> </w:t>
      </w:r>
      <w:r>
        <w:rPr>
          <w:rFonts w:ascii="Times New Roman;serif" w:hAnsi="Times New Roman;serif"/>
          <w:b w:val="false"/>
          <w:sz w:val="20"/>
        </w:rPr>
        <w:t>terms. Dr. Deepak Srivastava, M.D., a member of the Company’s board of directors, serves as President of Gladstone. As of June 30, 2023, the Company has not recognized any milestone and royalty payments under the Gladstone License Agreement.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three and six months ended June 30, 2023 and 2022, there were no material amounts recorded related to annual license fees payable pursuant to the Gladstone License Agreement.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University of Texas Southwestern License Agreements</w:t>
      </w:r>
    </w:p>
    <w:p>
      <w:pPr>
        <w:pStyle w:val="TextBody"/>
        <w:bidi w:val="0"/>
        <w:spacing w:before="120" w:after="0"/>
        <w:jc w:val="left"/>
        <w:rPr>
          <w:rFonts w:ascii="Times New Roman" w:hAnsi="Times New Roman"/>
          <w:sz w:val="20"/>
        </w:rPr>
      </w:pPr>
      <w:r>
        <w:rPr>
          <w:rFonts w:ascii="Times New Roman;serif" w:hAnsi="Times New Roman;serif"/>
          <w:b w:val="false"/>
          <w:sz w:val="20"/>
        </w:rPr>
        <w:t>In January 2020, the Company entered into a license agreement with the University of Texas Southwestern (UTSW License), pursuant to which UTSW granted the Company a royalty-bearing exclusive and sublicensable patent license and a non-exclusive, non-sublicensable license for certain materials. Under the UTSW License, the Company is obligated to pay UTSW (i) a non-refundable upfront license fee of $0.1</w:t>
      </w:r>
      <w:r>
        <w:rPr>
          <w:rFonts w:ascii="Times New Roman" w:hAnsi="Times New Roman"/>
          <w:sz w:val="20"/>
        </w:rPr>
        <w:t xml:space="preserve"> </w:t>
      </w:r>
      <w:r>
        <w:rPr>
          <w:rFonts w:ascii="Times New Roman;serif" w:hAnsi="Times New Roman;serif"/>
          <w:b w:val="false"/>
          <w:sz w:val="20"/>
        </w:rPr>
        <w:t>million, (ii) milestone payments up to a total of $14.8</w:t>
      </w:r>
      <w:r>
        <w:rPr>
          <w:rFonts w:ascii="Times New Roman" w:hAnsi="Times New Roman"/>
          <w:sz w:val="20"/>
        </w:rPr>
        <w:t xml:space="preserve"> </w:t>
      </w:r>
      <w:r>
        <w:rPr>
          <w:rFonts w:ascii="Times New Roman;serif" w:hAnsi="Times New Roman;serif"/>
          <w:b w:val="false"/>
          <w:sz w:val="20"/>
        </w:rPr>
        <w:t>million in aggregate, which are contingent upon achieving specific development and commercialization milestone events, and (iii) royalties on future net sales of each royalty-bearing product ranging in the low-single digits. As of June 30, 2023, the Company has not recognized any milestone and royalty payments under the UTSW License.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Other License Agreements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the Company has other license agreements with various institutions and business entities, none of which are material individually or in the aggregate.</w:t>
      </w:r>
    </w:p>
    <w:p>
      <w:pPr>
        <w:pStyle w:val="TextBody"/>
        <w:bidi w:val="0"/>
        <w:spacing w:before="240" w:after="0"/>
        <w:jc w:val="left"/>
        <w:rPr>
          <w:rFonts w:ascii="Times New Roman" w:hAnsi="Times New Roman"/>
          <w:b/>
          <w:sz w:val="20"/>
        </w:rPr>
      </w:pPr>
      <w:r>
        <w:rPr>
          <w:rFonts w:ascii="Times New Roman" w:hAnsi="Times New Roman"/>
          <w:b/>
          <w:sz w:val="20"/>
        </w:rPr>
        <w:t>6.</w:t>
      </w:r>
    </w:p>
    <w:p>
      <w:pPr>
        <w:pStyle w:val="TextBody"/>
        <w:bidi w:val="0"/>
        <w:spacing w:before="240" w:after="283"/>
        <w:jc w:val="left"/>
        <w:rPr>
          <w:rFonts w:ascii="Times New Roman;serif" w:hAnsi="Times New Roman;serif"/>
          <w:b/>
          <w:sz w:val="20"/>
        </w:rPr>
      </w:pPr>
      <w:r>
        <w:rPr>
          <w:rFonts w:ascii="Times New Roman;serif" w:hAnsi="Times New Roman;serif"/>
          <w:b/>
          <w:sz w:val="20"/>
        </w:rPr>
        <w:t>Commitments and Contingencies</w:t>
      </w:r>
    </w:p>
    <w:p>
      <w:pPr>
        <w:pStyle w:val="TextBody"/>
        <w:bidi w:val="0"/>
        <w:spacing w:before="240" w:after="0"/>
        <w:jc w:val="left"/>
        <w:rPr>
          <w:rFonts w:ascii="Times New Roman" w:hAnsi="Times New Roman"/>
          <w:sz w:val="20"/>
        </w:rPr>
      </w:pPr>
      <w:r>
        <w:rPr>
          <w:rFonts w:ascii="Times New Roman;serif" w:hAnsi="Times New Roman;serif"/>
          <w:b/>
          <w:i/>
          <w:sz w:val="20"/>
        </w:rPr>
        <w:t>Facility Leases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December 2016, the Company entered into a lease agreement for office and laboratory space in South San Francisco, California. The lease expires in May 2025</w:t>
      </w:r>
      <w:r>
        <w:rPr>
          <w:rFonts w:ascii="Times New Roman" w:hAnsi="Times New Roman"/>
          <w:sz w:val="20"/>
        </w:rPr>
        <w:t xml:space="preserve"> </w:t>
      </w:r>
      <w:r>
        <w:rPr>
          <w:rFonts w:ascii="Times New Roman;serif" w:hAnsi="Times New Roman;serif"/>
          <w:b w:val="false"/>
          <w:sz w:val="20"/>
        </w:rPr>
        <w:t>and the Company may renew the lease term for two</w:t>
      </w:r>
      <w:r>
        <w:rPr>
          <w:rFonts w:ascii="Times New Roman" w:hAnsi="Times New Roman"/>
          <w:sz w:val="20"/>
        </w:rPr>
        <w:t xml:space="preserve"> </w:t>
      </w:r>
      <w:r>
        <w:rPr>
          <w:rFonts w:ascii="Times New Roman;serif" w:hAnsi="Times New Roman;serif"/>
          <w:b w:val="false"/>
          <w:sz w:val="20"/>
        </w:rPr>
        <w:t>additional five-year</w:t>
      </w:r>
      <w:r>
        <w:rPr>
          <w:rFonts w:ascii="Times New Roman" w:hAnsi="Times New Roman"/>
          <w:sz w:val="20"/>
        </w:rPr>
        <w:t xml:space="preserve"> </w:t>
      </w:r>
      <w:r>
        <w:rPr>
          <w:rFonts w:ascii="Times New Roman;serif" w:hAnsi="Times New Roman;serif"/>
          <w:b w:val="false"/>
          <w:sz w:val="20"/>
        </w:rPr>
        <w:t>periods.</w:t>
      </w:r>
    </w:p>
    <w:p>
      <w:pPr>
        <w:pStyle w:val="TextBody"/>
        <w:bidi w:val="0"/>
        <w:spacing w:before="120" w:after="0"/>
        <w:jc w:val="left"/>
        <w:rPr>
          <w:rFonts w:ascii="Times New Roman" w:hAnsi="Times New Roman"/>
          <w:sz w:val="20"/>
        </w:rPr>
      </w:pPr>
      <w:r>
        <w:rPr>
          <w:rFonts w:ascii="Times New Roman;serif" w:hAnsi="Times New Roman;serif"/>
          <w:b w:val="false"/>
          <w:sz w:val="20"/>
        </w:rPr>
        <w:t>In February 2021, the Company entered into a lease agreement for the Union City Facility. The lease commenced in May 2021</w:t>
      </w:r>
      <w:r>
        <w:rPr>
          <w:rFonts w:ascii="Times New Roman" w:hAnsi="Times New Roman"/>
          <w:sz w:val="20"/>
        </w:rPr>
        <w:t xml:space="preserve"> </w:t>
      </w:r>
      <w:r>
        <w:rPr>
          <w:rFonts w:ascii="Times New Roman;serif" w:hAnsi="Times New Roman;serif"/>
          <w:b w:val="false"/>
          <w:sz w:val="20"/>
        </w:rPr>
        <w:t>and has a ten-year</w:t>
      </w:r>
      <w:r>
        <w:rPr>
          <w:rFonts w:ascii="Times New Roman" w:hAnsi="Times New Roman"/>
          <w:sz w:val="20"/>
        </w:rPr>
        <w:t xml:space="preserve"> </w:t>
      </w:r>
      <w:r>
        <w:rPr>
          <w:rFonts w:ascii="Times New Roman;serif" w:hAnsi="Times New Roman;serif"/>
          <w:b w:val="false"/>
          <w:sz w:val="20"/>
        </w:rPr>
        <w:t>term with one</w:t>
      </w:r>
      <w:r>
        <w:rPr>
          <w:rFonts w:ascii="Times New Roman" w:hAnsi="Times New Roman"/>
          <w:sz w:val="20"/>
        </w:rPr>
        <w:t xml:space="preserve"> </w:t>
      </w:r>
      <w:r>
        <w:rPr>
          <w:rFonts w:ascii="Times New Roman;serif" w:hAnsi="Times New Roman;serif"/>
          <w:b w:val="false"/>
          <w:sz w:val="20"/>
        </w:rPr>
        <w:t>five-year</w:t>
      </w:r>
      <w:r>
        <w:rPr>
          <w:rFonts w:ascii="Times New Roman" w:hAnsi="Times New Roman"/>
          <w:sz w:val="20"/>
        </w:rPr>
        <w:t xml:space="preserve"> </w:t>
      </w:r>
      <w:r>
        <w:rPr>
          <w:rFonts w:ascii="Times New Roman;serif" w:hAnsi="Times New Roman;serif"/>
          <w:b w:val="false"/>
          <w:sz w:val="20"/>
        </w:rPr>
        <w:t>renewal option. Upon the execution of the lease agreement, the Company provided the landlord with a refundable security deposit of $3.3</w:t>
      </w:r>
      <w:r>
        <w:rPr>
          <w:rFonts w:ascii="Times New Roman" w:hAnsi="Times New Roman"/>
          <w:sz w:val="20"/>
        </w:rPr>
        <w:t xml:space="preserve"> </w:t>
      </w:r>
      <w:r>
        <w:rPr>
          <w:rFonts w:ascii="Times New Roman;serif" w:hAnsi="Times New Roman;serif"/>
          <w:b w:val="false"/>
          <w:sz w:val="20"/>
        </w:rPr>
        <w:t>million, which was included in other noncurrent assets on the balance sheets.</w:t>
      </w:r>
    </w:p>
    <w:p>
      <w:pPr>
        <w:pStyle w:val="TextBody"/>
        <w:bidi w:val="0"/>
        <w:spacing w:before="120" w:after="0"/>
        <w:jc w:val="left"/>
        <w:rPr>
          <w:rFonts w:ascii="Times New Roman" w:hAnsi="Times New Roman"/>
          <w:sz w:val="20"/>
        </w:rPr>
      </w:pPr>
      <w:r>
        <w:rPr>
          <w:rFonts w:ascii="Times New Roman;serif" w:hAnsi="Times New Roman;serif"/>
          <w:b w:val="false"/>
          <w:sz w:val="20"/>
        </w:rPr>
        <w:t>In November 2021, the Company entered into a short-term sublease agreement for additional office and laboratory space in South San Francisco, California with a lease term that was initially set to expire on June 30, 2022. In May 2022, the Company entered into an amendment to extend the term for the existing sublease premise through December 31, 2022. Under the amendment, the Company also subleased additional office and laboratory space at the same sublease premise through November 30, 2023.</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Information related to operating lease activity during the three and three months ended June 30, 2023 was as follows (in thousands):</w:t>
      </w:r>
    </w:p>
    <w:tbl>
      <w:tblPr>
        <w:tblW w:w="10205" w:type="dxa"/>
        <w:jc w:val="left"/>
        <w:tblInd w:w="0" w:type="dxa"/>
        <w:tblLayout w:type="fixed"/>
        <w:tblCellMar>
          <w:top w:w="28" w:type="dxa"/>
          <w:left w:w="28" w:type="dxa"/>
          <w:bottom w:w="28" w:type="dxa"/>
          <w:right w:w="28" w:type="dxa"/>
        </w:tblCellMar>
      </w:tblPr>
      <w:tblGrid>
        <w:gridCol w:w="5186"/>
        <w:gridCol w:w="146"/>
        <w:gridCol w:w="246"/>
        <w:gridCol w:w="668"/>
        <w:gridCol w:w="170"/>
        <w:gridCol w:w="170"/>
        <w:gridCol w:w="246"/>
        <w:gridCol w:w="668"/>
        <w:gridCol w:w="146"/>
        <w:gridCol w:w="146"/>
        <w:gridCol w:w="229"/>
        <w:gridCol w:w="621"/>
        <w:gridCol w:w="158"/>
        <w:gridCol w:w="158"/>
        <w:gridCol w:w="229"/>
        <w:gridCol w:w="621"/>
        <w:gridCol w:w="397"/>
      </w:tblGrid>
      <w:tr>
        <w:trPr/>
        <w:tc>
          <w:tcPr>
            <w:tcW w:w="5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51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1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0" w:type="dxa"/>
            <w:tcBorders/>
            <w:vAlign w:val="center"/>
          </w:tcPr>
          <w:p>
            <w:pPr>
              <w:pStyle w:val="TableContents"/>
              <w:bidi w:val="0"/>
              <w:spacing w:before="0" w:after="0"/>
              <w:ind w:left="0" w:right="0" w:hanging="0"/>
              <w:jc w:val="left"/>
              <w:rPr/>
            </w:pPr>
            <w:r>
              <w:rPr/>
              <w:t> </w:t>
            </w:r>
          </w:p>
        </w:tc>
        <w:tc>
          <w:tcPr>
            <w:tcW w:w="91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8" w:type="dxa"/>
            <w:tcBorders/>
            <w:vAlign w:val="center"/>
          </w:tcPr>
          <w:p>
            <w:pPr>
              <w:pStyle w:val="TableContents"/>
              <w:bidi w:val="0"/>
              <w:spacing w:before="0" w:after="0"/>
              <w:ind w:left="0" w:right="0" w:hanging="0"/>
              <w:jc w:val="left"/>
              <w:rPr/>
            </w:pPr>
            <w:r>
              <w:rPr/>
              <w:t> </w:t>
            </w:r>
          </w:p>
        </w:tc>
        <w:tc>
          <w:tcPr>
            <w:tcW w:w="8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8"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0" w:type="dxa"/>
            <w:gridSpan w:val="2"/>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850" w:type="dxa"/>
            <w:gridSpan w:val="2"/>
            <w:tcBorders/>
            <w:vAlign w:val="center"/>
          </w:tcPr>
          <w:p>
            <w:pPr>
              <w:pStyle w:val="TableContents"/>
              <w:bidi w:val="0"/>
              <w:spacing w:before="0" w:after="0"/>
              <w:ind w:left="0" w:right="0" w:hanging="0"/>
              <w:jc w:val="left"/>
              <w:rPr/>
            </w:pPr>
            <w:r>
              <w:rPr/>
              <w:t> </w:t>
            </w:r>
          </w:p>
        </w:tc>
        <w:tc>
          <w:tcPr>
            <w:tcW w:w="397" w:type="dxa"/>
            <w:tcBorders/>
            <w:vAlign w:val="center"/>
          </w:tcPr>
          <w:p>
            <w:pPr>
              <w:pStyle w:val="TableContents"/>
              <w:bidi w:val="0"/>
              <w:spacing w:before="0" w:after="0"/>
              <w:ind w:left="0" w:right="0" w:hanging="0"/>
              <w:jc w:val="left"/>
              <w:rPr/>
            </w:pPr>
            <w:r>
              <w:rPr/>
              <w:t> </w:t>
            </w:r>
          </w:p>
        </w:tc>
      </w:tr>
      <w:tr>
        <w:trPr/>
        <w:tc>
          <w:tcPr>
            <w:tcW w:w="51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1,091</w:t>
            </w:r>
          </w:p>
        </w:tc>
        <w:tc>
          <w:tcPr>
            <w:tcW w:w="17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2,181</w:t>
            </w:r>
          </w:p>
        </w:tc>
        <w:tc>
          <w:tcPr>
            <w:tcW w:w="158"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righ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1,534</w:t>
            </w:r>
          </w:p>
        </w:tc>
        <w:tc>
          <w:tcPr>
            <w:tcW w:w="397" w:type="dxa"/>
            <w:tcBorders/>
            <w:vAlign w:val="center"/>
          </w:tcPr>
          <w:p>
            <w:pPr>
              <w:pStyle w:val="TableContents"/>
              <w:bidi w:val="0"/>
              <w:spacing w:before="0" w:after="0"/>
              <w:ind w:left="0" w:right="0" w:hanging="0"/>
              <w:jc w:val="left"/>
              <w:rPr/>
            </w:pPr>
            <w:r>
              <w:rPr/>
              <w:t> </w:t>
            </w:r>
          </w:p>
        </w:tc>
      </w:tr>
      <w:tr>
        <w:trPr/>
        <w:tc>
          <w:tcPr>
            <w:tcW w:w="51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Variable lease cost</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w:t>
            </w:r>
          </w:p>
        </w:tc>
        <w:tc>
          <w:tcPr>
            <w:tcW w:w="17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595</w:t>
            </w:r>
          </w:p>
        </w:tc>
        <w:tc>
          <w:tcPr>
            <w:tcW w:w="158"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591</w:t>
            </w:r>
          </w:p>
        </w:tc>
        <w:tc>
          <w:tcPr>
            <w:tcW w:w="397" w:type="dxa"/>
            <w:tcBorders/>
            <w:vAlign w:val="center"/>
          </w:tcPr>
          <w:p>
            <w:pPr>
              <w:pStyle w:val="TableContents"/>
              <w:bidi w:val="0"/>
              <w:spacing w:before="0" w:after="0"/>
              <w:ind w:left="0" w:right="0" w:hanging="0"/>
              <w:jc w:val="left"/>
              <w:rPr/>
            </w:pPr>
            <w:r>
              <w:rPr/>
              <w:t> </w:t>
            </w:r>
          </w:p>
        </w:tc>
      </w:tr>
      <w:tr>
        <w:trPr/>
        <w:tc>
          <w:tcPr>
            <w:tcW w:w="51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lease cost</w:t>
            </w:r>
          </w:p>
        </w:tc>
        <w:tc>
          <w:tcPr>
            <w:tcW w:w="146" w:type="dxa"/>
            <w:tcBorders/>
            <w:vAlign w:val="center"/>
          </w:tcPr>
          <w:p>
            <w:pPr>
              <w:pStyle w:val="TableContents"/>
              <w:bidi w:val="0"/>
              <w:spacing w:before="0" w:after="0"/>
              <w:ind w:left="0" w:right="0" w:hanging="0"/>
              <w:jc w:val="left"/>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w:t>
            </w:r>
          </w:p>
        </w:tc>
        <w:tc>
          <w:tcPr>
            <w:tcW w:w="397"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51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lease cost</w:t>
            </w:r>
          </w:p>
        </w:tc>
        <w:tc>
          <w:tcPr>
            <w:tcW w:w="146" w:type="dxa"/>
            <w:tcBorders/>
            <w:vAlign w:val="center"/>
          </w:tcPr>
          <w:p>
            <w:pPr>
              <w:pStyle w:val="TableContents"/>
              <w:bidi w:val="0"/>
              <w:spacing w:before="0" w:after="0"/>
              <w:ind w:left="0" w:right="0" w:hanging="0"/>
              <w:jc w:val="left"/>
              <w:rPr/>
            </w:pPr>
            <w:r>
              <w:rPr/>
              <w:t> </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1,413</w:t>
            </w:r>
          </w:p>
        </w:tc>
        <w:tc>
          <w:tcPr>
            <w:tcW w:w="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right"/>
              <w:rPr/>
            </w:pPr>
            <w:r>
              <w:rPr/>
              <w:t> </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2,781</w:t>
            </w:r>
          </w:p>
        </w:tc>
        <w:tc>
          <w:tcPr>
            <w:tcW w:w="1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righ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2,590</w:t>
            </w:r>
          </w:p>
        </w:tc>
        <w:tc>
          <w:tcPr>
            <w:tcW w:w="397"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186"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4" w:type="dxa"/>
            <w:gridSpan w:val="2"/>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91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0" w:type="dxa"/>
            <w:gridSpan w:val="2"/>
            <w:tcBorders/>
            <w:vAlign w:val="center"/>
          </w:tcPr>
          <w:p>
            <w:pPr>
              <w:pStyle w:val="TableContents"/>
              <w:bidi w:val="0"/>
              <w:spacing w:before="0" w:after="0"/>
              <w:ind w:left="0" w:right="0" w:hanging="0"/>
              <w:jc w:val="right"/>
              <w:rPr/>
            </w:pPr>
            <w:r>
              <w:rPr/>
              <w:t> </w:t>
            </w:r>
          </w:p>
        </w:tc>
        <w:tc>
          <w:tcPr>
            <w:tcW w:w="158" w:type="dxa"/>
            <w:tcBorders/>
            <w:vAlign w:val="center"/>
          </w:tcPr>
          <w:p>
            <w:pPr>
              <w:pStyle w:val="TableContents"/>
              <w:bidi w:val="0"/>
              <w:spacing w:before="0" w:after="0"/>
              <w:ind w:left="0" w:right="0" w:hanging="0"/>
              <w:jc w:val="right"/>
              <w:rPr/>
            </w:pPr>
            <w:r>
              <w:rPr/>
              <w:t> </w:t>
            </w:r>
          </w:p>
        </w:tc>
        <w:tc>
          <w:tcPr>
            <w:tcW w:w="158" w:type="dxa"/>
            <w:tcBorders/>
            <w:vAlign w:val="center"/>
          </w:tcPr>
          <w:p>
            <w:pPr>
              <w:pStyle w:val="TableContents"/>
              <w:bidi w:val="0"/>
              <w:spacing w:before="0" w:after="0"/>
              <w:ind w:left="0" w:right="0" w:hanging="0"/>
              <w:jc w:val="left"/>
              <w:rPr/>
            </w:pPr>
            <w:r>
              <w:rPr/>
              <w:t> </w:t>
            </w:r>
          </w:p>
        </w:tc>
        <w:tc>
          <w:tcPr>
            <w:tcW w:w="850" w:type="dxa"/>
            <w:gridSpan w:val="2"/>
            <w:tcBorders/>
            <w:vAlign w:val="center"/>
          </w:tcPr>
          <w:p>
            <w:pPr>
              <w:pStyle w:val="TableContents"/>
              <w:bidi w:val="0"/>
              <w:spacing w:before="0" w:after="0"/>
              <w:ind w:left="0" w:right="0" w:hanging="0"/>
              <w:jc w:val="right"/>
              <w:rPr/>
            </w:pPr>
            <w:r>
              <w:rPr/>
              <w:t> </w:t>
            </w:r>
          </w:p>
        </w:tc>
        <w:tc>
          <w:tcPr>
            <w:tcW w:w="397" w:type="dxa"/>
            <w:tcBorders/>
            <w:vAlign w:val="center"/>
          </w:tcPr>
          <w:p>
            <w:pPr>
              <w:pStyle w:val="TableContents"/>
              <w:bidi w:val="0"/>
              <w:spacing w:before="0" w:after="0"/>
              <w:ind w:left="0" w:right="0" w:hanging="0"/>
              <w:jc w:val="right"/>
              <w:rPr/>
            </w:pPr>
            <w:r>
              <w:rPr/>
              <w:t> </w:t>
            </w:r>
          </w:p>
        </w:tc>
      </w:tr>
      <w:tr>
        <w:trPr/>
        <w:tc>
          <w:tcPr>
            <w:tcW w:w="51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 obtained in exchange for lease obligations</w:t>
            </w:r>
          </w:p>
        </w:tc>
        <w:tc>
          <w:tcPr>
            <w:tcW w:w="146" w:type="dxa"/>
            <w:tcBorders/>
            <w:vAlign w:val="center"/>
          </w:tcPr>
          <w:p>
            <w:pPr>
              <w:pStyle w:val="TableContents"/>
              <w:bidi w:val="0"/>
              <w:spacing w:before="0" w:after="0"/>
              <w:ind w:left="0" w:right="0" w:hanging="0"/>
              <w:jc w:val="left"/>
              <w:rPr/>
            </w:pPr>
            <w:r>
              <w:rPr/>
              <w:t> </w:t>
            </w:r>
          </w:p>
        </w:tc>
        <w:tc>
          <w:tcPr>
            <w:tcW w:w="914" w:type="dxa"/>
            <w:gridSpan w:val="2"/>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914"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1" w:type="dxa"/>
            <w:tcBorders/>
            <w:vAlign w:val="center"/>
          </w:tcPr>
          <w:p>
            <w:pPr>
              <w:pStyle w:val="TableContents"/>
              <w:bidi w:val="0"/>
              <w:spacing w:before="0" w:after="0"/>
              <w:ind w:left="0" w:right="0" w:hanging="0"/>
              <w:jc w:val="right"/>
              <w:rPr/>
            </w:pPr>
            <w:r>
              <w:rPr/>
              <w:t>—</w:t>
            </w:r>
          </w:p>
        </w:tc>
        <w:tc>
          <w:tcPr>
            <w:tcW w:w="158"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righ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2,224</w:t>
            </w:r>
          </w:p>
        </w:tc>
        <w:tc>
          <w:tcPr>
            <w:tcW w:w="397" w:type="dxa"/>
            <w:tcBorders/>
            <w:vAlign w:val="center"/>
          </w:tcPr>
          <w:p>
            <w:pPr>
              <w:pStyle w:val="TableContents"/>
              <w:bidi w:val="0"/>
              <w:spacing w:before="0" w:after="0"/>
              <w:ind w:left="0" w:right="0" w:hanging="0"/>
              <w:jc w:val="left"/>
              <w:rPr/>
            </w:pPr>
            <w:r>
              <w:rPr/>
              <w:t> </w:t>
            </w:r>
          </w:p>
        </w:tc>
      </w:tr>
      <w:tr>
        <w:trPr/>
        <w:tc>
          <w:tcPr>
            <w:tcW w:w="51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amounts included in the measurement of lease liabilities</w:t>
            </w:r>
          </w:p>
        </w:tc>
        <w:tc>
          <w:tcPr>
            <w:tcW w:w="146" w:type="dxa"/>
            <w:tcBorders/>
            <w:vAlign w:val="center"/>
          </w:tcPr>
          <w:p>
            <w:pPr>
              <w:pStyle w:val="TableContents"/>
              <w:bidi w:val="0"/>
              <w:spacing w:before="0" w:after="0"/>
              <w:ind w:left="0" w:right="0" w:hanging="0"/>
              <w:jc w:val="left"/>
              <w:rPr/>
            </w:pPr>
            <w:r>
              <w:rPr/>
              <w:t> </w:t>
            </w:r>
          </w:p>
        </w:tc>
        <w:tc>
          <w:tcPr>
            <w:tcW w:w="914" w:type="dxa"/>
            <w:gridSpan w:val="2"/>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914"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2,646</w:t>
            </w:r>
          </w:p>
        </w:tc>
        <w:tc>
          <w:tcPr>
            <w:tcW w:w="158"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righ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1,663</w:t>
            </w:r>
          </w:p>
        </w:tc>
        <w:tc>
          <w:tcPr>
            <w:tcW w:w="397" w:type="dxa"/>
            <w:tcBorders/>
            <w:vAlign w:val="center"/>
          </w:tcPr>
          <w:p>
            <w:pPr>
              <w:pStyle w:val="TableContents"/>
              <w:bidi w:val="0"/>
              <w:spacing w:before="0" w:after="0"/>
              <w:ind w:left="0" w:right="0" w:hanging="0"/>
              <w:jc w:val="left"/>
              <w:rPr/>
            </w:pPr>
            <w:r>
              <w:rPr/>
              <w:t> </w:t>
            </w:r>
          </w:p>
        </w:tc>
      </w:tr>
    </w:tbl>
    <w:p>
      <w:pPr>
        <w:pStyle w:val="TextBody"/>
        <w:bidi w:val="0"/>
        <w:spacing w:before="120" w:after="120"/>
        <w:jc w:val="left"/>
        <w:rPr>
          <w:rFonts w:ascii="Times New Roman" w:hAnsi="Times New Roman"/>
          <w:sz w:val="20"/>
        </w:rPr>
      </w:pPr>
      <w:r>
        <w:rPr>
          <w:rFonts w:ascii="Times New Roman;serif" w:hAnsi="Times New Roman;serif"/>
          <w:b w:val="false"/>
          <w:sz w:val="20"/>
        </w:rPr>
        <w:t>As of June 30, 2023, the Company’s operating leases had a weighted average remaining lease term of 5.5</w:t>
      </w:r>
      <w:r>
        <w:rPr>
          <w:rFonts w:ascii="Times New Roman" w:hAnsi="Times New Roman"/>
          <w:sz w:val="20"/>
        </w:rPr>
        <w:t xml:space="preserve"> </w:t>
      </w:r>
      <w:r>
        <w:rPr>
          <w:rFonts w:ascii="Times New Roman;serif" w:hAnsi="Times New Roman;serif"/>
          <w:b w:val="false"/>
          <w:sz w:val="20"/>
        </w:rPr>
        <w:t xml:space="preserve">years and a weighted average discount rate of 9.4%. Future minimum lease payments under the Company’s operating leases as of June 30, 2023 were as follows: </w:t>
      </w:r>
    </w:p>
    <w:tbl>
      <w:tblPr>
        <w:tblW w:w="6013" w:type="dxa"/>
        <w:jc w:val="left"/>
        <w:tblInd w:w="0" w:type="dxa"/>
        <w:tblLayout w:type="fixed"/>
        <w:tblCellMar>
          <w:top w:w="28" w:type="dxa"/>
          <w:left w:w="28" w:type="dxa"/>
          <w:bottom w:w="28" w:type="dxa"/>
          <w:right w:w="28" w:type="dxa"/>
        </w:tblCellMar>
      </w:tblPr>
      <w:tblGrid>
        <w:gridCol w:w="4336"/>
        <w:gridCol w:w="146"/>
        <w:gridCol w:w="271"/>
        <w:gridCol w:w="869"/>
        <w:gridCol w:w="3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 (remaining 6 months)</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2,577</w:t>
            </w:r>
          </w:p>
        </w:tc>
        <w:tc>
          <w:tcPr>
            <w:tcW w:w="391" w:type="dxa"/>
            <w:tcBorders/>
            <w:vAlign w:val="center"/>
          </w:tcPr>
          <w:p>
            <w:pPr>
              <w:pStyle w:val="TableContents"/>
              <w:bidi w:val="0"/>
              <w:spacing w:before="0" w:after="0"/>
              <w:ind w:left="0" w:right="0" w:hanging="0"/>
              <w:jc w:val="left"/>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3,910</w:t>
            </w:r>
          </w:p>
        </w:tc>
        <w:tc>
          <w:tcPr>
            <w:tcW w:w="391" w:type="dxa"/>
            <w:tcBorders/>
            <w:vAlign w:val="center"/>
          </w:tcPr>
          <w:p>
            <w:pPr>
              <w:pStyle w:val="TableContents"/>
              <w:bidi w:val="0"/>
              <w:spacing w:before="0" w:after="0"/>
              <w:ind w:left="0" w:right="0" w:hanging="0"/>
              <w:jc w:val="left"/>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2,445</w:t>
            </w:r>
          </w:p>
        </w:tc>
        <w:tc>
          <w:tcPr>
            <w:tcW w:w="391" w:type="dxa"/>
            <w:tcBorders/>
            <w:vAlign w:val="center"/>
          </w:tcPr>
          <w:p>
            <w:pPr>
              <w:pStyle w:val="TableContents"/>
              <w:bidi w:val="0"/>
              <w:spacing w:before="0" w:after="0"/>
              <w:ind w:left="0" w:right="0" w:hanging="0"/>
              <w:jc w:val="left"/>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1,386</w:t>
            </w:r>
          </w:p>
        </w:tc>
        <w:tc>
          <w:tcPr>
            <w:tcW w:w="391" w:type="dxa"/>
            <w:tcBorders/>
            <w:vAlign w:val="center"/>
          </w:tcPr>
          <w:p>
            <w:pPr>
              <w:pStyle w:val="TableContents"/>
              <w:bidi w:val="0"/>
              <w:spacing w:before="0" w:after="0"/>
              <w:ind w:left="0" w:right="0" w:hanging="0"/>
              <w:jc w:val="left"/>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1,428</w:t>
            </w:r>
          </w:p>
        </w:tc>
        <w:tc>
          <w:tcPr>
            <w:tcW w:w="391" w:type="dxa"/>
            <w:tcBorders/>
            <w:vAlign w:val="center"/>
          </w:tcPr>
          <w:p>
            <w:pPr>
              <w:pStyle w:val="TableContents"/>
              <w:bidi w:val="0"/>
              <w:spacing w:before="0" w:after="0"/>
              <w:ind w:left="0" w:right="0" w:hanging="0"/>
              <w:jc w:val="left"/>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433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undiscounted future minimum lease payments</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17,223</w:t>
            </w:r>
          </w:p>
        </w:tc>
        <w:tc>
          <w:tcPr>
            <w:tcW w:w="391" w:type="dxa"/>
            <w:tcBorders/>
            <w:vAlign w:val="center"/>
          </w:tcPr>
          <w:p>
            <w:pPr>
              <w:pStyle w:val="TableContents"/>
              <w:bidi w:val="0"/>
              <w:spacing w:before="0" w:after="0"/>
              <w:ind w:left="0" w:right="0" w:firstLine="200"/>
              <w:jc w:val="left"/>
              <w:rPr/>
            </w:pPr>
            <w:r>
              <w:rPr/>
              <w:t> </w:t>
            </w:r>
          </w:p>
        </w:tc>
      </w:tr>
      <w:tr>
        <w:trPr/>
        <w:tc>
          <w:tcPr>
            <w:tcW w:w="43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Imputed interest</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(4,119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33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operating lease liabilities</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13,104</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Asset Retirement Obligation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Under the lease agreement for the manufacturing and office facility in Union City, the Company is contractually obligated to remove constructed leasehold improvements related to capitalized machinery and equipment (see Note 4) and to restore the leased space to its original condition upon termination of the lease agreement. As of June 30, 2023, the balance of the asset retirement obligation liability was not material.</w:t>
      </w:r>
    </w:p>
    <w:p>
      <w:pPr>
        <w:pStyle w:val="TextBody"/>
        <w:bidi w:val="0"/>
        <w:spacing w:before="240" w:after="0"/>
        <w:jc w:val="left"/>
        <w:rPr>
          <w:rFonts w:ascii="Times New Roman;serif" w:hAnsi="Times New Roman;serif"/>
          <w:b/>
          <w:i/>
          <w:sz w:val="20"/>
        </w:rPr>
      </w:pPr>
      <w:r>
        <w:rPr>
          <w:rFonts w:ascii="Times New Roman;serif" w:hAnsi="Times New Roman;serif"/>
          <w:b/>
          <w:i/>
          <w:sz w:val="20"/>
        </w:rPr>
        <w:t>Purchase Commitments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enters into contractual agreements with various suppliers in the normal course of its business, including vendors that provide machinery and equipment. All contracts are terminable, with varying provisions regarding termination. If a contract with a specific vendor were to be terminated, the Company would only be obligated for the products or services that the Company had received through the time of termination.</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Indemnification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the Company may become involved in litigation and other legal actions. The Company estimates the range of liability related to any pending litigation where the amount and range of loss can be estimated. The Company records its best estimate of a loss when the loss is considered probable. Where a liability is probable and there is a range of estimated loss with no best estimate in the range, the Company records a charge equal to at least the minimum estimated liability for a loss contingency when both of the following conditions are met: (i) information available prior to issuance of the consolidated financial statements indicates that it is probable that a liability had been incurred at the date of the consolidated financial statements and (ii) the range of loss can be reasonably estimated. The Company was not involved in any material litigation as of June 30, 2023.</w:t>
      </w:r>
    </w:p>
    <w:p>
      <w:pPr>
        <w:pStyle w:val="TextBody"/>
        <w:bidi w:val="0"/>
        <w:spacing w:before="120" w:after="0"/>
        <w:jc w:val="left"/>
        <w:rPr>
          <w:rFonts w:ascii="Times New Roman" w:hAnsi="Times New Roman"/>
          <w:sz w:val="20"/>
        </w:rPr>
      </w:pPr>
      <w:r>
        <w:rPr>
          <w:rFonts w:ascii="Times New Roman;serif" w:hAnsi="Times New Roman;serif"/>
          <w:b w:val="false"/>
          <w:sz w:val="20"/>
        </w:rPr>
        <w:t>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June 30, 2023, the Company did not have any material indemnification claims that were probable or reasonably possible and, consequently, has not recorded any related liabilities.</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7.</w:t>
      </w:r>
    </w:p>
    <w:p>
      <w:pPr>
        <w:pStyle w:val="TextBody"/>
        <w:bidi w:val="0"/>
        <w:spacing w:before="240" w:after="283"/>
        <w:jc w:val="left"/>
        <w:rPr>
          <w:rFonts w:ascii="Times New Roman;serif" w:hAnsi="Times New Roman;serif"/>
          <w:b/>
          <w:sz w:val="20"/>
        </w:rPr>
      </w:pPr>
      <w:r>
        <w:rPr>
          <w:rFonts w:ascii="Times New Roman;serif" w:hAnsi="Times New Roman;serif"/>
          <w:b/>
          <w:sz w:val="20"/>
        </w:rPr>
        <w:t xml:space="preserve">Stock-Based Compensation </w:t>
      </w:r>
    </w:p>
    <w:p>
      <w:pPr>
        <w:pStyle w:val="TextBody"/>
        <w:bidi w:val="0"/>
        <w:spacing w:before="120" w:after="0"/>
        <w:jc w:val="left"/>
        <w:rPr>
          <w:rFonts w:ascii="Times New Roman" w:hAnsi="Times New Roman"/>
          <w:sz w:val="20"/>
        </w:rPr>
      </w:pPr>
      <w:r>
        <w:rPr>
          <w:rFonts w:ascii="Times New Roman;serif" w:hAnsi="Times New Roman;serif"/>
          <w:b/>
          <w:i/>
          <w:sz w:val="20"/>
        </w:rPr>
        <w:t>2021 Equity Incentive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Under the Company's 2021 Equity Incentive Plan (2021 Plan), 4,000,000</w:t>
      </w:r>
      <w:r>
        <w:rPr>
          <w:rFonts w:ascii="Times New Roman" w:hAnsi="Times New Roman"/>
          <w:sz w:val="20"/>
        </w:rPr>
        <w:t xml:space="preserve"> </w:t>
      </w:r>
      <w:r>
        <w:rPr>
          <w:rFonts w:ascii="Times New Roman;serif" w:hAnsi="Times New Roman;serif"/>
          <w:b w:val="false"/>
          <w:sz w:val="20"/>
        </w:rPr>
        <w:t>shares of the Company’s common stock were initially reserved for issuance of equity awards to employees, directors, and consultants, under terms and provisions established by the board of directors. The number of shares of common stock available for issuance under the 2021 Plan automatically increases on the first day of January for a period of ten years, commencing on January 1, 2022, in an amount equal to the lesser of: 4,000,000</w:t>
      </w:r>
      <w:r>
        <w:rPr>
          <w:rFonts w:ascii="Times New Roman" w:hAnsi="Times New Roman"/>
          <w:sz w:val="20"/>
        </w:rPr>
        <w:t xml:space="preserve"> </w:t>
      </w:r>
      <w:r>
        <w:rPr>
          <w:rFonts w:ascii="Times New Roman;serif" w:hAnsi="Times New Roman;serif"/>
          <w:b w:val="false"/>
          <w:sz w:val="20"/>
        </w:rPr>
        <w:t>shares; 4% of the outstanding shares of the Company’s common stock as of the last day of the immediately preceding year; or such other amount as the board of directors may determine. In addition, the Company’s 2016 Equity Incentive Plan (2016 Plan) was terminated in connection with the IPO. Shares subject to awards granted under the 2016 Plan that are repurchased by or forfeited to the Company will be reserved for issuance under the 2021 Plan.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Total shares reserved and available for grant under the 2021 Plan as of June 30, 2023 are 1,158,849.</w:t>
      </w:r>
    </w:p>
    <w:p>
      <w:pPr>
        <w:pStyle w:val="TextBody"/>
        <w:bidi w:val="0"/>
        <w:spacing w:before="240" w:after="0"/>
        <w:jc w:val="left"/>
        <w:rPr>
          <w:rFonts w:ascii="Times New Roman" w:hAnsi="Times New Roman"/>
          <w:sz w:val="20"/>
        </w:rPr>
      </w:pPr>
      <w:r>
        <w:rPr>
          <w:rFonts w:ascii="Times New Roman;serif" w:hAnsi="Times New Roman;serif"/>
          <w:b/>
          <w:i/>
          <w:sz w:val="20"/>
        </w:rPr>
        <w:t>Stock Option Activity</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summarizes stock option activity:</w:t>
      </w:r>
    </w:p>
    <w:tbl>
      <w:tblPr>
        <w:tblW w:w="5992" w:type="dxa"/>
        <w:jc w:val="left"/>
        <w:tblInd w:w="0" w:type="dxa"/>
        <w:tblLayout w:type="fixed"/>
        <w:tblCellMar>
          <w:top w:w="28" w:type="dxa"/>
          <w:left w:w="28" w:type="dxa"/>
          <w:bottom w:w="28" w:type="dxa"/>
          <w:right w:w="28" w:type="dxa"/>
        </w:tblCellMar>
      </w:tblPr>
      <w:tblGrid>
        <w:gridCol w:w="3166"/>
        <w:gridCol w:w="146"/>
        <w:gridCol w:w="146"/>
        <w:gridCol w:w="931"/>
        <w:gridCol w:w="166"/>
        <w:gridCol w:w="146"/>
        <w:gridCol w:w="242"/>
        <w:gridCol w:w="658"/>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w:t>
              <w:br/>
              <w:t>Price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dollars)</w:t>
            </w:r>
          </w:p>
        </w:tc>
        <w:tc>
          <w:tcPr>
            <w:tcW w:w="391" w:type="dxa"/>
            <w:tcBorders/>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5,210,182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10.01</w:t>
            </w:r>
          </w:p>
        </w:tc>
        <w:tc>
          <w:tcPr>
            <w:tcW w:w="391" w:type="dxa"/>
            <w:tcBorders/>
            <w:vAlign w:val="center"/>
          </w:tcPr>
          <w:p>
            <w:pPr>
              <w:pStyle w:val="TableContents"/>
              <w:bidi w:val="0"/>
              <w:spacing w:before="0" w:after="0"/>
              <w:ind w:left="0" w:right="0" w:firstLine="200"/>
              <w:jc w:val="left"/>
              <w:rPr/>
            </w:pPr>
            <w:r>
              <w:rPr/>
              <w:t> </w:t>
            </w:r>
          </w:p>
        </w:tc>
      </w:tr>
      <w:tr>
        <w:trPr/>
        <w:tc>
          <w:tcPr>
            <w:tcW w:w="31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3,036,358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w:t>
            </w:r>
          </w:p>
        </w:tc>
        <w:tc>
          <w:tcPr>
            <w:tcW w:w="391" w:type="dxa"/>
            <w:tcBorders/>
            <w:vAlign w:val="center"/>
          </w:tcPr>
          <w:p>
            <w:pPr>
              <w:pStyle w:val="TableContents"/>
              <w:bidi w:val="0"/>
              <w:spacing w:before="0" w:after="0"/>
              <w:ind w:left="0" w:right="0" w:firstLine="200"/>
              <w:jc w:val="left"/>
              <w:rPr/>
            </w:pPr>
            <w:r>
              <w:rPr/>
              <w:t> </w:t>
            </w:r>
          </w:p>
        </w:tc>
      </w:tr>
      <w:tr>
        <w:trPr/>
        <w:tc>
          <w:tcPr>
            <w:tcW w:w="31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(10,875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w:t>
            </w:r>
          </w:p>
        </w:tc>
        <w:tc>
          <w:tcPr>
            <w:tcW w:w="391" w:type="dxa"/>
            <w:tcBorders/>
            <w:vAlign w:val="center"/>
          </w:tcPr>
          <w:p>
            <w:pPr>
              <w:pStyle w:val="TableContents"/>
              <w:bidi w:val="0"/>
              <w:spacing w:before="0" w:after="0"/>
              <w:ind w:left="0" w:right="0" w:firstLine="200"/>
              <w:jc w:val="left"/>
              <w:rPr/>
            </w:pPr>
            <w:r>
              <w:rPr/>
              <w:t> </w:t>
            </w:r>
          </w:p>
        </w:tc>
      </w:tr>
      <w:tr>
        <w:trPr/>
        <w:tc>
          <w:tcPr>
            <w:tcW w:w="31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Cancelled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(103,438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5.41</w:t>
            </w:r>
          </w:p>
        </w:tc>
        <w:tc>
          <w:tcPr>
            <w:tcW w:w="391"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8,132,227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7.62</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240"/>
        <w:jc w:val="left"/>
        <w:rPr>
          <w:rFonts w:ascii="Times New Roman" w:hAnsi="Times New Roman"/>
          <w:sz w:val="20"/>
        </w:rPr>
      </w:pPr>
      <w:r>
        <w:rPr>
          <w:rFonts w:ascii="Times New Roman;serif" w:hAnsi="Times New Roman;serif"/>
          <w:b w:val="false"/>
          <w:sz w:val="20"/>
        </w:rPr>
        <w:t>Stock option awards granted to employees generally vest over a four-year</w:t>
      </w:r>
      <w:r>
        <w:rPr>
          <w:rFonts w:ascii="Times New Roman" w:hAnsi="Times New Roman"/>
          <w:sz w:val="20"/>
        </w:rPr>
        <w:t xml:space="preserve"> </w:t>
      </w:r>
      <w:r>
        <w:rPr>
          <w:rFonts w:ascii="Times New Roman;serif" w:hAnsi="Times New Roman;serif"/>
          <w:b w:val="false"/>
          <w:sz w:val="20"/>
        </w:rPr>
        <w:t>period. The contractual term of stock option awards is generally 10 years</w:t>
      </w:r>
      <w:r>
        <w:rPr>
          <w:rFonts w:ascii="Times New Roman" w:hAnsi="Times New Roman"/>
          <w:sz w:val="20"/>
        </w:rPr>
        <w:t xml:space="preserve"> </w:t>
      </w:r>
      <w:r>
        <w:rPr>
          <w:rFonts w:ascii="Times New Roman;serif" w:hAnsi="Times New Roman;serif"/>
          <w:b w:val="false"/>
          <w:sz w:val="20"/>
        </w:rPr>
        <w:t>from the grant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Stock Option Valuation</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The fair value of the Company’s stock option awards is estimated on the date of grant using the Black-Scholes option pricing model using the following assumptions:</w:t>
      </w:r>
      <w:r>
        <w:rPr>
          <w:rFonts w:ascii="Times New Roman" w:hAnsi="Times New Roman"/>
          <w:sz w:val="20"/>
        </w:rPr>
        <w:t xml:space="preserve"> </w:t>
      </w:r>
    </w:p>
    <w:tbl>
      <w:tblPr>
        <w:tblW w:w="7324" w:type="dxa"/>
        <w:jc w:val="left"/>
        <w:tblInd w:w="0" w:type="dxa"/>
        <w:tblLayout w:type="fixed"/>
        <w:tblCellMar>
          <w:top w:w="28" w:type="dxa"/>
          <w:left w:w="28" w:type="dxa"/>
          <w:bottom w:w="28" w:type="dxa"/>
          <w:right w:w="28" w:type="dxa"/>
        </w:tblCellMar>
      </w:tblPr>
      <w:tblGrid>
        <w:gridCol w:w="2131"/>
        <w:gridCol w:w="146"/>
        <w:gridCol w:w="1141"/>
        <w:gridCol w:w="146"/>
        <w:gridCol w:w="1141"/>
        <w:gridCol w:w="146"/>
        <w:gridCol w:w="1141"/>
        <w:gridCol w:w="146"/>
        <w:gridCol w:w="118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7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r>
      <w:tr>
        <w:trPr/>
        <w:tc>
          <w:tcPr>
            <w:tcW w:w="21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(in years)</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5.5</w:t>
            </w:r>
            <w:r>
              <w:rPr>
                <w:rFonts w:ascii="Times New Roman" w:hAnsi="Times New Roman"/>
                <w:sz w:val="20"/>
              </w:rPr>
              <w:t xml:space="preserve"> – </w:t>
            </w:r>
            <w:r>
              <w:rPr>
                <w:rFonts w:ascii="Times New Roman;serif" w:hAnsi="Times New Roman;serif"/>
                <w:b w:val="false"/>
                <w:sz w:val="20"/>
              </w:rPr>
              <w:t>6.1</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5.5</w:t>
            </w:r>
            <w:r>
              <w:rPr>
                <w:rFonts w:ascii="Times New Roman" w:hAnsi="Times New Roman"/>
                <w:sz w:val="20"/>
              </w:rPr>
              <w:t xml:space="preserve"> – </w:t>
            </w:r>
            <w:r>
              <w:rPr>
                <w:rFonts w:ascii="Times New Roman;serif" w:hAnsi="Times New Roman;serif"/>
                <w:b w:val="false"/>
                <w:sz w:val="20"/>
              </w:rPr>
              <w:t>6.1</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 xml:space="preserve">5.5 </w:t>
            </w:r>
            <w:r>
              <w:rPr>
                <w:rFonts w:ascii="Times New Roman" w:hAnsi="Times New Roman"/>
                <w:sz w:val="20"/>
              </w:rPr>
              <w:t xml:space="preserve">– </w:t>
            </w:r>
            <w:r>
              <w:rPr>
                <w:rFonts w:ascii="Times New Roman;serif" w:hAnsi="Times New Roman;serif"/>
                <w:b w:val="false"/>
                <w:sz w:val="20"/>
              </w:rPr>
              <w:t>6.1</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 xml:space="preserve">5.5 </w:t>
            </w:r>
            <w:r>
              <w:rPr>
                <w:rFonts w:ascii="Times New Roman" w:hAnsi="Times New Roman"/>
                <w:sz w:val="20"/>
              </w:rPr>
              <w:t xml:space="preserve">– </w:t>
            </w:r>
            <w:r>
              <w:rPr>
                <w:rFonts w:ascii="Times New Roman;serif" w:hAnsi="Times New Roman;serif"/>
                <w:b w:val="false"/>
                <w:sz w:val="20"/>
              </w:rPr>
              <w:t>6.1</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94% – 95%</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96% – 97%</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94% – 95%</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96% – 97%</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3.4% – 3.9%</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2.8% – 3.4%</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3.4% – 4.0%</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1.6% – 3.4%</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pPr>
            <w:r>
              <w:rPr/>
              <w:t>—</w:t>
            </w: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pPr>
            <w:r>
              <w:rPr/>
              <w:t>—</w:t>
            </w: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pPr>
            <w:r>
              <w:rPr/>
              <w:t>—</w:t>
            </w: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pPr>
            <w:r>
              <w:rPr/>
              <w:t>—</w:t>
            </w:r>
            <w:r>
              <w:rPr>
                <w:rFonts w:ascii="Times New Roman;serif" w:hAnsi="Times New Roman;serif"/>
                <w:b w:val="false"/>
                <w:sz w:val="20"/>
              </w:rPr>
              <w:t>%</w:t>
            </w:r>
          </w:p>
        </w:tc>
      </w:tr>
    </w:tbl>
    <w:p>
      <w:pPr>
        <w:pStyle w:val="TextBody"/>
        <w:bidi w:val="0"/>
        <w:spacing w:before="240" w:after="0"/>
        <w:jc w:val="left"/>
        <w:rPr>
          <w:rFonts w:ascii="Times New Roman;serif" w:hAnsi="Times New Roman;serif"/>
          <w:b/>
          <w:i/>
          <w:sz w:val="20"/>
        </w:rPr>
      </w:pPr>
      <w:r>
        <w:rPr>
          <w:rFonts w:ascii="Times New Roman;serif" w:hAnsi="Times New Roman;serif"/>
          <w:b/>
          <w:i/>
          <w:sz w:val="20"/>
        </w:rPr>
        <w:t>Restricted Stock Units</w:t>
      </w:r>
    </w:p>
    <w:p>
      <w:pPr>
        <w:pStyle w:val="TextBody"/>
        <w:bidi w:val="0"/>
        <w:spacing w:before="120" w:after="120"/>
        <w:jc w:val="left"/>
        <w:rPr>
          <w:rFonts w:ascii="Times New Roman" w:hAnsi="Times New Roman"/>
          <w:sz w:val="20"/>
        </w:rPr>
      </w:pPr>
      <w:r>
        <w:rPr>
          <w:rFonts w:ascii="Times New Roman;serif" w:hAnsi="Times New Roman;serif"/>
          <w:b w:val="false"/>
          <w:sz w:val="20"/>
        </w:rPr>
        <w:t>RSUs are awards that entitle the holder to receive freely tradable shares of the Company’s common stock upon the completion of a specific period of continued service. RSUs generally vest over a two- to four-year</w:t>
      </w:r>
      <w:r>
        <w:rPr>
          <w:rFonts w:ascii="Times New Roman" w:hAnsi="Times New Roman"/>
          <w:sz w:val="20"/>
        </w:rPr>
        <w:t xml:space="preserve"> </w:t>
      </w:r>
      <w:r>
        <w:rPr>
          <w:rFonts w:ascii="Times New Roman;serif" w:hAnsi="Times New Roman;serif"/>
          <w:b w:val="false"/>
          <w:sz w:val="20"/>
        </w:rPr>
        <w:t xml:space="preserve">period and are subject to forfeiture if employment terminates prior to the release of vesting restrictions. RSUs are valued at the market price of the underlying common stock on the date of grant. The Company recognizes noncash compensation expense for the fair value of RSUs on a straight-line basis over the requisite service period of the awards. The following table summarizes activity of RSUs granted to employees with service-based vesting under the 2021 Plan. </w:t>
      </w:r>
    </w:p>
    <w:tbl>
      <w:tblPr>
        <w:tblW w:w="5597" w:type="dxa"/>
        <w:jc w:val="left"/>
        <w:tblInd w:w="0" w:type="dxa"/>
        <w:tblLayout w:type="fixed"/>
        <w:tblCellMar>
          <w:top w:w="28" w:type="dxa"/>
          <w:left w:w="28" w:type="dxa"/>
          <w:bottom w:w="28" w:type="dxa"/>
          <w:right w:w="28" w:type="dxa"/>
        </w:tblCellMar>
      </w:tblPr>
      <w:tblGrid>
        <w:gridCol w:w="2926"/>
        <w:gridCol w:w="146"/>
        <w:gridCol w:w="146"/>
        <w:gridCol w:w="931"/>
        <w:gridCol w:w="166"/>
        <w:gridCol w:w="146"/>
        <w:gridCol w:w="254"/>
        <w:gridCol w:w="691"/>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Weighted </w:t>
              <w:br/>
              <w:t xml:space="preserve">Average </w:t>
              <w:br/>
              <w:t>Grant Date</w:t>
              <w:br/>
              <w:t xml:space="preserve">Fair Value </w:t>
              <w:br/>
              <w:t>per Share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dollars)</w:t>
            </w:r>
          </w:p>
        </w:tc>
        <w:tc>
          <w:tcPr>
            <w:tcW w:w="191" w:type="dxa"/>
            <w:tcBorders/>
            <w:vAlign w:val="center"/>
          </w:tcPr>
          <w:p>
            <w:pPr>
              <w:pStyle w:val="TableContents"/>
              <w:bidi w:val="0"/>
              <w:spacing w:before="0" w:after="0"/>
              <w:ind w:left="0" w:right="0" w:hanging="0"/>
              <w:jc w:val="center"/>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459,192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911,813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15.19</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1,352,160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i/>
          <w:sz w:val="20"/>
        </w:rPr>
      </w:pPr>
      <w:r>
        <w:rPr>
          <w:rFonts w:ascii="Times New Roman;serif" w:hAnsi="Times New Roman;serif"/>
          <w:b/>
          <w:i/>
          <w:sz w:val="20"/>
        </w:rPr>
        <w:t>2021 Employee Stock Purchase Plan</w:t>
      </w:r>
    </w:p>
    <w:p>
      <w:pPr>
        <w:pStyle w:val="TextBody"/>
        <w:bidi w:val="0"/>
        <w:spacing w:before="120" w:after="0"/>
        <w:jc w:val="left"/>
        <w:rPr>
          <w:rFonts w:ascii="Times New Roman" w:hAnsi="Times New Roman"/>
          <w:sz w:val="20"/>
        </w:rPr>
      </w:pPr>
      <w:r>
        <w:rPr>
          <w:rFonts w:ascii="Times New Roman;serif" w:hAnsi="Times New Roman;serif"/>
          <w:b w:val="false"/>
          <w:sz w:val="20"/>
        </w:rPr>
        <w:t>Under the Company's 2021 Employee Stock Purchase Plan (ESPP), the Company initially reserved 800,000</w:t>
      </w:r>
      <w:r>
        <w:rPr>
          <w:rFonts w:ascii="Times New Roman" w:hAnsi="Times New Roman"/>
          <w:sz w:val="20"/>
        </w:rPr>
        <w:t xml:space="preserve"> </w:t>
      </w:r>
      <w:r>
        <w:rPr>
          <w:rFonts w:ascii="Times New Roman;serif" w:hAnsi="Times New Roman;serif"/>
          <w:b w:val="false"/>
          <w:sz w:val="20"/>
        </w:rPr>
        <w:t>shares for future issuance. The number of shares of common stock available for issuance under the ESPP automatically increases on the first day of each fiscal year beginning with 2022 in an amount equal to the lesser of: 800,000</w:t>
      </w:r>
      <w:r>
        <w:rPr>
          <w:rFonts w:ascii="Times New Roman" w:hAnsi="Times New Roman"/>
          <w:sz w:val="20"/>
        </w:rPr>
        <w:t xml:space="preserve"> </w:t>
      </w:r>
      <w:r>
        <w:rPr>
          <w:rFonts w:ascii="Times New Roman;serif" w:hAnsi="Times New Roman;serif"/>
          <w:b w:val="false"/>
          <w:sz w:val="20"/>
        </w:rPr>
        <w:t>shares; 1% of the outstanding shares of the Company’s common stock as of the last day of the immediately preceding year; or such other amount as the board of directors may determine. As of June 30, 2023, 1,624,717</w:t>
      </w:r>
      <w:r>
        <w:rPr>
          <w:rFonts w:ascii="Times New Roman" w:hAnsi="Times New Roman"/>
          <w:sz w:val="20"/>
        </w:rPr>
        <w:t xml:space="preserve"> </w:t>
      </w:r>
      <w:r>
        <w:rPr>
          <w:rFonts w:ascii="Times New Roman;serif" w:hAnsi="Times New Roman;serif"/>
          <w:b w:val="false"/>
          <w:sz w:val="20"/>
        </w:rPr>
        <w:t>shares were reserved for future issuance under the ESPP. Under the Company’s ESPP, employees are generally eligible to participate and can purchase shares on each purchase date established semi-annually through payroll deductions at the lower of 85% of the fair market value of the Company’s stock at the commencement of the offering period or each purchase date of the offering period. Each offering period spans 6 months. The ESPP permits eligible employees to purchase common stock through payroll deductions for up to 15% of qualified compensation, up to an annual limit of $25,000</w:t>
      </w:r>
      <w:r>
        <w:rPr>
          <w:rFonts w:ascii="Times New Roman" w:hAnsi="Times New Roman"/>
          <w:sz w:val="20"/>
        </w:rPr>
        <w:t xml:space="preserve"> </w:t>
      </w:r>
      <w:r>
        <w:rPr>
          <w:rFonts w:ascii="Times New Roman;serif" w:hAnsi="Times New Roman;serif"/>
          <w:b w:val="false"/>
          <w:sz w:val="20"/>
        </w:rPr>
        <w:t>per the Internal Revenue Service. The first offering period commenced in January 2022. For the six months ended June 30, 2023 and 2022, the stock-based compensation expense for ESPP was not material.</w:t>
      </w:r>
    </w:p>
    <w:p>
      <w:pPr>
        <w:pStyle w:val="TextBody"/>
        <w:bidi w:val="0"/>
        <w:spacing w:before="240" w:after="0"/>
        <w:jc w:val="left"/>
        <w:rPr>
          <w:rFonts w:ascii="Times New Roman;serif" w:hAnsi="Times New Roman;serif"/>
          <w:b/>
          <w:i/>
          <w:sz w:val="20"/>
        </w:rPr>
      </w:pPr>
      <w:r>
        <w:rPr>
          <w:rFonts w:ascii="Times New Roman;serif" w:hAnsi="Times New Roman;serif"/>
          <w:b/>
          <w:i/>
          <w:sz w:val="20"/>
        </w:rPr>
        <w:t>Stock-Based Compensation</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summarizes stock-based compensation recognized in the Company’s condensed statements of operations and comprehensive loss:</w:t>
      </w:r>
    </w:p>
    <w:tbl>
      <w:tblPr>
        <w:tblW w:w="7207" w:type="dxa"/>
        <w:jc w:val="left"/>
        <w:tblInd w:w="0" w:type="dxa"/>
        <w:tblLayout w:type="fixed"/>
        <w:tblCellMar>
          <w:top w:w="28" w:type="dxa"/>
          <w:left w:w="28" w:type="dxa"/>
          <w:bottom w:w="28" w:type="dxa"/>
          <w:right w:w="28" w:type="dxa"/>
        </w:tblCellMar>
      </w:tblPr>
      <w:tblGrid>
        <w:gridCol w:w="2866"/>
        <w:gridCol w:w="146"/>
        <w:gridCol w:w="211"/>
        <w:gridCol w:w="571"/>
        <w:gridCol w:w="146"/>
        <w:gridCol w:w="146"/>
        <w:gridCol w:w="211"/>
        <w:gridCol w:w="571"/>
        <w:gridCol w:w="146"/>
        <w:gridCol w:w="146"/>
        <w:gridCol w:w="211"/>
        <w:gridCol w:w="571"/>
        <w:gridCol w:w="146"/>
        <w:gridCol w:w="146"/>
        <w:gridCol w:w="211"/>
        <w:gridCol w:w="571"/>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2,433</w:t>
            </w:r>
          </w:p>
        </w:tc>
        <w:tc>
          <w:tcPr>
            <w:tcW w:w="191" w:type="dxa"/>
            <w:tcBorders/>
            <w:vAlign w:val="center"/>
          </w:tcPr>
          <w:p>
            <w:pPr>
              <w:pStyle w:val="TableContents"/>
              <w:bidi w:val="0"/>
              <w:spacing w:before="0" w:after="0"/>
              <w:ind w:left="0" w:right="0" w:hanging="0"/>
              <w:jc w:val="left"/>
              <w:rPr/>
            </w:pPr>
            <w:r>
              <w:rPr/>
              <w:t> </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6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stock-based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b/>
          <w:sz w:val="20"/>
        </w:rPr>
      </w:pPr>
      <w:r>
        <w:rPr>
          <w:rFonts w:ascii="Times New Roman" w:hAnsi="Times New Roman"/>
          <w:b/>
          <w:sz w:val="20"/>
        </w:rPr>
        <w:t>8.</w:t>
      </w:r>
    </w:p>
    <w:p>
      <w:pPr>
        <w:pStyle w:val="TextBody"/>
        <w:bidi w:val="0"/>
        <w:spacing w:before="240" w:after="283"/>
        <w:jc w:val="left"/>
        <w:rPr>
          <w:rFonts w:ascii="Times New Roman;serif" w:hAnsi="Times New Roman;serif"/>
          <w:b/>
          <w:sz w:val="20"/>
        </w:rPr>
      </w:pPr>
      <w:r>
        <w:rPr>
          <w:rFonts w:ascii="Times New Roman;serif" w:hAnsi="Times New Roman;serif"/>
          <w:b/>
          <w:sz w:val="20"/>
        </w:rPr>
        <w:t xml:space="preserve">Stockholders' Equity </w:t>
      </w:r>
    </w:p>
    <w:p>
      <w:pPr>
        <w:pStyle w:val="TextBody"/>
        <w:bidi w:val="0"/>
        <w:spacing w:before="240" w:after="0"/>
        <w:jc w:val="left"/>
        <w:rPr/>
      </w:pPr>
      <w:r>
        <w:rPr/>
        <w:t>“</w:t>
      </w:r>
      <w:r>
        <w:rPr>
          <w:rFonts w:ascii="Times New Roman;serif" w:hAnsi="Times New Roman;serif"/>
          <w:b/>
          <w:i/>
          <w:sz w:val="20"/>
        </w:rPr>
        <w:t>At-the-Market” Equity Offering</w:t>
      </w:r>
    </w:p>
    <w:p>
      <w:pPr>
        <w:pStyle w:val="TextBody"/>
        <w:bidi w:val="0"/>
        <w:spacing w:before="120" w:after="0"/>
        <w:jc w:val="left"/>
        <w:rPr>
          <w:rFonts w:ascii="Times New Roman" w:hAnsi="Times New Roman"/>
          <w:sz w:val="20"/>
        </w:rPr>
      </w:pPr>
      <w:r>
        <w:rPr>
          <w:rFonts w:ascii="Times New Roman;serif" w:hAnsi="Times New Roman;serif"/>
          <w:b w:val="false"/>
          <w:sz w:val="20"/>
        </w:rPr>
        <w:t>On August 10, 2022, the Company entered into a sales agreement (Sales Agreement) with SVB Securities LLC to establish an at-the-market (ATM) offering defined in Rule 415 under the Securities Act. Pursuant to the Sales Agreement, the Company is permitted to offer and sell, from time to time, shares of its common stock having a maximum aggregate offering price of up to $75.0</w:t>
      </w:r>
      <w:r>
        <w:rPr>
          <w:rFonts w:ascii="Times New Roman" w:hAnsi="Times New Roman"/>
          <w:sz w:val="20"/>
        </w:rPr>
        <w:t xml:space="preserve"> </w:t>
      </w:r>
      <w:r>
        <w:rPr>
          <w:rFonts w:ascii="Times New Roman;serif" w:hAnsi="Times New Roman;serif"/>
          <w:b w:val="false"/>
          <w:sz w:val="20"/>
        </w:rPr>
        <w:t>million. During the three and six months ended June 30, 2023, the Company sold 535,767</w:t>
      </w:r>
      <w:r>
        <w:rPr>
          <w:rFonts w:ascii="Times New Roman" w:hAnsi="Times New Roman"/>
          <w:sz w:val="20"/>
        </w:rPr>
        <w:t xml:space="preserve"> </w:t>
      </w:r>
      <w:r>
        <w:rPr>
          <w:rFonts w:ascii="Times New Roman;serif" w:hAnsi="Times New Roman;serif"/>
          <w:b w:val="false"/>
          <w:sz w:val="20"/>
        </w:rPr>
        <w:t>shares under the ATM, resulting in proceeds of $3.9</w:t>
      </w:r>
      <w:r>
        <w:rPr>
          <w:rFonts w:ascii="Times New Roman" w:hAnsi="Times New Roman"/>
          <w:sz w:val="20"/>
        </w:rPr>
        <w:t xml:space="preserve"> </w:t>
      </w:r>
      <w:r>
        <w:rPr>
          <w:rFonts w:ascii="Times New Roman;serif" w:hAnsi="Times New Roman;serif"/>
          <w:b w:val="false"/>
          <w:sz w:val="20"/>
        </w:rPr>
        <w:t>million, after deducting commissions of $0.1</w:t>
      </w:r>
      <w:r>
        <w:rPr>
          <w:rFonts w:ascii="Times New Roman" w:hAnsi="Times New Roman"/>
          <w:sz w:val="20"/>
        </w:rPr>
        <w:t xml:space="preserve"> </w:t>
      </w:r>
      <w:r>
        <w:rPr>
          <w:rFonts w:ascii="Times New Roman;serif" w:hAnsi="Times New Roman;serif"/>
          <w:b w:val="false"/>
          <w:sz w:val="20"/>
        </w:rPr>
        <w:t>million pursuant to the Sales Agreement.</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Follow-On Offering</w:t>
      </w:r>
    </w:p>
    <w:p>
      <w:pPr>
        <w:pStyle w:val="TextBody"/>
        <w:bidi w:val="0"/>
        <w:spacing w:before="120" w:after="0"/>
        <w:jc w:val="left"/>
        <w:rPr>
          <w:rFonts w:ascii="Times New Roman" w:hAnsi="Times New Roman"/>
          <w:sz w:val="20"/>
        </w:rPr>
      </w:pPr>
      <w:r>
        <w:rPr>
          <w:rFonts w:ascii="Times New Roman;serif" w:hAnsi="Times New Roman;serif"/>
          <w:b w:val="false"/>
          <w:sz w:val="20"/>
        </w:rPr>
        <w:t>On November 21, 2022, the Company completed an underwritten public offering of 22,613,307</w:t>
      </w:r>
      <w:r>
        <w:rPr>
          <w:rFonts w:ascii="Times New Roman" w:hAnsi="Times New Roman"/>
          <w:sz w:val="20"/>
        </w:rPr>
        <w:t xml:space="preserve"> </w:t>
      </w:r>
      <w:r>
        <w:rPr>
          <w:rFonts w:ascii="Times New Roman;serif" w:hAnsi="Times New Roman;serif"/>
          <w:b w:val="false"/>
          <w:sz w:val="20"/>
        </w:rPr>
        <w:t>shares of its common stock at a price of $2.60</w:t>
      </w:r>
      <w:r>
        <w:rPr>
          <w:rFonts w:ascii="Times New Roman" w:hAnsi="Times New Roman"/>
          <w:sz w:val="20"/>
        </w:rPr>
        <w:t xml:space="preserve"> </w:t>
      </w:r>
      <w:r>
        <w:rPr>
          <w:rFonts w:ascii="Times New Roman;serif" w:hAnsi="Times New Roman;serif"/>
          <w:b w:val="false"/>
          <w:sz w:val="20"/>
        </w:rPr>
        <w:t>per share and, to certain investors in lieu of common stock, pre-funded warrants to purchase 6,236,693</w:t>
      </w:r>
      <w:r>
        <w:rPr>
          <w:rFonts w:ascii="Times New Roman" w:hAnsi="Times New Roman"/>
          <w:sz w:val="20"/>
        </w:rPr>
        <w:t xml:space="preserve"> </w:t>
      </w:r>
      <w:r>
        <w:rPr>
          <w:rFonts w:ascii="Times New Roman;serif" w:hAnsi="Times New Roman;serif"/>
          <w:b w:val="false"/>
          <w:sz w:val="20"/>
        </w:rPr>
        <w:t>shares of its common stock at a price of $2.599</w:t>
      </w:r>
      <w:r>
        <w:rPr>
          <w:rFonts w:ascii="Times New Roman" w:hAnsi="Times New Roman"/>
          <w:sz w:val="20"/>
        </w:rPr>
        <w:t xml:space="preserve"> </w:t>
      </w:r>
      <w:r>
        <w:rPr>
          <w:rFonts w:ascii="Times New Roman;serif" w:hAnsi="Times New Roman;serif"/>
          <w:b w:val="false"/>
          <w:sz w:val="20"/>
        </w:rPr>
        <w:t>per pre-funded warrant. The pre-funded warrants can be exercised at any time after issuance for an exercise price of $0.001</w:t>
      </w:r>
      <w:r>
        <w:rPr>
          <w:rFonts w:ascii="Times New Roman" w:hAnsi="Times New Roman"/>
          <w:sz w:val="20"/>
        </w:rPr>
        <w:t xml:space="preserve"> </w:t>
      </w:r>
      <w:r>
        <w:rPr>
          <w:rFonts w:ascii="Times New Roman;serif" w:hAnsi="Times New Roman;serif"/>
          <w:b w:val="false"/>
          <w:sz w:val="20"/>
        </w:rPr>
        <w:t>per share, subject to certain ownership limitations. In addition, the Company granted the underwriters a 30-day option to purchase up to an additional 4,327,500</w:t>
      </w:r>
      <w:r>
        <w:rPr>
          <w:rFonts w:ascii="Times New Roman" w:hAnsi="Times New Roman"/>
          <w:sz w:val="20"/>
        </w:rPr>
        <w:t xml:space="preserve"> </w:t>
      </w:r>
      <w:r>
        <w:rPr>
          <w:rFonts w:ascii="Times New Roman;serif" w:hAnsi="Times New Roman;serif"/>
          <w:b w:val="false"/>
          <w:sz w:val="20"/>
        </w:rPr>
        <w:t>shares of its common stock to cover overallotments, if any, at $2.60</w:t>
      </w:r>
      <w:r>
        <w:rPr>
          <w:rFonts w:ascii="Times New Roman" w:hAnsi="Times New Roman"/>
          <w:sz w:val="20"/>
        </w:rPr>
        <w:t xml:space="preserve"> </w:t>
      </w:r>
      <w:r>
        <w:rPr>
          <w:rFonts w:ascii="Times New Roman;serif" w:hAnsi="Times New Roman;serif"/>
          <w:b w:val="false"/>
          <w:sz w:val="20"/>
        </w:rPr>
        <w:t>per share. On November 29, 2022, the underwriters partially exercised the option and purchased an additional 2,816,409</w:t>
      </w:r>
      <w:r>
        <w:rPr>
          <w:rFonts w:ascii="Times New Roman" w:hAnsi="Times New Roman"/>
          <w:sz w:val="20"/>
        </w:rPr>
        <w:t xml:space="preserve"> </w:t>
      </w:r>
      <w:r>
        <w:rPr>
          <w:rFonts w:ascii="Times New Roman;serif" w:hAnsi="Times New Roman;serif"/>
          <w:b w:val="false"/>
          <w:sz w:val="20"/>
        </w:rPr>
        <w:t>shares of Company</w:t>
      </w:r>
      <w:r>
        <w:rPr>
          <w:rFonts w:ascii="Times New Roman" w:hAnsi="Times New Roman"/>
          <w:sz w:val="20"/>
        </w:rPr>
        <w:t>’</w:t>
      </w:r>
      <w:r>
        <w:rPr>
          <w:rFonts w:ascii="Times New Roman;serif" w:hAnsi="Times New Roman;serif"/>
          <w:b w:val="false"/>
          <w:sz w:val="20"/>
        </w:rPr>
        <w:t>s common stock. As of June 30, 2023, pre-funded warrants for 302,517</w:t>
      </w:r>
      <w:r>
        <w:rPr>
          <w:rFonts w:ascii="Times New Roman" w:hAnsi="Times New Roman"/>
          <w:sz w:val="20"/>
        </w:rPr>
        <w:t xml:space="preserve"> </w:t>
      </w:r>
      <w:r>
        <w:rPr>
          <w:rFonts w:ascii="Times New Roman;serif" w:hAnsi="Times New Roman;serif"/>
          <w:b w:val="false"/>
          <w:sz w:val="20"/>
        </w:rPr>
        <w:t>shares of common stock have been exercised.</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As of June 30, 2023, total shares of common stock reserved for issuance, on an as-if converted basis, are as follows:</w:t>
      </w:r>
    </w:p>
    <w:tbl>
      <w:tblPr>
        <w:tblW w:w="7950" w:type="dxa"/>
        <w:jc w:val="left"/>
        <w:tblInd w:w="0" w:type="dxa"/>
        <w:tblLayout w:type="fixed"/>
        <w:tblCellMar>
          <w:top w:w="28" w:type="dxa"/>
          <w:left w:w="28" w:type="dxa"/>
          <w:bottom w:w="28" w:type="dxa"/>
          <w:right w:w="28" w:type="dxa"/>
        </w:tblCellMar>
      </w:tblPr>
      <w:tblGrid>
        <w:gridCol w:w="6331"/>
        <w:gridCol w:w="146"/>
        <w:gridCol w:w="146"/>
        <w:gridCol w:w="1036"/>
        <w:gridCol w:w="291"/>
      </w:tblGrid>
      <w:tr>
        <w:trPr/>
        <w:tc>
          <w:tcPr>
            <w:tcW w:w="6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stock options and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9,484,387</w:t>
            </w:r>
          </w:p>
        </w:tc>
        <w:tc>
          <w:tcPr>
            <w:tcW w:w="291" w:type="dxa"/>
            <w:tcBorders/>
            <w:vAlign w:val="center"/>
          </w:tcPr>
          <w:p>
            <w:pPr>
              <w:pStyle w:val="TableContents"/>
              <w:bidi w:val="0"/>
              <w:spacing w:before="0" w:after="0"/>
              <w:ind w:left="0" w:right="0" w:hanging="0"/>
              <w:jc w:val="left"/>
              <w:rPr/>
            </w:pPr>
            <w:r>
              <w:rPr/>
              <w:t> </w:t>
            </w:r>
          </w:p>
        </w:tc>
      </w:tr>
      <w:tr>
        <w:trPr/>
        <w:tc>
          <w:tcPr>
            <w:tcW w:w="6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pre-funded warrants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5,934,176</w:t>
            </w:r>
          </w:p>
        </w:tc>
        <w:tc>
          <w:tcPr>
            <w:tcW w:w="291" w:type="dxa"/>
            <w:tcBorders/>
            <w:vAlign w:val="center"/>
          </w:tcPr>
          <w:p>
            <w:pPr>
              <w:pStyle w:val="TableContents"/>
              <w:bidi w:val="0"/>
              <w:spacing w:before="0" w:after="0"/>
              <w:ind w:left="0" w:right="0" w:hanging="0"/>
              <w:jc w:val="left"/>
              <w:rPr/>
            </w:pPr>
            <w:r>
              <w:rPr/>
              <w:t> </w:t>
            </w:r>
          </w:p>
        </w:tc>
      </w:tr>
      <w:tr>
        <w:trPr/>
        <w:tc>
          <w:tcPr>
            <w:tcW w:w="6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 and awards available for future grant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1,158,849</w:t>
            </w:r>
          </w:p>
        </w:tc>
        <w:tc>
          <w:tcPr>
            <w:tcW w:w="291" w:type="dxa"/>
            <w:tcBorders/>
            <w:vAlign w:val="center"/>
          </w:tcPr>
          <w:p>
            <w:pPr>
              <w:pStyle w:val="TableContents"/>
              <w:bidi w:val="0"/>
              <w:spacing w:before="0" w:after="0"/>
              <w:ind w:left="0" w:right="0" w:hanging="0"/>
              <w:jc w:val="left"/>
              <w:rPr/>
            </w:pPr>
            <w:r>
              <w:rPr/>
              <w:t> </w:t>
            </w:r>
          </w:p>
        </w:tc>
      </w:tr>
      <w:tr>
        <w:trPr/>
        <w:tc>
          <w:tcPr>
            <w:tcW w:w="6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available for further issuance under the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1,624,717</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63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18,202,129</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left"/>
        <w:rPr>
          <w:rFonts w:ascii="Times New Roman" w:hAnsi="Times New Roman"/>
          <w:b/>
          <w:sz w:val="20"/>
        </w:rPr>
      </w:pPr>
      <w:r>
        <w:rPr>
          <w:rFonts w:ascii="Times New Roman" w:hAnsi="Times New Roman"/>
          <w:b/>
          <w:sz w:val="20"/>
        </w:rPr>
        <w:t>9.</w:t>
      </w:r>
    </w:p>
    <w:p>
      <w:pPr>
        <w:pStyle w:val="TextBody"/>
        <w:bidi w:val="0"/>
        <w:spacing w:before="240" w:after="283"/>
        <w:jc w:val="left"/>
        <w:rPr>
          <w:rFonts w:ascii="Times New Roman;serif" w:hAnsi="Times New Roman;serif"/>
          <w:b/>
          <w:sz w:val="20"/>
        </w:rPr>
      </w:pPr>
      <w:r>
        <w:rPr>
          <w:rFonts w:ascii="Times New Roman;serif" w:hAnsi="Times New Roman;serif"/>
          <w:b/>
          <w:sz w:val="20"/>
        </w:rPr>
        <w:t>Income Taxes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the six months ended June 30, 2023 and 2022, the Company did not record any income tax expense or benefit. The Company has recorded a full valuation allowance against its U.S. federal and state deferred tax assets as the Company believes it is more likely than not that the benefit will not be realized.</w:t>
      </w:r>
    </w:p>
    <w:p>
      <w:pPr>
        <w:pStyle w:val="TextBody"/>
        <w:bidi w:val="0"/>
        <w:spacing w:before="240" w:after="0"/>
        <w:jc w:val="left"/>
        <w:rPr>
          <w:rFonts w:ascii="Times New Roman" w:hAnsi="Times New Roman"/>
          <w:b/>
          <w:sz w:val="20"/>
        </w:rPr>
      </w:pPr>
      <w:r>
        <w:rPr>
          <w:rFonts w:ascii="Times New Roman" w:hAnsi="Times New Roman"/>
          <w:b/>
          <w:sz w:val="20"/>
        </w:rPr>
        <w:t>10.</w:t>
      </w:r>
    </w:p>
    <w:p>
      <w:pPr>
        <w:pStyle w:val="TextBody"/>
        <w:bidi w:val="0"/>
        <w:spacing w:before="240" w:after="283"/>
        <w:jc w:val="left"/>
        <w:rPr>
          <w:rFonts w:ascii="Times New Roman;serif" w:hAnsi="Times New Roman;serif"/>
          <w:b/>
          <w:sz w:val="20"/>
        </w:rPr>
      </w:pPr>
      <w:r>
        <w:rPr>
          <w:rFonts w:ascii="Times New Roman;serif" w:hAnsi="Times New Roman;serif"/>
          <w:b/>
          <w:sz w:val="20"/>
        </w:rPr>
        <w:t>Net Loss Per Share</w:t>
      </w:r>
    </w:p>
    <w:p>
      <w:pPr>
        <w:pStyle w:val="TextBody"/>
        <w:bidi w:val="0"/>
        <w:spacing w:before="120" w:after="0"/>
        <w:jc w:val="left"/>
        <w:rPr>
          <w:rFonts w:ascii="Times New Roman" w:hAnsi="Times New Roman"/>
          <w:sz w:val="20"/>
        </w:rPr>
      </w:pPr>
      <w:r>
        <w:rPr>
          <w:rFonts w:ascii="Times New Roman;serif" w:hAnsi="Times New Roman;serif"/>
          <w:b w:val="false"/>
          <w:sz w:val="20"/>
        </w:rPr>
        <w:t>Basic and diluted loss per share are computed by dividing net loss by the weighted-average number of common shares outstanding during the reporting period. Basic weighted-average shares of common stock outstanding includes the weighted-average effect of the Company’s pre-funded warrants.</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potentially dilutive securities were not included in the calculation of diluted net loss per share as of the periods presented because the effect would have been anti-dilutive:</w:t>
      </w:r>
    </w:p>
    <w:tbl>
      <w:tblPr>
        <w:tblW w:w="6219" w:type="dxa"/>
        <w:jc w:val="left"/>
        <w:tblInd w:w="0" w:type="dxa"/>
        <w:tblLayout w:type="fixed"/>
        <w:tblCellMar>
          <w:top w:w="28" w:type="dxa"/>
          <w:left w:w="28" w:type="dxa"/>
          <w:bottom w:w="28" w:type="dxa"/>
          <w:right w:w="28" w:type="dxa"/>
        </w:tblCellMar>
      </w:tblPr>
      <w:tblGrid>
        <w:gridCol w:w="3436"/>
        <w:gridCol w:w="146"/>
        <w:gridCol w:w="146"/>
        <w:gridCol w:w="931"/>
        <w:gridCol w:w="146"/>
        <w:gridCol w:w="146"/>
        <w:gridCol w:w="146"/>
        <w:gridCol w:w="931"/>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stock options and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9,484,387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5,234,269</w:t>
            </w:r>
          </w:p>
        </w:tc>
        <w:tc>
          <w:tcPr>
            <w:tcW w:w="191" w:type="dxa"/>
            <w:tcBorders/>
            <w:vAlign w:val="center"/>
          </w:tcPr>
          <w:p>
            <w:pPr>
              <w:pStyle w:val="TableContents"/>
              <w:bidi w:val="0"/>
              <w:spacing w:before="0" w:after="0"/>
              <w:ind w:left="0" w:right="0" w:hanging="0"/>
              <w:jc w:val="left"/>
              <w:rPr/>
            </w:pPr>
            <w:r>
              <w:rPr/>
              <w:t> </w:t>
            </w:r>
          </w:p>
        </w:tc>
      </w:tr>
      <w:tr>
        <w:trPr/>
        <w:tc>
          <w:tcPr>
            <w:tcW w:w="3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subject to future vesting</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14,693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9,484,387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5,248,962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bookmarkStart w:id="9" w:name="item_2_managements_discussion_analysis_f"/>
      <w:bookmarkEnd w:id="9"/>
      <w:r>
        <w:rPr>
          <w:rFonts w:ascii="Times New Roman;serif" w:hAnsi="Times New Roman;serif"/>
          <w:b/>
          <w:sz w:val="20"/>
        </w:rPr>
        <w:t>Item 2. Management’s Discussion and Analysis of Financial Condition and Results of Operations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You should read the following discussion and analysis of our financial condition and results of operations in conjunction with our condensed financial statements and related notes included elsewhere in this Quarterly Report on Form 10-Q and our audited financial statements and related notes thereto for the year ended December 31, 2022, included in our Annual Report on Form 10-K filed with the Securities and Exchange Commission on March 8, 2023, or Annual Report.</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In addition to historical financial information, this discussion and analysis and other parts of this report contain forward-looking statements within the meaning of Section 27A of the Securities Act of 1933, as amended, and Section 21E of the Securities Exchange Act of 1934, as amended, based upon current expectations that involve risks, uncertainties and assumptions. Our actual results could differ materially from those anticipated in these forward-looking statements as a result of various factors, including those set forth in the section titled “Risk Factors” under Part II, Item 1A. below. You should carefully read the “Risk Factors” to gain an understanding of the factors that could cause actual results to differ materially from our forward-looking statements. Please also see the section titled “Special Note Regarding Forward-Looking Statements.”</w:t>
      </w:r>
    </w:p>
    <w:p>
      <w:pPr>
        <w:pStyle w:val="TextBody"/>
        <w:bidi w:val="0"/>
        <w:spacing w:before="240" w:after="0"/>
        <w:jc w:val="left"/>
        <w:rPr>
          <w:rFonts w:ascii="Times New Roman;serif" w:hAnsi="Times New Roman;serif"/>
          <w:b/>
          <w:sz w:val="20"/>
        </w:rPr>
      </w:pPr>
      <w:r>
        <w:rPr>
          <w:rFonts w:ascii="Times New Roman;serif" w:hAnsi="Times New Roman;serif"/>
          <w:b/>
          <w:sz w:val="20"/>
        </w:rPr>
        <w:t>Overview</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 clinical-stage biotechnology company focused on discovering, developing and delivering potentially curative therapies that address the underlying drivers of heart disease. Our vision is to change the treatment paradigm for heart disease, and in doing so improve and extend the lives of millions of individuals and families.</w:t>
      </w:r>
    </w:p>
    <w:p>
      <w:pPr>
        <w:pStyle w:val="TextBody"/>
        <w:bidi w:val="0"/>
        <w:spacing w:before="120" w:after="0"/>
        <w:jc w:val="left"/>
        <w:rPr>
          <w:rFonts w:ascii="Times New Roman" w:hAnsi="Times New Roman"/>
          <w:sz w:val="20"/>
        </w:rPr>
      </w:pPr>
      <w:r>
        <w:rPr>
          <w:rFonts w:ascii="Times New Roman;serif" w:hAnsi="Times New Roman;serif"/>
          <w:b w:val="false"/>
          <w:sz w:val="20"/>
        </w:rPr>
        <w:t>We are advancing a deep and diverse pipeline of disease-modifying therapies that includes both gene therapies and small molecules discovered internally and developed using our product platforms and core capabilities to target defined sub-populations of patients with rare or highly prevalent forms of heart disease. All of our programs are currently being assessed in clinical trials or are in the preclinical stage; we do not have any products approved for sale and have not generated any revenue to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lead product candidates include, TN-201, a gene therapy for myosin binding protein C3 (</w:t>
      </w:r>
      <w:r>
        <w:rPr>
          <w:rFonts w:ascii="Times New Roman;serif" w:hAnsi="Times New Roman;serif"/>
          <w:b w:val="false"/>
          <w:i/>
          <w:sz w:val="20"/>
        </w:rPr>
        <w:t>MYBPC3)</w:t>
      </w:r>
      <w:r>
        <w:rPr>
          <w:rFonts w:ascii="Times New Roman;serif" w:hAnsi="Times New Roman;serif"/>
          <w:b w:val="false"/>
          <w:sz w:val="20"/>
        </w:rPr>
        <w:t>-associated hypertrophic cardiomyopathy (HCM), TN-301, a small molecule for heart failure with preserved ejection fraction (HFpEF), and TN-401, a gene therapy for plakophilin 2 (</w:t>
      </w:r>
      <w:r>
        <w:rPr>
          <w:rFonts w:ascii="Times New Roman;serif" w:hAnsi="Times New Roman;serif"/>
          <w:b w:val="false"/>
          <w:i/>
          <w:sz w:val="20"/>
        </w:rPr>
        <w:t>PKP2)</w:t>
      </w:r>
      <w:r>
        <w:rPr>
          <w:rFonts w:ascii="Times New Roman;serif" w:hAnsi="Times New Roman;serif"/>
          <w:b w:val="false"/>
          <w:sz w:val="20"/>
        </w:rPr>
        <w:t>-associated arrhythmogenic right ventricular cardiomyopathy (ARVC).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TN-201 is our potential first-in-class gene therapy for adults and children with HCM due to </w:t>
      </w:r>
      <w:r>
        <w:rPr>
          <w:rFonts w:ascii="Times New Roman;serif" w:hAnsi="Times New Roman;serif"/>
          <w:b w:val="false"/>
          <w:i/>
          <w:sz w:val="20"/>
        </w:rPr>
        <w:t xml:space="preserve">MYBPC3 </w:t>
      </w:r>
      <w:r>
        <w:rPr>
          <w:rFonts w:ascii="Times New Roman;serif" w:hAnsi="Times New Roman;serif"/>
          <w:b w:val="false"/>
          <w:sz w:val="20"/>
        </w:rPr>
        <w:t xml:space="preserve">gene mutations. These mutations can cause the heart walls of affected individuals to become significantly thickened, leading to fibrosis, abnormal heart rhythms, cardiac dysfunction and heart failure. HCM is a chronic, progressive condition and those diagnosed with the disease often experience significant impairment in overall quality of life. TN-201 uses a differentiated approach to deliver a functional </w:t>
      </w:r>
      <w:r>
        <w:rPr>
          <w:rFonts w:ascii="Times New Roman;serif" w:hAnsi="Times New Roman;serif"/>
          <w:b w:val="false"/>
          <w:i/>
          <w:sz w:val="20"/>
        </w:rPr>
        <w:t xml:space="preserve">MYBPC3 </w:t>
      </w:r>
      <w:r>
        <w:rPr>
          <w:rFonts w:ascii="Times New Roman;serif" w:hAnsi="Times New Roman;serif"/>
          <w:b w:val="false"/>
          <w:sz w:val="20"/>
        </w:rPr>
        <w:t>gene to the heart utilizing a recombinant adeno-associated virus serotype 9 (AAV9) capsid to restore expression of the cardiac myosin binding protein to halt disease progression and potentially reverse the course of genetic HCM following a single intravenous injection. In January 2023, we received notification from the FDA that clinical testing of TN-201 may proceed, and in the third quarter of 2023, we expect to begin dosing patients in a Phase 1b multi-center, open-label clinical trial, designed to assess the safety, tolerability and efficacy of a one-time intravenous infusion of TN-201. Initial data from the trial is anticipated in 2024. TN-201 has received orphan drug designation from the FDA and orphan medicinal product designation from the European Commission, and in April 2023, received Fast Track Designation from the FDA.</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In order to support our development efforts for TN-201, we have initiated two noninterventional studies: a study evaluating seroprevalence to AAV9 antibodies among adults with </w:t>
      </w:r>
      <w:r>
        <w:rPr>
          <w:rFonts w:ascii="Times New Roman;serif" w:hAnsi="Times New Roman;serif"/>
          <w:b w:val="false"/>
          <w:i/>
          <w:sz w:val="20"/>
        </w:rPr>
        <w:t>MYBPC3</w:t>
      </w:r>
      <w:r>
        <w:rPr>
          <w:rFonts w:ascii="Times New Roman;serif" w:hAnsi="Times New Roman;serif"/>
          <w:b w:val="false"/>
          <w:sz w:val="20"/>
        </w:rPr>
        <w:t>-associated HCM, and</w:t>
      </w:r>
      <w:r>
        <w:rPr>
          <w:rFonts w:ascii="Times New Roman" w:hAnsi="Times New Roman"/>
          <w:sz w:val="20"/>
        </w:rPr>
        <w:t xml:space="preserve"> </w:t>
      </w:r>
      <w:r>
        <w:rPr>
          <w:rFonts w:ascii="Times New Roman;serif" w:hAnsi="Times New Roman;serif"/>
          <w:b w:val="false"/>
          <w:sz w:val="20"/>
        </w:rPr>
        <w:t xml:space="preserve">MyClimb, a prospective and retrospective global natural history study focused on pediatric patients with </w:t>
      </w:r>
      <w:r>
        <w:rPr>
          <w:rFonts w:ascii="Times New Roman;serif" w:hAnsi="Times New Roman;serif"/>
          <w:b w:val="false"/>
          <w:i/>
          <w:sz w:val="20"/>
        </w:rPr>
        <w:t>MYBPC3</w:t>
      </w:r>
      <w:r>
        <w:rPr>
          <w:rFonts w:ascii="Times New Roman" w:hAnsi="Times New Roman"/>
          <w:sz w:val="20"/>
        </w:rPr>
        <w:t xml:space="preserve"> </w:t>
      </w:r>
      <w:r>
        <w:rPr>
          <w:rFonts w:ascii="Times New Roman;serif" w:hAnsi="Times New Roman;serif"/>
          <w:b w:val="false"/>
          <w:sz w:val="20"/>
        </w:rPr>
        <w:t xml:space="preserve">mutation-associated cardiomyopathy. The objective of the natural history study is to characterize the outcomes, burden of illness, risk factors, quality of life, and biomarkers associated with disease progression in pediatric patients with cardiomyopathy due to </w:t>
      </w:r>
      <w:r>
        <w:rPr>
          <w:rFonts w:ascii="Times New Roman;serif" w:hAnsi="Times New Roman;serif"/>
          <w:b w:val="false"/>
          <w:i/>
          <w:sz w:val="20"/>
        </w:rPr>
        <w:t xml:space="preserve">MYBPC3 </w:t>
      </w:r>
      <w:r>
        <w:rPr>
          <w:rFonts w:ascii="Times New Roman;serif" w:hAnsi="Times New Roman;serif"/>
          <w:b w:val="false"/>
          <w:sz w:val="20"/>
        </w:rPr>
        <w:t>gene mutations, as well as treatments, procedures, and patient outcomes. MyClimb complements existing disease registries focused primarily on adult patient HCM populations and may support and expedite the development of TN-201 in the pediatric patient population.</w:t>
      </w:r>
    </w:p>
    <w:p>
      <w:pPr>
        <w:pStyle w:val="TextBody"/>
        <w:bidi w:val="0"/>
        <w:spacing w:before="120" w:after="0"/>
        <w:jc w:val="left"/>
        <w:rPr>
          <w:rFonts w:ascii="Times New Roman" w:hAnsi="Times New Roman"/>
          <w:sz w:val="20"/>
        </w:rPr>
      </w:pPr>
      <w:r>
        <w:rPr>
          <w:rFonts w:ascii="Times New Roman;serif" w:hAnsi="Times New Roman;serif"/>
          <w:b w:val="false"/>
          <w:sz w:val="20"/>
        </w:rPr>
        <w:t>TN-301 is our highly specific small molecule inhibitor of histone deacetylase 6. TN-301 is initially being developed for the potential treatment of HFpEF. HFpEF is characterized by a stiffening of the heart muscle resulting in an inability for the left ventricle to relax properly during normal heart rhythm, referred to as diastolic dysfunction. There are several cellular processes thought to underlie the pathophysiology of HFpEF, including increases in fibrosis and inflammation and defects in metabolism. Although HFpEF accounts for approximately 50% of all heart failures, there are few proven treatment options.</w:t>
      </w:r>
      <w:r>
        <w:rPr>
          <w:rFonts w:ascii="Times New Roman" w:hAnsi="Times New Roman"/>
          <w:sz w:val="20"/>
        </w:rPr>
        <w:t xml:space="preserve"> </w:t>
      </w:r>
      <w:r>
        <w:rPr>
          <w:rFonts w:ascii="Times New Roman;serif" w:hAnsi="Times New Roman;serif"/>
          <w:b w:val="false"/>
          <w:sz w:val="20"/>
        </w:rPr>
        <w:t>We have completed our Phase 1 clinical trial in healthy adult participants that evaluated the safety, tolerability, pharmacokinetics and pharmacodynamics (PD) of escalating oral doses of TN-301. The Phase 1 clinical trial was conducted in two stages: a single-ascending dose (SAD) stage and a multiple-ascending dose (MAD) stage. In the SAD stage of the trial, initial target engagement (as measured by the PD biomarker of tubulin acetylation) was achieved at dose levels thought to be in therapeutic ranges, enabling initiation of the MAD stage of the trial. In preclinical studies, dose dependent tubulin acetylation measured in circulating blood cells was found to correlate to levels in the heart. No dose-limiting toxicities were reported during the trial and topline data are anticipated in the fourth quarter of 2023.</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TN-401 is our other potential first-in-class AAV-based gene therapy designed to deliver a functional </w:t>
      </w:r>
      <w:r>
        <w:rPr>
          <w:rFonts w:ascii="Times New Roman;serif" w:hAnsi="Times New Roman;serif"/>
          <w:b w:val="false"/>
          <w:i/>
          <w:sz w:val="20"/>
        </w:rPr>
        <w:t xml:space="preserve">PKP2 </w:t>
      </w:r>
      <w:r>
        <w:rPr>
          <w:rFonts w:ascii="Times New Roman;serif" w:hAnsi="Times New Roman;serif"/>
          <w:b w:val="false"/>
          <w:sz w:val="20"/>
        </w:rPr>
        <w:t xml:space="preserve">gene in adults with ARVC due to a </w:t>
      </w:r>
      <w:r>
        <w:rPr>
          <w:rFonts w:ascii="Times New Roman;serif" w:hAnsi="Times New Roman;serif"/>
          <w:b w:val="false"/>
          <w:i/>
          <w:sz w:val="20"/>
        </w:rPr>
        <w:t xml:space="preserve">PKP2 </w:t>
      </w:r>
      <w:r>
        <w:rPr>
          <w:rFonts w:ascii="Times New Roman;serif" w:hAnsi="Times New Roman;serif"/>
          <w:b w:val="false"/>
          <w:sz w:val="20"/>
        </w:rPr>
        <w:t xml:space="preserve">genetic mutation. </w:t>
      </w:r>
      <w:r>
        <w:rPr>
          <w:rFonts w:ascii="Times New Roman;serif" w:hAnsi="Times New Roman;serif"/>
          <w:b w:val="false"/>
          <w:i/>
          <w:sz w:val="20"/>
        </w:rPr>
        <w:t xml:space="preserve">PKP2 </w:t>
      </w:r>
      <w:r>
        <w:rPr>
          <w:rFonts w:ascii="Times New Roman;serif" w:hAnsi="Times New Roman;serif"/>
          <w:b w:val="false"/>
          <w:sz w:val="20"/>
        </w:rPr>
        <w:t xml:space="preserve">mutations can cause enlargement of the right ventricle in affected individuals, replacement of heart muscle with fibrotic tissue and fatty deposits, and severely abnormal heart rhythms (arrhythmia) that can make it harder for the heart to function properly and result in sudden cardiac death in some adults and children. TN-401 has demonstrated prevention of disease progression and survival benefit after a single dose in a mouse model of ARVC, as well as tolerability in a pilot non-Good Laboratory Practices toxicology and biodistribution study. We are focused on completing our IND-enabling studies for TN-401 and expect to submit an IND to the FDA in the second half of 2023 to enable clinical development of TN-401. TN-401 has received orphan drug designation from the FDA. Additionally, in support of our development efforts for TN-401, we have initiated a global non-interventional study to collect treatment history and seroprevalence to AAV9 antibodies data among ARVC patients who carry pathogenic or likely pathogenic </w:t>
      </w:r>
      <w:r>
        <w:rPr>
          <w:rFonts w:ascii="Times New Roman;serif" w:hAnsi="Times New Roman;serif"/>
          <w:b w:val="false"/>
          <w:i/>
          <w:sz w:val="20"/>
        </w:rPr>
        <w:t xml:space="preserve">PKP2 </w:t>
      </w:r>
      <w:r>
        <w:rPr>
          <w:rFonts w:ascii="Times New Roman;serif" w:hAnsi="Times New Roman;serif"/>
          <w:b w:val="false"/>
          <w:sz w:val="20"/>
        </w:rPr>
        <w:t>gene mutations.</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to our lead product candidates, we have multiple early-stage programs progressing through pre-clinical development. These programs include an AAV-based gene therapy designed to express the dwarf open reading frame gene in the heart with potentially broad utility in dilated cardiomyopathy, as well as our reprogramming program for cardiac regeneration which aims to replace heart cells lost in patients experiencing heart failure due to prior myocardial infarction. While these named programs are approaching candidate selection stage, we also have numerous earlier-stage programs emerging from our proprietary product platforms to address other forms of heart failure.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distinct, but interrelated Gene Therapy, Cellular Regeneration and Precision Medicine platforms and suite of integrated capabilities support our efforts to discover disease-modifying treatments focused on heart disease in a modality-agnostic manner. We also continue to invest in complementary new technologies and the optimization of our existing proprietary capabilities, including the use of human-iPSC disease models, machine learning and phenotypic screening, gene editing, capsid engineering and novel promoter constructs to enable the discovery, design, delivery and development of therapeutics that are best suited to a given cardiovascular condition.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internalized and integrated both current Good Manufacturing Practices (GMP) and non-GMP AAV manufacturing capabilities to support our emerging portfolio of gene therapy and cellular regeneration product candidates. Our Genetic Medicines Manufacturing Center, a cGMP facility, is strategically located near our research labs in the San Francisco Bay Area to enable smooth scale-up of production to support our clinical studies and utilizes a modular, scalable design to produce AAV-based gene therapies under current GMP standards.</w:t>
      </w:r>
    </w:p>
    <w:p>
      <w:pPr>
        <w:pStyle w:val="TextBody"/>
        <w:bidi w:val="0"/>
        <w:spacing w:before="240" w:after="0"/>
        <w:jc w:val="left"/>
        <w:rPr>
          <w:rFonts w:ascii="Times New Roman;serif" w:hAnsi="Times New Roman;serif"/>
          <w:b/>
          <w:sz w:val="20"/>
        </w:rPr>
      </w:pPr>
      <w:r>
        <w:rPr>
          <w:rFonts w:ascii="Times New Roman;serif" w:hAnsi="Times New Roman;serif"/>
          <w:b/>
          <w:sz w:val="20"/>
        </w:rPr>
        <w:t>Results of Operations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Comparison of the Three Months Ended June 30, 2023 and 2022:</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summarizes our results of operations for the periods presented:</w:t>
      </w:r>
    </w:p>
    <w:tbl>
      <w:tblPr>
        <w:tblW w:w="7385" w:type="dxa"/>
        <w:jc w:val="left"/>
        <w:tblInd w:w="0" w:type="dxa"/>
        <w:tblLayout w:type="fixed"/>
        <w:tblCellMar>
          <w:top w:w="28" w:type="dxa"/>
          <w:left w:w="28" w:type="dxa"/>
          <w:bottom w:w="28" w:type="dxa"/>
          <w:right w:w="28" w:type="dxa"/>
        </w:tblCellMar>
      </w:tblPr>
      <w:tblGrid>
        <w:gridCol w:w="2836"/>
        <w:gridCol w:w="146"/>
        <w:gridCol w:w="211"/>
        <w:gridCol w:w="736"/>
        <w:gridCol w:w="166"/>
        <w:gridCol w:w="146"/>
        <w:gridCol w:w="211"/>
        <w:gridCol w:w="736"/>
        <w:gridCol w:w="166"/>
        <w:gridCol w:w="146"/>
        <w:gridCol w:w="211"/>
        <w:gridCol w:w="631"/>
        <w:gridCol w:w="166"/>
        <w:gridCol w:w="146"/>
        <w:gridCol w:w="73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28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3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r>
      <w:tr>
        <w:trPr/>
        <w:tc>
          <w:tcPr>
            <w:tcW w:w="283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 except percentages)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r>
      <w:tr>
        <w:trPr/>
        <w:tc>
          <w:tcPr>
            <w:tcW w:w="2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center"/>
              <w:rPr/>
            </w:pPr>
            <w:r>
              <w:rPr/>
              <w:t> </w:t>
            </w:r>
          </w:p>
        </w:tc>
      </w:tr>
      <w:tr>
        <w:trPr/>
        <w:tc>
          <w:tcPr>
            <w:tcW w:w="2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27%</w:t>
            </w:r>
          </w:p>
        </w:tc>
      </w:tr>
      <w:tr>
        <w:trPr/>
        <w:tc>
          <w:tcPr>
            <w:tcW w:w="2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11%</w:t>
            </w:r>
          </w:p>
        </w:tc>
      </w:tr>
      <w:tr>
        <w:trPr/>
        <w:tc>
          <w:tcPr>
            <w:tcW w:w="2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firstLine="200"/>
              <w:jc w:val="center"/>
              <w:rPr>
                <w:rFonts w:ascii="Times New Roman;serif" w:hAnsi="Times New Roman;serif"/>
                <w:b w:val="false"/>
                <w:sz w:val="20"/>
              </w:rPr>
            </w:pPr>
            <w:r>
              <w:rPr>
                <w:rFonts w:ascii="Times New Roman;serif" w:hAnsi="Times New Roman;serif"/>
                <w:b w:val="false"/>
                <w:sz w:val="20"/>
              </w:rPr>
              <w:t>23%</w:t>
            </w:r>
          </w:p>
        </w:tc>
      </w:tr>
      <w:tr>
        <w:trPr/>
        <w:tc>
          <w:tcPr>
            <w:tcW w:w="28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(28,619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23%</w:t>
            </w:r>
          </w:p>
        </w:tc>
      </w:tr>
      <w:tr>
        <w:trPr/>
        <w:tc>
          <w:tcPr>
            <w:tcW w:w="2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firstLine="100"/>
              <w:jc w:val="center"/>
              <w:rPr/>
            </w:pPr>
            <w:r>
              <w:rPr/>
              <w:t> </w:t>
            </w:r>
          </w:p>
        </w:tc>
      </w:tr>
      <w:tr>
        <w:trPr/>
        <w:tc>
          <w:tcPr>
            <w:tcW w:w="283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firstLine="100"/>
              <w:jc w:val="center"/>
              <w:rPr>
                <w:rFonts w:ascii="Times New Roman;serif" w:hAnsi="Times New Roman;serif"/>
                <w:b w:val="false"/>
                <w:sz w:val="20"/>
              </w:rPr>
            </w:pPr>
            <w:r>
              <w:rPr>
                <w:rFonts w:ascii="Times New Roman;serif" w:hAnsi="Times New Roman;serif"/>
                <w:b w:val="false"/>
                <w:sz w:val="20"/>
              </w:rPr>
              <w:t>727%</w:t>
            </w:r>
          </w:p>
        </w:tc>
      </w:tr>
      <w:tr>
        <w:trPr/>
        <w:tc>
          <w:tcPr>
            <w:tcW w:w="283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firstLine="200"/>
              <w:jc w:val="center"/>
              <w:rPr>
                <w:rFonts w:ascii="Times New Roman;serif" w:hAnsi="Times New Roman;serif"/>
                <w:b w:val="false"/>
                <w:sz w:val="20"/>
              </w:rPr>
            </w:pPr>
            <w:r>
              <w:rPr>
                <w:rFonts w:ascii="Times New Roman;serif" w:hAnsi="Times New Roman;serif"/>
                <w:b w:val="false"/>
                <w:sz w:val="20"/>
              </w:rPr>
              <w:t>0%</w:t>
            </w:r>
          </w:p>
        </w:tc>
      </w:tr>
      <w:tr>
        <w:trPr/>
        <w:tc>
          <w:tcPr>
            <w:tcW w:w="28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727%</w:t>
            </w:r>
          </w:p>
        </w:tc>
      </w:tr>
      <w:tr>
        <w:trPr/>
        <w:tc>
          <w:tcPr>
            <w:tcW w:w="2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(33,269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17%</w:t>
            </w:r>
          </w:p>
        </w:tc>
      </w:tr>
    </w:tbl>
    <w:p>
      <w:pPr>
        <w:pStyle w:val="TextBody"/>
        <w:bidi w:val="0"/>
        <w:spacing w:before="12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Research and Development Expenses</w:t>
      </w:r>
    </w:p>
    <w:p>
      <w:pPr>
        <w:pStyle w:val="TextBody"/>
        <w:bidi w:val="0"/>
        <w:spacing w:before="120" w:after="0"/>
        <w:jc w:val="left"/>
        <w:rPr>
          <w:rFonts w:ascii="Times New Roman" w:hAnsi="Times New Roman"/>
          <w:sz w:val="20"/>
        </w:rPr>
      </w:pPr>
      <w:r>
        <w:rPr>
          <w:rFonts w:ascii="Times New Roman;serif" w:hAnsi="Times New Roman;serif"/>
          <w:b w:val="false"/>
          <w:sz w:val="20"/>
        </w:rPr>
        <w:t>Research and development activities account for a significant portion of our operating expenses. Research and development expenses relate primarily to discovery and development of our research programs, product candidates and proprietary platform technology, and are recognized as incurred. Internal research and development costs include, among others, employee-related costs (including salaries, benefits and stock-based compensation for employees engaged in research and development functions), laboratory supplies, other non-capital equipment utilized for in-house research, and allocated overhead costs. External research and development expenses include, among others, fees paid to contract research organizations (CROs) to execute preclinical studies and clinical trials on our behalf, consulting fees and fees related to licensing agreements. We do not allocate our costs by research program, product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candidate or proprietary platform technology, as a significant amount of research and development expenses include internal costs, which are deployed across multiple platforms, programs, product candidates and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expense all research and development costs in the periods in which they are incurred. We enter into various agreements with CROs. Costs of certain research and development activities are recognized based on estimates generally based on an evaluation of the progress and input from external service providers.</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summarizes our research and development expenses for the periods presented:</w:t>
      </w:r>
    </w:p>
    <w:tbl>
      <w:tblPr>
        <w:tblW w:w="7920" w:type="dxa"/>
        <w:jc w:val="left"/>
        <w:tblInd w:w="0" w:type="dxa"/>
        <w:tblLayout w:type="fixed"/>
        <w:tblCellMar>
          <w:top w:w="28" w:type="dxa"/>
          <w:left w:w="28" w:type="dxa"/>
          <w:bottom w:w="28" w:type="dxa"/>
          <w:right w:w="28" w:type="dxa"/>
        </w:tblCellMar>
      </w:tblPr>
      <w:tblGrid>
        <w:gridCol w:w="3511"/>
        <w:gridCol w:w="146"/>
        <w:gridCol w:w="211"/>
        <w:gridCol w:w="676"/>
        <w:gridCol w:w="146"/>
        <w:gridCol w:w="146"/>
        <w:gridCol w:w="211"/>
        <w:gridCol w:w="676"/>
        <w:gridCol w:w="146"/>
        <w:gridCol w:w="146"/>
        <w:gridCol w:w="211"/>
        <w:gridCol w:w="571"/>
        <w:gridCol w:w="146"/>
        <w:gridCol w:w="146"/>
        <w:gridCol w:w="83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35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 except percentages)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Personnel-related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63%</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Facility and laboratory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18%</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Outside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firstLine="200"/>
              <w:jc w:val="center"/>
              <w:rPr>
                <w:rFonts w:ascii="Times New Roman;serif" w:hAnsi="Times New Roman;serif"/>
                <w:b w:val="false"/>
                <w:sz w:val="20"/>
              </w:rPr>
            </w:pPr>
            <w:r>
              <w:rPr>
                <w:rFonts w:ascii="Times New Roman;serif" w:hAnsi="Times New Roman;serif"/>
                <w:b w:val="false"/>
                <w:sz w:val="20"/>
              </w:rPr>
              <w:t>578%</w:t>
            </w:r>
          </w:p>
        </w:tc>
      </w:tr>
      <w:tr>
        <w:trPr/>
        <w:tc>
          <w:tcPr>
            <w:tcW w:w="35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26,477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20,876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27%</w:t>
            </w:r>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were $26.5 million and $20.9 million for the three months ended June 30, 2023 and 2022, respectively. The year-over-year increase of $5.6 million, or 27%, was primarily due to:</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increase of $3.6 million in employee-related costs reflecting higher stock-based compensation and the employee tax credits recorded as a reduction in payroll taxes in the second quarter of 2022;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 increase of $1.4 million in facility and laboratory costs, reflecting higher facility management and maintenance cost and an increase in depreciation expense, partially offset by lower costs for laboratory supplies and materials.</w:t>
      </w:r>
    </w:p>
    <w:p>
      <w:pPr>
        <w:pStyle w:val="TextBody"/>
        <w:bidi w:val="0"/>
        <w:spacing w:before="120" w:after="0"/>
        <w:jc w:val="left"/>
        <w:rPr>
          <w:rFonts w:ascii="Times New Roman" w:hAnsi="Times New Roman"/>
          <w:sz w:val="20"/>
        </w:rPr>
      </w:pPr>
      <w:r>
        <w:rPr>
          <w:rFonts w:ascii="Times New Roman;serif" w:hAnsi="Times New Roman;serif"/>
          <w:b w:val="false"/>
          <w:sz w:val="20"/>
        </w:rPr>
        <w:t>Outside services expenses remained flat for the three months ended June 30, 2023 when compared to the prior year period as higher costs for clinical trial activities were offset by lower outside lab services costs relating to the IND-enabling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process of conducting the necessary research to advance through the clinical stages and ultimately obtain regulatory approval is costly and time-consuming, and the successful development of our product candidates is highly uncertain. As a result, we cannot reasonably estimate or know the nature, timing or estimated costs of the efforts that will be necessary to complete the development of, and obtain regulatory approval for, or when and to what extent we will generate revenue from the commercialization and sale of any of our product candidates. However, we expect our research and development expenses to generally remain flat for the remainder of 2023</w:t>
      </w:r>
      <w:r>
        <w:rPr>
          <w:rFonts w:ascii="Calibri;sans-serif" w:hAnsi="Calibri;sans-serif"/>
          <w:b w:val="false"/>
          <w:sz w:val="20"/>
        </w:rPr>
        <w:t>.</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General and Administrative</w:t>
      </w:r>
    </w:p>
    <w:p>
      <w:pPr>
        <w:pStyle w:val="TextBody"/>
        <w:bidi w:val="0"/>
        <w:spacing w:before="120" w:after="0"/>
        <w:jc w:val="left"/>
        <w:rPr>
          <w:rFonts w:ascii="Times New Roman" w:hAnsi="Times New Roman"/>
          <w:sz w:val="20"/>
        </w:rPr>
      </w:pPr>
      <w:r>
        <w:rPr>
          <w:rFonts w:ascii="Times New Roman;serif" w:hAnsi="Times New Roman;serif"/>
          <w:b w:val="false"/>
          <w:sz w:val="20"/>
        </w:rPr>
        <w:t>General and administrative expenses consist of personnel-related costs (including salaries, benefits and stock-based compensation for our employees in finance, human resources and other administrative functions), legal fees, professional fees incurred for accounting, audit and tax services, information technology and facility costs not otherwise included in research and development expenses. Legal fees primarily include those related to corporate and intellectual property related matters.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were $8.6 million and $7.7 million for the three months ended June 30, 2023 and 2022, respectively. The change of $0.9 million, or 11%, was primarily due to an increase in stock-based compensation.</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that our general and administrative expenses will generally remain flat for the remainder of 2023, as we continue to support our research and development activities, business development opportunities and professional fees. In addition, we will continue to incur legal, accounting, insurance and other expenses in operating our business as a public company, including costs associated with regulatory and compliance activities</w:t>
      </w:r>
      <w:r>
        <w:rPr>
          <w:rFonts w:ascii="Calibri;sans-serif" w:hAnsi="Calibri;sans-serif"/>
          <w:b w:val="false"/>
          <w:sz w:val="20"/>
        </w:rPr>
        <w:t>.</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Interest Income</w:t>
      </w:r>
    </w:p>
    <w:p>
      <w:pPr>
        <w:pStyle w:val="TextBody"/>
        <w:bidi w:val="0"/>
        <w:spacing w:before="120" w:after="0"/>
        <w:jc w:val="left"/>
        <w:rPr>
          <w:rFonts w:ascii="Times New Roman" w:hAnsi="Times New Roman"/>
          <w:sz w:val="20"/>
        </w:rPr>
      </w:pPr>
      <w:r>
        <w:rPr>
          <w:rFonts w:ascii="Times New Roman;serif" w:hAnsi="Times New Roman;serif"/>
          <w:b w:val="false"/>
          <w:sz w:val="20"/>
        </w:rPr>
        <w:t>Interest income primarily consists of accretion of investments purchased at discounts and interest earned on our cash, cash equivalents and investment balances. The year-over-year increase of $1.6 million was primarily due to higher interest rates on investments and higher accretion of marketable securities.</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Net Loss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loss for the three months ended June 30, 2023, was $33.3 million, compared to a net loss of $28.4 million for the three months ended June 30, 2022.</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Comparison of the Six Months Ended June 30, 2023 and 2022:</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summarizes our results of operations for the periods presented:</w:t>
      </w:r>
    </w:p>
    <w:tbl>
      <w:tblPr>
        <w:tblW w:w="7635" w:type="dxa"/>
        <w:jc w:val="left"/>
        <w:tblInd w:w="0" w:type="dxa"/>
        <w:tblLayout w:type="fixed"/>
        <w:tblCellMar>
          <w:top w:w="28" w:type="dxa"/>
          <w:left w:w="28" w:type="dxa"/>
          <w:bottom w:w="28" w:type="dxa"/>
          <w:right w:w="28" w:type="dxa"/>
        </w:tblCellMar>
      </w:tblPr>
      <w:tblGrid>
        <w:gridCol w:w="2836"/>
        <w:gridCol w:w="146"/>
        <w:gridCol w:w="211"/>
        <w:gridCol w:w="736"/>
        <w:gridCol w:w="166"/>
        <w:gridCol w:w="146"/>
        <w:gridCol w:w="211"/>
        <w:gridCol w:w="736"/>
        <w:gridCol w:w="166"/>
        <w:gridCol w:w="146"/>
        <w:gridCol w:w="211"/>
        <w:gridCol w:w="631"/>
        <w:gridCol w:w="166"/>
        <w:gridCol w:w="146"/>
        <w:gridCol w:w="98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28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8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r>
      <w:tr>
        <w:trPr/>
        <w:tc>
          <w:tcPr>
            <w:tcW w:w="283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 except percentages)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r>
      <w:tr>
        <w:trPr/>
        <w:tc>
          <w:tcPr>
            <w:tcW w:w="2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81" w:type="dxa"/>
            <w:tcBorders/>
            <w:vAlign w:val="center"/>
          </w:tcPr>
          <w:p>
            <w:pPr>
              <w:pStyle w:val="TableContents"/>
              <w:bidi w:val="0"/>
              <w:spacing w:before="0" w:after="0"/>
              <w:ind w:left="0" w:right="0" w:hanging="0"/>
              <w:jc w:val="center"/>
              <w:rPr/>
            </w:pPr>
            <w:r>
              <w:rPr/>
              <w:t> </w:t>
            </w:r>
          </w:p>
        </w:tc>
      </w:tr>
      <w:tr>
        <w:trPr/>
        <w:tc>
          <w:tcPr>
            <w:tcW w:w="2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52,082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16%</w:t>
            </w:r>
          </w:p>
        </w:tc>
      </w:tr>
      <w:tr>
        <w:trPr/>
        <w:tc>
          <w:tcPr>
            <w:tcW w:w="2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8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center"/>
              <w:rPr>
                <w:rFonts w:ascii="Times New Roman;serif" w:hAnsi="Times New Roman;serif"/>
                <w:b w:val="false"/>
                <w:sz w:val="20"/>
              </w:rPr>
            </w:pPr>
            <w:r>
              <w:rPr>
                <w:rFonts w:ascii="Times New Roman;serif" w:hAnsi="Times New Roman;serif"/>
                <w:b w:val="false"/>
                <w:sz w:val="20"/>
              </w:rPr>
              <w:t>14%</w:t>
            </w:r>
          </w:p>
        </w:tc>
      </w:tr>
      <w:tr>
        <w:trPr/>
        <w:tc>
          <w:tcPr>
            <w:tcW w:w="28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15%</w:t>
            </w:r>
          </w:p>
        </w:tc>
      </w:tr>
      <w:tr>
        <w:trPr/>
        <w:tc>
          <w:tcPr>
            <w:tcW w:w="2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(9,054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15%</w:t>
            </w:r>
          </w:p>
        </w:tc>
      </w:tr>
      <w:tr>
        <w:trPr/>
        <w:tc>
          <w:tcPr>
            <w:tcW w:w="2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firstLine="100"/>
              <w:jc w:val="center"/>
              <w:rPr/>
            </w:pPr>
            <w:r>
              <w:rPr/>
              <w:t> </w:t>
            </w:r>
          </w:p>
        </w:tc>
      </w:tr>
      <w:tr>
        <w:trPr/>
        <w:tc>
          <w:tcPr>
            <w:tcW w:w="283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firstLine="100"/>
              <w:jc w:val="center"/>
              <w:rPr>
                <w:rFonts w:ascii="Times New Roman;serif" w:hAnsi="Times New Roman;serif"/>
                <w:b w:val="false"/>
                <w:sz w:val="20"/>
              </w:rPr>
            </w:pPr>
            <w:r>
              <w:rPr>
                <w:rFonts w:ascii="Times New Roman;serif" w:hAnsi="Times New Roman;serif"/>
                <w:b w:val="false"/>
                <w:sz w:val="20"/>
              </w:rPr>
              <w:t>1,087%</w:t>
            </w:r>
          </w:p>
        </w:tc>
      </w:tr>
      <w:tr>
        <w:trPr/>
        <w:tc>
          <w:tcPr>
            <w:tcW w:w="283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8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center"/>
              <w:rPr>
                <w:rFonts w:ascii="Times New Roman;serif" w:hAnsi="Times New Roman;serif"/>
                <w:b w:val="false"/>
                <w:sz w:val="20"/>
              </w:rPr>
            </w:pPr>
            <w:r>
              <w:rPr>
                <w:rFonts w:ascii="Times New Roman;serif" w:hAnsi="Times New Roman;serif"/>
                <w:b w:val="false"/>
                <w:sz w:val="20"/>
              </w:rPr>
              <w:t>1,200%</w:t>
            </w:r>
          </w:p>
        </w:tc>
      </w:tr>
      <w:tr>
        <w:trPr/>
        <w:tc>
          <w:tcPr>
            <w:tcW w:w="28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1,094%</w:t>
            </w:r>
          </w:p>
        </w:tc>
      </w:tr>
      <w:tr>
        <w:trPr/>
        <w:tc>
          <w:tcPr>
            <w:tcW w:w="2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(65,006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(59,453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(5,553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9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w:t>
            </w:r>
          </w:p>
        </w:tc>
      </w:tr>
    </w:tbl>
    <w:p>
      <w:pPr>
        <w:pStyle w:val="TextBody"/>
        <w:bidi w:val="0"/>
        <w:spacing w:before="12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Research and Development Expenses</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summarizes our research and development expenses for the periods presented:</w:t>
      </w:r>
    </w:p>
    <w:tbl>
      <w:tblPr>
        <w:tblW w:w="8000" w:type="dxa"/>
        <w:jc w:val="left"/>
        <w:tblInd w:w="0" w:type="dxa"/>
        <w:tblLayout w:type="fixed"/>
        <w:tblCellMar>
          <w:top w:w="28" w:type="dxa"/>
          <w:left w:w="28" w:type="dxa"/>
          <w:bottom w:w="28" w:type="dxa"/>
          <w:right w:w="28" w:type="dxa"/>
        </w:tblCellMar>
      </w:tblPr>
      <w:tblGrid>
        <w:gridCol w:w="3511"/>
        <w:gridCol w:w="146"/>
        <w:gridCol w:w="211"/>
        <w:gridCol w:w="676"/>
        <w:gridCol w:w="146"/>
        <w:gridCol w:w="146"/>
        <w:gridCol w:w="211"/>
        <w:gridCol w:w="676"/>
        <w:gridCol w:w="146"/>
        <w:gridCol w:w="146"/>
        <w:gridCol w:w="211"/>
        <w:gridCol w:w="631"/>
        <w:gridCol w:w="166"/>
        <w:gridCol w:w="146"/>
        <w:gridCol w:w="83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35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 except percentages)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Personnel-related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44%</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Facility and laboratory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12%</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Outside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center"/>
              <w:rPr>
                <w:rFonts w:ascii="Times New Roman;serif" w:hAnsi="Times New Roman;serif"/>
                <w:b w:val="false"/>
                <w:sz w:val="20"/>
              </w:rPr>
            </w:pPr>
            <w:r>
              <w:rPr>
                <w:rFonts w:ascii="Times New Roman;serif" w:hAnsi="Times New Roman;serif"/>
                <w:b w:val="false"/>
                <w:sz w:val="20"/>
              </w:rPr>
              <w:t>155%</w:t>
            </w:r>
          </w:p>
        </w:tc>
      </w:tr>
      <w:tr>
        <w:trPr/>
        <w:tc>
          <w:tcPr>
            <w:tcW w:w="35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52,082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45,031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7,051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16%</w:t>
            </w:r>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were $52.1 million and $45.0 million for the six months ended June 30, 2023 and 2022, respectively. The year-over-year increase of $7.1 million, or 16%, was primarily due to:</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increase of $5.7 million in employee-related costs reflecting higher stock-based compensation and the employee tax credits recorded as a reduction in payroll taxes in 2022;</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increase of $2.0 million in facility and laboratory costs, reflecting higher facility management cost and depreciation expense, partially offset by lower costs for laboratory supplies and materials;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 decrease of $1.4 million in outside services costs. The year-over-year decrease was primarily driven by lower outside lab services costs relating to the IND-enabling activities, offset by an increase in clinical trial activities.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General and Administrative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were $16.7 million and $14.7 million for the six months ended June 30, 2023 and 2022, respectively. The change of $2.0 million, or 14%, was primarily due to an increase in stock-based compensation.</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Interest Income</w:t>
      </w:r>
    </w:p>
    <w:p>
      <w:pPr>
        <w:pStyle w:val="TextBody"/>
        <w:bidi w:val="0"/>
        <w:spacing w:before="120" w:after="0"/>
        <w:jc w:val="left"/>
        <w:rPr>
          <w:rFonts w:ascii="Times New Roman" w:hAnsi="Times New Roman"/>
          <w:sz w:val="20"/>
        </w:rPr>
      </w:pPr>
      <w:r>
        <w:rPr>
          <w:rFonts w:ascii="Times New Roman;serif" w:hAnsi="Times New Roman;serif"/>
          <w:b w:val="false"/>
          <w:sz w:val="20"/>
        </w:rPr>
        <w:t>Interest income primarily consists of accretion of investments purchased at discounts and interest earned on our cash, cash equivalents and investment balances. The year-over-year increase of $3.5 million was primarily due to higher interest rates on investments and higher accretion of marketable securities.</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Net Loss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loss for the six months ended June 30, 2023, was $65.0 million, compared to a net loss of $59.5 million for the six months ended June 30, 2022.</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Liquidity and Capital Resources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Sources of Liquidity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Since our inception, we have not generated any revenue and we have incurred significant net losses and negative cash flows from operations. From our inception through June 30, 2023, we have funded our operations primarily from the sale and issuance of our equity securities. As of June 30, 2023, we had cash, cash equivalents and investments in marketable securities of $151.6 million and an accumulated deficit of $344.2 million.</w:t>
      </w:r>
    </w:p>
    <w:p>
      <w:pPr>
        <w:pStyle w:val="TextBody"/>
        <w:bidi w:val="0"/>
        <w:spacing w:before="240" w:after="0"/>
        <w:jc w:val="left"/>
        <w:rPr>
          <w:rFonts w:ascii="Times New Roman;serif" w:hAnsi="Times New Roman;serif"/>
          <w:b/>
          <w:i/>
          <w:sz w:val="20"/>
        </w:rPr>
      </w:pPr>
      <w:r>
        <w:rPr>
          <w:rFonts w:ascii="Times New Roman;serif" w:hAnsi="Times New Roman;serif"/>
          <w:b/>
          <w:i/>
          <w:sz w:val="20"/>
        </w:rPr>
        <w:t>Follow-on Offering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November 21, 2022, we completed an underwritten public offering of 22,613,307 shares of our common stock at a price of $2.60 per share and, to certain investors in lieu of common stock, pre-funded warrants to purchase 6,236,693 shares of our common stock at a price of $2.599 per pre-funded warrant under our registration statement on Form S-3 (File No. 333-266741) (the Shelf Registration Statement). The pre-funded warrants can be exercised at any time after issuance for an exercise price of $0.001 per share, subject to certain ownership limitations. In addition, we granted the underwriters a 30-day option to purchase up to an additional 4,327,500 shares of our common stock to cover overallotments, if any, at $2.60 per share. On November 29, 2022, the underwriters partially exercised the option and purchased an additional 2,816,409 shares of our common stock. We received total net proceeds of $76.9 million after deducting underwriting discounts and commissions of $4.9 million and offering expenses of $0.5 million. As of June 30, 2023, pre-funded warrants for 302,517 shares of common stock have been exercised.</w:t>
      </w:r>
    </w:p>
    <w:p>
      <w:pPr>
        <w:pStyle w:val="TextBody"/>
        <w:bidi w:val="0"/>
        <w:spacing w:before="0" w:after="0"/>
        <w:jc w:val="both"/>
        <w:rPr/>
      </w:pPr>
      <w:r>
        <w:rPr/>
        <w:t> </w:t>
      </w:r>
    </w:p>
    <w:p>
      <w:pPr>
        <w:pStyle w:val="TextBody"/>
        <w:bidi w:val="0"/>
        <w:spacing w:before="0" w:after="0"/>
        <w:jc w:val="both"/>
        <w:rPr/>
      </w:pPr>
      <w:r>
        <w:rPr/>
        <w:t>“</w:t>
      </w:r>
      <w:r>
        <w:rPr>
          <w:rFonts w:ascii="Times New Roman;serif" w:hAnsi="Times New Roman;serif"/>
          <w:b/>
          <w:i/>
          <w:sz w:val="20"/>
        </w:rPr>
        <w:t>At-the-Market” Equity Offering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August 10, 2022, we entered into a sales agreement (the Sales Agreement) with SVB Securities LLC. Pursuant to the Sales Agreement we may sell, from time to time up to an aggregate of $75.0 million of our common stock through an “at-the-market” offering defined in Rule 415 under the Securities Act. The $75.0 million of common stock that may be offered, issued and sold under the Sales Agreement is included in the $300.0 million of securities that may be offered, issued and sold by us under our registration statement on Form S-3 (File No. 333-266741). During the three and six months ended June 30, 2023, we sold 535,767 shares under the ATM, resulting in proceeds of $3.9 million, after deducting commissions of $0.1 million pursuant to the Sales Agreement.</w:t>
      </w:r>
    </w:p>
    <w:p>
      <w:pPr>
        <w:pStyle w:val="TextBody"/>
        <w:bidi w:val="0"/>
        <w:spacing w:before="240" w:after="0"/>
        <w:jc w:val="left"/>
        <w:rPr>
          <w:rFonts w:ascii="Times New Roman;serif" w:hAnsi="Times New Roman;serif"/>
          <w:b/>
          <w:i/>
          <w:sz w:val="20"/>
        </w:rPr>
      </w:pPr>
      <w:r>
        <w:rPr>
          <w:rFonts w:ascii="Times New Roman;serif" w:hAnsi="Times New Roman;serif"/>
          <w:b/>
          <w:i/>
          <w:sz w:val="20"/>
        </w:rPr>
        <w:t>Funding Requirements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our expenses and operating losses will continue to increase over the foreseeable future. The expected increase in expenses will be driven in large part by our ongoing activities, if and as we: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continue to advance our lead product candidates, TN-201, TN-301 and TN-401, in and toward the clinic;</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continue preclinical development of our earlier-stage product candidates and initiate additional preclinical studies using our Gene Therapy, Cellular Regeneration and Precision Medicine platforms and core capabilities;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operate our manufacturing facility and develop our manufacturing capabilities;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seek regulatory approval of our product candidates that successfully complete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expand our operational, financial, and information systems, including personnel to support our preclinical and clinical development, manufacturing, system infrastructure, regulatory compliance and future commercialization efforts;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continue to develop, grow, perfect, enforce and defend our intellectual property portfolio;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continue to incur legal, accounting, insurance and other expenses in operating our business as a public company, including costs associated with regulatory and compliance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our current operating plan, we believe that our existing cash, cash equivalents and investments in marketable securities will be sufficient to meet our working capital and capital expenditure needs through at least the next twelve months following the date of this Quarterly Report on Form 10-Q.</w:t>
      </w:r>
    </w:p>
    <w:p>
      <w:pPr>
        <w:pStyle w:val="TextBody"/>
        <w:bidi w:val="0"/>
        <w:spacing w:before="120" w:after="0"/>
        <w:jc w:val="left"/>
        <w:rPr>
          <w:rFonts w:ascii="Times New Roman" w:hAnsi="Times New Roman"/>
          <w:sz w:val="20"/>
        </w:rPr>
      </w:pPr>
      <w:r>
        <w:rPr>
          <w:rFonts w:ascii="Times New Roman;serif" w:hAnsi="Times New Roman;serif"/>
          <w:b w:val="false"/>
          <w:sz w:val="20"/>
        </w:rPr>
        <w:t>In order to complete the development of our product candidates and commercialize our product candidates, if approved, we will require substantial additional funding. Until such time as we can generate significant revenue from sales of our product candidates, if ever, we expect to finance our operations through public or private equity offerings or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pStyle w:val="TextBody"/>
        <w:bidi w:val="0"/>
        <w:spacing w:before="120" w:after="0"/>
        <w:jc w:val="left"/>
        <w:rPr>
          <w:rFonts w:ascii="Times New Roman" w:hAnsi="Times New Roman"/>
          <w:sz w:val="20"/>
        </w:rPr>
      </w:pPr>
      <w:r>
        <w:rPr>
          <w:rFonts w:ascii="Times New Roman;serif" w:hAnsi="Times New Roman;serif"/>
          <w:b w:val="false"/>
          <w:sz w:val="20"/>
        </w:rPr>
        <w:t>Our ability to raise additional funds may be adversely impacted by continued worsening global economic conditions and the recent disruptions to, and volatility in, the credit and financial markets in the United States and worldwide.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Cash Flows</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summarizes our cash flows for each of the periods presented:</w:t>
      </w:r>
    </w:p>
    <w:tbl>
      <w:tblPr>
        <w:tblW w:w="7379" w:type="dxa"/>
        <w:jc w:val="left"/>
        <w:tblInd w:w="0" w:type="dxa"/>
        <w:tblLayout w:type="fixed"/>
        <w:tblCellMar>
          <w:top w:w="28" w:type="dxa"/>
          <w:left w:w="28" w:type="dxa"/>
          <w:bottom w:w="28" w:type="dxa"/>
          <w:right w:w="28" w:type="dxa"/>
        </w:tblCellMar>
      </w:tblPr>
      <w:tblGrid>
        <w:gridCol w:w="4636"/>
        <w:gridCol w:w="146"/>
        <w:gridCol w:w="211"/>
        <w:gridCol w:w="736"/>
        <w:gridCol w:w="166"/>
        <w:gridCol w:w="146"/>
        <w:gridCol w:w="211"/>
        <w:gridCol w:w="736"/>
        <w:gridCol w:w="3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46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firstLine="100"/>
              <w:jc w:val="center"/>
              <w:rPr/>
            </w:pPr>
            <w:r>
              <w:rPr/>
              <w:t> </w:t>
            </w:r>
          </w:p>
        </w:tc>
      </w:tr>
      <w:tr>
        <w:trPr/>
        <w:tc>
          <w:tcPr>
            <w:tcW w:w="463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(56,510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(54,186</w:t>
            </w:r>
          </w:p>
        </w:tc>
        <w:tc>
          <w:tcPr>
            <w:tcW w:w="39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63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46,644</w:t>
            </w:r>
          </w:p>
        </w:tc>
        <w:tc>
          <w:tcPr>
            <w:tcW w:w="391" w:type="dxa"/>
            <w:tcBorders/>
            <w:vAlign w:val="center"/>
          </w:tcPr>
          <w:p>
            <w:pPr>
              <w:pStyle w:val="TableContents"/>
              <w:bidi w:val="0"/>
              <w:spacing w:before="0" w:after="0"/>
              <w:ind w:left="0" w:right="0" w:firstLine="100"/>
              <w:jc w:val="left"/>
              <w:rPr/>
            </w:pPr>
            <w:r>
              <w:rPr/>
              <w:t> </w:t>
            </w:r>
          </w:p>
        </w:tc>
      </w:tr>
      <w:tr>
        <w:trPr/>
        <w:tc>
          <w:tcPr>
            <w:tcW w:w="463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6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change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(19,686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(7,267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serif" w:hAnsi="Times New Roman;serif"/>
          <w:b/>
          <w:i/>
          <w:sz w:val="20"/>
        </w:rPr>
      </w:pPr>
      <w:r>
        <w:rPr>
          <w:rFonts w:ascii="Times New Roman;serif" w:hAnsi="Times New Roman;serif"/>
          <w:b/>
          <w:i/>
          <w:sz w:val="20"/>
        </w:rPr>
        <w:t>Operating Activities</w:t>
      </w:r>
    </w:p>
    <w:p>
      <w:pPr>
        <w:pStyle w:val="TextBody"/>
        <w:bidi w:val="0"/>
        <w:spacing w:before="120" w:after="0"/>
        <w:jc w:val="left"/>
        <w:rPr>
          <w:rFonts w:ascii="Times New Roman" w:hAnsi="Times New Roman"/>
          <w:sz w:val="20"/>
        </w:rPr>
      </w:pPr>
      <w:r>
        <w:rPr>
          <w:rFonts w:ascii="Times New Roman;serif" w:hAnsi="Times New Roman;serif"/>
          <w:b w:val="false"/>
          <w:sz w:val="20"/>
        </w:rPr>
        <w:t>Net cash used in operating activities for the six months ended June 30, 2023 was $56.5 million, which consisted primarily of a net loss of $65.0 million and a net change in operating assets and liabilities of $3.8 million, partially offset by $12.2 million in non-cash charges. The change in net operating assets and liabilities was primarily due to a decrease in operating lease liabilities of $2.0 million and a decrease in accounts payable and accrued expenses and other current liabilities of $1.8 million. Cash flows from operations are generally impacted by the timing of payments to vendors and vendor payment terms. The non-cash charges primarily consisted of stock-based compensation of $7.3 million and depreciation and amortization of $4.3 million.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Net cash used in operating activities for the six months ended June 30, 2022 was $54.2 million, which consisted primarily of a net loss of $59.5 million and a net change in operating assets and liabilities of $3.2 million, partially offset by $8.4 million in non-cash charges. The change in net operating assets and liabilities was primarily due to a decrease in accounts payable and accrued liabilities of $1.4 million and a decrease in operating lease liabilities of $1.2 million. The non-cash charges primarily consisted of stock-based compensation of $5.1 million and depreciation and amortization of $2.3 million.</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Investing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cash provided by investing activities for the six months ended June 30, 2023 was $33.1 million, which consisted primarily of proceeds from maturities of marketable securities of $75.0 million, partially offset by purchases of marketable securities of $41.0 million.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cash provided by investing activities for the six months ended June 30, 2022 was $46.6 million, which consisted of proceeds from maturities of marketable securities of $127.6 million, partially offset by purchases of marketable securities of $65.1 million and purchases of property and equipment of $15.8 million primarily related to our manufacturing and office space at the Union City Facility.</w:t>
      </w:r>
    </w:p>
    <w:p>
      <w:pPr>
        <w:pStyle w:val="TextBody"/>
        <w:bidi w:val="0"/>
        <w:spacing w:before="240" w:after="0"/>
        <w:jc w:val="left"/>
        <w:rPr>
          <w:rFonts w:ascii="Times New Roman;serif" w:hAnsi="Times New Roman;serif"/>
          <w:b/>
          <w:i/>
          <w:sz w:val="20"/>
        </w:rPr>
      </w:pPr>
      <w:r>
        <w:rPr>
          <w:rFonts w:ascii="Times New Roman;serif" w:hAnsi="Times New Roman;serif"/>
          <w:b/>
          <w:i/>
          <w:sz w:val="20"/>
        </w:rPr>
        <w:t>Financing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cash provided by financing activities for the six months ended June 30, 2023 was $3.7 million, which primarily consisted of proceeds from at-the-market sales of $3.9 million, partially offset by payments of accrued offering costs.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cash provided by financing activities for the six months ended June 30, 2022 consisted of proceeds from the exercise of stock options.</w:t>
      </w:r>
    </w:p>
    <w:p>
      <w:pPr>
        <w:pStyle w:val="TextBody"/>
        <w:bidi w:val="0"/>
        <w:spacing w:before="240" w:after="0"/>
        <w:jc w:val="left"/>
        <w:rPr>
          <w:rFonts w:ascii="Times New Roman;serif" w:hAnsi="Times New Roman;serif"/>
          <w:b/>
          <w:sz w:val="20"/>
        </w:rPr>
      </w:pPr>
      <w:r>
        <w:rPr>
          <w:rFonts w:ascii="Times New Roman;serif" w:hAnsi="Times New Roman;serif"/>
          <w:b/>
          <w:sz w:val="20"/>
        </w:rPr>
        <w:t>Contractual Obligations and Other Commitments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June 30, 2023, there have been no material changes from the contractual obligations and commitments previously disclosed in our Annual Report on Form 10-K for the year ended December 31, 2022.</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Off-Balance Sheet Arrangements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Since inception, we have not engaged in any off-balance sheet arrangements as defined in the rules and regulations of the SEC.</w:t>
      </w:r>
    </w:p>
    <w:p>
      <w:pPr>
        <w:pStyle w:val="TextBody"/>
        <w:bidi w:val="0"/>
        <w:spacing w:before="240" w:after="0"/>
        <w:jc w:val="left"/>
        <w:rPr>
          <w:rFonts w:ascii="Times New Roman;serif" w:hAnsi="Times New Roman;serif"/>
          <w:b/>
          <w:sz w:val="20"/>
        </w:rPr>
      </w:pPr>
      <w:r>
        <w:rPr>
          <w:rFonts w:ascii="Times New Roman;serif" w:hAnsi="Times New Roman;serif"/>
          <w:b/>
          <w:sz w:val="20"/>
        </w:rPr>
        <w:t>Critical Accounting Policies and Estimates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summary of our critical accounting policies and estimates is presented in Part II, Item 7 of our Annual Report on Form 10-K for the year ended December 31, 2022. There were no material changes to our critical accounting policies and estimates during the three and six months ended June 30, 2023.</w:t>
      </w:r>
    </w:p>
    <w:p>
      <w:pPr>
        <w:pStyle w:val="TextBody"/>
        <w:bidi w:val="0"/>
        <w:spacing w:before="240" w:after="0"/>
        <w:jc w:val="left"/>
        <w:rPr>
          <w:rFonts w:ascii="Times New Roman;serif" w:hAnsi="Times New Roman;serif"/>
          <w:b/>
          <w:sz w:val="20"/>
        </w:rPr>
      </w:pPr>
      <w:r>
        <w:rPr>
          <w:rFonts w:ascii="Times New Roman;serif" w:hAnsi="Times New Roman;serif"/>
          <w:b/>
          <w:sz w:val="20"/>
        </w:rPr>
        <w:t>Recent Accounting Pronouncements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See Note 2 to our unaudited interim condensed financial statements for more information about recent accounting pronouncements, the timing of their adoption, and our assessment, to the extent we have made one yet, of their potential impact on our financial condition of results of operations.</w:t>
      </w:r>
    </w:p>
    <w:p>
      <w:pPr>
        <w:pStyle w:val="TextBody"/>
        <w:bidi w:val="0"/>
        <w:spacing w:before="240" w:after="0"/>
        <w:jc w:val="left"/>
        <w:rPr>
          <w:rFonts w:ascii="Times New Roman;serif" w:hAnsi="Times New Roman;serif"/>
          <w:b/>
          <w:sz w:val="20"/>
        </w:rPr>
      </w:pPr>
      <w:r>
        <w:rPr>
          <w:rFonts w:ascii="Times New Roman;serif" w:hAnsi="Times New Roman;serif"/>
          <w:b/>
          <w:sz w:val="20"/>
        </w:rPr>
        <w:t>Emerging Growth Company and Smaller Reporting Company Status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an emerging growth company, as defined in the JOBS Act. 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December 31, 2026.</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by the JOBS Act. As a result, our financial statements may not be comparable to companies that comply with new or revised accounting pronouncements as of public company effective 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company’s smaller reporting companies have reduced disclosure obligations regarding executive compensation.</w:t>
      </w:r>
    </w:p>
    <w:p>
      <w:pPr>
        <w:pStyle w:val="TextBody"/>
        <w:bidi w:val="0"/>
        <w:spacing w:before="240" w:after="0"/>
        <w:jc w:val="left"/>
        <w:rPr>
          <w:rFonts w:ascii="Times New Roman;serif" w:hAnsi="Times New Roman;serif"/>
          <w:b/>
          <w:sz w:val="20"/>
        </w:rPr>
      </w:pPr>
      <w:bookmarkStart w:id="10" w:name="item_3_quantitative_qualitative_disclosu"/>
      <w:bookmarkEnd w:id="10"/>
      <w:r>
        <w:rPr>
          <w:rFonts w:ascii="Times New Roman;serif" w:hAnsi="Times New Roman;serif"/>
          <w:b/>
          <w:sz w:val="20"/>
        </w:rPr>
        <w:t>Item 3. Quantitative and Qualitative Disclosures About Market Risk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 smaller reporting company, as defined by Rule 12b-2 under the Securities and Exchange Act of 1934 and in Item 10(f)(1) of Regulation S-K, and are not required to provide the information under this item.</w:t>
      </w:r>
    </w:p>
    <w:p>
      <w:pPr>
        <w:pStyle w:val="TextBody"/>
        <w:bidi w:val="0"/>
        <w:spacing w:before="240" w:after="0"/>
        <w:jc w:val="both"/>
        <w:rPr>
          <w:rFonts w:ascii="Times New Roman" w:hAnsi="Times New Roman"/>
          <w:sz w:val="20"/>
        </w:rPr>
      </w:pPr>
      <w:bookmarkStart w:id="11" w:name="item_4_controls_procedures"/>
      <w:bookmarkEnd w:id="11"/>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bidi w:val="0"/>
        <w:spacing w:before="240" w:after="0"/>
        <w:jc w:val="both"/>
        <w:rPr>
          <w:rFonts w:ascii="Times New Roman;serif" w:hAnsi="Times New Roman;serif"/>
          <w:b/>
          <w:sz w:val="20"/>
        </w:rPr>
      </w:pPr>
      <w:r>
        <w:rPr>
          <w:rFonts w:ascii="Times New Roman;serif" w:hAnsi="Times New Roman;serif"/>
          <w:b/>
          <w:sz w:val="20"/>
        </w:rPr>
        <w:t>Evaluation of Disclosure Controls and Procedures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management, with the participation and supervision of our Chief Executive Officer and our Chief Financial Officer, have evaluated our disclosure controls and procedures (as defined in Rules 13a-15(e) and 15d-15(e) under the Securities Exchange Act of 1934, as amended, or the Exchange Act) as of the end of the period covered by this Quarterly Report on Form 10-Q. Based on that evaluation, our Chief Executive Officer and Chief Financial Officer have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sz w:val="20"/>
        </w:rPr>
      </w:pPr>
      <w:r>
        <w:rPr>
          <w:rFonts w:ascii="Times New Roman;serif" w:hAnsi="Times New Roman;serif"/>
          <w:b/>
          <w:sz w:val="20"/>
        </w:rPr>
        <w:t>Changes in Internal Control over Financial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were no changes in our internal control over financial reporting (as defined in Exchange Act Rules 13a-15(f) and 15d-15(f)) during the quarter ended June 30, 2023 that have materially affected, or are reasonably likely to materially affect, our internal control over financial reporting.</w:t>
      </w:r>
    </w:p>
    <w:p>
      <w:pPr>
        <w:pStyle w:val="TextBody"/>
        <w:bidi w:val="0"/>
        <w:spacing w:before="240" w:after="0"/>
        <w:jc w:val="left"/>
        <w:rPr>
          <w:rFonts w:ascii="Times New Roman;serif" w:hAnsi="Times New Roman;serif"/>
          <w:b/>
          <w:sz w:val="20"/>
        </w:rPr>
      </w:pPr>
      <w:r>
        <w:rPr>
          <w:rFonts w:ascii="Times New Roman;serif" w:hAnsi="Times New Roman;serif"/>
          <w:b/>
          <w:sz w:val="20"/>
        </w:rPr>
        <w:t>Inherent Limitations on Effectiveness of Controls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12" w:name="part_iior_information"/>
      <w:bookmarkEnd w:id="12"/>
      <w:r>
        <w:rPr>
          <w:rFonts w:ascii="Times New Roman;serif" w:hAnsi="Times New Roman;serif"/>
          <w:b/>
          <w:sz w:val="20"/>
        </w:rPr>
        <w:t>PART II—OTHER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240" w:after="0"/>
        <w:jc w:val="left"/>
        <w:rPr>
          <w:rFonts w:ascii="Times New Roman" w:hAnsi="Times New Roman"/>
          <w:sz w:val="20"/>
        </w:rPr>
      </w:pPr>
      <w:bookmarkStart w:id="13" w:name="item_1_legal_proceedings"/>
      <w:bookmarkEnd w:id="13"/>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we may become involved in various legal proceedings that arise in the ordinary course of our business. We are not currently a party to any litigation or legal proceedings that are likely to have a material adverse effect on our business. Regardless of outcome, litigation can have an adverse impact on us because of defense and settlement costs, diversion of management resources, and other factors.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4" w:name="item_1a_risk_factors"/>
      <w:bookmarkEnd w:id="14"/>
      <w:r>
        <w:rPr>
          <w:rFonts w:ascii="Times New Roman;serif" w:hAnsi="Times New Roman;serif"/>
          <w:b/>
          <w:sz w:val="20"/>
        </w:rPr>
        <w:t>Item 1A. Risk Factors</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Investing in our common stock involves a high degree of risk. You should carefully consider the risks described below, as well as the other information in this quarterly report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pStyle w:val="TextBody"/>
        <w:bidi w:val="0"/>
        <w:spacing w:before="240" w:after="0"/>
        <w:jc w:val="left"/>
        <w:rPr>
          <w:rFonts w:ascii="Times New Roman;serif" w:hAnsi="Times New Roman;serif"/>
          <w:b/>
          <w:sz w:val="20"/>
        </w:rPr>
      </w:pPr>
      <w:r>
        <w:rPr>
          <w:rFonts w:ascii="Times New Roman;serif" w:hAnsi="Times New Roman;serif"/>
          <w:b/>
          <w:sz w:val="20"/>
        </w:rPr>
        <w:t>Risk Factors Summary</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Our ability to execute on our business strategy is subject to a number of risks and uncertainties, including those outside of our control, that could cause our actual results to be harmed, including risks regarding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early in our development efforts, with a limited operating history, have only completed one clinical trial, and have no products approved for commercial sale, which may make it difficult for you to evaluate our current business and likelihood of success and future viability.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not generated any product revenue to date, have incurred significant net losses since our inception, and expect to continue to incur significant net losses for the foreseeable future.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generate revenue and achieve profitability depends significantly on our ability to achieve several objectives relating to the discovery, development and commercialization of our product candidates, if approved.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require substantial additional capital to finance our operations. Raising additional capital will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mechanisms of action of our product candidates are unproven, and we do not know whether we will be able to develop any drug of commercial value.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Drug development involves a lengthy and expensive process with an uncertain outcome. The preclinical studies, clinical trials and post-marketing studies of our product candidates may not demonstrate safety and efficacy to the satisfaction of the FDA, European Medicines Agency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Due to our limited manufacturing experience, there can be no assurance that we will be able to successfully manufacture product candidates to support our clinical development and commercialization plans.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commercial success depends significantly on our ability to operate without infringing, misappropriating or otherwise violating the patents and other intellectual property and proprietary rights of third parties.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Risks Related to Our Financial Position, Need for Additional Capital and Limited Operating History</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are early in our development efforts, with a limited operating history, have only completed one clinical trial, and have no products approved for commercial sale, which may make it difficult for you to evaluate our current business and likelihood of success and future viability.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a limited operating history upon which you can evaluate our business and prospects. We commenced operations in 2016, have only completed one clinical trial, have no products approved for commercial sale and have not generated any revenue. We are developing therapies that address the underlying drivers of heart disease, which is an unproven and highly uncertain undertaking and involves a substantial degree of risk. While we have completed our Phase 1 clinical trial evaluating TN-301 and the FDA has cleared our IND for TN-201 for evaluation in humans, all of our other product candidates remain in preclinical development and have never been tested in humans. Since our inception, we have devoted substantially all of our focus and financial resources to identifying and developing product candidates, conducting preclinical studies and clinical trials, developing our gene therapy, cellular regeneration and precision medicine platforms, acquiring technology, organizing and recruiting management and technical staff, business planning, establishing our intellectual property portfolio, raising capital, and providing general and administrative support for these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limited experience conducting clinical trials and have not yet demonstrated our ability to successfully complete any late stage clinical trials, obtain marketing approvals, manufacture a late stage clinical- or commercial-scale product or arrange for a third party to do so on our behalf, or conduct sales and marketing activities necessary for successful product commercialization. As a result, it may be more difficult for investors to accurately predict our likelihood of success and viability than it could be if we had a longer operating history.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we may encounter unforeseen expenses, difficulties, complications, delays and other known and unknown factors and risks frequently experienced by early-stage biotechnology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have not generated any product revenue to date, have incurred significant net losses since our inception, and expect to continue to incur significant net losses for the foreseeable future.</w:t>
      </w:r>
    </w:p>
    <w:p>
      <w:pPr>
        <w:pStyle w:val="TextBody"/>
        <w:bidi w:val="0"/>
        <w:spacing w:before="120" w:after="0"/>
        <w:jc w:val="left"/>
        <w:rPr>
          <w:rFonts w:ascii="Times New Roman" w:hAnsi="Times New Roman"/>
          <w:sz w:val="20"/>
        </w:rPr>
      </w:pPr>
      <w:r>
        <w:rPr>
          <w:rFonts w:ascii="Times New Roman;serif" w:hAnsi="Times New Roman;serif"/>
          <w:b w:val="false"/>
          <w:sz w:val="20"/>
        </w:rPr>
        <w:t>We have incurred significant net losses since our inception, have not generated any product revenue to date and have financed our operations principally through issuances of our stock. Our net loss was $65.0 million for the six months ended June 30, 2023. As of June 30, 2023, we had an accumulated deficit of $344.2 million.</w:t>
      </w:r>
      <w:r>
        <w:rPr>
          <w:rFonts w:ascii="Times New Roman" w:hAnsi="Times New Roman"/>
          <w:sz w:val="20"/>
        </w:rPr>
        <w:t xml:space="preserve"> </w:t>
      </w:r>
      <w:r>
        <w:rPr>
          <w:rFonts w:ascii="Times New Roman;serif" w:hAnsi="Times New Roman;serif"/>
          <w:b w:val="false"/>
          <w:sz w:val="20"/>
        </w:rPr>
        <w:t>Substantially all of our losses have resulted from expenses incurred in connection with our research and development programs and from general and administrative costs associated with our operations. Our product candidates will require substantial additional development time and resources before we will be able to apply for regulatory approvals and, if approved, begin generating revenue from product sales. As a result, we expect that it will be several years, if ever, before we receive approval to commercialize a product and generate revenue from product sales. Even if we succeed in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receiving marketing approval for and commercializing one or more of our product candidates, we expect that we will continue to incur substantial research and development and other expenses in order to discover, develop and market additional potential products.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clinical development as product candidates in later stages of clinical development generally have higher development costs than those in earlier stages, primarily due to the increased size and duration of later-stage clinical trials.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ability to generate revenue and achieve profitability depends significantly on our ability to achieve several objectives relating to the discovery, development and commercialization of our product candidates, if approved.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rely on our multi-modality drug discovery platforms to identify and develop product candidates. Our business depends on the success of these platforms and the successful development, regulatory approval, manufacturing and commercialization of product candidates that we discover with these platforms. Our ability to generate revenue and achieve profitability depends significantly on our ability, or any future collaborator’s ability, to achieve several objectives,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successful and timely completion of preclinical and clinical development of product candidates and programs, including, but not limited to, generating sufficient data to support the initiation or continuation of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submission of INDs or other regulatory applications for our planned clinical trials, obtaining regulatory approval to commence clinical trials of our product candidates, and achieving favorable results from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establishing and maintaining relationships with contract research organizations (CROs) and clinical sites for the clinical development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initiation and successful patient enrollment and completion of clinical trials on a timely basis;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acceptable frequency and severity of adverse events in the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efficacy and safety profiles that are satisfactory to the FDA or any comparable foreign regulatory authority for marketing approval;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timely receipt of marketing approvals from applicable regulatory authorities for any product candidates for which we successfully complete clinical development;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complying with any required post-marketing approval commitments to applicable regulatory authorities;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operating a manufacturing facility and developing an efficient and scalable manufacturing process for our product candidates, and the timely manufacture of sufficient quantities of a product candidate for use in clinical trials and, if approved, commercialization;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successful commercial launch following any marketing approval, including the development of a commercial infrastructure, whether in-house or with one or more collaborators;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successful outputs from our capsid engineering and promotor and regulator elements efforts;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continued acceptable safety profile following any marketing approval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actual market-size, ability to identify patients and the demographics of patients eligible for our product candidates, which may be different than expected;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commercial acceptance of our product candidates by patients, the medical community and third-party payors;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distribute our products to certain segments of the patient population only accessible through restricted or closed distribution channels;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satisfying any required post-marketing approval commitments to applicable regulatory authorities, and maintaining consistent quality, purity, and potency across clinical supplies and commercial supplies for any approved products;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identifying, assessing and developing new product candidates, and our ability to expand into multiple indications;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obtaining, maintaining, and expanding patent and other intellectual property protection, trade secret protection and regulatory exclusivity, both in the United States (U.S.) and internationally;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protecting and enforcing our rights in our intellectual property portfolio;</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defending against third-party infringement, misappropriation, or other claims, if any;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entering into, on favorable terms, any collaboration, licensing or other arrangements that may be necessary or desirable to develop, manufacture or commercialize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obtaining coverage and adequate reimbursement by third-party payors for our products and patients’ willingness to pay in the absence of such coverage and adequate reimbursement;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obtaining additional funding to develop, manufacture and commercialize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addressing any competing therapies and technological and market developments;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managing costs, including any unforeseen costs, that we may incur as a result of nonclinical study or clinical trial delays;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attracting, hiring and retaining qualified and key personnel including clinical, scientific, management and administrative personnel.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and continue our operations.</w:t>
      </w:r>
    </w:p>
    <w:p>
      <w:pPr>
        <w:pStyle w:val="TextBody"/>
        <w:bidi w:val="0"/>
        <w:spacing w:before="240" w:after="0"/>
        <w:jc w:val="left"/>
        <w:rPr>
          <w:rFonts w:ascii="Times New Roman" w:hAnsi="Times New Roman"/>
          <w:sz w:val="20"/>
        </w:rPr>
      </w:pPr>
      <w:r>
        <w:rPr>
          <w:rFonts w:ascii="Times New Roman;serif" w:hAnsi="Times New Roman;serif"/>
          <w:b/>
          <w:i/>
          <w:sz w:val="20"/>
        </w:rPr>
        <w:t>We require substantial additional capital to finance our operations. Raising additional capital will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we had $151.6 million in cash, cash equivalents and investments in marketable securities. We expect our current cash, cash equivalents and investments in marketable securities will be sufficient to fund our current operating plan for operations through at least the next twelve months from the date of this Quarterly Report on Form 10-Q. Our estimate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Until such time, if ever, as we can generate substantial revenues, we will be required to obtain further funding through public or private equity offerings, debt financings, collaborations and licensing arrangements or other sources, which may dilute our stockholders or restrict our operating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the near- and long-term in connection with our ongoing activities, particularly as we initiate and conduct clinical trials of, and seek marketing approval for, our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EMA or other regulatory agencies to perform clinical trials or preclinical studies in addition to those that we currently anticipate. Other unanticipated costs may also arise. Because the design and outcome of our planned preclinical studies and clinical trials are highly uncertain, we cannot reasonably estimate the actual amount of resources and funding that will be necessary to successfully complete the development and commercialization of any product candidate we develop. We also expect to incur costs associated with operating as a public company. Accordingly, we will need to obtain substantial additional funding in order to continue our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future capital requirements will depend on may factors, including, but not limited to:</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scope, progress, results and costs of researching, developing and testing our product candidates, including conducting preclinical studies and clinical trials;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costs, timing and outcome of regulatory review of our product candidates;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number and characteristics of other product candidates that we pursue or acquire;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of future activities, including product sales, medical affairs, marketing, manufacturing and distribution, for any of our product candidates for which we receive marketing approval;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of operating our own manufacturing facility;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of manufacturing commercial-grade products and sufficient inventory to support commercial launch;</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 of commercialization activities, include the cost of building a sales force in anticipation of product commercialization and distribution costs;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revenue, if any, received from commercial sale of our products, should any of our product candidates receive marketing approval;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 and timing of hiring new employees to support organizational development;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of preparing, filing and prosecuting patent applications, maintaining, protecting and enforcing our intellectual property rights and defending intellectual property-related claims;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effect of competing products that may limit market penetration of our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ability to establish and maintain collaborations on favorable terms, if at all;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extent to which we acquire or in-license other product candidates and technologies;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timing, receipt and amount of sales of, or milestone payments related to or royalties on, our current or future product candidates, if any;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need to implement additional internal systems and infrastructure, including financial and reporting systems;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compliance and administrative costs associated with being a public company;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extent to which we acquire or invest in businesses, products, or technologies.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change in the outcome of any of these or other factors with respect to the development of any of our product candidates could significantly change the costs and timing associated with the development of that product candidate, and many of these factors are outside of our control. We may never generate the necessary data or results required to obtain regulatory and marketing approval and achieve product sales. In addition, our product candidates, if approved, may not achieve commercial success. Accordingly, we will need to continue to rely on additional financing to achieve our business objectives.</w:t>
      </w:r>
    </w:p>
    <w:p>
      <w:pPr>
        <w:pStyle w:val="TextBody"/>
        <w:bidi w:val="0"/>
        <w:spacing w:before="120" w:after="0"/>
        <w:jc w:val="left"/>
        <w:rPr>
          <w:rFonts w:ascii="Times New Roman" w:hAnsi="Times New Roman"/>
          <w:sz w:val="20"/>
        </w:rPr>
      </w:pPr>
      <w:r>
        <w:rPr>
          <w:rFonts w:ascii="Times New Roman;serif" w:hAnsi="Times New Roman;serif"/>
          <w:b w:val="false"/>
          <w:sz w:val="20"/>
        </w:rPr>
        <w:t>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pre-clinical development programs, platforms, manufacturing activities, ongoing or planned clinical trials or future commercialization efforts.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maintaining certain leverage ratios, making acquisitions, engaging in acquisition, merger or collaboration transactions, selling or licensing our assets, making capital expenditures, redeeming our stock, making certain investments, declaring dividends or encumbering our assets to secure future indebtedness. Such restrictions could adversely impact our ability to conduct our operations and execute our business plan.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If we are unable to raise additional funds through equity or debt financings,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ability to utilize our net operating loss carryforwards and certain other tax attributes to offset future taxable income may be limited.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net operating loss (NOL) carryforwards may be unavailable to offset future taxable income because of restrictions on their use under U.S. tax law. 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subsequent shifts in our stock ownership, some of which are outside our control. Consequently, our ability to use our NOLs and certain other tax attributes may be limited.</w:t>
      </w:r>
    </w:p>
    <w:p>
      <w:pPr>
        <w:pStyle w:val="TextBody"/>
        <w:bidi w:val="0"/>
        <w:spacing w:before="240" w:after="0"/>
        <w:jc w:val="left"/>
        <w:rPr>
          <w:rFonts w:ascii="Times New Roman;serif" w:hAnsi="Times New Roman;serif"/>
          <w:b/>
          <w:sz w:val="20"/>
        </w:rPr>
      </w:pPr>
      <w:r>
        <w:rPr>
          <w:rFonts w:ascii="Times New Roman;serif" w:hAnsi="Times New Roman;serif"/>
          <w:b/>
          <w:sz w:val="20"/>
        </w:rPr>
        <w:t>Risks Related to the Discovery, Development, Manufacturing and Commercialization of Our Product Candidates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pStyle w:val="TextBody"/>
        <w:bidi w:val="0"/>
        <w:spacing w:before="120" w:after="0"/>
        <w:jc w:val="left"/>
        <w:rPr>
          <w:rFonts w:ascii="Times New Roman" w:hAnsi="Times New Roman"/>
          <w:sz w:val="20"/>
        </w:rPr>
      </w:pPr>
      <w:r>
        <w:rPr>
          <w:rFonts w:ascii="Times New Roman;serif" w:hAnsi="Times New Roman;serif"/>
          <w:b w:val="false"/>
          <w:sz w:val="20"/>
        </w:rPr>
        <w:t>We are very early in our development efforts. Before we are able to generate any revenue from product sales, each of our programs and product candidates will require additional preclinical and/or clinical development, expansion of manufacturing capabilities and expertise, regulatory approval, building a commercial organization or successfully outsourcing commercialization, substantial investment and significant marketing efforts. Consequently, because of the substantial operational and financial investment required to further develop and commercialize our product candidates, there is a high risk of failure and we may never succeed in developing marketable products.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we are unable to optimize our manufacturing processes to produce product candidates that meet applicable regulatory standards, do not successfully initiate and complete our clinical trials in a timely manner or fail to achieve favorable results from our trials, we may experience significant delays or be unable to advance our programs. We cannot be certain that our clinical trials will be initiated and completed on time, if at all, or whether our planned clinical strategy will be acceptable to the FDA or comparable foreign regulatory authorities. Furthermore, any changes to our development programs may cause our product candidates to perform differently and affect the results of planned clinical trials, which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is a high failure rate for biopharmaceutical products proceeding through clinical trials. It is not uncommon for product candidates to exhibit unforeseen safety issues or inadequate efficacy when tested in humans despite promising results in preclinical animal models or earlier clinical studies. In addition, a number of companies in the pharmaceutical and biotechnology industries have suffered significant setbacks in later stage clinical trials even after achieving promising results in earlier stage clinical trials and we may experience the same. We may also encounter regulatory delays or rejections as a result of many factors, including varying interpretations of data or changes in regulatory policy during the period of product development.</w:t>
      </w:r>
    </w:p>
    <w:p>
      <w:pPr>
        <w:pStyle w:val="TextBody"/>
        <w:bidi w:val="0"/>
        <w:spacing w:before="120" w:after="0"/>
        <w:jc w:val="left"/>
        <w:rPr>
          <w:rFonts w:ascii="Times New Roman" w:hAnsi="Times New Roman"/>
          <w:sz w:val="20"/>
        </w:rPr>
      </w:pPr>
      <w:r>
        <w:rPr>
          <w:rFonts w:ascii="Times New Roman;serif" w:hAnsi="Times New Roman;serif"/>
          <w:b w:val="false"/>
          <w:sz w:val="20"/>
        </w:rPr>
        <w:t>Because of the early stage of development of our programs, our ability to eventually generate significant revenues from our product candidates, which we do not expect will occur for several years, if ever, will depend on a number of factors, including those described in the Risk Factor entitled “</w:t>
      </w:r>
      <w:r>
        <w:rPr>
          <w:rFonts w:ascii="Times New Roman;serif" w:hAnsi="Times New Roman;serif"/>
          <w:b w:val="false"/>
          <w:i/>
          <w:sz w:val="20"/>
        </w:rPr>
        <w:t>Our ability to generate revenue and achieve profitability depends significantly on our ability to achieve several objectives relating to the discovery, development and commercialization of our product candidates, if approved</w:t>
      </w:r>
      <w:r>
        <w:rPr>
          <w:rFonts w:ascii="Times New Roman;serif" w:hAnsi="Times New Roman;serif"/>
          <w:b w:val="false"/>
          <w:sz w:val="20"/>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do not have control over many of these factors, including certain aspects of the manufacturing process, preclinical and clinical development, the regulatory review process and potential threats to our intellectual property rights. If we are not successful with respect to one or more of these factors, we could experience significant delays or an inability to successfully commercialize our product candidates, which would materially harm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 become and remain profitable, we must develop, obtain approval for and eventually commercialize product candidates that generate significant revenue. We do not expect to receive approval of any product candidates for many years and may never succeed in these activities. Even if we obtain approval and begin commercializing one or more of our product candidates, we may never generate revenue that is significant enough to achieve profitability, as we will continue to incur substantial research and development, manufacturing and other expenditures to develop and market additional product candidates. Our failure to become or remain profitable would decrease the value of the company and could impair our ability to raise capital, maintain our research and development efforts, expand our business or continue our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Even if we successfully discover and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manufacture, commercialize or generate significant revenue from any product candidates.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intend to discover, develop, manufacture, and commercialize gene therapy product candidates for the heart. Our product candidates may use both known capsids, such as AAV9, as well as proprietary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Within the broader genetic medicine field, very few therapeutic products, including those that utilize AAV-mediated gene transfer, have received marketing authorization from the FDA, EMA or comparable foreign regulatory authorities. No AAV-based gene therapies have yet been approved for the heart, much less therapies for the heart using novel capsids or promoters or delivery methods. It is therefore difficult to determine how long it will take or how much it will cost to obtain regulatory approvals for our product candidates in the U.S., the European Union (EU) or other jurisdictions.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regulatory requirements that will govern any novel gene therapy product candidate we develop are not entirely clear, have changed over time and are subject to further change. Even with respect to more established products that fit into the categories of gene therapies or cell therapies, the regulatory landscape is still developing. Changes in the regulatory authorities’ data requirements and risk mitigation methods, including requirements resulting from safety concerns raised by regulatory authorities in clinical programs of unrelated companies in the gene therapy and cardiovascular fields in general, could have a material impact on our clinical development, increase our costs, and delay regulatory approval of our product candidates. Moreover, there is substantial overlap in those responsible for regulation of existing gene therapy products and cell therapy products. For example, in the U.S., the FDA has established the Office of Tissues and Advanced Therapies within its Center for Biologics Evaluation and Research (CBER) to consolidate the review of gene therapy and related products, and the Cellular, Tissue and Gene Therapies Advisory Committee to advise CBER on its review.</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product candidates will need to meet safety and efficacy standards applicable to any new biologic under the regulatory framework administered by the FDA. In addition to FDA oversight and oversight by institutional review boards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pStyle w:val="TextBody"/>
        <w:bidi w:val="0"/>
        <w:spacing w:before="120" w:after="0"/>
        <w:jc w:val="left"/>
        <w:rPr>
          <w:rFonts w:ascii="Times New Roman" w:hAnsi="Times New Roman"/>
          <w:sz w:val="20"/>
        </w:rPr>
      </w:pPr>
      <w:r>
        <w:rPr>
          <w:rFonts w:ascii="Times New Roman;serif" w:hAnsi="Times New Roman;serif"/>
          <w:b w:val="false"/>
          <w:sz w:val="20"/>
        </w:rPr>
        <w:t>The same applies in the EU. The EMA’s Committee for Advanced Therapies (CAT) is responsible for assessing the quality, safety, and efficacy of advanced-therapy medicinal products. Advanced-therapy medicinal products include gene therapy medicines, somatic-cell therapy medicines and tissue- engineered medicines. The role of the CAT is to prepare a draft opinion on an application for marketing authorization for a gene therapy medicinal candidate that is submitted to the EMA. In the EU,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in the EU may be applied to any gene therapy product candidate we may develop, but that remains uncertain at this point. Furthermore, approvals by the EMA may not be indicative of what the FDA may require for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Delay or failure to obtain, or unexpected costs in obtaining, the regulatory approvals necessary to bring a potential gene therapy product to market could decrease our ability to generate sufficient product revenue and our business, financial condition, results of operations and prospects could be materially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Adverse developments in preclinical studies or clinical trials conducted by others in the field of gene therapy and gene regulation products may cause the FDA, EMA, and other regulatory bodies to revise the requirements for the conduct of the clinical trials and approval of our product candidates or limit the use of products utilizing gene regulation technologies, either of which could harm our business. For example, the FDA has imposed clinical holds on various clinical trials of gene therapy product candidates being developed by other companies. In addition, the clinical trial requirements of the FDA,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cases, there is little clinical experience with potential new endpoints and methodologies, there is heightened risk that the FDA,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our product candidates, or lead to significant post-approval limitations or restrictions. As we advance our research programs and develop our product candidates, we will be required to consult with these regulatory and advisory groups and to comply with applicable guidelines. If we fail to do so, we may be required to delay or discontinue development of our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product candidates in a timely manner, if at all.</w:t>
      </w:r>
    </w:p>
    <w:p>
      <w:pPr>
        <w:pStyle w:val="TextBody"/>
        <w:bidi w:val="0"/>
        <w:spacing w:before="120" w:after="0"/>
        <w:jc w:val="left"/>
        <w:rPr>
          <w:rFonts w:ascii="Times New Roman;serif" w:hAnsi="Times New Roman;serif"/>
          <w:b/>
          <w:i/>
          <w:sz w:val="20"/>
        </w:rPr>
      </w:pPr>
      <w:r>
        <w:rPr>
          <w:rFonts w:ascii="Times New Roman;serif" w:hAnsi="Times New Roman;serif"/>
          <w:b/>
          <w:i/>
          <w:sz w:val="20"/>
        </w:rPr>
        <w:t>The mechanisms of action of our product candidates are unproven, and we do not know whether we will be able to develop any drug of commercial value.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see for our compounds in preclinical models may not be replicated in subsequent preclinical studies or translate into similar results in humans in clinical trials, and results of early clinical trials in humans may not be predictive of the results of larger clinical trials or post-marketing studies that may later be conducted with our product candidates. As an example, patients may develop antibodies against the product candidates, or the product candidates may otherwise have a more limited duration of therapeutic effect than anticipated, resulting in decreased efficacy over time, which could delay approval and, if approved, limit the ultimate commercial value.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 regulatory approval for that or other product candidates for the treatment of other diseases. If we are unable to successfully develop and commercialize our product candidates, our business will be materially harmed.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 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 to increased scrutiny, leading to additional delays in development and potentially decreasing the chance of ultimate approval of our product candidates.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It is impossible to predict when or if any product candidate that we develop will prove effective or safe in humans or will receive marketing approval. Before obtaining marketing approval from the FDA, European Commission (EC), following a positive opinion from the EMA, or other comparable foreign regulatory authorities for the sale of our product candidates, we must complete lengthy, complex and extensive preclinical studies and clinical trials to demonstrate with substantial evidence the safety and efficacy of such product candidates.</w:t>
      </w:r>
    </w:p>
    <w:p>
      <w:pPr>
        <w:pStyle w:val="TextBody"/>
        <w:bidi w:val="0"/>
        <w:spacing w:before="120" w:after="0"/>
        <w:jc w:val="left"/>
        <w:rPr>
          <w:rFonts w:ascii="Times New Roman" w:hAnsi="Times New Roman"/>
          <w:sz w:val="20"/>
        </w:rPr>
      </w:pPr>
      <w:r>
        <w:rPr>
          <w:rFonts w:ascii="Times New Roman;serif" w:hAnsi="Times New Roman;serif"/>
          <w:b w:val="false"/>
          <w:sz w:val="20"/>
        </w:rPr>
        <w:t>Preclinical and clinical testing is expensive, difficult to design and implement, can take many years to complete and its ultimate outcome is uncertain. We cannot guarantee that any of our preclinical studies or clinical trials will be initiated, conducted or completed on schedule or as planned, or at all. Failure can occur at any stage of testing. Such failure may result from a multitude of factors, including, among other things, flaws in study design, dose selection issues, placebo effects, patient enrollment criteria, novel assay design and failure to demonstrate favorable safety or efficacy traits, which could delay or prevent the submission of an IND, initiation of a clinical trial, receipt of marketing approval or our ability to commercialize our product candidates, or require us to</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suspended or terminate further development of our product candidates. Moreover, the outcome of preclinical studies and early-stage clinical trials may not be predictive of the success of later clinical trials. For example, our product candidates may fail to show the desired safety and efficacy in clinical development despite positive results in preclinical studies or having successfully advanced through initial clinical trials. As a result,</w:t>
      </w:r>
      <w:r>
        <w:rPr>
          <w:rFonts w:ascii="Times New Roman" w:hAnsi="Times New Roman"/>
          <w:sz w:val="20"/>
        </w:rPr>
        <w:t xml:space="preserve"> </w:t>
      </w:r>
      <w:r>
        <w:rPr>
          <w:rFonts w:ascii="Times New Roman;serif" w:hAnsi="Times New Roman;serif"/>
          <w:b w:val="false"/>
          <w:sz w:val="20"/>
        </w:rPr>
        <w:t>we cannot assure you that any preclinical studies, clinical trials or post-marketing studies that we conduct will demonstrate consistent or adequate efficacy and safety to support marketing approval.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Furthermore, the failure of any of our product candidates to demonstrate safety and efficacy in any clinical trial could negatively impact the perception of our other product candidates and/or cause the FDA or comparable regulatory authorities to require additional testing before approving any of our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experience numerous unforeseen events during, or as a result of, preclinical studies, clinical trials or post-marketing studies that could delay or prevent receipt of marketing approval or our ability to commercialize our product candidates, including:</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 xml:space="preserve">inability to generate sufficient preclinical, toxicology, or other </w:t>
      </w:r>
      <w:r>
        <w:rPr>
          <w:rFonts w:ascii="Times New Roman;serif" w:hAnsi="Times New Roman;serif"/>
          <w:b w:val="false"/>
          <w:i/>
          <w:sz w:val="20"/>
        </w:rPr>
        <w:t xml:space="preserve">in vivo </w:t>
      </w:r>
      <w:r>
        <w:rPr>
          <w:rFonts w:ascii="Times New Roman;serif" w:hAnsi="Times New Roman;serif"/>
          <w:b w:val="false"/>
          <w:sz w:val="20"/>
        </w:rPr>
        <w:t xml:space="preserve">or </w:t>
      </w:r>
      <w:r>
        <w:rPr>
          <w:rFonts w:ascii="Times New Roman;serif" w:hAnsi="Times New Roman;serif"/>
          <w:b w:val="false"/>
          <w:i/>
          <w:sz w:val="20"/>
        </w:rPr>
        <w:t xml:space="preserve">in vitro </w:t>
      </w:r>
      <w:r>
        <w:rPr>
          <w:rFonts w:ascii="Times New Roman;serif" w:hAnsi="Times New Roman;serif"/>
          <w:b w:val="false"/>
          <w:sz w:val="20"/>
        </w:rPr>
        <w:t>data to support the initiation of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delays in sufficiently developing, characterizing or controlling a manufacturing process suitable for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receipt of feedback from regulatory authorities that requires us to modify the design of our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preclinical study or clinical trial observations or results that require us to modify the design of our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negative or inconclusive preclinical study or clinical trial results that may require us to conduct additional preclinical studies or clinical trials or abandon certain research and/or drug development programs;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obtaining approval from one or more IRBs;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number of patients required for clinical trials being larger than anticipated, enrollment in these clinical trials being slower than anticipated or participants dropping out of these clinical trials at a higher rate than anticipated;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failure or delay in reaching an agreement with CROs and clinical trial sites;</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the suspension or termination of our clinical trials, as a result of a clinical hold by regulatory authorities,</w:t>
      </w:r>
      <w:r>
        <w:rPr/>
        <w:t xml:space="preserve"> </w:t>
      </w:r>
      <w:r>
        <w:rPr>
          <w:rFonts w:ascii="Times New Roman;serif" w:hAnsi="Times New Roman;serif"/>
          <w:b w:val="false"/>
          <w:sz w:val="20"/>
        </w:rPr>
        <w:t>for various reasons, including non-compliance with regulatory requirements, a finding that our product candidates have undesirable side effects or other unfavorable or unexpected characteristics or risks;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to clinical trial protocol;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clinical sites deviating from trial protocol or dropping out of a trial;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of preclinical studies or clinical trials being greater than anticipated;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supply or quality of our product candidates or other materials necessary to conduct clinical trials of our product candidates being insufficient or inadequate;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subjects experiencing severe or unexpected drug-related adverse effects;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selection of clinical end points that require prolonged periods of clinical observation or analysis of the resulting data;</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facility manufacturing our product candidates or any of their components being ordered by the FDA or comparable foreign regulatory authorities to temporarily or permanently shut down due to violations of current good manufacturing practice (cGMPs), regulations or other applicable requirements, or infections or cross-contaminations of product candidates in the manufacturing process;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any changes to our manufacturing process that may be necessary or desired;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third-party contractors not performing data collection or analysis in a timely or accurate manner;</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regulators revising the requirements for approving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unsuccessful post-marketing study or failure to complete such a study;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absence in some countries of established groups with sufficient regulatory expertise for review of AAV gene therapy protocols;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potential burden of complying with a variety of foreign laws, medical standards and regulatory requirements, including the regulation of pharmaceutical and biotechnology products and treatment.</w:t>
      </w:r>
    </w:p>
    <w:p>
      <w:pPr>
        <w:pStyle w:val="TextBody"/>
        <w:bidi w:val="0"/>
        <w:spacing w:before="120" w:after="0"/>
        <w:jc w:val="left"/>
        <w:rPr>
          <w:rFonts w:ascii="Times New Roman" w:hAnsi="Times New Roman"/>
          <w:sz w:val="20"/>
        </w:rPr>
      </w:pPr>
      <w:r>
        <w:rPr>
          <w:rFonts w:ascii="Times New Roman;serif" w:hAnsi="Times New Roman;serif"/>
          <w:b w:val="false"/>
          <w:sz w:val="20"/>
        </w:rPr>
        <w:t>To the extent we pursue any pediatric indications or expand any approved drug product labeling to include pediatric populations, we may face additional challenges associated with clinical testing in pediatric populations, which can increase our operational costs, delay regulatory approval and commercialization, or expose us to additional liability. For example, finding qualified clinical sites that have access to sufficient pediatric populations and that are interested in participating in our clinical trials may take additional time than adult indications. There may be fewer eligible patients with the target genetic disorder or heart disease or condition applicable to our product candidate for our planned clinical trials. This may increase the time needed to enroll patients for our planned pediatric clinical trials, increase our clinical development timelines, delay approval for such pediatric indications, and increase our operational costs. We may also be required to modify the formulation or other aspects of the product candidate, as compared to the comparable product candidate intended for adult patient populations, make manufacturing changes, modify route of administration, and conduct additional clinical trials, such as bridging studies and additional safety studies before we can commence our clinical trials in pediatric populations. Any delays in our planned clinical development activities for pediatric patients could have an adverse effect on our business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we are required to conduct additional preclinical studies or clinical trials or other testing of our product candidates beyond those that we currently contemplate, if we are unable to successfully complete preclinical studies or clinical trials of our product candidates or other testing in a timely manner and if the results of these studies, trials or tests are not positive or are only modestly positive or if there are safety concerns, we may incur unplanned costs and be delayed in submitting an IND, initiating clinical trials or seeking and obtaining marketing approval. We may also decide to change the design or protocol of one or more of our planned clinical trials, which could result in increased costs and expenses and/or delays. Any delays in initiating or completing our preclinical studies or clinical trials will increase our costs, slow down our development and approval process and jeopardize our ability to commence product sales and generate revenues, including by shortening any period during which we may have the exclusive right to commercialize our product candidates and permitting our competitors to bring products to market before we do. If we receive approval, it is possible that we may receive limited or restrictive marketing approval, be subject to additional post-marketing testing requirements or have the drug removed from the market after obtaining marketing approval.</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which may harm our business, financial condition and prospects significantly.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developing novel therapies for the treatment of heart disease. As a result, there is uncertainty as to the safety profile of product candidates we may develop. If our product candidates are associated with undesirable side effects or have unexpected characteristics in preclinical studies or clinical trials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There is no guarantee that our product candidates will not have side effects similar to those seen in other gene therapies or that we will be able to prevent side effects from escalating to an unsafe level for our patients. Any of these occurrences may prevent us from achieving or maintaining market acceptance of the affected product candidate and may harm our business, financial condition and prospects significantly.</w:t>
      </w:r>
    </w:p>
    <w:p>
      <w:pPr>
        <w:pStyle w:val="TextBody"/>
        <w:bidi w:val="0"/>
        <w:spacing w:before="120" w:after="0"/>
        <w:jc w:val="left"/>
        <w:rPr>
          <w:rFonts w:ascii="Times New Roman" w:hAnsi="Times New Roman"/>
          <w:sz w:val="20"/>
        </w:rPr>
      </w:pPr>
      <w:r>
        <w:rPr>
          <w:rFonts w:ascii="Times New Roman;serif" w:hAnsi="Times New Roman;serif"/>
          <w:b w:val="false"/>
          <w:sz w:val="20"/>
        </w:rPr>
        <w:t>Patients in our clinical trials may suffer serious adverse events or other side effects not observed in our preclinical studies or previous clinical trials. Patients treated with our product candidates may also be undergoing other therapies which can cause side effects or adverse events that are unrelated to our product candidates but may still impact the success of our clinical trials. The inclusion of critically ill patients in our clinical trials may result in deaths or other adverse medical events, either during the course of or after participating in such trials, due to other therapies or medications that such patients may be using or due to the gravity of such patients’ illnesses.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serious adverse events or other side effects are observed in any of our clinical trials, we may have difficulty recruiting patients to the clinical trials, patients may drop out of our trials, or we may be required to abandon the trials or our development efforts of that product candidate altogether. We, the FDA, EMA, other comparable regulatory authority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result in marketing approval with restrictive label warnings or for limited patient populations, or result in potential product liability claims.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No regulatory agency has made any determination that any of our product candidates or discovery programs is safe or effective for use by the general public for any indication. We cannot predict whether our product candidates will cause toxicities in humans that would preclude regulatory approval, of if approved, lead to the revocation of regulatory approval based on preclinical studies or early-stage clinical trials.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pStyle w:val="TextBody"/>
        <w:bidi w:val="0"/>
        <w:spacing w:before="120" w:after="0"/>
        <w:jc w:val="left"/>
        <w:rPr>
          <w:rFonts w:ascii="Times New Roman" w:hAnsi="Times New Roman"/>
          <w:sz w:val="20"/>
        </w:rPr>
      </w:pPr>
      <w:r>
        <w:rPr>
          <w:rFonts w:ascii="Times New Roman;serif" w:hAnsi="Times New Roman;serif"/>
          <w:b w:val="false"/>
          <w:sz w:val="20"/>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 studies.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do not know whether any clinical trials we may conduct will demonstrate consistent or adequate efficacy and safety sufficient to obtain approval to market any of our product candidates.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If we experience delays or difficulties in the enrollment and/or maintenance of patients in clinical trials, our regulatory submissions or receipt of necessary marketing approvals could be delayed or prevented.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not be able to initiate or continue clinical trials for our product candidates if we are unable to locate and enroll a sufficient number of eligible patients to participate in these trials to such trial’s conclusion. Patient enrollment is a significant factor in the timing of clinical trials and our ability to enroll eligible patients may be limited or slower than we anticipate.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developing product candidates for the treatment of heart disease, including for certain indications, such as rare genetic diseases, with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 may also use their medical discretion in advising patients enrolled in our clinical trials to withdraw from our studies to try alternative therapies.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patient enrollment to be affected because our competitors have ongoing clinical trials for programs that are under development for the same indications as our product candidates, and patients who would otherwise be eligible for our clinical trials could instead enroll in clinical trials of our competitors’ programs. Patient enrollment for our clinical trials may be affected by other factors,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size and nature of the patient population;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perceived risks and benefits of novel, unproven approaches;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severity of the disease under investigation;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availability and efficacy of approved drugs for the disease under investigation;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ongoing clinical trials evaluating other product candidates in the same disease under investigation;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patient eligibility criteria for the trial in question as defined in the protocol;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perceived risks and benefits of the product candidate under study;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patient referral practices of physicians;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challenges associated with recruiting eligible patients;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ability to monitor patients adequately during and after treatment;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activities of key opinion leaders (KOLs) and patient advocacy groups;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proximity and availability of clinical trial sites for prospective patients;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risk that patients enrolled in clinical trials will drop out of the trials before completion or, because they may have an advanced disease, will not survive the full terms of the clinical trials.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pStyle w:val="TextBody"/>
        <w:bidi w:val="0"/>
        <w:spacing w:before="120" w:after="0"/>
        <w:jc w:val="left"/>
        <w:rPr>
          <w:rFonts w:ascii="Times New Roman" w:hAnsi="Times New Roman"/>
          <w:sz w:val="20"/>
        </w:rPr>
      </w:pPr>
      <w:r>
        <w:rPr>
          <w:rFonts w:ascii="Times New Roman;serif" w:hAnsi="Times New Roman;serif"/>
          <w:b w:val="false"/>
          <w:sz w:val="20"/>
        </w:rPr>
        <w:t>Due to the significant resources required for the development of product candidates, in particular our product candidates in IND-enabling studies and those that enter into clinical trials, we must decide which programs, product candidates and indications to pursue and advance the amount of resources to allocate to each. Our decisions concerning the allocation of research, development,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collaboration, management and financial resources toward particular programs, product candidates or therapeutic areas may not lead to the development of any viable commercial product and may result in the diversion of resources away from better opportunities. Similarly, our potential decisions to delay, terminate or collaborate with third parties in respect of certain platforms, programs or product candidates may subsequently also prove to be less than optimal and could cause us to miss valuable opportunities. If we make incorrect determinations regarding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 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competitors both in the U.S. and internationally, including major multinational pharmaceutical companies, established biotechnology companies, specialty pharmaceutical companies, emerging and start-up companies, universities and other research institutions. We also compete with other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to face competition from existing products and products in development for each of our programs and anticipate substantial direct competition from a variety of competitors.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Due to the nature of gene therapy products, use of a competitor gene therapy product by a prospective patient may preclude use of our gene therapy product candidate at a later point in time.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Interim, topline and preliminary data from our clinical trials that we announce or publish may change as more patient data become available and are subject to audit and verification procedures that could result in material changes in the final data.</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is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preliminary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may not be successful in our efforts to utilize our proprietary drug discovery platforms to develop a pipeline of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key element of our strategy is to leverage our proprietary drug discovery platforms to develop a pipeline of product candidates to treat heart disease. In order to do so, we must continue to invest in our proprietary drug discovery platforms and development capabilities, including our internal disease modeling and capsid engineering efforts, our in-house cassette engineering capabilities to create novel promoters and regulatory elements to support our programs, and targeted drug delivery approaches for efficient uptake of gene therapies for the heart. Although our research and development efforts to date have resulted in a pipeline of product candidates, these product candidates may not be safe and effective. Our capsid engineering, promoter and regulatory elements may not be successful. In addition, although we expect that our proprietary drug discovery platforms and development capabilities will allow us to develop a diverse pipeline of product candidates, we may not prove to be successful at doing so. Furthermore, we may also find that the uses of our proprietary drug discovery platforms are limited because alternative uses of our therapeutics prove not to be safe or effective.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or achieve market acceptance. Further, because our product candidates and programs are based on our proprietary drug discovery platforms, adverse developments with respect to one of our programs may have a significant adverse impact on the actual or perceived likelihood of success and value of our other programs.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the biotechnology and pharmaceutical industries are characterized by rapidly advancing technologies. Our future success will depend in part on our ability to maintain a competitive position with our approach. If we fail to stay at the forefront of technological change in utilizing our proprietary drug discovery platforms to create and develop programs and product candidates, we may be unable to compete effectively. Our competitors may render our approach obsolete or limit the commercial value of our product candidates, by advances in existing technological approaches or the development of new or different approaches, potentially eliminating the advantages in our drug discovery process that we believe we derive from our research approach and proprietary technologies. By contrast, adverse developments with respect to other companies that attempt to use a similar approach to our approach may adversely impact the actual or perceived value of our proprietary drug discovery platforms and potential of our programs and product candidates. If any of these events occur, we may be forced to abandon our development efforts for a program or programs, which would have a material adverse effect on our business and could potentially cause us to cease operations.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The manufacture of drugs is complex, and we or our third-party manufacturers and suppliers may encounter difficulties in production. If we or any of our third-party manufacturers or suppliers encounter such difficulties, our ability to provide adequate supply of our product candidates for preclinical studies or clinical trials or our products for patients, if approved, could be delayed or prevented.</w:t>
      </w:r>
    </w:p>
    <w:p>
      <w:pPr>
        <w:pStyle w:val="TextBody"/>
        <w:bidi w:val="0"/>
        <w:spacing w:before="120" w:after="0"/>
        <w:jc w:val="left"/>
        <w:rPr>
          <w:rFonts w:ascii="Times New Roman" w:hAnsi="Times New Roman"/>
          <w:sz w:val="20"/>
        </w:rPr>
      </w:pPr>
      <w:r>
        <w:rPr>
          <w:rFonts w:ascii="Times New Roman;serif" w:hAnsi="Times New Roman;serif"/>
          <w:b w:val="false"/>
          <w:sz w:val="20"/>
        </w:rPr>
        <w:t>Manufacturing drugs, especially in large quantities, is complex and may require the use of innovative technologies. Each lot of an approved drug product must undergo thorough testing for safety identity, strength, quality, purity and potency. Manufacturing drugs requires key materials and facilities specifically designed for and validated for this purpose, as well as sophisticated QA and QC procedures. Slight deviations anywhere in the manufacturing process, including manufacturing drug substance, drug product filling, labeling, packaging, storage and shipping and quality control and testing, may result in lot failures or product recalls. When changes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are made to the manufacturing process, we may be required to provide preclinical and clinical data showing the comparable quality and efficacy of the products before and after such changes. If we or our third-party manufacturers or suppliers are unable to produce sufficient quantities for preclinical studies 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gene therapy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need to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which could delay or prevent the initiation of clinical trials or receipt of regulatory approvals. We may encounter problems achieving adequate quantities and quality of clinical-grade materials that meet FDA, or other comparable applicable foreign regulatory authorities’ standards or specifications with consistent and acceptable production yields and costs. In addition, problems in our manufacturing processes or facilities established for our gene therapy product candidates also could restrict our ability to meet market demand for our products, if approved, which would prevent us from generating product revenue and seriously harm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our agreement or agreements with other parties with whom we have manufacturing agreements be terminated for any reason, there are a limited number of manufacturers who would be suitable replacements, and it would take a significant amount of time to transition the manufacturing to a replacement.</w:t>
      </w:r>
    </w:p>
    <w:p>
      <w:pPr>
        <w:pStyle w:val="TextBody"/>
        <w:bidi w:val="0"/>
        <w:spacing w:before="240" w:after="0"/>
        <w:jc w:val="left"/>
        <w:rPr>
          <w:rFonts w:ascii="Times New Roman;serif" w:hAnsi="Times New Roman;serif"/>
          <w:b/>
          <w:i/>
          <w:sz w:val="20"/>
        </w:rPr>
      </w:pPr>
      <w:r>
        <w:rPr>
          <w:rFonts w:ascii="Times New Roman;serif" w:hAnsi="Times New Roman;serif"/>
          <w:b/>
          <w:i/>
          <w:sz w:val="20"/>
        </w:rPr>
        <w:t>Due to our limited manufacturing experience, there can be no assurance that we will be able to successfully manufacture product candidates to support our clinical development and commercialization plans.</w:t>
      </w:r>
    </w:p>
    <w:p>
      <w:pPr>
        <w:pStyle w:val="TextBody"/>
        <w:bidi w:val="0"/>
        <w:spacing w:before="120" w:after="0"/>
        <w:jc w:val="left"/>
        <w:rPr>
          <w:rFonts w:ascii="Times New Roman" w:hAnsi="Times New Roman"/>
          <w:sz w:val="20"/>
        </w:rPr>
      </w:pPr>
      <w:r>
        <w:rPr>
          <w:rFonts w:ascii="Times New Roman;serif" w:hAnsi="Times New Roman;serif"/>
          <w:b w:val="false"/>
          <w:sz w:val="20"/>
        </w:rPr>
        <w:t>We have fully integrated and internalized AAV manufacturing capabilities to support product candidates from our Gene Therapy and Cellular Regeneration platforms. However, to optimize our resources and to utilize extensive third-party experience in small molecule manufacturing, we intend to work with CDMOs for our small molecule programs.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Although some of our employees have experience in the manufacturing of biopharmaceutical products from prior employment at other companies, we as a company have limited experience in manufacturing. Furthermore, maintaining manufacturing operations requires significant resources, management time and capital expenditures, particularly in areas relating to operations, quality, regulatory, facilities and information technology.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cannot guarantee that our facility will be able to produce sufficient quantities of product candidates needed to support our preclinical studies and ongoing and planned clinical trials. We may face delays or increased costs in the production of clinical supply at our manufacturing facility. We also may encounter problems hiring and retaining the experienced scientific, quality control and manufacturing personnel needed to operate our manufacturing facility and processes. If we experience unanticipated 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timelines or result in difficulties in maintaining compliance with applicable regulatory requirements.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delays in the ongoing development of our internal manufacturing capabilities may disrupt or delay the supply of our product candidates if we have not maintained a sufficient back-up supply of such product candidates. Moreover, changing manufacturing facilities during the clinical development process may also require that we conduct additional studies, make notifications to regulatory authorities, make additional filings to regulatory authorities, and obtain regulatory authority approval for the new facilities, which may be delayed or which we may never receive.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failure or delay in the development of our manufacturing operations or capabilities may hamper our ability to further process improvement, maintain quality control, limit our reliance on contract manufacturers and protect our trade secrets and other intellectual property, and could adversely impact the development or commercialization of our product candidates.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manufacturing facilities will be subject to significant government regulations and approvals, which are often costly and could result in adverse consequences to our business if we fail to comply with the regulations or maintain the approvals.</w:t>
      </w:r>
    </w:p>
    <w:p>
      <w:pPr>
        <w:pStyle w:val="TextBody"/>
        <w:bidi w:val="0"/>
        <w:spacing w:before="120" w:after="0"/>
        <w:jc w:val="left"/>
        <w:rPr>
          <w:rFonts w:ascii="Times New Roman" w:hAnsi="Times New Roman"/>
          <w:sz w:val="20"/>
        </w:rPr>
      </w:pPr>
      <w:r>
        <w:rPr>
          <w:rFonts w:ascii="Times New Roman;serif" w:hAnsi="Times New Roman;serif"/>
          <w:b w:val="false"/>
          <w:sz w:val="20"/>
        </w:rPr>
        <w:t>We will need to comply with the FDA’s and applicable foreign regulatory authorities’ cGMP requirements for the production of product candidates for clinical trials and, if approved, commercial supply. We may encounter difficulties in achieving QC and QA. We will be subject to inspections by the FDA and comparable agencies in other jurisdictions to confirm compliance with applicable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regulatory requirements. These requirements include the qualification and validation of our manufacturing equipment and processes. Any failure to follow cGMP or other regulatory requirements or delay, interruption or other issues that arise in the manufacture of our product candidates as a result of a failure of our facilities or the facilities or operations of our third-party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may not be able to successfully manufacture our product candidates in sufficient quality and quantity, which would delay or prevent us from developing our product candidates and commercializing resulting approved products, if any.</w:t>
      </w:r>
    </w:p>
    <w:p>
      <w:pPr>
        <w:pStyle w:val="TextBody"/>
        <w:bidi w:val="0"/>
        <w:spacing w:before="120" w:after="0"/>
        <w:jc w:val="left"/>
        <w:rPr>
          <w:rFonts w:ascii="Times New Roman" w:hAnsi="Times New Roman"/>
          <w:sz w:val="20"/>
        </w:rPr>
      </w:pPr>
      <w:r>
        <w:rPr>
          <w:rFonts w:ascii="Times New Roman;serif" w:hAnsi="Times New Roman;serif"/>
          <w:b w:val="false"/>
          <w:sz w:val="20"/>
        </w:rPr>
        <w:t>To date, our product candidates have been manufactured in quantities adequate for preclinical studies and our Phase 1 clinical trials for TN-301 and TN-201. In order to conduct clinical trials for a product candidate and for commercialization of the resulting product if that product candidate is approved for sale, we will need to manufacture product candidates in larger quantities. We may not be able to successfully repeat or increase the manufacturing capacity for any of our product candidates 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are unable to successfully manufacture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product candidates may not achieve adequate market acceptance among physicians, patients, healthcare payors and others in the medical community necessary for commercial success.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Even if our product candidates receive regulatory approval, they may not gain adequate market acceptance among physicians, patients, third-party payors and others in the medical community. If we are unable to demonstrate sufficient safety to permit a broader use of our product candidates, we may not generate significant product revenue and we may not become profitable. The degree of market acceptance of any of our approved product candidates will depend on a number of factors,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efficacy and safety profile as demonstrated in clinical trials compared to alternative treatments;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perceived safety and efficacy profile and ease of use for pediatric patient population if approved for a pediatric indication;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timing of market introduction of the product candidate as well as competitive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clinical indications for which a product candidate is approved;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physicians, hospitals, treatment centers and patients considering our product candidates as a safe, pure and effective treatment;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perceived prevalence and severity of any side effects for our product candidates compared to the prevalence and severity of any side effects for conventional products and other gene therapies;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potential and perceived advantages of our product candidates over alternative treatments;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cost of treatment in relation to alternative treatments;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relative convenience and ease of administration;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willingness of the target patient population or their caregivers to try new therapies and of physicians to prescribe these therapies;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size of the relevant pediatric patient population if approved for a pediatric indication, including challenges associated with diagnosing or identifying pediatric populations with the applicable target disease or condition;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availability of coverage and adequate reimbursement by third-party payors, including government authorities;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patients’ willingness to pay for these therapies in the absence of such coverage and adequate reimbursement;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effectiveness of sales and marketing efforts;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support from KOLs and patient advocacy groups;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unfavorable publicity relating to our product candidates;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approval of other new therapies for the same indications.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pStyle w:val="TextBody"/>
        <w:bidi w:val="0"/>
        <w:spacing w:before="240" w:after="0"/>
        <w:jc w:val="left"/>
        <w:rPr>
          <w:rFonts w:ascii="Times New Roman;serif" w:hAnsi="Times New Roman;serif"/>
          <w:b/>
          <w:i/>
          <w:sz w:val="20"/>
        </w:rPr>
      </w:pPr>
      <w:r>
        <w:rPr>
          <w:rFonts w:ascii="Times New Roman;serif" w:hAnsi="Times New Roman;serif"/>
          <w:b/>
          <w:i/>
          <w:sz w:val="20"/>
        </w:rPr>
        <w:t>Adverse public perception or regulatory scrutiny of gene therapy technology or precision medicine for the treatment of heart diseases may negatively impact the developmental progress or commercial success of product candidates that we develop.</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developmental and commercial success of product candidates that we develop will depend in part on public acceptance of the use of gene therapy technology, including the use of AAVs, and precision medicine for the prevention or treatment of human diseases. Adverse public perception of gene therapies or precision medicine may negatively impact our ability to raise capital or enter into strategic agreements for the development of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 therapy and precision medicine remain novel technologies. The commercial success of our products, if successfully developed and approved, may be adversely affected by claims that gene therapy or precision medicine is unsafe, unethical or immoral. This may lead to unfavorable public perception and the inability of any of our product candidates to gain the acceptance of the public or the medical community. Unfavorable public perceptions may also adversely impact our ability to enroll clinical trials for our product candidates. Moreover, success in commercializing any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Publicity of any adverse events in, or unfavorable results of, preclinical studies or clinical trials for our product candidates, or with respect to the studies or trials of our competitors or of academic researchers utilizing similar technologies, even if not ultimately attributable to our technology or product candidates, could negatively influence public opinion. Negative public perception about the use of AAV technology in human therapeutics or precision medicine, whether related to our technology or our competitor’s technology, could result in increased governmental regulation, delays in the development and commercialization of product candidates or decreased demand for the resulting products, any of which may seriously harm our business.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 population may be even smaller, we must be able to successfully identify patients and capture a significant market share to achieve profitability and growth.</w:t>
      </w:r>
    </w:p>
    <w:p>
      <w:pPr>
        <w:pStyle w:val="TextBody"/>
        <w:bidi w:val="0"/>
        <w:spacing w:before="120" w:after="0"/>
        <w:jc w:val="left"/>
        <w:rPr>
          <w:rFonts w:ascii="Times New Roman" w:hAnsi="Times New Roman"/>
          <w:sz w:val="20"/>
        </w:rPr>
      </w:pPr>
      <w:r>
        <w:rPr>
          <w:rFonts w:ascii="Times New Roman;serif" w:hAnsi="Times New Roman;serif"/>
          <w:b w:val="false"/>
          <w:sz w:val="20"/>
        </w:rPr>
        <w:t>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 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significance or otherwise meeting their specified endpoints, which could require us to conduct additional clinical trials, or delay or prevent our product candidates from receiving regulatory approval, which would seriously harm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Any product candidates we develop may become subject to unfavorable third-party coverage and reimbursement practices, as well as pricing regulations.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for our gene therapy product candidates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Sales of any of our product candidates that receive marketing approval will depend substantially, both in the U.S.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is significant uncertainty related to third-party payor coverage and reimbursement of newly approved products. In the U.S.,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or at the same level of reimbursement.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Outside the U.S.,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business exposes us to significant product liability risks inherent in the development, testing, manufacturing and marketing of therapeutic treatments. We have limited product liability insurance.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be sued if any of our product candidates cause or are perceived to cause injury or are found to be otherwise unsuitable during clinical testing, manufacturing, marketing, or sale post-approval. Any such product liability claims may include allegations of defects in manufacturing, defects in design, a failure to warn of dangers inherent in the product, negligence, strict liability, or a breach of warranties. Claims could also be asserted under state consumer protection laws. If we cannot successfully defend ourselves against product liability claims, we may incur substantial liabilities or be required to limit testing and commercialization of our products. Even a successful defense would require significant financial and management resources.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Regardless of the merits or eventual outcome, liability claims may result in: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delays in the development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FDA, EMA or other regulatory authority investigation of the safety and effectiveness of our products, our manufacturing processes and facilities or our marketing programs;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decreased or interrupted demand for our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injury to our reputation;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withdrawal of clinical trial participants and inability to continue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to defend the related litigation;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diversion of management’s time and our resources;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substantial monetary awards to trial participants or patients;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product recalls, withdrawals or labeling, marketing, or promotional restrictions;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loss of revenue;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exhaustion of any available insurance and our capital resources;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inability to commercialize any products.</w:t>
      </w:r>
    </w:p>
    <w:p>
      <w:pPr>
        <w:pStyle w:val="TextBody"/>
        <w:bidi w:val="0"/>
        <w:spacing w:before="240" w:after="0"/>
        <w:jc w:val="left"/>
        <w:rPr>
          <w:rFonts w:ascii="Times New Roman;serif" w:hAnsi="Times New Roman;serif"/>
          <w:b/>
          <w:sz w:val="20"/>
        </w:rPr>
      </w:pPr>
      <w:r>
        <w:rPr>
          <w:rFonts w:ascii="Times New Roman;serif" w:hAnsi="Times New Roman;serif"/>
          <w:b/>
          <w:sz w:val="20"/>
        </w:rPr>
        <w:t>Risks Related to Regulatory Approval and Other Legal Compliance Matters</w:t>
      </w:r>
    </w:p>
    <w:p>
      <w:pPr>
        <w:pStyle w:val="TextBody"/>
        <w:bidi w:val="0"/>
        <w:spacing w:before="240" w:after="0"/>
        <w:jc w:val="left"/>
        <w:rPr>
          <w:rFonts w:ascii="Times New Roman" w:hAnsi="Times New Roman"/>
          <w:sz w:val="20"/>
        </w:rPr>
      </w:pPr>
      <w:r>
        <w:rPr>
          <w:rFonts w:ascii="Times New Roman;serif" w:hAnsi="Times New Roman;serif"/>
          <w:b/>
          <w:i/>
          <w:sz w:val="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U.S. and in many foreign jurisdictions before a new drug can be approved for marketing. Obtaining approval by the FDA, EMA and other comparable foreign regulatory authorities is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costly,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cannot provide assurance that any of the product candidates we develop will progress through required clinical testing and obtain the regulatory approvals necessary for us to begin selling them. Applications for our product candidates could be delayed or fail to receive regulatory approval for many reasons, including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FDA, EMA or other comparable foreign regulatory authorities may disagree with the design, implementation or results of our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FDA, EMA or other comparable foreign regulatory authorities may refuse to accept an application or decide not to accept data from our clinical trials conducted in locations outside of their jurisdiction;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population studied in the clinical trial may not be sufficiently broad or representative to assure efficacy and safety in the full population for which we seek approval;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FDA, EMA or other comparable foreign regulatory authorities may disagree with our interpretation of data from preclinical studies or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FDA, EMA or other comparable foreign regulatory authorities may require that we conduct additional preclinical studies or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be unable to demonstrate to the FDA, EMA or other comparable foreign regulatory authorities that our product candidate’s risk-benefit ratio for its proposed indication is acceptable;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FDA, EMA or other comparable foreign regulatory authorities may fail to approve the manufacturing processes, test procedures and specifications or facilities of third-party manufacturers with which we contract for clinical and commercial supplies;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approval policies or regulations of the FDA, EMA or other comparable foreign regulatory authorities may significantly change in a manner rendering our clinical data insufficient for approval.</w:t>
      </w:r>
    </w:p>
    <w:p>
      <w:pPr>
        <w:pStyle w:val="TextBody"/>
        <w:bidi w:val="0"/>
        <w:spacing w:before="120" w:after="0"/>
        <w:jc w:val="left"/>
        <w:rPr>
          <w:rFonts w:ascii="Times New Roman" w:hAnsi="Times New Roman"/>
          <w:sz w:val="20"/>
        </w:rPr>
      </w:pPr>
      <w:r>
        <w:rPr>
          <w:rFonts w:ascii="Times New Roman;serif" w:hAnsi="Times New Roman;serif"/>
          <w:b w:val="false"/>
          <w:sz w:val="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Any delay or failure in seeking or obtaining required approvals would have a material and adverse effect on our ability to generate revenue from any particular product candidates we are developing and for which we are seeking approval.</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Even if our product candidates receive regulatory approval, such approval may be for a narrower indication than we seek, and our product candidates will be subject to significant post-marketing regulatory requirements and oversight.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Furthermore, any regulatory approval to market a drug may be subject to significant limitations on the approved uses or indications for which we may market, promote and advertise the drug or the labeling or other restrictions. The regulatory authorities may require precautions or contra-indications with respect to conditions of use or they may grant approval subject to the performance of costly post-marketing clinical trials.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Any of the foregoing scenarios could materially harm the commercial prospects for our product candidates and materially harm our business, financial condition, results of operations and prospects, and may significantly limit the size of the market for the drug and affect reimbursement by third-party payors.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 and GCP for any clinical trials that we conduct post-approval. Manufacturers of drug products and their facilities are also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delays in or the rejection of product approvals;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restrictions on our ability to conduct clinical trials, including full or partial clinical holds on ongoing or planned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restrictions on the products, manufacturers or manufacturing process;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warning or untitled letters;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civil and criminal penalties;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injunctions;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suspension or withdrawal of regulatory approvals;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product seizures, detentions or import bans;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voluntary or mandatory product recalls and publicity requirements;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total or partial suspension of production;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imposition of restrictions on operations, including costly new manufacturing requirements.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occurrence of any event or penalty described above may inhibit our ability to commercialize our product candidates, if approved, and generate revenue. Furthermore, non-compliance by us or any future collaborator with regulatory requirements, including safety monitoring and with requirements related to the development of products for the pediatric population can also result in significant financial penalties.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pStyle w:val="TextBody"/>
        <w:bidi w:val="0"/>
        <w:spacing w:before="120" w:after="0"/>
        <w:jc w:val="left"/>
        <w:rPr>
          <w:rFonts w:ascii="Times New Roman" w:hAnsi="Times New Roman"/>
          <w:sz w:val="20"/>
        </w:rPr>
      </w:pPr>
      <w:r>
        <w:rPr>
          <w:rFonts w:ascii="Times New Roman;serif" w:hAnsi="Times New Roman;serif"/>
          <w:b w:val="false"/>
          <w:sz w:val="20"/>
        </w:rPr>
        <w:t>Regulatory authorities in some jurisdictions, including the U.S. and the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Similarly, in the EU, the EC, upon the recommendation of the EMA’s Committee for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the EU, orphan drug designation entitles a party to financial incentives such as reduction of fees or fee waivers. However, there can be no assurances that we will be able to obtain orphan designations for our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lead product candidates from our gene therapy platform have been granted orphan drug designation by the FDA (TN-201 and TN-401) and the EC (TN-201), and we may seek orphan drug designation for other product candidates in the U.S., Europe and other jurisdictions. 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In </w:t>
      </w:r>
      <w:r>
        <w:rPr>
          <w:rFonts w:ascii="Times New Roman;serif" w:hAnsi="Times New Roman;serif"/>
          <w:b w:val="false"/>
          <w:i/>
          <w:sz w:val="20"/>
        </w:rPr>
        <w:t>Catalyst Pharms., Inc. v. Becerra</w:t>
      </w:r>
      <w:r>
        <w:rPr>
          <w:rFonts w:ascii="Times New Roman;serif" w:hAnsi="Times New Roman;serif"/>
          <w:b w:val="false"/>
          <w:sz w:val="20"/>
        </w:rPr>
        <w:t xml:space="preserve">, 14 F.4th 1299 (11th Cir. 2021), the court disagreed with the FDA’s longstanding position that the orphan drug exclusivity only applies to the approved use or indication within an eligible disease. This decision created uncertainty in the application of the orphan drug exclusivity. On January 24, 2023, the FDA published a notice in the Federal Register to clarify that while the agency complies with the court’s order in </w:t>
      </w:r>
      <w:r>
        <w:rPr>
          <w:rFonts w:ascii="Times New Roman;serif" w:hAnsi="Times New Roman;serif"/>
          <w:b w:val="false"/>
          <w:i/>
          <w:sz w:val="20"/>
        </w:rPr>
        <w:t>Catalyst</w:t>
      </w:r>
      <w:r>
        <w:rPr>
          <w:rFonts w:ascii="Times New Roman;serif" w:hAnsi="Times New Roman;serif"/>
          <w:b w:val="false"/>
          <w:sz w:val="20"/>
        </w:rPr>
        <w:t xml:space="preserve">, the FDA intends to continue to apply its longstanding interpretation of the regulations to matters outside of the scope of the </w:t>
      </w:r>
      <w:r>
        <w:rPr>
          <w:rFonts w:ascii="Times New Roman;serif" w:hAnsi="Times New Roman;serif"/>
          <w:b w:val="false"/>
          <w:i/>
          <w:sz w:val="20"/>
        </w:rPr>
        <w:t xml:space="preserve">Catalyst </w:t>
      </w:r>
      <w:r>
        <w:rPr>
          <w:rFonts w:ascii="Times New Roman;serif" w:hAnsi="Times New Roman;serif"/>
          <w:b w:val="false"/>
          <w:sz w:val="20"/>
        </w:rPr>
        <w:t>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may face difficulties from changes to current FDA and healthcare regulations and future legislation.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120" w:after="0"/>
        <w:jc w:val="left"/>
        <w:rPr>
          <w:rFonts w:ascii="Times New Roman" w:hAnsi="Times New Roman"/>
          <w:sz w:val="20"/>
        </w:rPr>
      </w:pPr>
      <w:r>
        <w:rPr>
          <w:rFonts w:ascii="Times New Roman;serif" w:hAnsi="Times New Roman;serif"/>
          <w:b w:val="false"/>
          <w:sz w:val="20"/>
        </w:rPr>
        <w:t>We also cannot predict the likelihood, nature or extent of government regulation that may arise from future legislation or administrative or executive action, either in the U.S. or abroad. For example, certain policies of the 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 our business, our clinical development, and the FDA’s and other agencies’ ability to exercise their regulatory authority, including FDA’s pre-approval inspection and timely review of any regulatory filings or applications we submit to the FDA. If these executive actions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impose constraints on FDA’s ability to engage in oversight and implementation activities in the normal course or constraints on our business operations, including operations of our contractors, our business may be negatively impacted.</w:t>
      </w:r>
    </w:p>
    <w:p>
      <w:pPr>
        <w:pStyle w:val="TextBody"/>
        <w:bidi w:val="0"/>
        <w:spacing w:before="120" w:after="0"/>
        <w:jc w:val="left"/>
        <w:rPr>
          <w:rFonts w:ascii="Times New Roman" w:hAnsi="Times New Roman"/>
          <w:sz w:val="20"/>
        </w:rPr>
      </w:pPr>
      <w:r>
        <w:rPr>
          <w:rFonts w:ascii="Times New Roman;serif" w:hAnsi="Times New Roman;serif"/>
          <w:b w:val="false"/>
          <w:sz w:val="20"/>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 enactment, there have been judicial and Congressional challenges to certain aspects of the ACA, some of which have been successful, that create considerable uncertainty for our business. Although the U.S. Supreme Court held in 2021 that Texas and other challengers had no legal standing to challenge the ACA, we cannot predict how future challenges will impact our business, or what other healthcare measures and regulations will ultimately be implemented at the federal or state level or the effect of any future legislation or regulation may have on our business.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other legislative changes have been proposed and adopted in the U.S. since the ACA was enacted, including aggregate reductions to Medicare payments to providers, effective April 1, 2013, which will remain in effect through 2031 and increase the statute of limitations period for the government to recover overpayments to providers from three to five years. These and future laws may result in additional reductions in Medicare and other healthcare funding, which could have a material adverse effect on customers for our drugs, if approved, and accordingly, our financial operations.</w:t>
      </w:r>
    </w:p>
    <w:p>
      <w:pPr>
        <w:pStyle w:val="TextBody"/>
        <w:bidi w:val="0"/>
        <w:spacing w:before="120" w:after="0"/>
        <w:jc w:val="left"/>
        <w:rPr>
          <w:rFonts w:ascii="Times New Roman" w:hAnsi="Times New Roman"/>
          <w:sz w:val="20"/>
        </w:rPr>
      </w:pPr>
      <w:r>
        <w:rPr>
          <w:rFonts w:ascii="Times New Roman;serif" w:hAnsi="Times New Roman;serif"/>
          <w:b w:val="false"/>
          <w:sz w:val="20"/>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August 2022, Congress passed the Inflation Reduction Act of 2022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 impact of these legislative, executive, and administrative actions and any future healthcare measures and agency rules implemented by the government on us and the pharmaceutical industry as a whole is unclear. The implementation of cost containment measures, including the prescription drug provisions under the IRA, as well as other healthcare reforms may prevent us from being able to generate revenue, attain profitability, or commercialize our product candidates if approved.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security and other processing of personal 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Outside of the U.S., relevant legal requirements continue to evolve. For example, the collection and use of health data and other personal data including personal data collected in clinical trials is governed in the EU by the General Data Protection Regulation (GDPR), which imposes substantial obligations upon companies and new rights for individuals, by certain EU member state-level legislation. The GDPR also forms part of the law of England and Wales, Scotland and Northern Ireland by virtue of section 3 of the European Union (Withdrawal) Act 2018 and as amended by the Data Protection, Privacy and Electronic Communications (Amendments etc.) (EU Exit) Regulations 2019 (SI 2019/419), known as UK GDPR. Failure to comply with the GDPR may result in fines up to €20,000,000 or 4% of the total worldwide annual turnover of the preceding financial year, whichever is higher, and other administrative penalties. The GDPR has increased our responsibility and liability in relation to personal data that we may process, and we may be required to implement additional measures in an effort to comply with the GDPR and with other laws, rules, regulations and standards in the European Economic Area (EEA), United Kingdom (UK) and Switzerland relating to privacy and data protection. This may be onerous and if our efforts to comply with GDPR or other applicable laws, rules, regulations and standards are not successful, or are perceived to be unsuccessful, it could adversely affect our business. Further, restrictions on the transfer of personal data from the EEA, UK and Switzerland to the U.S., all of which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from the EEA and Switzerland to the U.S. In Canada, the Personal Information Protection and Electronic Documents Act (PIPEDA) and similar provincial laws impose obligations on companies with respect to processing personal information, including health-related information, regarding Canadian data subjects and provides individuals certain rights with respect to such information, including the right to access and challenge the accuracy of their personal information held by an organization. Failure to comply with PIPEDA, where applicable, could result in fines and penalties.</w:t>
      </w:r>
    </w:p>
    <w:p>
      <w:pPr>
        <w:pStyle w:val="TextBody"/>
        <w:bidi w:val="0"/>
        <w:spacing w:before="120" w:after="0"/>
        <w:jc w:val="left"/>
        <w:rPr>
          <w:rFonts w:ascii="Times New Roman" w:hAnsi="Times New Roman"/>
          <w:sz w:val="20"/>
        </w:rPr>
      </w:pPr>
      <w:r>
        <w:rPr>
          <w:rFonts w:ascii="Times New Roman;serif" w:hAnsi="Times New Roman;serif"/>
          <w:b w:val="false"/>
          <w:sz w:val="20"/>
        </w:rPr>
        <w:t>In the U.S., a variety of data privacy, protection and security laws, rules, regulations and standards potentially may apply to our activities, such as state data breach notification laws, state personal data privacy laws (for example, the California Consumer Privacy Act of 2018, as amended by the California Privacy Rights Act effective January 1, 2023 (CCPA)), state health information privacy laws, and federal and state consumer protection laws. The CCPA requires covered businesses that process personal information of California residents to disclose their data collection, use, sharing and retention practices, provides California residents with data privacy rights (including the ability to opt out of certain disclosures of personal information including for certain advertising purposes), imposes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judgments and settlements). Although there are limited exemptions for clinical trial data under the CCPA and certain other state laws, the CCPA and other new and evolving state laws could impact our business activities, depending on their interpretation. Numerous other state legislatures have introduced, and in several cases enacted, their own comprehensive data privacy and security laws, with potentially greater penalties and more rigorous compliance requirements, and laws in all 50 states require businesses to provide notice to customers whose personal data has been disclosed as a result of a data breach. Finally, federal, state and foreign laws, rules, regulations and standards may apply generally to the privacy and security of information we maintain, and may differ from each other significantly, thus complicating compliance efforts and potentially requiring us to undertake additional measures to comply with them.</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With the GDPR, PIPEDA, CCPA,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w:t>
      </w:r>
    </w:p>
    <w:p>
      <w:pPr>
        <w:pStyle w:val="TextBody"/>
        <w:bidi w:val="0"/>
        <w:spacing w:before="120" w:after="0"/>
        <w:jc w:val="left"/>
        <w:rPr>
          <w:rFonts w:ascii="Times New Roman" w:hAnsi="Times New Roman"/>
          <w:sz w:val="20"/>
        </w:rPr>
      </w:pPr>
      <w:r>
        <w:rPr>
          <w:rFonts w:ascii="Times New Roman;serif" w:hAnsi="Times New Roman;serif"/>
          <w:b w:val="false"/>
          <w:sz w:val="20"/>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protection, may result in governmental investigations or enforcement actions, litigation, claims and other proceedings, harm our reputation, and could result in significant liability.</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U.S. Securities and Exchange Commission (SEC) and other government agencies on which our operations may rely, including those that fund research and development activities is subject to the political process, which is inherently fluid and unpredictable.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Disruptions at the FDA, including delays or disruptions due to staffing shortages, and other agencies may also slow the time necessary for new drugs to be reviewed and/or approved by necessary government agencies, which would adversely affect our business. For example, in 2018 and 2019, the U.S. government shut down several times and certain regulatory agencies, such as the FDA and the SEC, had to furlough critical employees and stop critical activities. If a prolonged government shutdown or other disruption occurs, it could significantly impact the ability of the FDA to timely review, provide feedback on our clinical trial plans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respective business associates and their subcontractors, with respect to safeguarding the privacy, security and transmission of individually identifiable health information;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federal consumer protection and unfair competition laws, which broadly regulate marketplace activities and activities that potentially harm consumers;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certain non-physician healthcare professionals (such as nurse practitioners and physician assistants, among others), and teaching hospitals as well as information regarding ownership and investment interests held by physicians and their immediate family members;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Our employees, independent contractors, consultants, commercial collaborators, principal investigators, CROs, CDMOs, suppliers and vendors may engage in misconduct or other improper activities, including noncompliance with regulatory standards and requirements.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If we fail to comply with environmental, health and safety laws and regulations, we could become subject to fines or penalties or incur costs that could have a material adverse effect on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business activities are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business activities are subject to the U.S. Foreign Corrupt Practices Act of 1977, as amended (FCPA), the U.S. domestic bribery statute contained in 18 U.S.C. § 201, the U.S. Travel Act, and similar anti-bribery or anti-corruption laws, regulations or rules of other countries in which we operate. These laws generally prohibit companies and their employees, agents, representatives, business partners, and third-party intermediaries from, offering or providing, directly or indirectly, improper payments or benefits to recipients in the public or private sector.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sometimes leverage third parties to assist with the conduct of our business abroad. As we increase our international business activities, our risks under these laws may increase. We, our employees, agents, representatives, business partners and our third-party intermediaries may have direct or indirect interactions with officials and employees of government agencies or state-owned or affiliated entities and may be held liable for the corrupt or other illegal activities of these employees, agents, representatives, business partners or third-party intermediaries even if we do not explicitly authorize such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These laws also require that we make and keep books and records that accurately and fairly reflect the transactions of the corporation and to devise and maintain an adequate system of internal accounting controls and compliance procedures designed to prevent violations of anti-corruption laws. While we have policies and procedures to address compliance with such laws, we cannot assure you that all of our employees, agents, representatives, business partners and third-party intermediaries will not take actions in violation of applicable law for which we may be ultimately held responsible.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Allegations or 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suspension or debarment from government contracts and prohibitions on the conduct of our business including our ability to offer our products in 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international activities, our ability to attract and retain employees and our business, prospects, operating results and financial condition.</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Changes in tax law could increase the tax burden on our orphan drug programs and adversely affect our business and financial condition.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tax law, including to the orphan drug tax credit and other changes to U.S. and non-U.S. taxation, could increase our tax liability and adversely affect our operating results. For example, starting from January 1, 2022, the Tax Cuts and Jobs Act of 2017 requires taxpayers to capitalize domestic research and development costs in the year incurred and amortize such costs rather than deduct such costs in the year incurred. When and if we become profitable, these changes may cause us to pay federal income taxes earlier under the revised tax law than under the prior law and may increase our total federal tax liability attributable to orphan drug programs and other research and development. In addition, the Inflation Reduction Act of 2022 imposes a 1% excise tax on certain repurchases of stock made on or after January 1, 2023. These changes could increase our total federal tax liability when and if we become profitable.</w:t>
      </w:r>
    </w:p>
    <w:p>
      <w:pPr>
        <w:pStyle w:val="TextBody"/>
        <w:bidi w:val="0"/>
        <w:spacing w:before="240" w:after="0"/>
        <w:jc w:val="left"/>
        <w:rPr>
          <w:rFonts w:ascii="Times New Roman;serif" w:hAnsi="Times New Roman;serif"/>
          <w:b/>
          <w:sz w:val="20"/>
        </w:rPr>
      </w:pPr>
      <w:r>
        <w:rPr>
          <w:rFonts w:ascii="Times New Roman;serif" w:hAnsi="Times New Roman;serif"/>
          <w:b/>
          <w:sz w:val="20"/>
        </w:rPr>
        <w:t>Risks Related to Employee Matters, Managing Our Growth and Other Risks Related to Our Business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success is highly dependent on our ability to attract and retain highly skilled executive officers and employees.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 succeed, we must recruit, retain, manage and motivate qualified clinical, scientific, technical and management personnel, and we face significant competition for experienced personnel. We are highly dependent on the principal members of our management, our scientific founders and other scientific and clinical advisors and consultants, and our scientific and medical staff. If we do not succeed in attracting and retaining such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 difficulty attracting and retaining experienced personnel and may be required to expend significant financial resources in our employee recruitment and retention efforts.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In order to successfully implement our long-term plans and strategies, we will need to grow the size of our organization, and we may experience difficulties in managing this growth.</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order to successfully implement our development and commercialization plans and strategies, we expect to need additional managerial, operational, sales, marketing, financial and other personnel in the future. Future growth would impose significant added responsibilities on members of management.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part of our business, we and our CROs, manufacturers, contractors (including sites performing our clinical trials), consultants and other third parties, collect, maintain and transmit sensitive data on our networks and systems, including our intellectual property and proprietary and confidential business information (such as research data and personal information). Despite the implementation of security measures in an effort to protect systems that store our information, given their size and complexity and the increasing amounts of information maintained on our internal information technology systems, and those of our third-party CROs, manufacturers, contractors (including sites performing our clinical trials), consultants and other third parties, such systems are vulnerable to breakdown or other damage or interruption from, among other things, inadvertent or intentional actions by our employees, contractors, consultants, business partners, and other third parties, cyber-attacks and other hacking attempts by malicious third parties, which may compromise our system infrastructure or lead to the loss, destruction, alteration, prevention of access to, disclosure, dissemination of, or damage or unauthorized access to, our data or other data that we process or maintain or that is processed or maintained on our behalf, or other assets. Although the impact of cyber-attacks on our operations and financial condition has not been material to date, we and our third-party service providers have frequently been the target of threats of this nature and expect them to continue.</w:t>
      </w:r>
    </w:p>
    <w:p>
      <w:pPr>
        <w:pStyle w:val="TextBody"/>
        <w:bidi w:val="0"/>
        <w:spacing w:before="120" w:after="0"/>
        <w:jc w:val="left"/>
        <w:rPr>
          <w:rFonts w:ascii="Times New Roman" w:hAnsi="Times New Roman"/>
          <w:sz w:val="20"/>
        </w:rPr>
      </w:pPr>
      <w:r>
        <w:rPr>
          <w:rFonts w:ascii="Times New Roman;serif" w:hAnsi="Times New Roman;serif"/>
          <w:b w:val="false"/>
          <w:sz w:val="20"/>
        </w:rPr>
        <w:t>To the extent that any data breach, disruption or security incident were to result in any loss, destruction, unavailability, alteration, disclosure, dissemination of, or damage or unauthorized access to, our data, or any other data that we process or maintain or that is processed or maintained on our behalf, or other assets, or for it to be believed or reported that any of the foregoing occurred, we could incur significant liability, including consequential damages, financial harm and reputational damage and the development and commercialization of our product candidates could be delayed. The loss, corruption, or unavailability of clinical trial data for our product candidates also could result in delays in our marketing approval efforts and significantly increase our costs to recover or reproduce the data. We cannot ensure that our data protection efforts and our investment in information technology, or the efforts or investments of CROs, consultants or other third parties, will prevent breakdowns or breaches in our or their systems or other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also rely on third parties to support the development and manufacture of our product candidates, and any data breaches or other security events relating to their computer systems could also have a material adverse effect on our business. Controls employed by our information technology department and our CROs, consultants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cyber-attack attributed to our third-party service providers as they relate to the information we share with them. We maintain limited cybersecurity insurance and therefore the successful assertion of one or more large claims against us in connection with a breach or other cybersecurity-related matter could adversely affect our business, financial condition, results of operations and prospects.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identify, remediate or otherwise address any such incidents in an effective or timely manner. Our efforts to improve security and protect data from compromise may also identify previously undiscovered instances of data breaches or other cybersecurity incidents. Any data breach, disruption or security incident resulting in any loss, destruction, or alteration of, damage, unauthorized access to or inappropriate or unauthorized disclosure of or dissemination of, our data, including personal data, or other information that is processed or maintained on our behalf, or if any of these is believed or reported to have occurred, we could be exposed to litigation and governmental investigations and inquiries, the further development and commercialization of our product candidates could be delayed, and we could be subject to significant fines or penalties for any noncompliance with certain state, federal and international privacy and security laws, rules, regulations and standards.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operations are vulnerable to interruption by fire, earthquakes, power loss, telecommunications failure, terrorist activity, pandemics and other events beyond our control, which could harm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facilities are located in the San Francisco Bay Area. We have not undertaken a systematic analysis of the potential consequences to our business and financial results from a major earthquake, flood, blizzard, wildfire,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Also, our CDMOs and suppliers’ facilities are located in multiple locations where other natural disasters or similar events which could severely disrupt our operations, could expose us to liability and could have a material adverse effect on our business. The occurrence of any of these business disruptions could seriously harm our operations and financial condition and increase our costs and expenses.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A variety of risks associated with development and marketing our product candidates internationally, subject to regulatory approval in applicable jurisdictions, could materially adversely affect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seek regulatory approval of our product candidates outside of the U.S. and/or work with contractors or partners in foreign jurisdictions, and, accordingly, we expect that we will be subject to additional risks and foreign laws and regulatory requirements related to our operations in foreign countries,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differing regulatory requirements and reimbursement regimes;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unexpected changes in tariffs, trade barriers, price and exchange controls and other regulatory requirements;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economic weakness, including inflation, or political instability in particular foreign economies and markets;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compliance with tax, employment, immigration and labor laws for employees living or traveling abroad;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foreign taxes, including withholding of payroll taxes;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foreign currency fluctuations, which could result in increased operating expenses and reduced revenue, and other obligations incident to doing business in another country;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difficulties staffing and managing foreign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workforce uncertainty in countries where labor unrest is more common than in the U.S.;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potential liability under the FCPA or comparable foreign regulations;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challenges obtaining, maintaining, protecting, defending and enforcing our contractual and intellectual property rights, especially in those foreign countries that do not respect and protect intellectual property rights to the same extent as the U.S.;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production shortages resulting from any events affecting raw material supply or manufacturing capabilities abroad;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business interruptions resulting from geo-political actions, including war and terrorism, including effects of the recent Russia-Ukraine conflict.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These and other risks associated with our international operations may materially adversely affect our ability to attain or maintain profitable operations.</w:t>
      </w:r>
    </w:p>
    <w:p>
      <w:pPr>
        <w:pStyle w:val="TextBody"/>
        <w:bidi w:val="0"/>
        <w:spacing w:before="240" w:after="0"/>
        <w:jc w:val="left"/>
        <w:rPr>
          <w:rFonts w:ascii="Times New Roman;serif" w:hAnsi="Times New Roman;serif"/>
          <w:b/>
          <w:sz w:val="20"/>
        </w:rPr>
      </w:pPr>
      <w:r>
        <w:rPr>
          <w:rFonts w:ascii="Times New Roman;serif" w:hAnsi="Times New Roman;serif"/>
          <w:b/>
          <w:sz w:val="20"/>
        </w:rPr>
        <w:t>Risks Related to Our Intellectual Property</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commercial success depends in large part on our ability to obtain, maintain, protect, defend and enforce patents, trade secrets and other intellectual property relating to our product candidates and platforms and to operate without infringing, misappropriating or otherwise violating the intellectual property of others. We rely on patent, copyright, trade secret and trademark laws in the U.S. and certain other countries to protect our technology, and we generally seek to protect our position by filing patent applications in the U.S. and abroad and by acquiring or in-licensing relevant issued patents or pending applications from third parties. However, these efforts may provide only limited protection. There can be no assurance that we or our licensors will obtain any additional issued patents or that any issued patents we or our licensors obtain will provide us with any competitive advantage.</w:t>
      </w:r>
    </w:p>
    <w:p>
      <w:pPr>
        <w:pStyle w:val="TextBody"/>
        <w:bidi w:val="0"/>
        <w:spacing w:before="120" w:after="0"/>
        <w:jc w:val="left"/>
        <w:rPr>
          <w:rFonts w:ascii="Times New Roman" w:hAnsi="Times New Roman"/>
          <w:sz w:val="20"/>
        </w:rPr>
      </w:pPr>
      <w:r>
        <w:rPr>
          <w:rFonts w:ascii="Times New Roman;serif" w:hAnsi="Times New Roman;serif"/>
          <w:b w:val="false"/>
          <w:sz w:val="20"/>
        </w:rPr>
        <w:t>Pending patent applications cannot be enforced until issued, and then only to the extent the issued claims cover the product candidate or relevant technology. There can be no assurance that our patent applications or the patent applications of our licensors will</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result in additional patents being issued or that any such issued patents will afford sufficient protection against competitors with similar technology, nor can there be any assurance that the patents issued will not be designed around or invalidated by third parties.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Even issued patents may later be found invalid or unenforceable, or they may be modified, narrowed in scope, or revoked in proceedings instituted by third parties before various patent offices or in courts in the U.S. and abroad. The degree of future protection for our and our licensor’s intellectual property and proprietary rights is uncertain. 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 of operations. Any failure to obtain or maintain patent protection with respect to our technology and product candidates would have a material adverse effect on our business, financial condition, results of operations and prospects.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patent application process is subject to numerous risks and uncertainties, and there can be no assurance that we or any of our potential future licensors or collaborators will be successful in protecting our product candidates and platforms by obtaining and defending adequate patent coverage. These risks and uncertainties include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patent applications may not result in any patents being issued;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patents may be challenged, invalidated, modified, revoked, circumvented, found to be unenforceable, narrowed in scope or otherwise may not provide any competitive advantage;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pStyle w:val="TextBody"/>
        <w:bidi w:val="0"/>
        <w:spacing w:before="120" w:after="0"/>
        <w:jc w:val="left"/>
        <w:rPr>
          <w:rFonts w:ascii="Times New Roman" w:hAnsi="Times New Roman"/>
          <w:sz w:val="20"/>
        </w:rPr>
      </w:pPr>
      <w:r>
        <w:rPr>
          <w:rFonts w:ascii="Times New Roman;serif" w:hAnsi="Times New Roman;serif"/>
          <w:b w:val="false"/>
          <w:sz w:val="20"/>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be unable to obtain or maintain patent applications and patents due to the subject matter claimed in such patent applications and patents being in disclosures in the public domain. It is also possible that we or our licensors will fail to identify patentable aspects of our research and development output before it is too late to obtain patent protection. Furthermore,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and platforms or which effectively prevent others from commercializing competitive product candidates and technologies or otherwise provide any commercial advantage.</w:t>
      </w:r>
    </w:p>
    <w:p>
      <w:pPr>
        <w:pStyle w:val="TextBody"/>
        <w:bidi w:val="0"/>
        <w:spacing w:before="120" w:after="0"/>
        <w:jc w:val="left"/>
        <w:rPr>
          <w:rFonts w:ascii="Times New Roman" w:hAnsi="Times New Roman"/>
          <w:sz w:val="20"/>
        </w:rPr>
      </w:pPr>
      <w:r>
        <w:rPr>
          <w:rFonts w:ascii="Times New Roman;serif" w:hAnsi="Times New Roman;serif"/>
          <w:b w:val="false"/>
          <w:sz w:val="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 result of challenges by third parties. Consequently, we do not know whether our product candidates will be protectable or remain protected by valid and enforceable patents.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While we believe our intellectual property allows us to pursue our current development programs, we may not be aware of all third-party intellectual property rights potentially relating to our technology and product candidates. We cannot be certain that we were the first to make the inventions claimed in any owned or any licensed patents or pending patent applications, or that we were the first to file for patent protection of such inventions. Publications of discoveries in the scientific literature often lag the actual discoveries, and patent applications in the U.S. and other jurisdictions are typically not published until 18 months after filing or, in some cases, not at all. If a third party can establish that we or our licensors were not the first to make or the first to file for patent protection of such inventions, our owned or licensed patent applications may not issue as patents and even if issued, may be challenged and invalidated.</w:t>
      </w:r>
    </w:p>
    <w:p>
      <w:pPr>
        <w:pStyle w:val="TextBody"/>
        <w:bidi w:val="0"/>
        <w:spacing w:before="120" w:after="0"/>
        <w:jc w:val="left"/>
        <w:rPr>
          <w:rFonts w:ascii="Times New Roman" w:hAnsi="Times New Roman"/>
          <w:sz w:val="20"/>
        </w:rPr>
      </w:pPr>
      <w:r>
        <w:rPr>
          <w:rFonts w:ascii="Times New Roman;serif" w:hAnsi="Times New Roman;serif"/>
          <w:b w:val="false"/>
          <w:sz w:val="20"/>
        </w:rPr>
        <w:t>The issuance of a patent is not conclusive as to its inventorship, scope, validity or enforceability, and the inventorship, scope, validity or enforceability of our potential future patents or the patents of our licensors that may be challenged in the courts or patent offices in the U.S. and abroad. For example, we may be subject to a third-party pre-issuance submission of prior art, post-grant review (PGR) or inter partes review (IPR) at the USPTO, or other similar proceedings including, opposition, derivation, revocation or reexamination proceedings in the U.S. or abroad.</w:t>
      </w:r>
      <w:r>
        <w:rPr>
          <w:rFonts w:ascii="Times New Roman" w:hAnsi="Times New Roman"/>
          <w:sz w:val="20"/>
        </w:rPr>
        <w:t xml:space="preserve"> </w:t>
      </w:r>
      <w:r>
        <w:rPr>
          <w:rFonts w:ascii="Times New Roman;serif" w:hAnsi="Times New Roman;serif"/>
          <w:b w:val="false"/>
          <w:sz w:val="20"/>
        </w:rPr>
        <w:t>A third party may also claim that our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potential future owned patents or licensed patent rights, allow third parties to commercialize our product candidates and compete directly with us, without payment to us. Such proceedings also may result in substantial cost and require significant time from our scientists, manufacturing staff and management, even if the eventual outcome is favorable to us. In addition, if the breadth or strength of protection provided by our potential future patents and patent applications or the patents and patent applications of our licensors is threatened, regardless of the outcome, it could dissuade companies from collaborating with us to license, develop or commercialize our product candidates.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commercial success depends significantly on our ability to operate without infringing, misappropriating or otherwise violating the patents and other intellectual property and proprietary rights of third parties.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commercial success depends in part on avoiding infringement, misappropriation or other violation of the patents or other intellectual property rights of third parties. However, our research, development and commercialization activities may be subject to claims that we infringe, misappropriate or otherwise violate patents or other intellectual property rights of others. Other entities may have, develop or obtain patents that could impair our competitive position or limit our ability to make, use, sell, offer for sale or import our product candidates. There is a substantial amount of litigation, both within and outside the U.S., involving patent and other intellectual property rights in the biotechnology industry. Numerous third-party U.S. and foreign issued patents and pending patent applications exist in the fields in which we are developing product candidates. Third-party patents or patent applications may include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example, we are aware of third-party patent rights that could be construed to cover the use of our TN-201 product candidate. We believe that if these third-party patent rights were to be asserted against us, we would have valid defenses against such assertions, including that such patent rights are invalid and/or not infringed. However, if such third-party patent rights were asserted against us and found to be valid, enforceable and infringed, we could be liable for damages and be required to obtain a license to such patent rights prior to commercializing TN-201 both within and outside the U.S., and such license may not be available on commercially reasonable terms or at all. Additionally, we are aware of third-party patent rights related to the use of certain AAV vectors, which have been asserted against others, including in at least one instance against a company for pre-approval activities. If these patent rights were to be asserted against us, we believe we would have valid defenses against such assertions, including that such patent rights are invalid and/or not infringed. However, such defenses may not be successful and we could be liable for damages and need to secure a license to such patent rights, which may not be available on commercially reasonable terms or at all. In the event any of the foregoing were to occur, we may be prevented from further developing and commercializing any affected product candidates, including TN-201.</w:t>
      </w:r>
    </w:p>
    <w:p>
      <w:pPr>
        <w:pStyle w:val="TextBody"/>
        <w:bidi w:val="0"/>
        <w:spacing w:before="120" w:after="0"/>
        <w:jc w:val="left"/>
        <w:rPr>
          <w:rFonts w:ascii="Times New Roman" w:hAnsi="Times New Roman"/>
          <w:sz w:val="20"/>
        </w:rPr>
      </w:pPr>
      <w:r>
        <w:rPr>
          <w:rFonts w:ascii="Times New Roman;serif" w:hAnsi="Times New Roman;serif"/>
          <w:b w:val="false"/>
          <w:sz w:val="20"/>
        </w:rPr>
        <w:t>As the biotechnology industry expands and more patents are issued, the risk increases that our product candidates may be subject to claims of infringement, misappropriation or other violation of the patent or other intellectual property rights of third parties.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Although no third party has asserted a claim of patent infringement against us as of the date of this periodic report, there can be no assurance that we will not be subject to claims of patent or other intellectual property infringement in the future. Furthermore, we may fail to identify relevant patents or patent applications or may identify pending patent applications of potential interest but incorrectly predict the likelihood that such patent applications may issue with claims of relevance to our technology. We may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incorrectly conclude that a third-party patent is invalid, unenforceable or not infringed by our activities.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Moreover, because patent applications can take many years to issue, there may be currently-pending patent applications that may later result in issued patents that our product candidates may infringe. Identification of third-party patent rights that may be relevant to our technology is difficult because patent searching is imperfect due to differences in terminology among patents, incomplete databases and ambiguity in the meaning of patent claims.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Third parties may assert patent infringement claims against us directed at any of our product candidates based on our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would involve substantial litigation expense and would be a substantial diversion of management and employee resources from our business. Because of the inevitable uncertainty in intellectual property litigation, we could lose a patent infringement or other action asserted against us regardless of our perception of the merits of the case.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may not be successful in obtaining or maintaining necessary rights to our product candidates through acquisitions and in-licenses.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our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 third-party intellectual property rights that are attractive to us may 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Changes in U.S. patent law, or laws in other countries, could diminish the value of patents in general, thereby impairing our ability to protect our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either the patent laws or in the interpretations of patent laws in the U.S.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potential future patents or in third-party patents. In addition, the U.S. Congress or other foreign legislative bodies may pass patent reform legislation that is unfavorable to us.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Patent reform legislation could increase the uncertainties and costs surrounding the prosecution of patent applications and the enforcement or defense of issued patents.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Furthermore, the U.S. Supreme Court and the U.S. Court of Appeals for the Federal Circuit have made, and will likely continue to make, changes in how patent laws in the U.S. are interpreted. The U.S. Supreme Court has ruled on several patent cases in recent years, either narrowing the scope of patent protection available in certain circumstances or weakening the rights of patent owners in certain situations. Similarly, foreign courts have made and will continue to make changes in how the patent laws in their respective jurisdictions are interpreted. We cannot predict future changes in the interpretation of patent laws or changes to patent laws that might be enacted into law by U.S. and foreign legislative bodies. The laws and regulations governing patents could change in unpredictable ways that would weaken our ability to obtain new patents or to enforce our existing patent and the patents we might obtain or license in the future.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may be subject to claims challenging the inventorship or ownership of our owned patent applications or in-licensed patent rights and other intellectual property.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or our licensors may be subject to claims that former employees or other third parties have an ownership interest in our owned patent applications or in-licensed patents, trade secrets or other intellectual property rights as an inventor or co-inventor. For example, we or our licensors may have inventorship disputes arise from conflicting obligations of employees, consultants or other third parties who are involved in developing our product candidates. Litigation may be necessary to defend against these and other claims challenging inventorship or ownership of our patent applications or our licensors’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 distraction to management and other employees, and any litigation or the threat of litigation may adversely impact our reputation or affect our ability to hire employees or contract with independent contractors.</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 intellectual property rights that we regard as our own. The assignment of intellectual property rights may not be self-executing or sufficient in scope, or the assignment agreements may be breached, and we or our licensors may be forced to bring claims against third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 ineffective in perfecting ownership of inventions developed by that individual. Such claims could have a material adverse effect on our business, financial condition, results of operations, and prospects.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Patent terms may be inadequate to protect our competitive position on our product candidates for an adequate amount of time.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If we do not obtain patent term extension for our product candidates, our business may be materially harmed.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Depending upon the timing, duration and specifics of FDA marketing approval of our product candidates, one or more of our U.S. patents or those of our licensors may be eligible for limited patent term restoration under the Hatch-Waxman Amendments. Patent term extension may also be available in certain foreign countries upon regulatory approval of our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not be granted any extensions for which we apply in the U.S.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request, our competitors may obtain approval of competing products following our patent expiration, and our revenue could be reduced, possibly materially.</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may not be able to protect our intellectual property rights throughout the world.</w:t>
      </w:r>
    </w:p>
    <w:p>
      <w:pPr>
        <w:pStyle w:val="TextBody"/>
        <w:bidi w:val="0"/>
        <w:spacing w:before="120" w:after="0"/>
        <w:jc w:val="left"/>
        <w:rPr>
          <w:rFonts w:ascii="Times New Roman" w:hAnsi="Times New Roman"/>
          <w:sz w:val="20"/>
        </w:rPr>
      </w:pPr>
      <w:r>
        <w:rPr>
          <w:rFonts w:ascii="Times New Roman;serif" w:hAnsi="Times New Roman;serif"/>
          <w:b w:val="false"/>
          <w:sz w:val="20"/>
        </w:rPr>
        <w:t>Filing, prosecuting and defending patents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even in jurisdiction where we do pursue patent protection. Consequently, we may not be able to prevent third parties from practicing our or our licensors’ inventions in all countries outside the U.S., even in jurisdictions where we or our licensors do pursue patent protection. Competitors may use our technologies in jurisdictions where we have not obtained patent protection to develop their own competing products and, further, may export otherwise infringing products to territories where we have patent protection, but enforcement is not as strong as that in the U.S.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Europe, beginning June 1, 2023, European applications and patents may be subjected to the jurisdiction of the Unified Patent Court (UPC). European patent applications now have the option, upon grant of a patent, of becoming a Unitary Patent which will be subject to the jurisdiction of the UPC. This is a significant change in European patent practice. As the UPC is a new court system, there is limited precedent for the court, increasing the uncertainty of any litigation. As a single court system can invalidate a European patent, we, where applicable have opted out of the UPC and as such, but for proceedings such as an opposition, each European patent would need to be challenged in each individual country.</w:t>
      </w:r>
    </w:p>
    <w:p>
      <w:pPr>
        <w:pStyle w:val="TextBody"/>
        <w:bidi w:val="0"/>
        <w:spacing w:before="120" w:after="0"/>
        <w:jc w:val="left"/>
        <w:rPr>
          <w:rFonts w:ascii="Times New Roman" w:hAnsi="Times New Roman"/>
          <w:sz w:val="20"/>
        </w:rPr>
      </w:pPr>
      <w:r>
        <w:rPr>
          <w:rFonts w:ascii="Times New Roman;serif" w:hAnsi="Times New Roman;serif"/>
          <w:b w:val="false"/>
          <w:sz w:val="20"/>
        </w:rPr>
        <w:t>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companies and individuals to exploit inventions owned by patentees that have citizenship or nationality in, are registered in, or have predominately primary place of business or profit-making activities in the U.S.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Periodic maintenance fees, renewal fees, annuity fees and various other governmental fees on patents and/or patent applications will be due to the USPTO and various foreign patent offices outside of the U.S. at various points over the lifetime of our potential future patents and patent applications and those of our licensors.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If our trademarks and trade names are not adequately protected, then we may not be able to build name recognition in our markets of interest and our business may be adversely affected.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intend to use registered or unregistered trademarks or trade names to brand and market ourselves and our products, but we do not yet own a U.S. registered trademark for our corporate name, “Tenaya”. Our future trademark applications in the U.S. and in foreign jurisdictions may not be allowed or may subsequently be opposed. Once filed and registered, our potential future trademarks or trade names may be challenged, infringed, circumvented or declared generic or determined to be infringing on other marks. We 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If we are unable to protect the confidentiality of our trade secrets, our business and competitive position would be harmed.</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to seeking patent protection on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 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that these parties will not breach such agreements and disclose our proprietary information, including our trade secrets, or that we would be able to obtain adequate remedies for such breaches should they occur. We may not be able to prevent the unauthorized disclosure or use of our trade secrets. Monitoring unauthorized uses and disclosures is difficult and we do not know whether the steps we have taken to protect our proprietary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technologies will be effective. Enforcing a claim that a party illegally disclosed or misappropriated a trade secret is difficult, expensive and time-consuming, and the outcome is unpredictable. In addition, some courts inside and outside the U.S. are less willing or unwilling to protect trade secrets.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competitive position and may have a material adverse effect on our business, financial condition, results of operations and prospects.</w:t>
      </w:r>
    </w:p>
    <w:p>
      <w:pPr>
        <w:pStyle w:val="TextBody"/>
        <w:bidi w:val="0"/>
        <w:spacing w:before="120" w:after="0"/>
        <w:jc w:val="left"/>
        <w:rPr>
          <w:rFonts w:ascii="Times New Roman" w:hAnsi="Times New Roman"/>
          <w:sz w:val="20"/>
        </w:rPr>
      </w:pPr>
      <w:r>
        <w:rPr>
          <w:rFonts w:ascii="Times New Roman;serif" w:hAnsi="Times New Roman;serif"/>
          <w:b w:val="false"/>
          <w:sz w:val="20"/>
        </w:rPr>
        <w:t>Moreover, third parties may still derive similar information independently, and we would have no right to prevent them from using that information to compete with us. We expect know-how and information to be disseminated over time within the industry through independent development, publication of journal articles, and movement of personnel between companies and from academic to industry scientific positions. We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may be subject to claims that we or our employees, consultants, advisors or contractors have wrongfully used or disclosed alleged confidential information or trade secrets.</w:t>
      </w:r>
    </w:p>
    <w:p>
      <w:pPr>
        <w:pStyle w:val="TextBody"/>
        <w:bidi w:val="0"/>
        <w:spacing w:before="120" w:after="0"/>
        <w:jc w:val="left"/>
        <w:rPr>
          <w:rFonts w:ascii="Times New Roman" w:hAnsi="Times New Roman"/>
          <w:sz w:val="20"/>
        </w:rPr>
      </w:pPr>
      <w:r>
        <w:rPr>
          <w:rFonts w:ascii="Times New Roman;serif" w:hAnsi="Times New Roman;serif"/>
          <w:b w:val="false"/>
          <w:sz w:val="20"/>
        </w:rPr>
        <w:t>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 potential competitors. We may become subject to claims that we, our employees or consultants inadvertently or otherwise used or disclosed trade secrets or confidential or other information proprietary of their former employers or their former or current clients.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we have entered into and may in the future enter into non-disclosure and confidentiality agreements to protect the proprietary positions of third parties, such as collaborators, CROs, third-party manufacturers, consultants, potential partners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any such claims, regardless of their merit, could involve substantial litigation expense and be a substantial diversion of resources from our business. We cannot predict whether we would prevail in any such claims.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including the loss of valuable intellectual property rights or personnel, all of which could adversely affect our business. Even if we are successful in defending against these claims, litigation could result in substantial costs and be a distraction to our management team and other employees.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rights to develop and commercialize our technology and product candidates may be subject, in part, to us obtaining licenses from others and the terms and conditions of such licenses. If we fail to comply with our obligations in any agreement under which we license intellectual property rights from third parties, we could lose licensed rights that are important to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entered into and may in the future enter into additional license agreements with third parties to advance our research or allow commercialization of product candidates. These licenses may not provide us with exclusive rights in all relevant fields of use and in all territories in which we may wish to develop or commercialize our technology and products.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we may not have the right to control the preparation, filing, prosecution, maintenance, enforcement, and defense of patents and patent applications covering the technology that we license. If our licensors fail to prosecute, maintain, enforce, and defend, or lose rights to such patents or patent applications, the rights we have licensed may be reduced or eliminated, and our right to develop and commercialize any product that is the subject of such licensed rights could be adversely affected. Even where we have the right to control patent prosecution of patents and patent applications we have licensed from third parties, we may still be adversely affected or prejudiced by actions or inactions taken by or on behalf of our licensors prior to the date upon which we assumed control over patent prosecution.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licensors may have relied on third-party consultants or collaborators or on funds from third parties such that our licensors are not the sole and exclusive owners of the patents we in-licensed. If other third parties have ownership rights to our in-licensed patents, our rights to use the licensed intellectual property would not be exclusive and they may be able to license such patents to our competitors, permitting our competitors to market competing products and technology. This could have a material adverse effect on our competitive position, business, financial conditions, results of operations, and prospects.</w:t>
      </w:r>
    </w:p>
    <w:p>
      <w:pPr>
        <w:pStyle w:val="TextBody"/>
        <w:bidi w:val="0"/>
        <w:spacing w:before="120" w:after="0"/>
        <w:jc w:val="left"/>
        <w:rPr>
          <w:rFonts w:ascii="Times New Roman" w:hAnsi="Times New Roman"/>
          <w:sz w:val="20"/>
        </w:rPr>
      </w:pPr>
      <w:r>
        <w:rPr>
          <w:rFonts w:ascii="Times New Roman;serif" w:hAnsi="Times New Roman;serif"/>
          <w:b w:val="false"/>
          <w:sz w:val="20"/>
        </w:rPr>
        <w:t>For example, the intellectual property we license from UTSW is subject to certain non-commercial rights reserved by UTSW. Patents licensed to us could be put at risk of being invalidated or interpreted narrowly in litigation filed by or against our licensors or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pStyle w:val="TextBody"/>
        <w:bidi w:val="0"/>
        <w:spacing w:before="120" w:after="0"/>
        <w:jc w:val="left"/>
        <w:rPr>
          <w:rFonts w:ascii="Times New Roman" w:hAnsi="Times New Roman"/>
          <w:sz w:val="20"/>
        </w:rPr>
      </w:pPr>
      <w:r>
        <w:rPr>
          <w:rFonts w:ascii="Times New Roman;serif" w:hAnsi="Times New Roman;serif"/>
          <w:b w:val="false"/>
          <w:sz w:val="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If any such event occurs, competitors or other third parties may gain the freedom to seek regulatory approval of, and to market, products identical to ours. Further, we may have to negotiate new or reinstated licenses with less favorable terms or we may not have sufficient intellectual property rights to operate our business. This could have a material adverse effect on our competitive position, business, financial condition, results of operations, and prospects.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agreements under which we license intellectual property or technology from third parties are complex, and certain provisions in such agreements may be susceptible to multiple interpretations. Disputes may arise between us and our current and future licensors. In spite of our efforts, our current and future licensors might conclude that we have materially breached our obligations under our license agreements and might therefore terminate such license agreements, thereby removing our ability to develop and commercialize products and technology covered by these license agreements.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pStyle w:val="TextBody"/>
        <w:bidi w:val="0"/>
        <w:spacing w:before="120" w:after="0"/>
        <w:jc w:val="left"/>
        <w:rPr>
          <w:rFonts w:ascii="Times New Roman" w:hAnsi="Times New Roman"/>
          <w:sz w:val="20"/>
        </w:rPr>
      </w:pPr>
      <w:r>
        <w:rPr>
          <w:rFonts w:ascii="Times New Roman;serif" w:hAnsi="Times New Roman;serif"/>
          <w:b w:val="false"/>
          <w:sz w:val="20"/>
        </w:rPr>
        <w:t>Our licensors may also own or control intellectual property that has not been licensed to us and, as a result, we may be subject to claims, regardless of their merit, that we are infringing or otherwise violating our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before="120" w:after="0"/>
        <w:jc w:val="left"/>
        <w:rPr>
          <w:rFonts w:ascii="Times New Roman" w:hAnsi="Times New Roman"/>
          <w:sz w:val="20"/>
        </w:rPr>
      </w:pPr>
      <w:r>
        <w:rPr>
          <w:rFonts w:ascii="Times New Roman;serif" w:hAnsi="Times New Roman;serif"/>
          <w:b w:val="false"/>
          <w:sz w:val="20"/>
        </w:rPr>
        <w:t>We have in-licensed, and we may acquire or in-license in the future, certain patents, patent applications or other intellectual property generated using U.S. government funding or grants. Pursuant to the Bayh-Dole Act of 1980, the U.S. government has certain rights in inventions developed with government funding. These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For example, the intellectual property we license from UTSW is subject to certain rights retained by the U.S. government, including march-in rights. If the U.S. government exercises its march-in rights in our current or future intellectual property rights generated using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subject to certain reporting requirements, compliance with which may require us or the applicable licensor to expend substantial resources. In addition, the U.S. government requires that any products embodying any of these inventions or produced through the use of any of these inventions be manufactured substantially in the U.S. This preference for U.S. industry may limit our ability to contract with non-U.S. product manufacturers for products covered by such intellectual property, and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Any failure by us to comply with federal regulations regarding intellectual property rights that were developed through the use of U.S. government funding could have a material adverse effect on our business, financial condition, results of operations, and prospects.</w:t>
      </w:r>
    </w:p>
    <w:p>
      <w:pPr>
        <w:pStyle w:val="TextBody"/>
        <w:bidi w:val="0"/>
        <w:spacing w:before="240" w:after="0"/>
        <w:jc w:val="left"/>
        <w:rPr>
          <w:rFonts w:ascii="Times New Roman;serif" w:hAnsi="Times New Roman;serif"/>
          <w:b/>
          <w:sz w:val="20"/>
        </w:rPr>
      </w:pPr>
      <w:r>
        <w:rPr>
          <w:rFonts w:ascii="Times New Roman;serif" w:hAnsi="Times New Roman;serif"/>
          <w:b/>
          <w:sz w:val="20"/>
        </w:rPr>
        <w:t>Risks Related to Our Dependence on Third Parties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third parties upon which we rely to conduct our preclinical studies and clinical trials have a significant role in the conduct of such drug development activities and the subsequent collection and analysis of data. These third parties are not our employees, and except for remedies available to us under our agreements with such third parties, we have limited ability to control the amount or timing of resources that any such third party devotes to our preclinical studies or our clinical trials.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expect to have to negotiate budgets and contracts with CROs and clinical trial sites and we may not be able to do so on favorable terms. If we need to enter into alternative arrangements with, or replace or add any third parties, it would involve a transition period, and may require substantial cost and extensive management time and focus. Any of these events may delay our drug development activities, increase costs, and materially impact our ability to meet our desired clinical development timelines.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heavy reliance on these third parties for such drug development activities reduces our control over these activities. As a result, we have less direct control over the conduct, timing and completion of preclinical studies and clinical trials and the management of data developed through such drug development activities than if we were relying entirely upon our own staff. Nevertheless, we are responsible for ensuring that each of our preclinical studies and clinical trials is conducted in accordance with applicable protocol, legal and regulatory requirements and scientific standards, such as GCP and cGMP, and our reliance on third parties does not relieve us of these responsibilities. Regulatory authorities enforce these requirements through periodic inspections of trial sponsors, principal investigators and trial sites. If we or any of our CROs fail to comply with applicable requirements, such as GCP or cGMP,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applicable regulations. Moreover, our business may be implicated if any of these third parties violates federal or state fraud and abuse or false claims laws and regulations or healthcare privacy and security laws.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these third parties do not successfully carry out their contractual duties, meet expected deadlines or conduct our clinical trials in accordance with regulatory requirements or our stated protocols, we will not be able, or may be delayed in, obtaining marketing approvals for our product candidates or otherwise successfully commercializing our product candidates.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rely on third parties to produce certain of our product candidates. This increases the risk that we will not have sufficient quality and quantities of product candidates or such quantities at an acceptable cost, which could delay, prevent or impair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established end-to-end in-house AAV manufacturing capabilities to support our product candidates arising from our Gene Therapy and Cellular Regeneration platforms. However, in order to optimize our use of resources and availability of extensive third-party experience in small molecule manufacturing, we intend to continue to rely on third-party manufacturers for our small molecule programs.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do not have long-term supply agreements, and we purchase our required drug product on a purchase order basis, which means that aside from any binding purchase orders we may have, our supplier could cease supplying to us or change the terms on which it is willing to continue supplying to us at any time. If we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preclinical studies or clinical trials. Furthermore, any decision by us to change a third-party manufacturer could result in delays in our manufacturing supply chain which could delay or otherwise impact development of our programs and result in increased costs.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be unable to maintain or establish required agreements with third-party manufacturers on acceptable terms. Even if we are able to do so, reliance on third-party manufacturers entails additional risks,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termination or nonrenewal of arrangements or agreements by our third-party contractors at a time that is costly or inconvenient for us;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breach by the third-party contractors of our agreements with them;</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failure of third-party contractors to manufacture our product candidates according to our specifications or comply with applicable regulatory requirements, including cGMP;</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mislabeling of clinical supplies, potentially resulting in the wrong dose amounts being supplied or active drug or placebo not being properly identified;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infringement, misappropriation or other violation of our intellectual property or proprietary 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do not have complete control over all aspects of the manufacturing process of our CDMOs and are dependent on these CDMOs for compliance with cGMP regulations for manufacturing active pharmaceutical ingredients (API), drug substance and finished drug products. We are in the process of developing our supply chain for each of our product candidates and intend to put in place framework agreements under which CDMOs will provide us with necessary quantities of API, drug substance and drug product based on our development needs. As we advance our product candidates through development, we will consider our lack of redundant supply for each of our product candidates to protect against any potential supply disruptions. However, we may be unsuccessful in putting in place such framework agreements or protecting against potential supply disruptions.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rely on third-party suppliers for the raw materials required for the production of our product candidates for all of our programs.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dependence upon others for the manufacture of our product candidates may adversely affect our future profit margins and our ability to commercialize any product candidates that receive marketing approval on a timely and competitive basis.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increased operating expenses and cash requirements;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assumption of additional indebtedness or contingent liabilities;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issuance of our equity securities;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assimilation of operations, intellectual property and products of an acquired company, including difficulties associated with integrating new personnel;</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diversion of our management’s attention from our existing programs and initiatives in pursuing such a strategic merger or acquisition;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unauthorized use or disclosure of our confidential information accessed in connection with partnership activities;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retention of key employees, the loss of key personnel and uncertainties in our ability to maintain key business relationships;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risks and uncertainties associated with the other party to such a transaction, including the prospects of that party and their existing products or product candidates and marketing approvals;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inability to generate revenue from acquired technology and/or products sufficient to meet our objectives in undertaking the acquisition or even to offset the associated acquisition and maintenance costs;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our inability to realize anticipated efficiencies and strategic benefits from such acquisitions or strategic partnerships.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may enter into collaborations with third parties for the development and commercialization of product candidates. If we are not able to establish those collaborations on commercially reasonable terms or those collaborations are not successful, we may not be able to capitalize on the market potential of these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strategically evaluate collaborations and partnerships with biopharmaceutical companies that may have more robust and complementary capabilities and resources to accelerate the development and maximize the availability and potential of our product candidates. The collaboration negotiation process is time-consuming and complex. If and when we seek to enter into collaborations, we may not be able to negotiate collaborations on a timely basis, on acceptable terms, or at all.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stage of development,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alternative product candidates or technologies, and industry and market conditions generally.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are unable to reach a definitive agreement,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collaborators have significant discretion in determining the efforts and resources that they will apply to, and the manner in which they perform their obligations under, these collaborations and may not perform their obligations as expected;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relationship may require us to incur non-recurring and other charges, increase our near- and long-term expenditures, issue securities that dilute our existing stockholders, or disrupt our management and business;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collaborator with marketing and distribution rights to multiple products may not commit sufficient resources to the marketing and distribution of our product relative to other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grant exclusive rights to our collaborators that would prevent us from collaborating with others;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collaborations may be terminated and, if terminated, may result in a need for additional capital to pursue further development or commercialization of the applicable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collaboration agreements may not lead to development or commercialization of product candidates in the most efficient manner or at all;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collaborators may own or co-own intellectual property covering our products that results from our collaborating with them, and in such cases, we would not have the exclusive right to develop or commercialize such intellectual property;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 collaborator’s sales and marketing activities or other operations may not be in compliance with applicable laws resulting in civil or criminal proceedings.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an agreement with a collaborator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Risks Related to the Securities Market and Ownership of Our Common Stock</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An active, liquid and orderly trading market may not be sustained for our common stock and as a result it may be difficult for you to sell your shares of our common stock.</w:t>
      </w:r>
    </w:p>
    <w:p>
      <w:pPr>
        <w:pStyle w:val="TextBody"/>
        <w:bidi w:val="0"/>
        <w:spacing w:before="120" w:after="0"/>
        <w:jc w:val="left"/>
        <w:rPr>
          <w:rFonts w:ascii="Times New Roman" w:hAnsi="Times New Roman"/>
          <w:sz w:val="20"/>
        </w:rPr>
      </w:pPr>
      <w:r>
        <w:rPr>
          <w:rFonts w:ascii="Times New Roman;serif" w:hAnsi="Times New Roman;serif"/>
          <w:b w:val="false"/>
          <w:sz w:val="20"/>
        </w:rPr>
        <w:t>The trading market for our common stock on the Nasdaq Global Select Market has been limited</w:t>
      </w:r>
      <w:r>
        <w:rPr>
          <w:rFonts w:ascii="Times New Roman" w:hAnsi="Times New Roman"/>
          <w:sz w:val="20"/>
        </w:rPr>
        <w:t xml:space="preserve"> </w:t>
      </w:r>
      <w:r>
        <w:rPr>
          <w:rFonts w:ascii="Times New Roman;serif" w:hAnsi="Times New Roman;serif"/>
          <w:b w:val="false"/>
          <w:sz w:val="20"/>
        </w:rPr>
        <w:t>and an active trading market for our shares may not be sustained. The lack of an active market may also reduce the fair market value of your shares of common stock.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pStyle w:val="TextBody"/>
        <w:bidi w:val="0"/>
        <w:spacing w:before="240" w:after="0"/>
        <w:jc w:val="left"/>
        <w:rPr>
          <w:rFonts w:ascii="Times New Roman;serif" w:hAnsi="Times New Roman;serif"/>
          <w:b/>
          <w:i/>
          <w:sz w:val="20"/>
        </w:rPr>
      </w:pPr>
      <w:r>
        <w:rPr>
          <w:rFonts w:ascii="Times New Roman;serif" w:hAnsi="Times New Roman;serif"/>
          <w:b/>
          <w:i/>
          <w:sz w:val="20"/>
        </w:rPr>
        <w:t>The price of our stock is volatile, and you could lose all or part of your investment.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this “Risk Factors” section and elsewhere in this periodic report, these factors include: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of achievement of our research, clinical, regulatory and other milestones for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results of preclinical studies and clinical trials of our product candidates, those conducted by third parties or those of our competitors;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success of competitive products or announcements by potential competitors of their product development efforts;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regulatory actions with respect to our product candidates or those of our competitors;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actual or anticipated changes in our growth rate relative to our competitors;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regulatory or legal developments in the U.S. and other countries;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litigation, including developments or disputes concerning patent applications, issued patents or other intellectual property or proprietary rights;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recruitment or departure of key personnel;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announcements by us or our competitors of significant acquisitions, strategic collaborations, joint ventures, collaborations or capital commitments;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actual or anticipated changes in estimates as to financial results, development timelines or coverage and/or recommendations by securities analysts;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fluctuations in the valuation of companies perceived by investors to be comparable to us;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market conditions in the pharmaceutical and biotechnology sector;</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the structure of healthcare payment systems;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share price and volume fluctuations attributable to inconsistent trading volume levels of our shares;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announcement or expectation of additional financing efforts;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sales of our common stock by us, our insiders or our other stockholders;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expiration of market stand-off or lock-up agreements;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any natural disasters or public health emergencies, such as the COVID-19 pandemic;</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fluctuations in interest rates and inflation rates;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general economic, political, industry and market conditions.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operating results may fluctuate significantly, which makes our future operating results difficult to predict and could cause our operating results to fall below expectations or our guidance.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Furthermore, our operating results may fluctuate due to a variety of other factors, many of which are outside of our control and may be difficult to predict, including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timing and cost of, and level of investment in, research and development activities relating to our programs, product candidates and any future programs and product candidates, which will change from time to time;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 of operating a manufacturing facility and manufacturing our product candidates, which may vary depending on FDA, EMA or other comparable foreign regulatory authority guidelines and requirements, the quantity of production and the terms of our agreements with manufacturers;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expenditures that we will or may incur to acquire or develop additional product candidates and technologies or other assets;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timing and outcomes of clinical trials for our product candidates, or competing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enroll patients in clinical trials and the timing of enrollment;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need to conduct unanticipated clinical trials or trials that are larger or more complex than anticipated;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competition from existing and potential future products and changes in the competitive landscape of our industry, including consolidation among our competitors or partners;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delays in regulatory review or approval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establish and maintain collaborations, licensing or other arrangements;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level of demand for our product candidates, if approved, which may fluctuate significantly and be difficult to predict;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risk/benefit profile, cost and reimbursement policies with respect to our product candidates, if approved, and existing and potential future products that compete with any of our product candidates;</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our ability to commercialize any of our product candidates, if approved, inside and outside of the</w:t>
      </w:r>
      <w:r>
        <w:rPr/>
        <w:t xml:space="preserve"> </w:t>
      </w:r>
      <w:r>
        <w:rPr>
          <w:rFonts w:ascii="Times New Roman;serif" w:hAnsi="Times New Roman;serif"/>
          <w:b w:val="false"/>
          <w:sz w:val="20"/>
        </w:rPr>
        <w:t>U.S., either independently or working with third parties;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adequately support future growth;</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potential unforeseen business disruptions that increase our costs or expenses;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future accounting pronouncements or changes in our accounting policies;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changing and volatile global economic and political environment.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principal stockholders and management own a significant percentage of our stock and will be able to exert significant control over matters subject to stockholder approval.</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our executive officers, directors, holders of 5% or more of our capital stock and their respective affiliates beneficially owned approximately 57% of our common stock. These stockholders, acting together, may be able to control matters requiring stockholder approval. For example, they may be able to control elections of directors, amendments of our organizational</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documents or approval of any merger, sale of assets or other major corporate transactions. This concentration of ownership control may delay, discourage or prevent a change of control, including unsolicited acquisition proposals or offers for our common stock that you may feel are in your best interest as one of our stockholders, entrench our management and board of directors or delay or prevent a merger, consolidation,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240" w:after="0"/>
        <w:jc w:val="left"/>
        <w:rPr>
          <w:rFonts w:ascii="Times New Roman;serif" w:hAnsi="Times New Roman;serif"/>
          <w:b/>
          <w:i/>
          <w:sz w:val="20"/>
        </w:rPr>
      </w:pPr>
      <w:r>
        <w:rPr>
          <w:rFonts w:ascii="Times New Roman;serif" w:hAnsi="Times New Roman;serif"/>
          <w:b/>
          <w:i/>
          <w:sz w:val="20"/>
        </w:rPr>
        <w:t>Sales of a substantial number of shares of our common stock in the public market could cause our stock price to fall.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Sales of a substantial number of shares of our common stock in the public market could occur at any time. For example, we filed: (i) on August 10, 2022, a shelf registration statement on Form S-3 with the SEC that became effective on August 17, 2022 and allows us to undertake various equity and debt offerings up to $300.0 million (the Shelf Registration); (ii) on August 17, 2022, a prospectus supplement to the shelf registration statement that covers the offering, issuance and sale of up to $75.0 million of our common stock from time to time through an “at-the-market” program under the Securities Act, pursuant to which we have sold 535,767 shares as of June 30, 2023, resulting in proceeds of $3.9 million, after deducting commissions of $0.1 million pursuant to the Sales Agreement; and (iii) on November 17, 2022, a prospectus supplement to the Shelf Registration that covered the offering, issuance and sale of 25,429,716 shares of our common stock, at a public offering price of $2.60 per share, and pre-funded warrants to purchase 6,236,693 shares of our common stock, at a public offering price of $2.599 per pre-funded warrant (the Follow-On Prospectus Supplement), pursuant to which we received aggregate net proceeds of $76.9 million, after deducting the underwriting commissions and offering expenses. To date, 302,517 pre-funded warrants have been exercised.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Moreover, certain holders of our common stock have rights, subject to certain conditions, to require us to file registration statements covering their shares or to include their shares in registration statements that we may file for ourselves or other stockholders. Registration of these shares under the Securities Act of 1933, as amended (Securities Act), would result in the shares becoming freely tradeable in the public market, subject to the restrictions of Rule 144 in the case of our affiliates. If these shares are sold, or if it is perceived that they will be sold, in the public market, the trading price of our common stock could decline.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will incur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pStyle w:val="TextBody"/>
        <w:bidi w:val="0"/>
        <w:spacing w:before="120" w:after="0"/>
        <w:jc w:val="left"/>
        <w:rPr>
          <w:rFonts w:ascii="Times New Roman" w:hAnsi="Times New Roman"/>
          <w:sz w:val="20"/>
        </w:rPr>
      </w:pPr>
      <w:r>
        <w:rPr>
          <w:rFonts w:ascii="Times New Roman;serif" w:hAnsi="Times New Roman;serif"/>
          <w:b w:val="false"/>
          <w:sz w:val="20"/>
        </w:rPr>
        <w:t>As a public company, we are subject to the reporting requirements of the Exchange Act, the Sarbanes-Oxley Act, the Dodd-Frank Wall Street Reform and Protection Act, as well as rules adopted, and to be adopted, by the SEC and the Nasdaq Stock Market LLC (Nasdaq). As a result of our initiatives to comply with such regulatory requirements, we incur significant legal, accounting and other expenses which may increase after we are no longer an “emerging growth company.” Moreover, our management and other personnel need to devote a substantial amount of time to these compliance initiatives.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particular, as a public company we are required to comply with SEC rules that implement Section 404 of the Sarbanes-Oxley Act. Under these rules, we are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unless we continue to qualify as a “smaller reporting company” at such time. To achieve compliance with Section 404 within the prescribed periods, we engage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deadlines imposed by the Sarbanes-Oxley Act.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internal control over financial reporting will not prevent or detect all errors and all fraud or prevent material weaknesses from being identified in such reporting.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120" w:after="0"/>
        <w:jc w:val="left"/>
        <w:rPr>
          <w:rFonts w:ascii="Times New Roman" w:hAnsi="Times New Roman"/>
          <w:sz w:val="20"/>
        </w:rPr>
      </w:pPr>
      <w:r>
        <w:rPr>
          <w:rFonts w:ascii="Times New Roman;serif" w:hAnsi="Times New Roman;serif"/>
          <w:b w:val="false"/>
          <w:sz w:val="20"/>
        </w:rPr>
        <w:t>If we are not able to comply with the requirements of Section 404 of the Sarbanes-Oxley Act in a timely manner, or if we are unable to maintain proper and effective internal controls, we may not be able to produce timely and accurate financial statements. If</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that were to happen, the market price of our stock could decline and we could be subject to sanctions or investigations by the stock exchange on which our common stock is listed, the SEC or other regulatory authorities.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may be subject to securities litigation, which is expensive and could divert management attention.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market price of our common stock may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These provisions, among other things: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establish a classified board of directors so that not all members of our board are elected at one time;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permit only the board of directors to establish the number of directors and fill vacancies on the board;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provide that directors may only be removed “for cause”;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authorize the issuance of “blank check” preferred stock that our board could use to implement a stockholder rights plan (also known as a poison pill);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eliminate the ability of our stockholders to call special meetings of stockholders;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prohibit stockholder action by written consent, which requires all stockholder actions to be taken at a meeting of our stockholders;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prohibit cumulative voting;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authorize our board of directors to amend the bylaws;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establish advance notice requirements for nominations for election to our board or for proposing matters that can be acted upon by stockholders at annual stockholder meetings;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require a super-majority vote of stockholders to amend or repeal specified provisions of our amended and restated certificate of incorporation and amended and restated bylaws.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or certain other conditions are met.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120" w:after="0"/>
        <w:jc w:val="left"/>
        <w:rPr>
          <w:rFonts w:ascii="Times New Roman" w:hAnsi="Times New Roman"/>
          <w:sz w:val="20"/>
        </w:rPr>
      </w:pPr>
      <w:r>
        <w:rPr>
          <w:rFonts w:ascii="Times New Roman;serif" w:hAnsi="Times New Roman;serif"/>
          <w:b w:val="false"/>
          <w:sz w:val="20"/>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following such determination), which is vested in the exclusive jurisdiction of a court or forum other than such court or for which such court does not have subject matter jurisdiction):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derivative action or proceeding brought on our behalf;</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action asserting a claim of breach of fiduciary duty;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action asserting a claim against us arising under the DGCL, our amended and restated certificate of incorporation or our amended and restated bylaws;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any action asserting a claim against us that is governed by the internal-affairs doctrine.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This provision would not apply to suits brought to enforce a duty or liability created by the Exchange Act or any other claim for which the U.S. federal courts have exclusive jurisdiction.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amended and restated bylaws further provide that the federal district courts of the United States of America will be the exclusive forum for resolving any complaint asserting a cause of action arising under the Securities Act.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In addition, these exclusive-forum provisions may impose additional litigation costs for stockholders who determine to pursue any such lawsuits against us.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bookmarkStart w:id="15" w:name="item_2_unregistered_sales_equity_securit"/>
      <w:bookmarkEnd w:id="15"/>
      <w:r>
        <w:rPr>
          <w:rFonts w:ascii="Times New Roman;serif" w:hAnsi="Times New Roman;serif"/>
          <w:b/>
          <w:sz w:val="20"/>
        </w:rPr>
        <w:t>Item 2. Unregistered Sales of Equity Securities and Use of Proceeds</w:t>
      </w:r>
    </w:p>
    <w:p>
      <w:pPr>
        <w:pStyle w:val="TextBody"/>
        <w:bidi w:val="0"/>
        <w:spacing w:before="240" w:after="0"/>
        <w:jc w:val="left"/>
        <w:rPr>
          <w:rFonts w:ascii="Times New Roman" w:hAnsi="Times New Roman"/>
          <w:b/>
          <w:sz w:val="20"/>
        </w:rPr>
      </w:pPr>
      <w:r>
        <w:rPr>
          <w:rFonts w:ascii="Times New Roman" w:hAnsi="Times New Roman"/>
          <w:b/>
          <w:sz w:val="20"/>
        </w:rPr>
        <w:t>(a)</w:t>
      </w:r>
    </w:p>
    <w:p>
      <w:pPr>
        <w:pStyle w:val="TextBody"/>
        <w:bidi w:val="0"/>
        <w:spacing w:before="240" w:after="283"/>
        <w:jc w:val="left"/>
        <w:rPr>
          <w:rFonts w:ascii="Times New Roman;serif" w:hAnsi="Times New Roman;serif"/>
          <w:b/>
          <w:sz w:val="20"/>
        </w:rPr>
      </w:pPr>
      <w:r>
        <w:rPr>
          <w:rFonts w:ascii="Times New Roman;serif" w:hAnsi="Times New Roman;serif"/>
          <w:b/>
          <w:sz w:val="20"/>
        </w:rPr>
        <w:t>Sales of Unregistered Securities</w:t>
      </w:r>
    </w:p>
    <w:p>
      <w:pPr>
        <w:pStyle w:val="TextBody"/>
        <w:bidi w:val="0"/>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(b)</w:t>
      </w:r>
    </w:p>
    <w:p>
      <w:pPr>
        <w:pStyle w:val="TextBody"/>
        <w:bidi w:val="0"/>
        <w:spacing w:before="240" w:after="283"/>
        <w:jc w:val="left"/>
        <w:rPr>
          <w:rFonts w:ascii="Times New Roman;serif" w:hAnsi="Times New Roman;serif"/>
          <w:b/>
          <w:sz w:val="20"/>
        </w:rPr>
      </w:pPr>
      <w:r>
        <w:rPr>
          <w:rFonts w:ascii="Times New Roman;serif" w:hAnsi="Times New Roman;serif"/>
          <w:b/>
          <w:sz w:val="20"/>
        </w:rPr>
        <w:t>Use of Proceeds from Public Offering of Common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August 3, 2021, we completed our initial public offering (IPO) and issued an aggregate of 13,800,000 shares of our common stock (inclusive of 1,800,000 shares pursuant to the underwriters’ overallotment option) at a price of $15.00 per share. The gross proceeds from the offering for shares sold in our IPO was $207.0 million. We received net proceeds from the IPO of $188.5 million, after deducting underwriting discounts and commissions of approximately $14.5 million and offering expenses of approximately $4.0 million. None of the expenses associated with the IPO were paid to directors, officers, persons owning 10% or more of any class of equity securities, or to their associates. Morgan Stanley &amp; Co. LLC, Piper Sandler &amp; Co. and Cowen and Company, LLC acted as book-running managers for the IPO. Shares of our common stock began trading on the Nasdaq Global Select Market on July 30, 2021. The offer and sale of the shares were registered under the Securities Act on a registration statement on Form S-1 (Registration No. 333-257820), which was declared effective on July 29, 2021. There has been no material change in the planned use of proceeds from our IPO as described in the registration statement on Form S-1.</w:t>
      </w:r>
    </w:p>
    <w:p>
      <w:pPr>
        <w:pStyle w:val="TextBody"/>
        <w:bidi w:val="0"/>
        <w:spacing w:before="240" w:after="0"/>
        <w:jc w:val="left"/>
        <w:rPr>
          <w:rFonts w:ascii="Times New Roman" w:hAnsi="Times New Roman"/>
          <w:b/>
          <w:sz w:val="20"/>
        </w:rPr>
      </w:pPr>
      <w:r>
        <w:rPr>
          <w:rFonts w:ascii="Times New Roman" w:hAnsi="Times New Roman"/>
          <w:b/>
          <w:sz w:val="20"/>
        </w:rPr>
        <w:t>(c)</w:t>
      </w:r>
    </w:p>
    <w:p>
      <w:pPr>
        <w:pStyle w:val="TextBody"/>
        <w:bidi w:val="0"/>
        <w:spacing w:before="240" w:after="283"/>
        <w:jc w:val="left"/>
        <w:rPr>
          <w:rFonts w:ascii="Times New Roman;serif" w:hAnsi="Times New Roman;serif"/>
          <w:b/>
          <w:sz w:val="20"/>
        </w:rPr>
      </w:pPr>
      <w:r>
        <w:rPr>
          <w:rFonts w:ascii="Times New Roman;serif" w:hAnsi="Times New Roman;serif"/>
          <w:b/>
          <w:sz w:val="20"/>
        </w:rPr>
        <w:t>Issuer Purchases of Equity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left"/>
        <w:rPr>
          <w:rFonts w:ascii="Times New Roman;serif" w:hAnsi="Times New Roman;serif"/>
          <w:b/>
          <w:sz w:val="20"/>
        </w:rPr>
      </w:pPr>
      <w:bookmarkStart w:id="16" w:name="item_3_defaults_upon_senior_securities"/>
      <w:bookmarkEnd w:id="16"/>
      <w:r>
        <w:rPr>
          <w:rFonts w:ascii="Times New Roman;serif" w:hAnsi="Times New Roman;serif"/>
          <w:b/>
          <w:sz w:val="20"/>
        </w:rPr>
        <w:t>Item 3. Defaults Upon Senior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240" w:after="0"/>
        <w:jc w:val="left"/>
        <w:rPr>
          <w:rFonts w:ascii="Times New Roman;serif" w:hAnsi="Times New Roman;serif"/>
          <w:b/>
          <w:sz w:val="20"/>
        </w:rPr>
      </w:pPr>
      <w:bookmarkStart w:id="17" w:name="item_4_mine_safety_disclosures"/>
      <w:bookmarkEnd w:id="17"/>
      <w:r>
        <w:rPr>
          <w:rFonts w:ascii="Times New Roman;serif" w:hAnsi="Times New Roman;serif"/>
          <w:b/>
          <w:sz w:val="20"/>
        </w:rPr>
        <w:t>Item 4. Mine Safety Disclosures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240" w:after="0"/>
        <w:jc w:val="left"/>
        <w:rPr>
          <w:rFonts w:ascii="Times New Roman" w:hAnsi="Times New Roman"/>
          <w:sz w:val="20"/>
        </w:rPr>
      </w:pPr>
      <w:bookmarkStart w:id="18" w:name="item_5_or_information"/>
      <w:bookmarkEnd w:id="18"/>
      <w:r>
        <w:rPr>
          <w:rFonts w:ascii="Times New Roman;serif" w:hAnsi="Times New Roman;serif"/>
          <w:b/>
          <w:sz w:val="20"/>
        </w:rPr>
        <w:t>Item 5. 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120"/>
        <w:jc w:val="left"/>
        <w:rPr>
          <w:rFonts w:ascii="Times New Roman;serif" w:hAnsi="Times New Roman;serif"/>
          <w:b/>
          <w:sz w:val="20"/>
        </w:rPr>
      </w:pPr>
      <w:bookmarkStart w:id="19" w:name="item_6_exhibits"/>
      <w:bookmarkEnd w:id="19"/>
      <w:r>
        <w:rPr>
          <w:rFonts w:ascii="Times New Roman;serif" w:hAnsi="Times New Roman;serif"/>
          <w:b/>
          <w:sz w:val="20"/>
        </w:rPr>
        <w:t>Item 6. Exhibits</w:t>
      </w:r>
    </w:p>
    <w:tbl>
      <w:tblPr>
        <w:tblW w:w="10205" w:type="dxa"/>
        <w:jc w:val="left"/>
        <w:tblInd w:w="0" w:type="dxa"/>
        <w:tblLayout w:type="fixed"/>
        <w:tblCellMar>
          <w:top w:w="28" w:type="dxa"/>
          <w:left w:w="28" w:type="dxa"/>
          <w:bottom w:w="28" w:type="dxa"/>
          <w:right w:w="28" w:type="dxa"/>
        </w:tblCellMar>
      </w:tblPr>
      <w:tblGrid>
        <w:gridCol w:w="865"/>
        <w:gridCol w:w="146"/>
        <w:gridCol w:w="6342"/>
        <w:gridCol w:w="586"/>
        <w:gridCol w:w="754"/>
        <w:gridCol w:w="736"/>
        <w:gridCol w:w="776"/>
      </w:tblGrid>
      <w:tr>
        <w:trPr/>
        <w:tc>
          <w:tcPr>
            <w:tcW w:w="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8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Exhibit</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3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Description</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Form</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File No.</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Exhibit</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Filing</w:t>
            </w:r>
            <w:r>
              <w:rPr>
                <w:rFonts w:ascii="Times New Roman" w:hAnsi="Times New Roman"/>
                <w:sz w:val="20"/>
              </w:rPr>
              <w:t xml:space="preserve"> </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Date</w:t>
            </w:r>
          </w:p>
        </w:tc>
      </w:tr>
      <w:tr>
        <w:trPr/>
        <w:tc>
          <w:tcPr>
            <w:tcW w:w="86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4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left"/>
              <w:rPr/>
            </w:pPr>
            <w:r>
              <w:rPr/>
              <w:t> </w:t>
            </w:r>
          </w:p>
        </w:tc>
      </w:tr>
      <w:tr>
        <w:trPr/>
        <w:tc>
          <w:tcPr>
            <w:tcW w:w="86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vAlign w:val="center"/>
          </w:tcPr>
          <w:p>
            <w:pPr>
              <w:pStyle w:val="TableContents"/>
              <w:bidi w:val="0"/>
              <w:spacing w:before="0" w:after="0"/>
              <w:ind w:left="0" w:right="0" w:hanging="0"/>
              <w:jc w:val="left"/>
              <w:rPr/>
            </w:pPr>
            <w:r>
              <w:rPr/>
              <w:t> </w:t>
            </w:r>
          </w:p>
        </w:tc>
        <w:tc>
          <w:tcPr>
            <w:tcW w:w="634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tnya-ex3_1.htm">
              <w:r>
                <w:rPr>
                  <w:rStyle w:val="InternetLink"/>
                  <w:rFonts w:ascii="Times New Roman;serif" w:hAnsi="Times New Roman;serif"/>
                  <w:b w:val="false"/>
                  <w:sz w:val="20"/>
                  <w:u w:val="single"/>
                </w:rPr>
                <w:t>Composite Amended and Restated Certificate of Incorporation of Tenaya Therapeutics, Inc., as amended</w:t>
              </w:r>
            </w:hyperlink>
          </w:p>
        </w:tc>
        <w:tc>
          <w:tcPr>
            <w:tcW w:w="586" w:type="dxa"/>
            <w:tcBorders/>
            <w:vAlign w:val="center"/>
          </w:tcPr>
          <w:p>
            <w:pPr>
              <w:pStyle w:val="TableContents"/>
              <w:bidi w:val="0"/>
              <w:spacing w:before="0" w:after="0"/>
              <w:ind w:left="0" w:right="0" w:hanging="0"/>
              <w:jc w:val="center"/>
              <w:rPr/>
            </w:pPr>
            <w:r>
              <w:rPr/>
              <w:t> </w:t>
            </w:r>
          </w:p>
        </w:tc>
        <w:tc>
          <w:tcPr>
            <w:tcW w:w="754" w:type="dxa"/>
            <w:tcBorders/>
            <w:vAlign w:val="center"/>
          </w:tcPr>
          <w:p>
            <w:pPr>
              <w:pStyle w:val="TableContents"/>
              <w:bidi w:val="0"/>
              <w:spacing w:before="0" w:after="0"/>
              <w:ind w:left="0" w:right="0" w:hanging="0"/>
              <w:jc w:val="center"/>
              <w:rPr/>
            </w:pPr>
            <w:r>
              <w:rPr/>
              <w:t> </w:t>
            </w:r>
          </w:p>
        </w:tc>
        <w:tc>
          <w:tcPr>
            <w:tcW w:w="736" w:type="dxa"/>
            <w:tcBorders/>
            <w:vAlign w:val="center"/>
          </w:tcPr>
          <w:p>
            <w:pPr>
              <w:pStyle w:val="TableContents"/>
              <w:bidi w:val="0"/>
              <w:spacing w:before="0" w:after="0"/>
              <w:ind w:left="0" w:right="0" w:hanging="0"/>
              <w:jc w:val="center"/>
              <w:rPr/>
            </w:pPr>
            <w:r>
              <w:rPr/>
              <w:t> </w:t>
            </w:r>
          </w:p>
        </w:tc>
        <w:tc>
          <w:tcPr>
            <w:tcW w:w="776" w:type="dxa"/>
            <w:tcBorders/>
            <w:vAlign w:val="center"/>
          </w:tcPr>
          <w:p>
            <w:pPr>
              <w:pStyle w:val="TableContents"/>
              <w:bidi w:val="0"/>
              <w:spacing w:before="0" w:after="0"/>
              <w:ind w:left="0" w:right="0" w:hanging="0"/>
              <w:jc w:val="center"/>
              <w:rPr/>
            </w:pPr>
            <w:r>
              <w:rPr/>
              <w:t> </w:t>
            </w:r>
          </w:p>
        </w:tc>
      </w:tr>
      <w:tr>
        <w:trPr/>
        <w:tc>
          <w:tcPr>
            <w:tcW w:w="86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4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center"/>
              <w:rPr/>
            </w:pPr>
            <w:r>
              <w:rPr/>
              <w:t> </w:t>
            </w:r>
          </w:p>
        </w:tc>
      </w:tr>
      <w:tr>
        <w:trPr/>
        <w:tc>
          <w:tcPr>
            <w:tcW w:w="86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vAlign w:val="center"/>
          </w:tcPr>
          <w:p>
            <w:pPr>
              <w:pStyle w:val="TableContents"/>
              <w:bidi w:val="0"/>
              <w:spacing w:before="0" w:after="0"/>
              <w:ind w:left="0" w:right="0" w:hanging="0"/>
              <w:jc w:val="left"/>
              <w:rPr/>
            </w:pPr>
            <w:r>
              <w:rPr/>
              <w:t> </w:t>
            </w:r>
          </w:p>
        </w:tc>
        <w:tc>
          <w:tcPr>
            <w:tcW w:w="6342"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Amended and Restated Bylaws of Tenaya Therapeutics, Inc.</w:t>
              </w:r>
            </w:hyperlink>
          </w:p>
        </w:tc>
        <w:tc>
          <w:tcPr>
            <w:tcW w:w="58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754"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001-40656</w:t>
            </w:r>
          </w:p>
        </w:tc>
        <w:tc>
          <w:tcPr>
            <w:tcW w:w="7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77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3-21-2023</w:t>
            </w:r>
          </w:p>
        </w:tc>
      </w:tr>
      <w:tr>
        <w:trPr/>
        <w:tc>
          <w:tcPr>
            <w:tcW w:w="86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4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left"/>
              <w:rPr/>
            </w:pPr>
            <w:r>
              <w:rPr/>
              <w:t> </w:t>
            </w:r>
          </w:p>
        </w:tc>
      </w:tr>
      <w:tr>
        <w:trPr/>
        <w:tc>
          <w:tcPr>
            <w:tcW w:w="86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vAlign w:val="center"/>
          </w:tcPr>
          <w:p>
            <w:pPr>
              <w:pStyle w:val="TableContents"/>
              <w:bidi w:val="0"/>
              <w:spacing w:before="0" w:after="0"/>
              <w:ind w:left="0" w:right="0" w:hanging="0"/>
              <w:jc w:val="left"/>
              <w:rPr/>
            </w:pPr>
            <w:r>
              <w:rPr/>
              <w:t> </w:t>
            </w:r>
          </w:p>
        </w:tc>
        <w:tc>
          <w:tcPr>
            <w:tcW w:w="6342"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u w:val="single"/>
                </w:rPr>
                <w:t>Executive Change in Control and Severance Plan</w:t>
              </w:r>
            </w:hyperlink>
          </w:p>
        </w:tc>
        <w:tc>
          <w:tcPr>
            <w:tcW w:w="58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754"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001-40656</w:t>
            </w:r>
          </w:p>
        </w:tc>
        <w:tc>
          <w:tcPr>
            <w:tcW w:w="7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w:t>
            </w:r>
          </w:p>
        </w:tc>
        <w:tc>
          <w:tcPr>
            <w:tcW w:w="77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6-12-2023</w:t>
            </w:r>
          </w:p>
        </w:tc>
      </w:tr>
      <w:tr>
        <w:trPr/>
        <w:tc>
          <w:tcPr>
            <w:tcW w:w="86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4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left"/>
              <w:rPr/>
            </w:pPr>
            <w:r>
              <w:rPr/>
              <w:t> </w:t>
            </w:r>
          </w:p>
        </w:tc>
      </w:tr>
      <w:tr>
        <w:trPr/>
        <w:tc>
          <w:tcPr>
            <w:tcW w:w="86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vAlign w:val="center"/>
          </w:tcPr>
          <w:p>
            <w:pPr>
              <w:pStyle w:val="TableContents"/>
              <w:bidi w:val="0"/>
              <w:spacing w:before="0" w:after="0"/>
              <w:ind w:left="0" w:right="0" w:hanging="0"/>
              <w:jc w:val="left"/>
              <w:rPr/>
            </w:pPr>
            <w:r>
              <w:rPr/>
              <w:t> </w:t>
            </w:r>
          </w:p>
        </w:tc>
        <w:tc>
          <w:tcPr>
            <w:tcW w:w="634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tnya-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c>
          <w:tcPr>
            <w:tcW w:w="58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left"/>
              <w:rPr/>
            </w:pPr>
            <w:r>
              <w:rPr/>
              <w:t> </w:t>
            </w:r>
          </w:p>
        </w:tc>
      </w:tr>
      <w:tr>
        <w:trPr/>
        <w:tc>
          <w:tcPr>
            <w:tcW w:w="86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4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left"/>
              <w:rPr/>
            </w:pPr>
            <w:r>
              <w:rPr/>
              <w:t> </w:t>
            </w:r>
          </w:p>
        </w:tc>
      </w:tr>
      <w:tr>
        <w:trPr/>
        <w:tc>
          <w:tcPr>
            <w:tcW w:w="86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vAlign w:val="center"/>
          </w:tcPr>
          <w:p>
            <w:pPr>
              <w:pStyle w:val="TableContents"/>
              <w:bidi w:val="0"/>
              <w:spacing w:before="0" w:after="0"/>
              <w:ind w:left="0" w:right="0" w:hanging="0"/>
              <w:jc w:val="left"/>
              <w:rPr/>
            </w:pPr>
            <w:r>
              <w:rPr/>
              <w:t> </w:t>
            </w:r>
          </w:p>
        </w:tc>
        <w:tc>
          <w:tcPr>
            <w:tcW w:w="634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tnya-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c>
          <w:tcPr>
            <w:tcW w:w="58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left"/>
              <w:rPr/>
            </w:pPr>
            <w:r>
              <w:rPr/>
              <w:t> </w:t>
            </w:r>
          </w:p>
        </w:tc>
      </w:tr>
      <w:tr>
        <w:trPr/>
        <w:tc>
          <w:tcPr>
            <w:tcW w:w="86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4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left"/>
              <w:rPr/>
            </w:pPr>
            <w:r>
              <w:rPr/>
              <w:t> </w:t>
            </w:r>
          </w:p>
        </w:tc>
      </w:tr>
      <w:tr>
        <w:trPr/>
        <w:tc>
          <w:tcPr>
            <w:tcW w:w="86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vAlign w:val="center"/>
          </w:tcPr>
          <w:p>
            <w:pPr>
              <w:pStyle w:val="TableContents"/>
              <w:bidi w:val="0"/>
              <w:spacing w:before="0" w:after="0"/>
              <w:ind w:left="0" w:right="0" w:hanging="0"/>
              <w:jc w:val="left"/>
              <w:rPr/>
            </w:pPr>
            <w:r>
              <w:rPr/>
              <w:t> </w:t>
            </w:r>
          </w:p>
        </w:tc>
        <w:tc>
          <w:tcPr>
            <w:tcW w:w="634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tnya-ex32_1.htm">
              <w:r>
                <w:rPr>
                  <w:rStyle w:val="InternetLink"/>
                  <w:rFonts w:ascii="Times New Roman;serif" w:hAnsi="Times New Roman;serif"/>
                  <w:b w:val="false"/>
                  <w:sz w:val="20"/>
                  <w:u w:val="single"/>
                </w:rPr>
                <w:t>Certification of Principal Executive Officer and Principal Financial Officer Pursuant to 18 U.S.C. Section 1350, as Adopted Pursuant to Section 906 of the Sarbanes-Oxley Act of 2002.</w:t>
              </w:r>
            </w:hyperlink>
          </w:p>
        </w:tc>
        <w:tc>
          <w:tcPr>
            <w:tcW w:w="58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left"/>
              <w:rPr/>
            </w:pPr>
            <w:r>
              <w:rPr/>
              <w:t> </w:t>
            </w:r>
          </w:p>
        </w:tc>
      </w:tr>
      <w:tr>
        <w:trPr/>
        <w:tc>
          <w:tcPr>
            <w:tcW w:w="86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4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left"/>
              <w:rPr/>
            </w:pPr>
            <w:r>
              <w:rPr/>
              <w:t> </w:t>
            </w:r>
          </w:p>
        </w:tc>
      </w:tr>
      <w:tr>
        <w:trPr/>
        <w:tc>
          <w:tcPr>
            <w:tcW w:w="86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vAlign w:val="center"/>
          </w:tcPr>
          <w:p>
            <w:pPr>
              <w:pStyle w:val="TableContents"/>
              <w:bidi w:val="0"/>
              <w:spacing w:before="0" w:after="0"/>
              <w:ind w:left="0" w:right="0" w:hanging="0"/>
              <w:jc w:val="left"/>
              <w:rPr/>
            </w:pPr>
            <w:r>
              <w:rPr/>
              <w:t> </w:t>
            </w:r>
          </w:p>
        </w:tc>
        <w:tc>
          <w:tcPr>
            <w:tcW w:w="634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c>
          <w:tcPr>
            <w:tcW w:w="58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left"/>
              <w:rPr/>
            </w:pPr>
            <w:r>
              <w:rPr/>
              <w:t> </w:t>
            </w:r>
          </w:p>
        </w:tc>
      </w:tr>
      <w:tr>
        <w:trPr/>
        <w:tc>
          <w:tcPr>
            <w:tcW w:w="86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4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left"/>
              <w:rPr/>
            </w:pPr>
            <w:r>
              <w:rPr/>
              <w:t> </w:t>
            </w:r>
          </w:p>
        </w:tc>
      </w:tr>
      <w:tr>
        <w:trPr/>
        <w:tc>
          <w:tcPr>
            <w:tcW w:w="86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vAlign w:val="center"/>
          </w:tcPr>
          <w:p>
            <w:pPr>
              <w:pStyle w:val="TableContents"/>
              <w:bidi w:val="0"/>
              <w:spacing w:before="0" w:after="0"/>
              <w:ind w:left="0" w:right="0" w:hanging="0"/>
              <w:jc w:val="left"/>
              <w:rPr/>
            </w:pPr>
            <w:r>
              <w:rPr/>
              <w:t> </w:t>
            </w:r>
          </w:p>
        </w:tc>
        <w:tc>
          <w:tcPr>
            <w:tcW w:w="634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58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left"/>
              <w:rPr/>
            </w:pPr>
            <w:r>
              <w:rPr/>
              <w:t> </w:t>
            </w:r>
          </w:p>
        </w:tc>
      </w:tr>
      <w:tr>
        <w:trPr/>
        <w:tc>
          <w:tcPr>
            <w:tcW w:w="86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4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left"/>
              <w:rPr/>
            </w:pPr>
            <w:r>
              <w:rPr/>
              <w:t> </w:t>
            </w:r>
          </w:p>
        </w:tc>
      </w:tr>
      <w:tr>
        <w:trPr/>
        <w:tc>
          <w:tcPr>
            <w:tcW w:w="86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vAlign w:val="center"/>
          </w:tcPr>
          <w:p>
            <w:pPr>
              <w:pStyle w:val="TableContents"/>
              <w:bidi w:val="0"/>
              <w:spacing w:before="0" w:after="0"/>
              <w:ind w:left="0" w:right="0" w:hanging="0"/>
              <w:jc w:val="left"/>
              <w:rPr/>
            </w:pPr>
            <w:r>
              <w:rPr/>
              <w:t> </w:t>
            </w:r>
          </w:p>
        </w:tc>
        <w:tc>
          <w:tcPr>
            <w:tcW w:w="634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58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left"/>
              <w:rPr/>
            </w:pPr>
            <w:r>
              <w:rPr/>
              <w:t> </w:t>
            </w:r>
          </w:p>
        </w:tc>
      </w:tr>
      <w:tr>
        <w:trPr/>
        <w:tc>
          <w:tcPr>
            <w:tcW w:w="86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4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left"/>
              <w:rPr/>
            </w:pPr>
            <w:r>
              <w:rPr/>
              <w:t> </w:t>
            </w:r>
          </w:p>
        </w:tc>
      </w:tr>
      <w:tr>
        <w:trPr/>
        <w:tc>
          <w:tcPr>
            <w:tcW w:w="86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vAlign w:val="center"/>
          </w:tcPr>
          <w:p>
            <w:pPr>
              <w:pStyle w:val="TableContents"/>
              <w:bidi w:val="0"/>
              <w:spacing w:before="0" w:after="0"/>
              <w:ind w:left="0" w:right="0" w:hanging="0"/>
              <w:jc w:val="left"/>
              <w:rPr/>
            </w:pPr>
            <w:r>
              <w:rPr/>
              <w:t> </w:t>
            </w:r>
          </w:p>
        </w:tc>
        <w:tc>
          <w:tcPr>
            <w:tcW w:w="634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58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left"/>
              <w:rPr/>
            </w:pPr>
            <w:r>
              <w:rPr/>
              <w:t> </w:t>
            </w:r>
          </w:p>
        </w:tc>
      </w:tr>
      <w:tr>
        <w:trPr/>
        <w:tc>
          <w:tcPr>
            <w:tcW w:w="86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4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left"/>
              <w:rPr/>
            </w:pPr>
            <w:r>
              <w:rPr/>
              <w:t> </w:t>
            </w:r>
          </w:p>
        </w:tc>
      </w:tr>
      <w:tr>
        <w:trPr/>
        <w:tc>
          <w:tcPr>
            <w:tcW w:w="86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vAlign w:val="center"/>
          </w:tcPr>
          <w:p>
            <w:pPr>
              <w:pStyle w:val="TableContents"/>
              <w:bidi w:val="0"/>
              <w:spacing w:before="0" w:after="0"/>
              <w:ind w:left="0" w:right="0" w:hanging="0"/>
              <w:jc w:val="left"/>
              <w:rPr/>
            </w:pPr>
            <w:r>
              <w:rPr/>
              <w:t> </w:t>
            </w:r>
          </w:p>
        </w:tc>
        <w:tc>
          <w:tcPr>
            <w:tcW w:w="634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58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left"/>
              <w:rPr/>
            </w:pPr>
            <w:r>
              <w:rPr/>
              <w:t> </w:t>
            </w:r>
          </w:p>
        </w:tc>
      </w:tr>
      <w:tr>
        <w:trPr/>
        <w:tc>
          <w:tcPr>
            <w:tcW w:w="86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4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27"/>
        <w:gridCol w:w="146"/>
        <w:gridCol w:w="8602"/>
        <w:gridCol w:w="146"/>
        <w:gridCol w:w="146"/>
        <w:gridCol w:w="146"/>
        <w:gridCol w:w="192"/>
      </w:tblGrid>
      <w:tr>
        <w:trPr/>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vAlign w:val="center"/>
          </w:tcPr>
          <w:p>
            <w:pPr>
              <w:pStyle w:val="TableContents"/>
              <w:bidi w:val="0"/>
              <w:spacing w:before="0" w:after="0"/>
              <w:ind w:left="0" w:right="0" w:hanging="0"/>
              <w:jc w:val="left"/>
              <w:rPr/>
            </w:pPr>
            <w:r>
              <w:rPr/>
              <w:t> </w:t>
            </w:r>
          </w:p>
        </w:tc>
        <w:tc>
          <w:tcPr>
            <w:tcW w:w="860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r>
      <w:tr>
        <w:trPr/>
        <w:tc>
          <w:tcPr>
            <w:tcW w:w="8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60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r>
      <w:tr>
        <w:trPr/>
        <w:tc>
          <w:tcPr>
            <w:tcW w:w="82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860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with applicable taxonomy extension information contained in Exhibits 101)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Filed herewith.</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Management contract, compensatory plan or agreement.</w:t>
      </w:r>
    </w:p>
    <w:p>
      <w:pPr>
        <w:pStyle w:val="TextBody"/>
        <w:bidi w:val="0"/>
        <w:spacing w:before="0" w:after="0"/>
        <w:jc w:val="left"/>
        <w:rPr>
          <w:rFonts w:ascii="Times New Roman" w:hAnsi="Times New Roman"/>
          <w:sz w:val="20"/>
        </w:rPr>
      </w:pPr>
      <w:r>
        <w:rPr>
          <w:rFonts w:ascii="Times New Roman;serif" w:hAnsi="Times New Roman;serif"/>
          <w:b w:val="false"/>
          <w:sz w:val="20"/>
        </w:rPr>
        <w:t> The certifications attached as Exhibit 32.1 that accompany this Quarterly Report on Form 10-Q are not deemed filed with the</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Securities and Exchange Commission and are not to be incorporated by reference into any filing of the Registrant under the Securities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Act of 1933, as amended, or the Securities Exchange Act of 1934, as amended, whether made before or after the date of this Quarterly</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Report on Form 10-Q, irrespective of any general incorporation language contained in such filing.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0" w:name="signatures"/>
      <w:bookmarkEnd w:id="20"/>
      <w:r>
        <w:rPr>
          <w:rFonts w:ascii="Times New Roman;serif" w:hAnsi="Times New Roman;serif"/>
          <w:b/>
          <w:sz w:val="20"/>
        </w:rPr>
        <w:t>SIGNATURES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6127" w:type="dxa"/>
        <w:jc w:val="left"/>
        <w:tblInd w:w="0" w:type="dxa"/>
        <w:tblLayout w:type="fixed"/>
        <w:tblCellMar>
          <w:top w:w="28" w:type="dxa"/>
          <w:left w:w="28" w:type="dxa"/>
          <w:bottom w:w="28" w:type="dxa"/>
          <w:right w:w="28" w:type="dxa"/>
        </w:tblCellMar>
      </w:tblPr>
      <w:tblGrid>
        <w:gridCol w:w="1846"/>
        <w:gridCol w:w="109"/>
        <w:gridCol w:w="40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172"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Tenaya Therapeutics, Inc.</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7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Faraz Ali, M.B.A.</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Faraz Ali, M.B.A.</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Executive Officer and Director</w:t>
            </w:r>
          </w:p>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7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Leone D. Patterson, M.B.A.</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Leone D. Patterson, M.B.A.</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Financial and Business Officer</w:t>
            </w:r>
          </w:p>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76</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4"/>
        </w:rPr>
      </w:pPr>
      <w:bookmarkStart w:id="21" w:name="tnya-ex3_1.htm"/>
      <w:bookmarkStart w:id="22" w:name="kstnyaex3_1"/>
      <w:bookmarkEnd w:id="21"/>
      <w:bookmarkEnd w:id="22"/>
      <w:r>
        <w:rPr>
          <w:rFonts w:ascii="Times New Roman;serif" w:hAnsi="Times New Roman;serif"/>
          <w:b/>
          <w:sz w:val="24"/>
        </w:rPr>
        <w:t>Exhibit 3.1</w:t>
      </w:r>
      <w:r>
        <w:br w:type="page"/>
      </w:r>
    </w:p>
    <w:p>
      <w:pPr>
        <w:pStyle w:val="TextBody"/>
        <w:bidi w:val="0"/>
        <w:spacing w:before="240" w:after="0"/>
        <w:jc w:val="center"/>
        <w:rPr>
          <w:rFonts w:ascii="Times New Roman;serif" w:hAnsi="Times New Roman;serif"/>
          <w:b/>
          <w:sz w:val="22"/>
        </w:rPr>
      </w:pPr>
      <w:r>
        <w:rPr>
          <w:rFonts w:ascii="Times New Roman;serif" w:hAnsi="Times New Roman;serif"/>
          <w:b/>
          <w:sz w:val="22"/>
        </w:rPr>
        <w:t>AMENDED AND RESTATED CERTIFICATE OF INCORPORATION OF</w:t>
      </w:r>
    </w:p>
    <w:p>
      <w:pPr>
        <w:pStyle w:val="TextBody"/>
        <w:bidi w:val="0"/>
        <w:spacing w:before="240" w:after="0"/>
        <w:jc w:val="center"/>
        <w:rPr>
          <w:rFonts w:ascii="Times New Roman;serif" w:hAnsi="Times New Roman;serif"/>
          <w:b/>
          <w:sz w:val="22"/>
        </w:rPr>
      </w:pPr>
      <w:r>
        <w:rPr>
          <w:rFonts w:ascii="Times New Roman;serif" w:hAnsi="Times New Roman;serif"/>
          <w:b/>
          <w:sz w:val="22"/>
        </w:rPr>
        <w:t>TENAYA THERAPEUTICS, INC.</w:t>
      </w:r>
    </w:p>
    <w:p>
      <w:pPr>
        <w:pStyle w:val="TextBody"/>
        <w:bidi w:val="0"/>
        <w:spacing w:before="240" w:after="0"/>
        <w:jc w:val="center"/>
        <w:rPr>
          <w:rFonts w:ascii="Times New Roman;serif" w:hAnsi="Times New Roman;serif"/>
          <w:b/>
          <w:sz w:val="22"/>
        </w:rPr>
      </w:pPr>
      <w:r>
        <w:rPr>
          <w:rFonts w:ascii="Times New Roman;serif" w:hAnsi="Times New Roman;serif"/>
          <w:b/>
          <w:sz w:val="22"/>
        </w:rPr>
        <w:t>a Delaware corporation</w:t>
      </w:r>
    </w:p>
    <w:p>
      <w:pPr>
        <w:pStyle w:val="TextBody"/>
        <w:bidi w:val="0"/>
        <w:spacing w:before="240" w:after="0"/>
        <w:jc w:val="both"/>
        <w:rPr>
          <w:rFonts w:ascii="Times New Roman" w:hAnsi="Times New Roman"/>
          <w:sz w:val="20"/>
        </w:rPr>
      </w:pPr>
      <w:r>
        <w:rPr>
          <w:rFonts w:ascii="Times New Roman;serif" w:hAnsi="Times New Roman;serif"/>
          <w:b w:val="false"/>
          <w:sz w:val="22"/>
        </w:rPr>
        <w:t>Tenaya Therapeutics, Inc., a corporation organized and existing under the laws of the State of Delaware (the “</w:t>
      </w:r>
      <w:r>
        <w:rPr>
          <w:rFonts w:ascii="Times New Roman;serif" w:hAnsi="Times New Roman;serif"/>
          <w:b/>
          <w:sz w:val="22"/>
        </w:rPr>
        <w:t>Company</w:t>
      </w:r>
      <w:r>
        <w:rPr>
          <w:rFonts w:ascii="Times New Roman" w:hAnsi="Times New Roman"/>
          <w:sz w:val="20"/>
        </w:rPr>
        <w:t>”</w:t>
      </w:r>
      <w:r>
        <w:rPr>
          <w:rFonts w:ascii="Times New Roman;serif" w:hAnsi="Times New Roman;serif"/>
          <w:b w:val="false"/>
          <w:sz w:val="22"/>
        </w:rPr>
        <w:t>), does hereby certify as follows:</w:t>
      </w:r>
    </w:p>
    <w:p>
      <w:pPr>
        <w:pStyle w:val="TextBody"/>
        <w:bidi w:val="0"/>
        <w:spacing w:before="240" w:after="0"/>
        <w:jc w:val="both"/>
        <w:rPr>
          <w:rFonts w:ascii="Times New Roman" w:hAnsi="Times New Roman"/>
          <w:b w:val="false"/>
          <w:sz w:val="22"/>
        </w:rPr>
      </w:pPr>
      <w:r>
        <w:rPr>
          <w:rFonts w:ascii="Times New Roman" w:hAnsi="Times New Roman"/>
          <w:b w:val="false"/>
          <w:sz w:val="22"/>
        </w:rPr>
        <w:t>A.</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The original Certificate of Incorporation of the Company was filed with the Secretary of State of the State of Delaware on August 18, 2016.</w:t>
      </w:r>
    </w:p>
    <w:p>
      <w:pPr>
        <w:pStyle w:val="TextBody"/>
        <w:bidi w:val="0"/>
        <w:spacing w:before="240" w:after="0"/>
        <w:jc w:val="both"/>
        <w:rPr>
          <w:rFonts w:ascii="Times New Roman" w:hAnsi="Times New Roman"/>
          <w:b w:val="false"/>
          <w:sz w:val="22"/>
        </w:rPr>
      </w:pPr>
      <w:r>
        <w:rPr>
          <w:rFonts w:ascii="Times New Roman" w:hAnsi="Times New Roman"/>
          <w:b w:val="false"/>
          <w:sz w:val="22"/>
        </w:rPr>
        <w:t>B.</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both"/>
        <w:rPr/>
      </w:pPr>
      <w:bookmarkStart w:id="23" w:name="ole_link9"/>
      <w:bookmarkEnd w:id="23"/>
      <w:r>
        <w:rPr>
          <w:rFonts w:ascii="Times New Roman;serif" w:hAnsi="Times New Roman;serif"/>
          <w:b w:val="false"/>
          <w:sz w:val="22"/>
        </w:rPr>
        <w:t>This Amended and Restated Certificate of Incorporation was duly adopted in accordance with Sections 242 and 245 of the General Corporation Law of the State of Delaware (the “</w:t>
      </w:r>
      <w:r>
        <w:rPr>
          <w:rFonts w:ascii="Times New Roman;serif" w:hAnsi="Times New Roman;serif"/>
          <w:b/>
          <w:sz w:val="22"/>
        </w:rPr>
        <w:t>DGCL</w:t>
      </w:r>
      <w:r>
        <w:rPr/>
        <w:t>”</w:t>
      </w:r>
      <w:r>
        <w:rPr>
          <w:rFonts w:ascii="Times New Roman;serif" w:hAnsi="Times New Roman;serif"/>
          <w:b w:val="false"/>
          <w:sz w:val="22"/>
        </w:rPr>
        <w:t>) by the Board of Directors of the Company (the “</w:t>
      </w:r>
      <w:r>
        <w:rPr>
          <w:rFonts w:ascii="Times New Roman;serif" w:hAnsi="Times New Roman;serif"/>
          <w:b/>
          <w:sz w:val="22"/>
        </w:rPr>
        <w:t>Board of Directors</w:t>
      </w:r>
      <w:r>
        <w:rPr/>
        <w:t>”</w:t>
      </w:r>
      <w:r>
        <w:rPr>
          <w:rFonts w:ascii="Times New Roman;serif" w:hAnsi="Times New Roman;serif"/>
          <w:b w:val="false"/>
          <w:sz w:val="22"/>
        </w:rPr>
        <w:t>) and has been duly approved by the written consent of the stockholders of the Company in accordance with Section 228 of the DGCL.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both"/>
        <w:rPr>
          <w:rFonts w:ascii="Times New Roman" w:hAnsi="Times New Roman"/>
          <w:b w:val="false"/>
          <w:sz w:val="22"/>
        </w:rPr>
      </w:pPr>
      <w:r>
        <w:rPr>
          <w:rFonts w:ascii="Times New Roman" w:hAnsi="Times New Roman"/>
          <w:b w:val="false"/>
          <w:sz w:val="22"/>
        </w:rPr>
        <w:t>C.</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The text of the Amended and Restated Certificate of Incorporation is hereby amended and restated in its entirety to read as follows:</w:t>
      </w:r>
    </w:p>
    <w:p>
      <w:pPr>
        <w:pStyle w:val="TextBody"/>
        <w:bidi w:val="0"/>
        <w:spacing w:before="240" w:after="283"/>
        <w:jc w:val="center"/>
        <w:rPr>
          <w:rFonts w:ascii="Times New Roman" w:hAnsi="Times New Roman"/>
          <w:b/>
          <w:sz w:val="22"/>
        </w:rPr>
      </w:pPr>
      <w:r>
        <w:rPr>
          <w:rFonts w:ascii="Times New Roman" w:hAnsi="Times New Roman"/>
          <w:b/>
          <w:sz w:val="22"/>
        </w:rPr>
        <w:t>ARTICLE I</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The name of the Company is Tenaya Therapeutics, Inc.</w:t>
      </w:r>
    </w:p>
    <w:p>
      <w:pPr>
        <w:pStyle w:val="TextBody"/>
        <w:bidi w:val="0"/>
        <w:spacing w:before="240" w:after="283"/>
        <w:jc w:val="center"/>
        <w:rPr>
          <w:rFonts w:ascii="Times New Roman" w:hAnsi="Times New Roman"/>
          <w:b/>
          <w:sz w:val="22"/>
        </w:rPr>
      </w:pPr>
      <w:r>
        <w:rPr>
          <w:rFonts w:ascii="Times New Roman" w:hAnsi="Times New Roman"/>
          <w:b/>
          <w:sz w:val="22"/>
        </w:rPr>
        <w:t>ARTICLE II</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The address of the Company’s registered office in the State of Delaware is 1209 Orange Street, in the City of Wilmington, County of New Castle, Delaware 19801. The name of its registered agent at such address is The Corporation Trust Company.</w:t>
      </w:r>
    </w:p>
    <w:p>
      <w:pPr>
        <w:pStyle w:val="TextBody"/>
        <w:bidi w:val="0"/>
        <w:spacing w:before="240" w:after="283"/>
        <w:jc w:val="center"/>
        <w:rPr>
          <w:rFonts w:ascii="Times New Roman" w:hAnsi="Times New Roman"/>
          <w:b/>
          <w:sz w:val="22"/>
        </w:rPr>
      </w:pPr>
      <w:r>
        <w:rPr>
          <w:rFonts w:ascii="Times New Roman" w:hAnsi="Times New Roman"/>
          <w:b/>
          <w:sz w:val="22"/>
        </w:rPr>
        <w:t>ARTICLE III</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The nature of the business or purposes to be conducted or promoted by the Company is to engage in any lawful act or activity for which corporations may be organized under the DGCL.</w:t>
      </w:r>
    </w:p>
    <w:p>
      <w:pPr>
        <w:pStyle w:val="TextBody"/>
        <w:bidi w:val="0"/>
        <w:spacing w:before="240" w:after="0"/>
        <w:jc w:val="center"/>
        <w:rPr>
          <w:rFonts w:ascii="Times New Roman" w:hAnsi="Times New Roman"/>
          <w:b/>
          <w:sz w:val="22"/>
        </w:rPr>
      </w:pPr>
      <w:r>
        <w:rPr>
          <w:rFonts w:ascii="Times New Roman" w:hAnsi="Times New Roman"/>
          <w:b/>
          <w:sz w:val="22"/>
        </w:rPr>
        <w:t>ARTICLE IV</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1.</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This Company is authorized to issue two classes of stock, to be designated, respectively, Common Stock and Preferred Stock. The total number of shares of stock that the Company shall have authority to issue is 1,200,000,000 shares, of which 1,000,000,000 shares are Common Stock, $0.0001 par value per share, and 200,000,000 shares are Preferred Stock, $0.0001 par value per share.</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2.</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Each share of Common Stock outstanding as of the applicable record date shall entitle the holder thereof to one (1) vote on any matter submitted to a vote at a meeting of stockholders.</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3.</w:t>
      </w:r>
    </w:p>
    <w:p>
      <w:pPr>
        <w:pStyle w:val="TextBody"/>
        <w:bidi w:val="0"/>
        <w:spacing w:before="240" w:after="283"/>
        <w:jc w:val="both"/>
        <w:rPr>
          <w:rFonts w:ascii="Times New Roman;serif" w:hAnsi="Times New Roman;serif"/>
          <w:b w:val="false"/>
          <w:sz w:val="22"/>
        </w:rPr>
      </w:pPr>
      <w:r>
        <w:rPr>
          <w:rFonts w:ascii="Times New Roman;serif" w:hAnsi="Times New Roman;serif"/>
          <w:b w:val="false"/>
          <w:sz w:val="22"/>
        </w:rPr>
        <w:t xml:space="preserve">The Preferred Stock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series of Preferred Stock, including, without limitation, authority to fix by resolution or resolutions the dividend rights,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subject to the powers, preferences and rights, and the qualifications, limitations and restrictions thereof stated in this Amended and Restated Certificate of Incorporation or the resolution of the Board of Directors originally fixing the number of shares of such series. Except as may be otherwise specified by the terms of any series of Preferred Stock, if the number of shares of any series of Preferred Stock is so decreased, then the Company shall take all such steps as are necessary to cause the shares constituting such decrease to resume the status which they had prior to the adoption of the resolution originally fixing the number of shares of such series.</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4.</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Except as otherwise required by law or provided in this Amended and Restated Certificate of Incorporation,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5.</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The number of authorized shares of Preferred Stock or Common Stock may be increased or decreased (but not below the number of shares thereof then outstanding) by the affirmative vote of the holders of a majority of the voting power of all the then-outstanding shares of capital stock of the Company entitled to vote thereon, without a separate vote of the holders of the class or classes the number of authorized shares of which are being increased or decreased, unless a vote of any holders of one or more series of Preferred Stock is required pursuant to the terms of any certificate of designation relating to any series of Preferred Stock, irrespective of the provisions of Section 242(b)(2) of the DGCL.</w:t>
      </w:r>
    </w:p>
    <w:p>
      <w:pPr>
        <w:pStyle w:val="TextBody"/>
        <w:bidi w:val="0"/>
        <w:spacing w:before="240" w:after="0"/>
        <w:jc w:val="center"/>
        <w:rPr>
          <w:rFonts w:ascii="Times New Roman" w:hAnsi="Times New Roman"/>
          <w:b/>
          <w:sz w:val="22"/>
        </w:rPr>
      </w:pPr>
      <w:r>
        <w:rPr>
          <w:rFonts w:ascii="Times New Roman" w:hAnsi="Times New Roman"/>
          <w:b/>
          <w:sz w:val="22"/>
        </w:rPr>
        <w:t>ARTICLE V</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1.</w:t>
      </w:r>
    </w:p>
    <w:p>
      <w:pPr>
        <w:pStyle w:val="TextBody"/>
        <w:bidi w:val="0"/>
        <w:spacing w:before="240" w:after="0"/>
        <w:jc w:val="both"/>
        <w:rPr/>
      </w:pPr>
      <w:r>
        <w:rPr>
          <w:rFonts w:ascii="Times New Roman;serif" w:hAnsi="Times New Roman;serif"/>
          <w:b w:val="false"/>
          <w:sz w:val="22"/>
        </w:rPr>
        <w:t>Subject to the rights of holders of Preferred Stock, the number of directors that constitutes the entire Board of Directors of the Company shall be fixed only by resolution of the Board of Directors acting pursuant to a resolution adopted by a majority of the Whole Board. For the purposes of this Amended and Restated Certificate of Incorporation, the term “</w:t>
      </w:r>
      <w:r>
        <w:rPr>
          <w:rFonts w:ascii="Times New Roman;serif" w:hAnsi="Times New Roman;serif"/>
          <w:b/>
          <w:sz w:val="22"/>
        </w:rPr>
        <w:t>Whole Board</w:t>
      </w:r>
      <w:r>
        <w:rPr/>
        <w:t xml:space="preserve">” </w:t>
      </w:r>
      <w:r>
        <w:rPr>
          <w:rFonts w:ascii="Times New Roman;serif" w:hAnsi="Times New Roman;serif"/>
          <w:b w:val="false"/>
          <w:sz w:val="22"/>
        </w:rPr>
        <w:t>shall mean the total number of authorized directorships whether or not there exist any vacancies or other unfilled seats in previously authorized directorships. At each annual meeting of stockholders, directors of the Company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2.</w:t>
      </w:r>
    </w:p>
    <w:p>
      <w:pPr>
        <w:pStyle w:val="TextBody"/>
        <w:bidi w:val="0"/>
        <w:spacing w:before="240" w:after="283"/>
        <w:jc w:val="both"/>
        <w:rPr>
          <w:rFonts w:ascii="Times New Roman;serif" w:hAnsi="Times New Roman;serif"/>
          <w:b w:val="false"/>
          <w:sz w:val="22"/>
        </w:rPr>
      </w:pPr>
      <w:r>
        <w:rPr>
          <w:rFonts w:ascii="Times New Roman;serif" w:hAnsi="Times New Roman;serif"/>
          <w:b w:val="false"/>
          <w:sz w:val="22"/>
        </w:rPr>
        <w:t xml:space="preserve">From and after the effectiveness of this Amended and Restated Certificate of Incorporation, the directors of the Company (other than any who may be elected by holders of Preferred Stock under specified circumstances) shall be divided into three classes as nearly equal in size as is practicable, hereby designated Class I, Class II and Class III. Directors already in office shall be assigned to each class at the time such classification becomes effective in accordance with a resolution or resolutions adopted by the Board of Directors. At the first annual meeting of stockholders following the date hereof, the term of office of the Class I directors shall expire and Class I directors shall be elected for a full term of three years. At the second annual meeting of stockholders following the date hereof, the term of office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rFonts w:ascii="Times New Roman;serif" w:hAnsi="Times New Roman;serif"/>
          <w:b w:val="false"/>
          <w:sz w:val="22"/>
        </w:rPr>
        <w:t xml:space="preserve">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w:t>
      </w:r>
      <w:r>
        <w:rPr>
          <w:rFonts w:ascii="Times New Roman;serif" w:hAnsi="Times New Roman;serif"/>
          <w:b w:val="false"/>
          <w:i/>
          <w:sz w:val="22"/>
        </w:rPr>
        <w:t>provided that</w:t>
      </w:r>
      <w:r>
        <w:rPr/>
        <w:t xml:space="preserve"> </w:t>
      </w:r>
      <w:r>
        <w:rPr>
          <w:rFonts w:ascii="Times New Roman;serif" w:hAnsi="Times New Roman;serif"/>
          <w:b w:val="false"/>
          <w:sz w:val="22"/>
        </w:rPr>
        <w:t>no decrease in the number of directors constituting the Board of Directors shall shorten the term of any incumbent director.</w:t>
      </w:r>
    </w:p>
    <w:p>
      <w:pPr>
        <w:pStyle w:val="TextBody"/>
        <w:bidi w:val="0"/>
        <w:spacing w:before="240" w:after="0"/>
        <w:jc w:val="center"/>
        <w:rPr>
          <w:rFonts w:ascii="Times New Roman" w:hAnsi="Times New Roman"/>
          <w:b/>
          <w:sz w:val="22"/>
        </w:rPr>
      </w:pPr>
      <w:r>
        <w:rPr>
          <w:rFonts w:ascii="Times New Roman" w:hAnsi="Times New Roman"/>
          <w:b/>
          <w:sz w:val="22"/>
        </w:rPr>
        <w:t>ARTICLE VI</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1.</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From and after the effectiveness of this Amended and Restated Certificate of Incorporation, only for so long as the Board of Directors is classified and subject to the rights of holders of Preferred Stock, any director or the entire Board of Directors may be removed from office at any time, but only for cause, and only by the affirmative vote of the holders of at least a majority of the voting power of the issued and outstanding capital stock of the Company entitled to vote in the election of directors.</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2.</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Except as otherwise provided for or fixed by or pursuant to the provisions of ARTICLE IV hereof in relation to the rights of the holders of Preferred Stock to elect directors under specified circumstances or except as otherwise provided by resolution of a majority of the Whole Board, newly created directorships resulting from any increase in the number of directors, created in accordance with the Bylaws of the Company,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 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w:t>
      </w:r>
    </w:p>
    <w:p>
      <w:pPr>
        <w:pStyle w:val="TextBody"/>
        <w:bidi w:val="0"/>
        <w:spacing w:before="240" w:after="0"/>
        <w:jc w:val="center"/>
        <w:rPr>
          <w:rFonts w:ascii="Times New Roman" w:hAnsi="Times New Roman"/>
          <w:b/>
          <w:sz w:val="22"/>
        </w:rPr>
      </w:pPr>
      <w:r>
        <w:rPr>
          <w:rFonts w:ascii="Times New Roman" w:hAnsi="Times New Roman"/>
          <w:b/>
          <w:sz w:val="22"/>
        </w:rPr>
        <w:t>ARTICLE VII</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1.</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The Company is to have perpetual existence.</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2.</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The business and affairs of the Company shall be managed by or under the direction of the Board of Directors. In addition to the powers and authority expressly conferred upon them by statute or by this Amended and Restated Certificate of Incorporation or the Bylaws of the Company, the directors are hereby empowered to exercise all such powers and do all such acts and things as may be exercised or done by the Company.</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3.</w:t>
      </w:r>
    </w:p>
    <w:p>
      <w:pPr>
        <w:pStyle w:val="TextBody"/>
        <w:bidi w:val="0"/>
        <w:spacing w:before="240" w:after="283"/>
        <w:jc w:val="both"/>
        <w:rPr/>
      </w:pPr>
      <w:r>
        <w:rPr>
          <w:rFonts w:ascii="Times New Roman;serif" w:hAnsi="Times New Roman;serif"/>
          <w:b w:val="false"/>
          <w:sz w:val="22"/>
        </w:rPr>
        <w:t>In furtherance and not in limitation of the powers conferred by statute, the Board of Directors is expressly authorized to adopt, alter, amend or repeal the Bylaws of the Company. The affirmative vote of at least a majority of the Whole Board shall be required in order for the Board of Directors to adopt, amend, alter or repeal the Company’s Bylaws. The Company’s Bylaws may also be adopted, amended, altered or repealed by the stockholders of the Company.</w:t>
      </w:r>
      <w:r>
        <w:rPr/>
        <w:t xml:space="preserve"> </w:t>
      </w:r>
      <w:r>
        <w:rPr>
          <w:rFonts w:ascii="Times New Roman;serif" w:hAnsi="Times New Roman;serif"/>
          <w:b w:val="false"/>
          <w:sz w:val="22"/>
        </w:rPr>
        <w:t>Notwithstanding the above or any other provision of this Amended and Restated Certificate of Incorporation, the Bylaws of the Company may not be amended, altered or repealed except in accordance with the provisions of the Bylaws relating to amendments to the Bylaws. No Bylaw hereafter legally adopted, amended, altered or repealed shall invalidate any prior act of the directors or officers of the Company that would have been valid if such Bylaw had not been adopted, amended, altered or repealed.</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4.</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The election of directors need not be by written ballot unless the Bylaws of the Company shall so provide.</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5.</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No stockholder will be permitted to cumulate votes at any election of directors.</w:t>
      </w:r>
    </w:p>
    <w:p>
      <w:pPr>
        <w:pStyle w:val="TextBody"/>
        <w:bidi w:val="0"/>
        <w:spacing w:before="240" w:after="0"/>
        <w:jc w:val="center"/>
        <w:rPr>
          <w:rFonts w:ascii="Times New Roman" w:hAnsi="Times New Roman"/>
          <w:b/>
          <w:sz w:val="22"/>
        </w:rPr>
      </w:pPr>
      <w:r>
        <w:rPr>
          <w:rFonts w:ascii="Times New Roman" w:hAnsi="Times New Roman"/>
          <w:b/>
          <w:sz w:val="22"/>
        </w:rPr>
        <w:t>ARTICLE VIII</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1.</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From and after the closing of a firm commitment underwritten initial public offering of securities of the Company pursuant to an effective registration statement filed under the Securities Act of 1933, as amended, and subject to the rights of holders of Preferred Stock, any action required or permitted to be taken by the stockholders of the Company must be effected at a duly called annual or special meeting of stockholders of the Company and may not be effected by any consent in writing by such stockholders.</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2.</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Subject to the terms of any series of Preferred Stock, special meetings of stockholders of the Company may be called only by the Chairperson of the Board of Directors, the Chief Executive Officer, the President or the Board of Directors acting pursuant to a resolution adopted by a majority of the Whole Board,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3.</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Advance notice of stockholder nominations for the election of directors and of business to be brought by stockholders before any meeting of the stockholders of the Company shall be given in the manner and to the extent provided in the Bylaws of the Company.</w:t>
      </w:r>
    </w:p>
    <w:p>
      <w:pPr>
        <w:pStyle w:val="TextBody"/>
        <w:bidi w:val="0"/>
        <w:spacing w:before="240" w:after="0"/>
        <w:jc w:val="center"/>
        <w:rPr>
          <w:rFonts w:ascii="Times New Roman" w:hAnsi="Times New Roman"/>
          <w:b/>
          <w:sz w:val="22"/>
        </w:rPr>
      </w:pPr>
      <w:r>
        <w:rPr>
          <w:rFonts w:ascii="Times New Roman" w:hAnsi="Times New Roman"/>
          <w:b/>
          <w:sz w:val="22"/>
        </w:rPr>
        <w:t>ARTICLE IX</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1.</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To the fullest extent permitted by the DGCL as the same exists or as may hereafter be amended from time to time, a director of the Company shall not be personally liable to the Company or its stockholders for monetary damages for breach of fiduciary duty as a director. If the DGCL is amended to authorize corporate action further eliminating or limiting the personal liability of directors, then the liability of a director of the Company shall be eliminated or limited to the fullest extent permitted by the DGCL, as so amended.</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2.</w:t>
      </w:r>
    </w:p>
    <w:p>
      <w:pPr>
        <w:pStyle w:val="TextBody"/>
        <w:bidi w:val="0"/>
        <w:spacing w:before="240" w:after="0"/>
        <w:jc w:val="both"/>
        <w:rPr/>
      </w:pPr>
      <w:r>
        <w:rPr>
          <w:rFonts w:ascii="Times New Roman;serif" w:hAnsi="Times New Roman;serif"/>
          <w:b w:val="false"/>
          <w:sz w:val="22"/>
        </w:rPr>
        <w:t>Subject to any provisions in the Bylaws of the Company related to indemnification of directors of the Company, the Company shall indemnify, to the fullest extent permitted by applicable law, any director of the Company who was or is a party or is threatened to be made a party to any threatened, pending or completed action, suit or proceeding, whether civil, criminal, administrative or investigative (a “</w:t>
      </w:r>
      <w:r>
        <w:rPr>
          <w:rFonts w:ascii="Times New Roman;serif" w:hAnsi="Times New Roman;serif"/>
          <w:b/>
          <w:sz w:val="22"/>
        </w:rPr>
        <w:t>Proceeding</w:t>
      </w:r>
      <w:r>
        <w:rPr/>
        <w:t>”</w:t>
      </w:r>
      <w:r>
        <w:rPr>
          <w:rFonts w:ascii="Times New Roman;serif" w:hAnsi="Times New Roman;serif"/>
          <w:b w:val="false"/>
          <w:sz w:val="22"/>
        </w:rPr>
        <w:t>) by reason of the fact that he or she is or was a director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Company shall be required to indemnify a person in connection with a Proceeding (or part thereof) initiated by such person only if the Proceeding (or part thereof) was authorized by the Board of Directors.</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3.</w:t>
      </w:r>
    </w:p>
    <w:p>
      <w:pPr>
        <w:pStyle w:val="TextBody"/>
        <w:bidi w:val="0"/>
        <w:spacing w:before="240" w:after="283"/>
        <w:jc w:val="both"/>
        <w:rPr>
          <w:rFonts w:ascii="Times New Roman;serif" w:hAnsi="Times New Roman;serif"/>
          <w:b w:val="false"/>
          <w:sz w:val="22"/>
        </w:rPr>
      </w:pPr>
      <w:r>
        <w:rPr>
          <w:rFonts w:ascii="Times New Roman;serif" w:hAnsi="Times New Roman;serif"/>
          <w:b w:val="false"/>
          <w:sz w:val="22"/>
        </w:rPr>
        <w:t xml:space="preserve">The Company shall have the power to indemnify, to the extent permitted by applicable law, any officer, employee or agent of the Company who was or is a party or is threatened to be made a party to any Proceeding by reason of the fact that he or she is or was a director, officer, employee or agent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amounts paid in settlement actually and reasonably incurred by such person in connection with any such Proceeding.</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4.</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Neither any amendment nor repeal of any Section of this ARTICLE IX, nor the adoption of any provision of this Amended and Restated Certificate of Incorporation or the Bylaws of the Company inconsistent with this ARTICLE IX, shall eliminate or reduce the effect of this ARTICLE IX in respect of any matter occurring, or any Proceeding accruing or arising or that, but for this ARTICLE IX, would accrue or arise, prior to such amendment, repeal or adoption of an inconsistent provision.</w:t>
      </w:r>
    </w:p>
    <w:p>
      <w:pPr>
        <w:pStyle w:val="TextBody"/>
        <w:bidi w:val="0"/>
        <w:spacing w:before="240" w:after="283"/>
        <w:jc w:val="center"/>
        <w:rPr>
          <w:rFonts w:ascii="Times New Roman" w:hAnsi="Times New Roman"/>
          <w:b/>
          <w:sz w:val="22"/>
        </w:rPr>
      </w:pPr>
      <w:r>
        <w:rPr>
          <w:rFonts w:ascii="Times New Roman" w:hAnsi="Times New Roman"/>
          <w:b/>
          <w:sz w:val="22"/>
        </w:rPr>
        <w:t>ARTICLE X</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Meetings of stockholders may be held within or outside of the State of Delaware, as the Bylaws may provide. The books of the Company may be kept (subject to any provision of applicable law) outside of the State of Delaware at such place or places or in such manner or manners as may be designated from time to time by the Board of Directors or in the Bylaws of the Company.</w:t>
      </w:r>
    </w:p>
    <w:p>
      <w:pPr>
        <w:pStyle w:val="TextBody"/>
        <w:bidi w:val="0"/>
        <w:spacing w:before="240" w:after="283"/>
        <w:jc w:val="center"/>
        <w:rPr>
          <w:rFonts w:ascii="Times New Roman" w:hAnsi="Times New Roman"/>
          <w:b/>
          <w:sz w:val="22"/>
        </w:rPr>
      </w:pPr>
      <w:r>
        <w:rPr>
          <w:rFonts w:ascii="Times New Roman" w:hAnsi="Times New Roman"/>
          <w:b/>
          <w:sz w:val="22"/>
        </w:rPr>
        <w:t>ARTICLE XI</w:t>
      </w:r>
    </w:p>
    <w:p>
      <w:pPr>
        <w:pStyle w:val="TextBody"/>
        <w:bidi w:val="0"/>
        <w:spacing w:before="240" w:after="0"/>
        <w:jc w:val="both"/>
        <w:rPr>
          <w:rFonts w:ascii="Times New Roman" w:hAnsi="Times New Roman"/>
          <w:sz w:val="20"/>
        </w:rPr>
      </w:pPr>
      <w:r>
        <w:rPr>
          <w:rFonts w:ascii="Times New Roman;serif" w:hAnsi="Times New Roman;serif"/>
          <w:b w:val="false"/>
          <w:sz w:val="22"/>
        </w:rPr>
        <w:t xml:space="preserve">The Company reserves the right to amend or repeal any provision contained in this Amended and Restated Certificate of Incorporation in the manner prescribed by the laws of the State of Delaware and all rights conferred upon stockholders are granted subject to this reservation;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that notwithstanding any other provision of this Amended and Restated Certificate of Incorporation or any provision of law that might otherwise permit a lesser vote, the Board of Directors acting pursuant to a resolution adopted by a majority of the Whole Board and the affirmative vote of 66 2/3% of the voting power of the then outstanding voting securities of the Company, voting together as a single class, shall be required for the amendment, repeal or modification of the provisions of Section 3 of ARTICLE IV, Section 2 of ARTICLE V, Section 1 of ARTICLE VI, Section 2 of ARTICLE VI, Section 5 of ARTICLE VII, Section 1 of ARTICLE VIII, Section 2 of ARTICLE VIII, Section 3 of ARTICLE VIII, or this ARTICLE XI of this Amended and Restated Certificate of Incorporation.</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IN WITNESS WHEREOF, Tenaya Therapeutics, Inc. has caused this Amended and Restated Certificate of Incorporation to be signed by the Chief Executive Officer of the Company on this 3rd day of August, 2021.</w:t>
      </w:r>
    </w:p>
    <w:p>
      <w:pPr>
        <w:pStyle w:val="TextBody"/>
        <w:bidi w:val="0"/>
        <w:spacing w:before="240" w:after="0"/>
        <w:jc w:val="both"/>
        <w:rPr/>
      </w:pPr>
      <w:r>
        <w:rPr/>
        <w:t> </w:t>
      </w:r>
    </w:p>
    <w:p>
      <w:pPr>
        <w:pStyle w:val="TextBody"/>
        <w:bidi w:val="0"/>
        <w:spacing w:before="240" w:after="0"/>
        <w:jc w:val="both"/>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Faraz Ali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Faraz Ali</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Chief Executive Officer</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6</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120" w:after="0"/>
        <w:jc w:val="center"/>
        <w:rPr>
          <w:rFonts w:ascii="Times New Roman;serif" w:hAnsi="Times New Roman;serif"/>
          <w:b/>
          <w:caps/>
          <w:sz w:val="22"/>
        </w:rPr>
      </w:pPr>
      <w:r>
        <w:rPr>
          <w:rFonts w:ascii="Times New Roman;serif" w:hAnsi="Times New Roman;serif"/>
          <w:b/>
          <w:caps/>
          <w:sz w:val="22"/>
        </w:rPr>
        <w:t>Certificate of Amendment to</w:t>
      </w:r>
    </w:p>
    <w:p>
      <w:pPr>
        <w:pStyle w:val="TextBody"/>
        <w:bidi w:val="0"/>
        <w:spacing w:before="120" w:after="0"/>
        <w:jc w:val="center"/>
        <w:rPr>
          <w:rFonts w:ascii="Times New Roman" w:hAnsi="Times New Roman"/>
          <w:sz w:val="20"/>
        </w:rPr>
      </w:pPr>
      <w:r>
        <w:rPr>
          <w:rFonts w:ascii="Times New Roman;serif" w:hAnsi="Times New Roman;serif"/>
          <w:b/>
          <w:caps/>
          <w:sz w:val="22"/>
        </w:rPr>
        <w:t>THE Amended and Restated</w:t>
      </w:r>
      <w:r>
        <w:rPr>
          <w:rFonts w:ascii="Times New Roman" w:hAnsi="Times New Roman"/>
          <w:caps/>
          <w:sz w:val="20"/>
        </w:rPr>
        <w:t xml:space="preserve"> </w:t>
      </w:r>
    </w:p>
    <w:p>
      <w:pPr>
        <w:pStyle w:val="TextBody"/>
        <w:bidi w:val="0"/>
        <w:spacing w:before="120" w:after="0"/>
        <w:jc w:val="center"/>
        <w:rPr>
          <w:rFonts w:ascii="Times New Roman;serif" w:hAnsi="Times New Roman;serif"/>
          <w:b/>
          <w:caps/>
          <w:sz w:val="22"/>
        </w:rPr>
      </w:pPr>
      <w:r>
        <w:rPr>
          <w:rFonts w:ascii="Times New Roman;serif" w:hAnsi="Times New Roman;serif"/>
          <w:b/>
          <w:caps/>
          <w:sz w:val="22"/>
        </w:rPr>
        <w:t>Certificate of Incorporation</w:t>
      </w:r>
    </w:p>
    <w:p>
      <w:pPr>
        <w:pStyle w:val="TextBody"/>
        <w:bidi w:val="0"/>
        <w:spacing w:before="120" w:after="0"/>
        <w:jc w:val="center"/>
        <w:rPr>
          <w:rFonts w:ascii="Times New Roman;serif" w:hAnsi="Times New Roman;serif"/>
          <w:b/>
          <w:caps/>
          <w:sz w:val="22"/>
        </w:rPr>
      </w:pPr>
      <w:r>
        <w:rPr>
          <w:rFonts w:ascii="Times New Roman;serif" w:hAnsi="Times New Roman;serif"/>
          <w:b/>
          <w:caps/>
          <w:sz w:val="22"/>
        </w:rPr>
        <w:t>of</w:t>
      </w:r>
    </w:p>
    <w:p>
      <w:pPr>
        <w:pStyle w:val="TextBody"/>
        <w:bidi w:val="0"/>
        <w:spacing w:before="120" w:after="0"/>
        <w:jc w:val="center"/>
        <w:rPr>
          <w:rFonts w:ascii="Times New Roman;serif" w:hAnsi="Times New Roman;serif"/>
          <w:b/>
          <w:caps/>
          <w:sz w:val="22"/>
        </w:rPr>
      </w:pPr>
      <w:r>
        <w:rPr>
          <w:rFonts w:ascii="Times New Roman;serif" w:hAnsi="Times New Roman;serif"/>
          <w:b/>
          <w:caps/>
          <w:sz w:val="22"/>
        </w:rPr>
        <w:t>TENAYA THERAPEUTICS, Inc.</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2"/>
        </w:rPr>
        <w:t>Tenaya Therapeutics, Inc., a corporation organized and existing under the laws of the State of Delaware (the “</w:t>
      </w:r>
      <w:r>
        <w:rPr>
          <w:rFonts w:ascii="Times New Roman;serif" w:hAnsi="Times New Roman;serif"/>
          <w:b/>
          <w:i/>
          <w:sz w:val="22"/>
        </w:rPr>
        <w:t>Corporation</w:t>
      </w:r>
      <w:r>
        <w:rPr>
          <w:rFonts w:ascii="Times New Roman" w:hAnsi="Times New Roman"/>
          <w:sz w:val="20"/>
        </w:rPr>
        <w:t>”</w:t>
      </w:r>
      <w:r>
        <w:rPr>
          <w:rFonts w:ascii="Times New Roman;serif" w:hAnsi="Times New Roman;serif"/>
          <w:b w:val="false"/>
          <w:sz w:val="22"/>
        </w:rPr>
        <w:t>), hereby certifies as follows:</w:t>
      </w:r>
    </w:p>
    <w:p>
      <w:pPr>
        <w:pStyle w:val="TextBody"/>
        <w:bidi w:val="0"/>
        <w:spacing w:before="240" w:after="0"/>
        <w:jc w:val="both"/>
        <w:rPr>
          <w:rFonts w:ascii="Times New Roman" w:hAnsi="Times New Roman"/>
          <w:b w:val="false"/>
          <w:sz w:val="22"/>
        </w:rPr>
      </w:pPr>
      <w:r>
        <w:rPr>
          <w:rFonts w:ascii="Times New Roman" w:hAnsi="Times New Roman"/>
          <w:b w:val="false"/>
          <w:sz w:val="22"/>
        </w:rPr>
        <w:t>1.</w:t>
      </w:r>
    </w:p>
    <w:p>
      <w:pPr>
        <w:pStyle w:val="TextBody"/>
        <w:bidi w:val="0"/>
        <w:spacing w:before="240" w:after="0"/>
        <w:jc w:val="both"/>
        <w:rPr/>
      </w:pPr>
      <w:r>
        <w:rPr>
          <w:rFonts w:ascii="Times New Roman;serif" w:hAnsi="Times New Roman;serif"/>
          <w:b w:val="false"/>
          <w:sz w:val="22"/>
        </w:rPr>
        <w:t>The name of the Corporation is Tenaya Therapeutics, Inc. The original Certificate of Incorporation of the Corporation was filed with the Secretary of State of the State (“</w:t>
      </w:r>
      <w:r>
        <w:rPr>
          <w:rFonts w:ascii="Times New Roman;serif" w:hAnsi="Times New Roman;serif"/>
          <w:b/>
          <w:i/>
          <w:sz w:val="22"/>
        </w:rPr>
        <w:t>SOS</w:t>
      </w:r>
      <w:r>
        <w:rPr/>
        <w:t>”</w:t>
      </w:r>
      <w:r>
        <w:rPr>
          <w:rFonts w:ascii="Times New Roman;serif" w:hAnsi="Times New Roman;serif"/>
          <w:b w:val="false"/>
          <w:sz w:val="22"/>
        </w:rPr>
        <w:t>) of Delaware on August 18, 2016. The Corporation’s most recent Amended and Restated Certificate of Incorporation was filed with the SOS on August 3, 2021 (the “</w:t>
      </w:r>
      <w:r>
        <w:rPr>
          <w:rFonts w:ascii="Times New Roman;serif" w:hAnsi="Times New Roman;serif"/>
          <w:b/>
          <w:i/>
          <w:sz w:val="22"/>
        </w:rPr>
        <w:t>Restated Certificate</w:t>
      </w:r>
      <w:r>
        <w:rPr/>
        <w:t>”</w:t>
      </w:r>
      <w:r>
        <w:rPr>
          <w:rFonts w:ascii="Times New Roman;serif" w:hAnsi="Times New Roman;serif"/>
          <w:b w:val="false"/>
          <w:sz w:val="22"/>
        </w:rPr>
        <w:t xml:space="preserve">). </w:t>
      </w:r>
    </w:p>
    <w:p>
      <w:pPr>
        <w:pStyle w:val="TextBody"/>
        <w:bidi w:val="0"/>
        <w:spacing w:before="240" w:after="0"/>
        <w:jc w:val="both"/>
        <w:rPr>
          <w:rFonts w:ascii="Times New Roman" w:hAnsi="Times New Roman"/>
          <w:b w:val="false"/>
          <w:sz w:val="22"/>
        </w:rPr>
      </w:pPr>
      <w:r>
        <w:rPr>
          <w:rFonts w:ascii="Times New Roman" w:hAnsi="Times New Roman"/>
          <w:b w:val="false"/>
          <w:sz w:val="22"/>
        </w:rPr>
        <w:t>2.</w:t>
      </w:r>
    </w:p>
    <w:p>
      <w:pPr>
        <w:pStyle w:val="TextBody"/>
        <w:bidi w:val="0"/>
        <w:spacing w:before="240" w:after="0"/>
        <w:jc w:val="both"/>
        <w:rPr/>
      </w:pPr>
      <w:r>
        <w:rPr>
          <w:rFonts w:ascii="Times New Roman;serif" w:hAnsi="Times New Roman;serif"/>
          <w:b w:val="false"/>
          <w:sz w:val="22"/>
        </w:rPr>
        <w:t>This Certificate of Amendment to the Restated Certificate (the “</w:t>
      </w:r>
      <w:r>
        <w:rPr>
          <w:rFonts w:ascii="Times New Roman;serif" w:hAnsi="Times New Roman;serif"/>
          <w:b/>
          <w:i/>
          <w:sz w:val="22"/>
        </w:rPr>
        <w:t>Certificate of Amendment</w:t>
      </w:r>
      <w:r>
        <w:rPr/>
        <w:t>”</w:t>
      </w:r>
      <w:r>
        <w:rPr>
          <w:rFonts w:ascii="Times New Roman;serif" w:hAnsi="Times New Roman;serif"/>
          <w:b w:val="false"/>
          <w:sz w:val="22"/>
        </w:rPr>
        <w:t>) has been duly adopted in accordance with Section 242 of the Delaware General Corporation Law (the “</w:t>
      </w:r>
      <w:r>
        <w:rPr>
          <w:rFonts w:ascii="Times New Roman;serif" w:hAnsi="Times New Roman;serif"/>
          <w:b/>
          <w:i/>
          <w:sz w:val="22"/>
        </w:rPr>
        <w:t>DGCL</w:t>
      </w:r>
      <w:r>
        <w:rPr/>
        <w:t>”</w:t>
      </w:r>
      <w:r>
        <w:rPr>
          <w:rFonts w:ascii="Times New Roman;serif" w:hAnsi="Times New Roman;serif"/>
          <w:b w:val="false"/>
          <w:sz w:val="22"/>
        </w:rPr>
        <w:t>) and amends the provisions of the Restated Certificate.</w:t>
      </w:r>
    </w:p>
    <w:p>
      <w:pPr>
        <w:pStyle w:val="TextBody"/>
        <w:bidi w:val="0"/>
        <w:spacing w:before="240" w:after="0"/>
        <w:jc w:val="both"/>
        <w:rPr>
          <w:rFonts w:ascii="Times New Roman" w:hAnsi="Times New Roman"/>
          <w:b w:val="false"/>
          <w:sz w:val="22"/>
        </w:rPr>
      </w:pPr>
      <w:r>
        <w:rPr>
          <w:rFonts w:ascii="Times New Roman" w:hAnsi="Times New Roman"/>
          <w:b w:val="false"/>
          <w:sz w:val="22"/>
        </w:rPr>
        <w:t>3.</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The terms and provisions of this Certificate of Amendment have been duly approved by written consent of the required number of shares of outstanding stock of the Corporation pursuant to Subsection 228(a) of the DGCL and written notice pursuant to Subsection 228(e) of the DGCL has been or will be given to those stockholders whose written consent has not been obtained.</w:t>
      </w:r>
    </w:p>
    <w:p>
      <w:pPr>
        <w:pStyle w:val="TextBody"/>
        <w:bidi w:val="0"/>
        <w:spacing w:before="240" w:after="0"/>
        <w:jc w:val="both"/>
        <w:rPr>
          <w:rFonts w:ascii="Times New Roman" w:hAnsi="Times New Roman"/>
          <w:b w:val="false"/>
          <w:sz w:val="22"/>
        </w:rPr>
      </w:pPr>
      <w:r>
        <w:rPr>
          <w:rFonts w:ascii="Times New Roman" w:hAnsi="Times New Roman"/>
          <w:b w:val="false"/>
          <w:sz w:val="22"/>
        </w:rPr>
        <w:t>4.</w:t>
      </w:r>
    </w:p>
    <w:p>
      <w:pPr>
        <w:pStyle w:val="TextBody"/>
        <w:bidi w:val="0"/>
        <w:spacing w:before="240" w:after="283"/>
        <w:jc w:val="both"/>
        <w:rPr>
          <w:rFonts w:ascii="Times New Roman;serif" w:hAnsi="Times New Roman;serif"/>
          <w:b w:val="false"/>
          <w:sz w:val="22"/>
        </w:rPr>
      </w:pPr>
      <w:r>
        <w:rPr>
          <w:rFonts w:ascii="Times New Roman;serif" w:hAnsi="Times New Roman;serif"/>
          <w:b w:val="false"/>
          <w:sz w:val="22"/>
        </w:rPr>
        <w:t>Section 1 of ARTICLE IX of the Restated Certificate is hereby amended and restated in its entirety to read as follows:</w:t>
      </w:r>
    </w:p>
    <w:p>
      <w:pPr>
        <w:pStyle w:val="TextBody"/>
        <w:bidi w:val="0"/>
        <w:spacing w:before="240" w:after="0"/>
        <w:jc w:val="both"/>
        <w:rPr/>
      </w:pPr>
      <w:r>
        <w:rPr/>
        <w:t>“</w:t>
      </w:r>
      <w:r>
        <w:rPr>
          <w:rFonts w:ascii="Times New Roman;serif" w:hAnsi="Times New Roman;serif"/>
          <w:b w:val="false"/>
          <w:sz w:val="22"/>
        </w:rPr>
        <w:t>Section 1. To the fullest extent permitted by the DGCL as the same exists or as may hereafter be amended from time to time, a director or officer of the Company shall not be personally liable to the Company or its stockholders for monetary damages for breach of fiduciary duty as a director or officer. If the DGCL is amended to authorize corporate action further eliminating or limiting the personal liability of directors or officers, then the liability of a director or officer of the Company shall be eliminated or limited to the fullest extent permitted by the DGCL, as so amended.”</w:t>
      </w:r>
    </w:p>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 * *</w:t>
      </w:r>
    </w:p>
    <w:p>
      <w:pPr>
        <w:pStyle w:val="TextBody"/>
        <w:bidi w:val="0"/>
        <w:spacing w:before="240" w:after="0"/>
        <w:jc w:val="center"/>
        <w:rPr/>
      </w:pPr>
      <w:r>
        <w:rPr/>
        <w:t> </w:t>
      </w:r>
    </w:p>
    <w:p>
      <w:pPr>
        <w:pStyle w:val="TextBody"/>
        <w:bidi w:val="0"/>
        <w:spacing w:before="240" w:after="0"/>
        <w:jc w:val="left"/>
        <w:rPr/>
      </w:pPr>
      <w:r>
        <w:rPr/>
        <w:t> </w:t>
      </w:r>
    </w:p>
    <w:p>
      <w:pPr>
        <w:pStyle w:val="TextBody"/>
        <w:bidi w:val="0"/>
        <w:spacing w:before="24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240" w:after="0"/>
        <w:jc w:val="both"/>
        <w:rPr>
          <w:rFonts w:ascii="Times New Roman" w:hAnsi="Times New Roman"/>
          <w:sz w:val="20"/>
        </w:rPr>
      </w:pPr>
      <w:r>
        <w:rPr>
          <w:rFonts w:ascii="Times New Roman;serif" w:hAnsi="Times New Roman;serif"/>
          <w:b/>
          <w:smallCaps/>
          <w:sz w:val="22"/>
        </w:rPr>
        <w:t xml:space="preserve">In Witness Whereof, </w:t>
      </w:r>
      <w:r>
        <w:rPr>
          <w:rFonts w:ascii="Times New Roman;serif" w:hAnsi="Times New Roman;serif"/>
          <w:b w:val="false"/>
          <w:sz w:val="22"/>
        </w:rPr>
        <w:t>Tenaya Therapeutics, Inc. has caused this Certificate of Amendment to be signed by its Chief Executive Officer on this 8</w:t>
      </w:r>
      <w:r>
        <w:rPr>
          <w:rFonts w:ascii="Times New Roman;serif" w:hAnsi="Times New Roman;serif"/>
          <w:b w:val="false"/>
          <w:sz w:val="15"/>
        </w:rPr>
        <w:t>th</w:t>
      </w:r>
      <w:r>
        <w:rPr>
          <w:rFonts w:ascii="Times New Roman" w:hAnsi="Times New Roman"/>
          <w:sz w:val="20"/>
        </w:rPr>
        <w:t xml:space="preserve"> </w:t>
      </w:r>
      <w:r>
        <w:rPr>
          <w:rFonts w:ascii="Times New Roman;serif" w:hAnsi="Times New Roman;serif"/>
          <w:b w:val="false"/>
          <w:sz w:val="22"/>
        </w:rPr>
        <w:t>day of June, 2023.</w:t>
      </w:r>
    </w:p>
    <w:p>
      <w:pPr>
        <w:pStyle w:val="TextBody"/>
        <w:bidi w:val="0"/>
        <w:spacing w:before="240" w:after="0"/>
        <w:jc w:val="left"/>
        <w:rPr/>
      </w:pPr>
      <w:r>
        <w:rPr/>
        <w:t> </w:t>
      </w:r>
    </w:p>
    <w:p>
      <w:pPr>
        <w:pStyle w:val="TextBody"/>
        <w:bidi w:val="0"/>
        <w:spacing w:before="240" w:after="0"/>
        <w:jc w:val="left"/>
        <w:rPr>
          <w:rFonts w:ascii="Times New Roman;serif" w:hAnsi="Times New Roman;serif"/>
          <w:b/>
          <w:smallCaps/>
          <w:sz w:val="22"/>
        </w:rPr>
      </w:pPr>
      <w:r>
        <w:rPr>
          <w:rFonts w:ascii="Times New Roman;serif" w:hAnsi="Times New Roman;serif"/>
          <w:b/>
          <w:smallCaps/>
          <w:sz w:val="22"/>
        </w:rPr>
        <w:t>Tenaya Therapeutics, Inc.</w:t>
      </w:r>
    </w:p>
    <w:p>
      <w:pPr>
        <w:pStyle w:val="TextBody"/>
        <w:bidi w:val="0"/>
        <w:spacing w:before="24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Faraz Ali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Faraz Ali</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Chief Executive Officer</w:t>
      </w:r>
    </w:p>
    <w:p>
      <w:pPr>
        <w:pStyle w:val="TextBody"/>
        <w:bidi w:val="0"/>
        <w:spacing w:before="0" w:after="0"/>
        <w:jc w:val="both"/>
        <w:rPr/>
      </w:pPr>
      <w:r>
        <w:rPr/>
        <w:t> </w:t>
      </w:r>
    </w:p>
    <w:p>
      <w:pPr>
        <w:pStyle w:val="TextBody"/>
        <w:bidi w:val="0"/>
        <w:spacing w:before="120" w:after="0"/>
        <w:jc w:val="center"/>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 w:hAnsi="Times New Roman"/>
          <w:sz w:val="20"/>
        </w:rPr>
      </w:pPr>
      <w:bookmarkStart w:id="24" w:name="tnya-ex31_1.htm"/>
      <w:bookmarkStart w:id="25" w:name="kstnyaex31_1"/>
      <w:bookmarkEnd w:id="24"/>
      <w:bookmarkEnd w:id="25"/>
      <w:r>
        <w:rPr>
          <w:rFonts w:ascii="Times New Roman;serif" w:hAnsi="Times New Roman;serif"/>
          <w:b/>
          <w:sz w:val="20"/>
        </w:rPr>
        <w:t>Exhibit 31.1</w:t>
      </w:r>
      <w:r>
        <w:rPr>
          <w:rFonts w:ascii="Times New Roman" w:hAnsi="Times New Roman"/>
          <w:sz w:val="20"/>
        </w:rPr>
        <w:t xml:space="preserve"> </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OF PRINCIPAL EXECUTIVE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302 OF THE SARBANES-OXLEY ACT OF 2002</w:t>
      </w:r>
    </w:p>
    <w:p>
      <w:pPr>
        <w:pStyle w:val="TextBody"/>
        <w:bidi w:val="0"/>
        <w:spacing w:before="0" w:after="0"/>
        <w:jc w:val="center"/>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 Faraz Ali, M.B.A., certify that: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jc w:val="left"/>
        <w:rPr>
          <w:rFonts w:ascii="Times New Roman;serif" w:hAnsi="Times New Roman;serif"/>
          <w:b w:val="false"/>
          <w:sz w:val="20"/>
        </w:rPr>
      </w:pPr>
      <w:r>
        <w:rPr>
          <w:rFonts w:ascii="Times New Roman;serif" w:hAnsi="Times New Roman;serif"/>
          <w:b w:val="false"/>
          <w:sz w:val="20"/>
        </w:rPr>
        <w:t>I have reviewed this Quarterly Report on Form 10-Q of Tenaya Therapeutics, Inc.;</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3.</w:t>
      </w:r>
    </w:p>
    <w:p>
      <w:pPr>
        <w:pStyle w:val="TextBody"/>
        <w:bidi w:val="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4.</w:t>
      </w:r>
    </w:p>
    <w:p>
      <w:pPr>
        <w:pStyle w:val="TextBody"/>
        <w:bidi w:val="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(a)</w:t>
      </w:r>
    </w:p>
    <w:p>
      <w:pPr>
        <w:pStyle w:val="TextBody"/>
        <w:bidi w:val="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(b)</w:t>
      </w:r>
    </w:p>
    <w:p>
      <w:pPr>
        <w:pStyle w:val="TextBody"/>
        <w:bidi w:val="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(c)</w:t>
      </w:r>
    </w:p>
    <w:p>
      <w:pPr>
        <w:pStyle w:val="TextBody"/>
        <w:bidi w:val="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(d)</w:t>
      </w:r>
    </w:p>
    <w:p>
      <w:pPr>
        <w:pStyle w:val="TextBody"/>
        <w:bidi w:val="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5.</w:t>
      </w:r>
    </w:p>
    <w:p>
      <w:pPr>
        <w:pStyle w:val="TextBody"/>
        <w:bidi w:val="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(a)</w:t>
      </w:r>
    </w:p>
    <w:p>
      <w:pPr>
        <w:pStyle w:val="TextBody"/>
        <w:bidi w:val="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(b)</w:t>
      </w:r>
    </w:p>
    <w:p>
      <w:pPr>
        <w:pStyle w:val="TextBody"/>
        <w:bidi w:val="0"/>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Date: August 9, 2023</w:t>
      </w:r>
    </w:p>
    <w:tbl>
      <w:tblPr>
        <w:tblW w:w="6313" w:type="dxa"/>
        <w:jc w:val="left"/>
        <w:tblInd w:w="0" w:type="dxa"/>
        <w:tblLayout w:type="fixed"/>
        <w:tblCellMar>
          <w:top w:w="28" w:type="dxa"/>
          <w:left w:w="28" w:type="dxa"/>
          <w:bottom w:w="28" w:type="dxa"/>
          <w:right w:w="28" w:type="dxa"/>
        </w:tblCellMar>
      </w:tblPr>
      <w:tblGrid>
        <w:gridCol w:w="161"/>
        <w:gridCol w:w="631"/>
        <w:gridCol w:w="5521"/>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5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5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52" w:type="dxa"/>
            <w:gridSpan w:val="2"/>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TENAYA THERAPEUTICS, INC.</w:t>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5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552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/s/ Faraz Ali, M.B.A.</w:t>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Name:</w:t>
            </w:r>
          </w:p>
        </w:tc>
        <w:tc>
          <w:tcPr>
            <w:tcW w:w="552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Faraz Ali, M.B.A.</w:t>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55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Chief Executive Officer and Director </w:t>
            </w:r>
            <w:r>
              <w:rPr>
                <w:rFonts w:ascii="Times New Roman;serif" w:hAnsi="Times New Roman;serif"/>
                <w:b w:val="false"/>
                <w:i/>
                <w:sz w:val="20"/>
              </w:rPr>
              <w:t>(Principal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 w:hAnsi="Times New Roman"/>
          <w:sz w:val="20"/>
        </w:rPr>
      </w:pPr>
      <w:bookmarkStart w:id="26" w:name="tnya-ex31_2.htm"/>
      <w:bookmarkStart w:id="27" w:name="kstnyaex31_2"/>
      <w:bookmarkEnd w:id="26"/>
      <w:bookmarkEnd w:id="27"/>
      <w:r>
        <w:rPr>
          <w:rFonts w:ascii="Times New Roman;serif" w:hAnsi="Times New Roman;serif"/>
          <w:b/>
          <w:sz w:val="20"/>
        </w:rPr>
        <w:t>Exhibit 31.2</w:t>
      </w:r>
      <w:r>
        <w:rPr>
          <w:rFonts w:ascii="Times New Roman" w:hAnsi="Times New Roman"/>
          <w:sz w:val="20"/>
        </w:rPr>
        <w:t xml:space="preserve"> </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OF PRINCIPAL FINANCIAL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302 OF THE SARBANES-OXLEY ACT OF 2002</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 Leone D. Patterson, M.B.A., certify that: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jc w:val="left"/>
        <w:rPr>
          <w:rFonts w:ascii="Times New Roman;serif" w:hAnsi="Times New Roman;serif"/>
          <w:b w:val="false"/>
          <w:sz w:val="20"/>
        </w:rPr>
      </w:pPr>
      <w:r>
        <w:rPr>
          <w:rFonts w:ascii="Times New Roman;serif" w:hAnsi="Times New Roman;serif"/>
          <w:b w:val="false"/>
          <w:sz w:val="20"/>
        </w:rPr>
        <w:t>I have reviewed this Quarterly Report on Form 10-Q of Tenaya Therapeutics, Inc.;</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3.</w:t>
      </w:r>
    </w:p>
    <w:p>
      <w:pPr>
        <w:pStyle w:val="TextBody"/>
        <w:bidi w:val="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4.</w:t>
      </w:r>
    </w:p>
    <w:p>
      <w:pPr>
        <w:pStyle w:val="TextBody"/>
        <w:bidi w:val="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(a)</w:t>
      </w:r>
    </w:p>
    <w:p>
      <w:pPr>
        <w:pStyle w:val="TextBody"/>
        <w:bidi w:val="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(b)</w:t>
      </w:r>
    </w:p>
    <w:p>
      <w:pPr>
        <w:pStyle w:val="TextBody"/>
        <w:bidi w:val="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(c)</w:t>
      </w:r>
    </w:p>
    <w:p>
      <w:pPr>
        <w:pStyle w:val="TextBody"/>
        <w:bidi w:val="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(d)</w:t>
      </w:r>
    </w:p>
    <w:p>
      <w:pPr>
        <w:pStyle w:val="TextBody"/>
        <w:bidi w:val="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5.</w:t>
      </w:r>
    </w:p>
    <w:p>
      <w:pPr>
        <w:pStyle w:val="TextBody"/>
        <w:bidi w:val="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(a)</w:t>
      </w:r>
    </w:p>
    <w:p>
      <w:pPr>
        <w:pStyle w:val="TextBody"/>
        <w:bidi w:val="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(b)</w:t>
      </w:r>
    </w:p>
    <w:p>
      <w:pPr>
        <w:pStyle w:val="TextBody"/>
        <w:bidi w:val="0"/>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Date: August 9, 2023</w:t>
      </w:r>
    </w:p>
    <w:tbl>
      <w:tblPr>
        <w:tblW w:w="4663" w:type="dxa"/>
        <w:jc w:val="left"/>
        <w:tblInd w:w="0" w:type="dxa"/>
        <w:tblLayout w:type="fixed"/>
        <w:tblCellMar>
          <w:top w:w="28" w:type="dxa"/>
          <w:left w:w="28" w:type="dxa"/>
          <w:bottom w:w="28" w:type="dxa"/>
          <w:right w:w="28" w:type="dxa"/>
        </w:tblCellMar>
      </w:tblPr>
      <w:tblGrid>
        <w:gridCol w:w="161"/>
        <w:gridCol w:w="631"/>
        <w:gridCol w:w="3871"/>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02" w:type="dxa"/>
            <w:gridSpan w:val="2"/>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TENAYA THERAPEUTICS, INC.</w:t>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0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387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/s/ Leone D. Patterson, M.B.A.</w:t>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Name:</w:t>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Leone D. Patterson, M.B.A.</w:t>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Chief Financial and Business Officer</w:t>
            </w:r>
          </w:p>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Financial and Accounting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8" w:name="tnya-ex32_1.htm"/>
      <w:bookmarkStart w:id="29" w:name="kstnyaex32_1"/>
      <w:bookmarkEnd w:id="28"/>
      <w:bookmarkEnd w:id="29"/>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0" w:after="0"/>
        <w:jc w:val="right"/>
        <w:rPr/>
      </w:pPr>
      <w:r>
        <w:rPr/>
        <w:t> </w:t>
      </w:r>
    </w:p>
    <w:p>
      <w:pPr>
        <w:pStyle w:val="TextBody"/>
        <w:bidi w:val="0"/>
        <w:spacing w:before="0" w:after="0"/>
        <w:jc w:val="center"/>
        <w:rPr>
          <w:rFonts w:ascii="Times New Roman;serif" w:hAnsi="Times New Roman;serif"/>
          <w:b/>
          <w:sz w:val="18"/>
        </w:rPr>
      </w:pPr>
      <w:r>
        <w:rPr>
          <w:rFonts w:ascii="Times New Roman;serif" w:hAnsi="Times New Roman;serif"/>
          <w:b/>
          <w:sz w:val="18"/>
        </w:rPr>
        <w:t>CERTIFICATIONS OF PRINCIPAL EXECUTIVE OFFICER AND PRINCIPAL FINANCIAL OFFICER</w:t>
      </w:r>
    </w:p>
    <w:p>
      <w:pPr>
        <w:pStyle w:val="TextBody"/>
        <w:bidi w:val="0"/>
        <w:spacing w:before="0" w:after="0"/>
        <w:jc w:val="center"/>
        <w:rPr>
          <w:rFonts w:ascii="Times New Roman;serif" w:hAnsi="Times New Roman;serif"/>
          <w:b/>
          <w:sz w:val="18"/>
        </w:rPr>
      </w:pPr>
      <w:r>
        <w:rPr>
          <w:rFonts w:ascii="Times New Roman;serif" w:hAnsi="Times New Roman;serif"/>
          <w:b/>
          <w:sz w:val="18"/>
        </w:rPr>
        <w:t>PURSUANT TO</w:t>
      </w:r>
    </w:p>
    <w:p>
      <w:pPr>
        <w:pStyle w:val="TextBody"/>
        <w:bidi w:val="0"/>
        <w:spacing w:before="0" w:after="0"/>
        <w:jc w:val="center"/>
        <w:rPr>
          <w:rFonts w:ascii="Times New Roman;serif" w:hAnsi="Times New Roman;serif"/>
          <w:b/>
          <w:sz w:val="18"/>
        </w:rPr>
      </w:pPr>
      <w:r>
        <w:rPr>
          <w:rFonts w:ascii="Times New Roman;serif" w:hAnsi="Times New Roman;serif"/>
          <w:b/>
          <w:sz w:val="18"/>
        </w:rPr>
        <w:t>18 U.S.C. SECTION 1350,</w:t>
      </w:r>
    </w:p>
    <w:p>
      <w:pPr>
        <w:pStyle w:val="TextBody"/>
        <w:bidi w:val="0"/>
        <w:spacing w:before="0" w:after="0"/>
        <w:jc w:val="center"/>
        <w:rPr>
          <w:rFonts w:ascii="Times New Roman;serif" w:hAnsi="Times New Roman;serif"/>
          <w:b/>
          <w:sz w:val="18"/>
        </w:rPr>
      </w:pPr>
      <w:r>
        <w:rPr>
          <w:rFonts w:ascii="Times New Roman;serif" w:hAnsi="Times New Roman;serif"/>
          <w:b/>
          <w:sz w:val="18"/>
        </w:rPr>
        <w:t>AS ADOPTED PURSUANT TO</w:t>
      </w:r>
    </w:p>
    <w:p>
      <w:pPr>
        <w:pStyle w:val="TextBody"/>
        <w:bidi w:val="0"/>
        <w:spacing w:before="0" w:after="0"/>
        <w:jc w:val="center"/>
        <w:rPr>
          <w:rFonts w:ascii="Times New Roman;serif" w:hAnsi="Times New Roman;serif"/>
          <w:b/>
          <w:sz w:val="18"/>
        </w:rPr>
      </w:pPr>
      <w:r>
        <w:rPr>
          <w:rFonts w:ascii="Times New Roman;serif" w:hAnsi="Times New Roman;serif"/>
          <w:b/>
          <w:sz w:val="18"/>
        </w:rPr>
        <w:t>SECTION 906 OF THE SARBANES-OXLEY ACT OF 2002</w:t>
      </w:r>
    </w:p>
    <w:p>
      <w:pPr>
        <w:pStyle w:val="TextBody"/>
        <w:bidi w:val="0"/>
        <w:spacing w:before="0" w:after="0"/>
        <w:jc w:val="center"/>
        <w:rPr/>
      </w:pPr>
      <w:r>
        <w:rPr/>
        <w:t> </w:t>
      </w:r>
    </w:p>
    <w:p>
      <w:pPr>
        <w:pStyle w:val="TextBody"/>
        <w:bidi w:val="0"/>
        <w:spacing w:before="40" w:after="0"/>
        <w:jc w:val="both"/>
        <w:rPr>
          <w:rFonts w:ascii="Times New Roman;serif" w:hAnsi="Times New Roman;serif"/>
          <w:b w:val="false"/>
          <w:sz w:val="20"/>
        </w:rPr>
      </w:pPr>
      <w:r>
        <w:rPr>
          <w:rFonts w:ascii="Times New Roman;serif" w:hAnsi="Times New Roman;serif"/>
          <w:b w:val="false"/>
          <w:sz w:val="20"/>
        </w:rPr>
        <w:t>I, Faraz Ali, M.B.A., certify, pursuant to 18 U.S.C. Section 1350 as adopted pursuant to Section 906 of the Sarbanes-Oxley Act of 2002, that, (1) the Quarterly Report on Form 10-Q of Tenaya Therapeutics, Inc. (the “Company”) for the quarterly period ended June 30, 2023,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3428" w:type="dxa"/>
        <w:jc w:val="left"/>
        <w:tblInd w:w="0" w:type="dxa"/>
        <w:tblLayout w:type="fixed"/>
        <w:tblCellMar>
          <w:top w:w="28" w:type="dxa"/>
          <w:left w:w="28" w:type="dxa"/>
          <w:bottom w:w="28" w:type="dxa"/>
          <w:right w:w="28" w:type="dxa"/>
        </w:tblCellMar>
      </w:tblPr>
      <w:tblGrid>
        <w:gridCol w:w="161"/>
        <w:gridCol w:w="146"/>
        <w:gridCol w:w="312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Faraz Ali, M.B.A.</w:t>
            </w:r>
          </w:p>
        </w:tc>
      </w:tr>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Faraz Ali, M.B.A.</w:t>
            </w:r>
          </w:p>
        </w:tc>
      </w:tr>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1" w:type="dxa"/>
            <w:tcBorders/>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Chief Executive Officer and Director</w:t>
            </w:r>
          </w:p>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Executive Officer)</w:t>
            </w:r>
          </w:p>
        </w:tc>
      </w:tr>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r>
    </w:tbl>
    <w:p>
      <w:pPr>
        <w:pStyle w:val="TextBody"/>
        <w:bidi w:val="0"/>
        <w:spacing w:before="0" w:after="0"/>
        <w:jc w:val="left"/>
        <w:rPr/>
      </w:pPr>
      <w:r>
        <w:rPr/>
        <w:t> </w:t>
      </w:r>
    </w:p>
    <w:p>
      <w:pPr>
        <w:pStyle w:val="TextBody"/>
        <w:bidi w:val="0"/>
        <w:spacing w:before="40" w:after="0"/>
        <w:jc w:val="both"/>
        <w:rPr>
          <w:rFonts w:ascii="Times New Roman;serif" w:hAnsi="Times New Roman;serif"/>
          <w:b w:val="false"/>
          <w:sz w:val="20"/>
        </w:rPr>
      </w:pPr>
      <w:r>
        <w:rPr>
          <w:rFonts w:ascii="Times New Roman;serif" w:hAnsi="Times New Roman;serif"/>
          <w:b w:val="false"/>
          <w:sz w:val="20"/>
        </w:rPr>
        <w:t>I, Leone D. Patterson, M.B.A., certify, pursuant to 18 U.S.C. Section 1350 as adopted pursuant to Section 906 of the Sarbanes-Oxley Act of 2002, that, (1) the Quarterly Report on Form 10-Q of Tenaya Therapeutics, Inc. (the “Company”) for the quarterly period ended June 30, 2023,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pStyle w:val="TextBody"/>
        <w:bidi w:val="0"/>
        <w:spacing w:before="0" w:after="0"/>
        <w:jc w:val="both"/>
        <w:rPr/>
      </w:pPr>
      <w:r>
        <w:rPr/>
        <w:t> </w:t>
      </w:r>
    </w:p>
    <w:tbl>
      <w:tblPr>
        <w:tblW w:w="4178" w:type="dxa"/>
        <w:jc w:val="left"/>
        <w:tblInd w:w="0" w:type="dxa"/>
        <w:tblLayout w:type="fixed"/>
        <w:tblCellMar>
          <w:top w:w="28" w:type="dxa"/>
          <w:left w:w="28" w:type="dxa"/>
          <w:bottom w:w="28" w:type="dxa"/>
          <w:right w:w="28" w:type="dxa"/>
        </w:tblCellMar>
      </w:tblPr>
      <w:tblGrid>
        <w:gridCol w:w="161"/>
        <w:gridCol w:w="146"/>
        <w:gridCol w:w="3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Leone D. Patterson, M.B.A.</w:t>
            </w:r>
          </w:p>
        </w:tc>
      </w:tr>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Leone D. Patterson, M.B.A.</w:t>
            </w:r>
          </w:p>
        </w:tc>
      </w:tr>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Chief Financial and Business Officer</w:t>
            </w:r>
          </w:p>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Financial and Accounting Officer)</w:t>
            </w:r>
          </w:p>
        </w:tc>
      </w:tr>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r>
    </w:tbl>
    <w:p>
      <w:pPr>
        <w:pStyle w:val="TextBody"/>
        <w:bidi w:val="0"/>
        <w:spacing w:before="0" w:after="0"/>
        <w:jc w:val="both"/>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8848/000095017023008934/tnya-ex3_1.htm" TargetMode="External"/><Relationship Id="rId3" Type="http://schemas.openxmlformats.org/officeDocument/2006/relationships/hyperlink" Target="https://www.sec.gov/Archives/edgar/data/1858848/000095017023027497/tnya-ex10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58052</Words>
  <Characters>325129</Characters>
  <CharactersWithSpaces>383235</CharactersWithSpaces>
  <Paragraphs>5393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