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813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81342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22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6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GOEDDEL DAVID V</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8"/>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Tenaya Therapeutics,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TNYA</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74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4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4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X</w:t>
            </w:r>
          </w:p>
        </w:tc>
        <w:tc>
          <w:tcPr>
            <w:tcW w:w="1260" w:type="dxa"/>
            <w:vAlign w:val="bottom"/>
            <w:gridSpan w:val="4"/>
            <w:vMerge w:val="restart"/>
          </w:tcPr>
          <w:p>
            <w:pPr>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12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460" w:type="dxa"/>
            <w:vAlign w:val="bottom"/>
            <w:tcBorders>
              <w:top w:val="single" w:sz="8" w:color="0000EE"/>
            </w:tcBorders>
          </w:tcPr>
          <w:p>
            <w:pPr>
              <w:spacing w:after="0"/>
              <w:rPr>
                <w:sz w:val="8"/>
                <w:szCs w:val="8"/>
                <w:color w:val="auto"/>
              </w:rPr>
            </w:pPr>
          </w:p>
        </w:tc>
        <w:tc>
          <w:tcPr>
            <w:tcW w:w="3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12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1520" w:type="dxa"/>
            <w:vAlign w:val="bottom"/>
            <w:gridSpan w:val="2"/>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420" w:type="dxa"/>
            <w:vAlign w:val="bottom"/>
          </w:tcPr>
          <w:p>
            <w:pPr>
              <w:spacing w:after="0"/>
              <w:rPr>
                <w:sz w:val="6"/>
                <w:szCs w:val="6"/>
                <w:color w:val="auto"/>
              </w:rPr>
            </w:pPr>
          </w:p>
        </w:tc>
        <w:tc>
          <w:tcPr>
            <w:tcW w:w="1260" w:type="dxa"/>
            <w:vAlign w:val="bottom"/>
            <w:gridSpan w:val="4"/>
            <w:vMerge w:val="restart"/>
          </w:tcPr>
          <w:p>
            <w:pPr>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12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302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gridSpan w:val="2"/>
          </w:tcPr>
          <w:p>
            <w:pPr>
              <w:ind w:left="380"/>
              <w:spacing w:after="0"/>
              <w:rPr>
                <w:sz w:val="20"/>
                <w:szCs w:val="20"/>
                <w:color w:val="auto"/>
              </w:rPr>
            </w:pPr>
            <w:r>
              <w:rPr>
                <w:rFonts w:ascii="Arial" w:cs="Arial" w:eastAsia="Arial" w:hAnsi="Arial"/>
                <w:sz w:val="13"/>
                <w:szCs w:val="13"/>
                <w:color w:val="auto"/>
              </w:rPr>
              <w:t>below)</w:t>
            </w:r>
          </w:p>
        </w:tc>
        <w:tc>
          <w:tcPr>
            <w:tcW w:w="420" w:type="dxa"/>
            <w:vAlign w:val="bottom"/>
          </w:tcPr>
          <w:p>
            <w:pPr>
              <w:spacing w:after="0"/>
              <w:rPr>
                <w:sz w:val="16"/>
                <w:szCs w:val="16"/>
                <w:color w:val="auto"/>
              </w:rPr>
            </w:pPr>
          </w:p>
        </w:tc>
        <w:tc>
          <w:tcPr>
            <w:tcW w:w="480" w:type="dxa"/>
            <w:vAlign w:val="bottom"/>
          </w:tcPr>
          <w:p>
            <w:pPr>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01/19/2023</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9"/>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0" w:type="dxa"/>
            <w:vAlign w:val="bottom"/>
            <w:gridSpan w:val="7"/>
            <w:vMerge w:val="restart"/>
          </w:tcPr>
          <w:p>
            <w:pPr>
              <w:ind w:left="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3"/>
                <w:szCs w:val="13"/>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0" w:type="dxa"/>
            <w:vAlign w:val="bottom"/>
            <w:gridSpan w:val="7"/>
            <w:vMerge w:val="restart"/>
          </w:tcPr>
          <w:p>
            <w:pPr>
              <w:ind w:left="3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line="175" w:lineRule="exact"/>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gridSpan w:val="2"/>
          </w:tcPr>
          <w:p>
            <w:pPr>
              <w:ind w:left="380"/>
              <w:spacing w:after="0"/>
              <w:rPr>
                <w:sz w:val="20"/>
                <w:szCs w:val="20"/>
                <w:color w:val="auto"/>
              </w:rPr>
            </w:pPr>
            <w:r>
              <w:rPr>
                <w:rFonts w:ascii="Arial" w:cs="Arial" w:eastAsia="Arial" w:hAnsi="Arial"/>
                <w:sz w:val="13"/>
                <w:szCs w:val="13"/>
                <w:color w:val="auto"/>
              </w:rPr>
              <w:t>Person</w:t>
            </w: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760" w:type="dxa"/>
            <w:vAlign w:val="bottom"/>
            <w:tcBorders>
              <w:bottom w:val="single" w:sz="8" w:color="9A9A9A"/>
            </w:tcBorders>
            <w:gridSpan w:val="2"/>
          </w:tcPr>
          <w:p>
            <w:pPr>
              <w:spacing w:after="0"/>
              <w:rPr>
                <w:sz w:val="2"/>
                <w:szCs w:val="2"/>
                <w:color w:val="auto"/>
              </w:rPr>
            </w:pPr>
          </w:p>
        </w:tc>
        <w:tc>
          <w:tcPr>
            <w:tcW w:w="36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060" w:type="dxa"/>
            <w:vAlign w:val="bottom"/>
            <w:tcBorders>
              <w:bottom w:val="single" w:sz="8" w:color="2C2C2C"/>
            </w:tcBorders>
            <w:gridSpan w:val="2"/>
          </w:tcPr>
          <w:p>
            <w:pPr>
              <w:spacing w:after="0"/>
              <w:rPr>
                <w:sz w:val="10"/>
                <w:szCs w:val="10"/>
                <w:color w:val="auto"/>
              </w:rPr>
            </w:pPr>
          </w:p>
        </w:tc>
        <w:tc>
          <w:tcPr>
            <w:tcW w:w="1120" w:type="dxa"/>
            <w:vAlign w:val="bottom"/>
            <w:tcBorders>
              <w:bottom w:val="single" w:sz="8" w:color="2C2C2C"/>
            </w:tcBorders>
            <w:gridSpan w:val="4"/>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20" w:type="dxa"/>
            <w:vAlign w:val="bottom"/>
            <w:tcBorders>
              <w:bottom w:val="single" w:sz="8" w:color="2C2C2C"/>
            </w:tcBorders>
            <w:gridSpan w:val="2"/>
          </w:tcPr>
          <w:p>
            <w:pPr>
              <w:spacing w:after="0"/>
              <w:rPr>
                <w:sz w:val="10"/>
                <w:szCs w:val="10"/>
                <w:color w:val="auto"/>
              </w:rPr>
            </w:pPr>
          </w:p>
        </w:tc>
        <w:tc>
          <w:tcPr>
            <w:tcW w:w="1520" w:type="dxa"/>
            <w:vAlign w:val="bottom"/>
            <w:tcBorders>
              <w:bottom w:val="single" w:sz="8" w:color="2C2C2C"/>
            </w:tcBorders>
            <w:gridSpan w:val="2"/>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7340" w:type="dxa"/>
            <w:vAlign w:val="bottom"/>
            <w:tcBorders>
              <w:top w:val="single" w:sz="8" w:color="2C2C2C"/>
            </w:tcBorders>
            <w:gridSpan w:val="19"/>
          </w:tcPr>
          <w:p>
            <w:pPr>
              <w:jc w:val="right"/>
              <w:ind w:right="5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4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4"/>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5"/>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3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5"/>
                <w:szCs w:val="15"/>
                <w:color w:val="auto"/>
              </w:rPr>
            </w:pPr>
          </w:p>
        </w:tc>
        <w:tc>
          <w:tcPr>
            <w:tcW w:w="20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160" w:type="dxa"/>
            <w:vAlign w:val="bottom"/>
            <w:gridSpan w:val="2"/>
          </w:tcPr>
          <w:p>
            <w:pPr>
              <w:ind w:left="3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1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2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2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 or</w:t>
            </w:r>
          </w:p>
        </w:tc>
        <w:tc>
          <w:tcPr>
            <w:tcW w:w="420" w:type="dxa"/>
            <w:vAlign w:val="bottom"/>
          </w:tcPr>
          <w:p>
            <w:pPr>
              <w:spacing w:after="0"/>
              <w:rPr>
                <w:sz w:val="11"/>
                <w:szCs w:val="11"/>
                <w:color w:val="auto"/>
              </w:rPr>
            </w:pPr>
          </w:p>
        </w:tc>
        <w:tc>
          <w:tcPr>
            <w:tcW w:w="12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116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Indirect (I)</w:t>
            </w:r>
          </w:p>
        </w:tc>
        <w:tc>
          <w:tcPr>
            <w:tcW w:w="12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116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(Instr. 4)</w:t>
            </w:r>
          </w:p>
        </w:tc>
        <w:tc>
          <w:tcPr>
            <w:tcW w:w="12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w w:val="93"/>
              </w:rPr>
              <w:t>(A) or</w:t>
            </w:r>
          </w:p>
        </w:tc>
        <w:tc>
          <w:tcPr>
            <w:tcW w:w="38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ind w:left="40"/>
              <w:spacing w:after="0" w:line="86" w:lineRule="exact"/>
              <w:rPr>
                <w:sz w:val="20"/>
                <w:szCs w:val="20"/>
                <w:color w:val="auto"/>
              </w:rPr>
            </w:pPr>
            <w:r>
              <w:rPr>
                <w:rFonts w:ascii="Arial" w:cs="Arial" w:eastAsia="Arial" w:hAnsi="Arial"/>
                <w:sz w:val="8"/>
                <w:szCs w:val="8"/>
                <w:b w:val="1"/>
                <w:bCs w:val="1"/>
                <w:color w:val="auto"/>
              </w:rPr>
              <w:t>Reported</w:t>
            </w: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jc w:val="center"/>
              <w:ind w:right="20"/>
              <w:spacing w:after="0"/>
              <w:rPr>
                <w:sz w:val="20"/>
                <w:szCs w:val="20"/>
                <w:color w:val="auto"/>
              </w:rPr>
            </w:pPr>
            <w:r>
              <w:rPr>
                <w:rFonts w:ascii="Arial" w:cs="Arial" w:eastAsia="Arial" w:hAnsi="Arial"/>
                <w:sz w:val="12"/>
                <w:szCs w:val="12"/>
                <w:b w:val="1"/>
                <w:bCs w:val="1"/>
                <w:color w:val="auto"/>
                <w:w w:val="99"/>
              </w:rPr>
              <w:t>V</w:t>
            </w: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340" w:type="dxa"/>
            <w:vAlign w:val="bottom"/>
            <w:vMerge w:val="continue"/>
          </w:tcPr>
          <w:p>
            <w:pPr>
              <w:spacing w:after="0"/>
              <w:rPr>
                <w:sz w:val="13"/>
                <w:szCs w:val="13"/>
                <w:color w:val="auto"/>
              </w:rPr>
            </w:pPr>
          </w:p>
        </w:tc>
        <w:tc>
          <w:tcPr>
            <w:tcW w:w="920" w:type="dxa"/>
            <w:vAlign w:val="bottom"/>
            <w:gridSpan w:val="3"/>
          </w:tcPr>
          <w:p>
            <w:pPr>
              <w:ind w:left="14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3"/>
                <w:szCs w:val="13"/>
                <w:color w:val="auto"/>
              </w:rPr>
            </w:pP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Transaction(s)</w:t>
            </w: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3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52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b w:val="1"/>
                <w:bCs w:val="1"/>
                <w:color w:val="auto"/>
              </w:rPr>
              <w:t>(Instr. 3 and 4)</w:t>
            </w:r>
          </w:p>
        </w:tc>
        <w:tc>
          <w:tcPr>
            <w:tcW w:w="42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0000FF"/>
              </w:rPr>
              <w:t>01/19/2023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400" w:type="dxa"/>
            <w:vAlign w:val="bottom"/>
          </w:tcPr>
          <w:p>
            <w:pPr>
              <w:spacing w:after="0"/>
              <w:rPr>
                <w:sz w:val="21"/>
                <w:szCs w:val="2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0000FF"/>
              </w:rPr>
              <w:t>69,739</w:t>
            </w: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2.4979</w:t>
            </w:r>
            <w:r>
              <w:rPr>
                <w:rFonts w:ascii="Times New Roman" w:cs="Times New Roman" w:eastAsia="Times New Roman" w:hAnsi="Times New Roman"/>
                <w:sz w:val="22"/>
                <w:szCs w:val="22"/>
                <w:color w:val="008000"/>
                <w:vertAlign w:val="superscript"/>
              </w:rPr>
              <w:t>(1)</w:t>
            </w:r>
          </w:p>
        </w:tc>
        <w:tc>
          <w:tcPr>
            <w:tcW w:w="1540" w:type="dxa"/>
            <w:vAlign w:val="bottom"/>
            <w:gridSpan w:val="3"/>
            <w:vMerge w:val="restart"/>
          </w:tcPr>
          <w:p>
            <w:pPr>
              <w:jc w:val="right"/>
              <w:ind w:right="580"/>
              <w:spacing w:after="0"/>
              <w:rPr>
                <w:sz w:val="20"/>
                <w:szCs w:val="20"/>
                <w:color w:val="auto"/>
              </w:rPr>
            </w:pPr>
            <w:r>
              <w:rPr>
                <w:rFonts w:ascii="Times New Roman" w:cs="Times New Roman" w:eastAsia="Times New Roman" w:hAnsi="Times New Roman"/>
                <w:sz w:val="17"/>
                <w:szCs w:val="17"/>
                <w:color w:val="0000FF"/>
              </w:rPr>
              <w:t>9,870,274</w:t>
            </w:r>
          </w:p>
        </w:tc>
        <w:tc>
          <w:tcPr>
            <w:tcW w:w="4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1540" w:type="dxa"/>
            <w:vAlign w:val="bottom"/>
            <w:gridSpan w:val="3"/>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1260" w:type="dxa"/>
            <w:vAlign w:val="bottom"/>
            <w:gridSpan w:val="4"/>
            <w:vMerge w:val="restart"/>
          </w:tcPr>
          <w:p>
            <w:pPr>
              <w:ind w:left="12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540" w:type="dxa"/>
            <w:vAlign w:val="bottom"/>
            <w:tcBorders>
              <w:top w:val="single" w:sz="8" w:color="2C2C2C"/>
            </w:tcBorders>
            <w:gridSpan w:val="3"/>
            <w:vMerge w:val="restart"/>
          </w:tcPr>
          <w:p>
            <w:pPr>
              <w:jc w:val="right"/>
              <w:ind w:right="580"/>
              <w:spacing w:after="0"/>
              <w:rPr>
                <w:sz w:val="20"/>
                <w:szCs w:val="20"/>
                <w:color w:val="auto"/>
              </w:rPr>
            </w:pPr>
            <w:r>
              <w:rPr>
                <w:rFonts w:ascii="Times New Roman" w:cs="Times New Roman" w:eastAsia="Times New Roman" w:hAnsi="Times New Roman"/>
                <w:sz w:val="17"/>
                <w:szCs w:val="17"/>
                <w:color w:val="0000FF"/>
              </w:rPr>
              <w:t>4,414,720</w:t>
            </w:r>
          </w:p>
        </w:tc>
        <w:tc>
          <w:tcPr>
            <w:tcW w:w="42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480" w:type="dxa"/>
            <w:vAlign w:val="bottom"/>
            <w:tcBorders>
              <w:top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gridSpan w:val="3"/>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260" w:type="dxa"/>
            <w:vAlign w:val="bottom"/>
            <w:gridSpan w:val="4"/>
            <w:vMerge w:val="restart"/>
          </w:tcPr>
          <w:p>
            <w:pPr>
              <w:ind w:left="1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540" w:type="dxa"/>
            <w:vAlign w:val="bottom"/>
            <w:tcBorders>
              <w:top w:val="single" w:sz="8" w:color="2C2C2C"/>
            </w:tcBorders>
            <w:gridSpan w:val="3"/>
            <w:vMerge w:val="restart"/>
          </w:tcPr>
          <w:p>
            <w:pPr>
              <w:jc w:val="right"/>
              <w:ind w:right="580"/>
              <w:spacing w:after="0"/>
              <w:rPr>
                <w:sz w:val="20"/>
                <w:szCs w:val="20"/>
                <w:color w:val="auto"/>
              </w:rPr>
            </w:pPr>
            <w:r>
              <w:rPr>
                <w:rFonts w:ascii="Times New Roman" w:cs="Times New Roman" w:eastAsia="Times New Roman" w:hAnsi="Times New Roman"/>
                <w:sz w:val="17"/>
                <w:szCs w:val="17"/>
                <w:color w:val="0000FF"/>
              </w:rPr>
              <w:t>4,985,570</w:t>
            </w:r>
          </w:p>
        </w:tc>
        <w:tc>
          <w:tcPr>
            <w:tcW w:w="42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480" w:type="dxa"/>
            <w:vAlign w:val="bottom"/>
            <w:tcBorders>
              <w:top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gridSpan w:val="3"/>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260" w:type="dxa"/>
            <w:vAlign w:val="bottom"/>
            <w:gridSpan w:val="4"/>
            <w:vMerge w:val="restart"/>
          </w:tcPr>
          <w:p>
            <w:pPr>
              <w:ind w:left="1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980" w:type="dxa"/>
            <w:vAlign w:val="bottom"/>
            <w:gridSpan w:val="18"/>
          </w:tcPr>
          <w:p>
            <w:pPr>
              <w:jc w:val="center"/>
              <w:ind w:right="6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40" w:type="dxa"/>
            <w:vAlign w:val="bottom"/>
            <w:gridSpan w:val="17"/>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40" w:type="dxa"/>
            <w:vAlign w:val="bottom"/>
          </w:tcPr>
          <w:p>
            <w:pPr>
              <w:spacing w:after="0"/>
              <w:rPr>
                <w:sz w:val="20"/>
                <w:szCs w:val="20"/>
                <w:color w:val="auto"/>
              </w:rPr>
            </w:pPr>
            <w:r>
              <w:rPr>
                <w:rFonts w:ascii="Arial" w:cs="Arial" w:eastAsia="Arial" w:hAnsi="Arial"/>
                <w:sz w:val="12"/>
                <w:szCs w:val="12"/>
                <w:b w:val="1"/>
                <w:bCs w:val="1"/>
                <w:color w:val="auto"/>
                <w:w w:val="98"/>
              </w:rPr>
              <w:t>9. Number of</w:t>
            </w:r>
          </w:p>
        </w:tc>
        <w:tc>
          <w:tcPr>
            <w:tcW w:w="4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9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9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$2.35 to $2.57, inclusive. The Reporting Persons undertake to provide to the Issuer or the staff of the Securities and Exchange Commission, upon request, full information regarding the number of shares acquired at each separate price within the ranges set forth in this footnote 1 to this Form 4.</w:t>
      </w:r>
    </w:p>
    <w:p>
      <w:pPr>
        <w:spacing w:after="0" w:line="20" w:lineRule="exact"/>
        <w:rPr>
          <w:rFonts w:ascii="Times New Roman" w:cs="Times New Roman" w:eastAsia="Times New Roman" w:hAnsi="Times New Roman"/>
          <w:sz w:val="13"/>
          <w:szCs w:val="13"/>
          <w:color w:val="008000"/>
        </w:rPr>
      </w:pPr>
    </w:p>
    <w:p>
      <w:pPr>
        <w:ind w:left="40" w:right="24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Opportunity III, LP ("TCG Opportunity III LP"). The Column Group Opportunity III GP, LP ("TCG Opportunity III GP LP") is the general partner of TCG Opportunity III LP and may be deemed to have voting, investment and dispositive power with respect to these securities. TCG Opportunity III GP, LLC ("TCG Opportunity III GP LLC") is the general partner of TCG Opportunity III GP LP and the ultimate general partner of TCG Opportunity III LP and may be deemed to have voting, investment and dispositive power with respect to these securities. The managing members of TCG Opportunity III GP LLC are David Goeddel, a member of the issuer's board of directors, Peter Svennilson and Tim Kutzkey (collectively, the "Managing Partners").</w:t>
      </w:r>
    </w:p>
    <w:p>
      <w:pPr>
        <w:spacing w:after="0" w:line="178"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The Managing Partners may be deemed to share voting, investment and dispositive power with respect to such securities. TCG Opportunity III GP LP, TCG Opportunity III GP LLC and each of the Managing Partners disclaim beneficial ownership of these securities, except to the extent of their respective pecuniary interest in such securities.</w:t>
      </w:r>
    </w:p>
    <w:p>
      <w:pPr>
        <w:spacing w:after="0" w:line="7" w:lineRule="exact"/>
        <w:rPr>
          <w:rFonts w:ascii="Times New Roman" w:cs="Times New Roman" w:eastAsia="Times New Roman" w:hAnsi="Times New Roman"/>
          <w:sz w:val="13"/>
          <w:szCs w:val="13"/>
          <w:color w:val="008000"/>
        </w:rPr>
      </w:pPr>
    </w:p>
    <w:p>
      <w:pPr>
        <w:ind w:left="40" w:right="1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 LP ("TCG III LP"). The Column Group III GP, LP ("TCG III GP") is the general partner of TCG III LP and may be deemed to have voting, investment and dispositive power with respect to these securities. The managing partners of TCG III GP are the Managing Partners. The Managing Partners may be deemed to share voting, investment and dispositive power with respect to such shares. TCG III GP and each of the Managing Partners disclaim beneficial ownership of these shares, except to the extent of their respective pecuniary interest in such shares.</w:t>
      </w:r>
    </w:p>
    <w:p>
      <w:pPr>
        <w:spacing w:after="0" w:line="24" w:lineRule="exact"/>
        <w:rPr>
          <w:rFonts w:ascii="Times New Roman" w:cs="Times New Roman" w:eastAsia="Times New Roman" w:hAnsi="Times New Roman"/>
          <w:sz w:val="13"/>
          <w:szCs w:val="13"/>
          <w:color w:val="008000"/>
        </w:rPr>
      </w:pPr>
    </w:p>
    <w:p>
      <w:pPr>
        <w:jc w:val="both"/>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III-A, LP ("TCG III-A LP"). TCG III GP is the general partner of TCG III-A LP and may be deemed to have voting, investment and dispositive power with respect to these securities. The managing partners of TCG III GP are the Managing Partners. The Managing Partners may be deemed to share voting, investment and dispositive power with respect to such shares. TCG III GP and each of the Managing Partners disclaim beneficial ownership of these shares, except to the extent of their respective pecuniary interest in such shares.</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James Evangelista,</w:t>
            </w:r>
          </w:p>
        </w:tc>
        <w:tc>
          <w:tcPr>
            <w:tcW w:w="5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01/23/2023</w:t>
            </w:r>
          </w:p>
        </w:tc>
        <w:tc>
          <w:tcPr>
            <w:tcW w:w="0" w:type="dxa"/>
            <w:vAlign w:val="bottom"/>
          </w:tcPr>
          <w:p>
            <w:pPr>
              <w:spacing w:after="0"/>
              <w:rPr>
                <w:sz w:val="1"/>
                <w:szCs w:val="1"/>
                <w:color w:val="auto"/>
              </w:rPr>
            </w:pPr>
          </w:p>
        </w:tc>
      </w:tr>
      <w:tr>
        <w:trPr>
          <w:trHeight w:val="87"/>
        </w:trPr>
        <w:tc>
          <w:tcPr>
            <w:tcW w:w="11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22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82464" TargetMode="External"/><Relationship Id="rId13"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2023-01-23T15:30:36Z</dcterms:created>
  <dcterms:modified xsi:type="dcterms:W3CDTF">2023-01-23T15:30:36Z</dcterms:modified>
</cp:coreProperties>
</file>