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81-3789973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171 Oyster Point Boulevard, Suite 500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825-6990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TNYA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2.05</w:t>
      </w:r>
      <w:r>
        <w:rPr>
          <w:sz w:val="20"/>
          <w:szCs w:val="20"/>
          <w:color w:val="auto"/>
        </w:rPr>
        <w:tab/>
      </w:r>
      <w:r>
        <w:rPr>
          <w:rFonts w:ascii="Times New Roman" w:cs="Times New Roman" w:eastAsia="Times New Roman" w:hAnsi="Times New Roman"/>
          <w:sz w:val="18"/>
          <w:szCs w:val="18"/>
          <w:b w:val="1"/>
          <w:bCs w:val="1"/>
          <w:color w:val="auto"/>
        </w:rPr>
        <w:t>Costs Associated with Exit or Disposal Activities.</w:t>
      </w:r>
    </w:p>
    <w:p>
      <w:pPr>
        <w:spacing w:after="0" w:line="121" w:lineRule="exact"/>
        <w:rPr>
          <w:sz w:val="20"/>
          <w:szCs w:val="20"/>
          <w:color w:val="auto"/>
        </w:rPr>
      </w:pPr>
    </w:p>
    <w:p>
      <w:pPr>
        <w:ind w:firstLine="440"/>
        <w:spacing w:after="0" w:line="216" w:lineRule="auto"/>
        <w:rPr>
          <w:sz w:val="20"/>
          <w:szCs w:val="20"/>
          <w:color w:val="auto"/>
        </w:rPr>
      </w:pPr>
      <w:r>
        <w:rPr>
          <w:rFonts w:ascii="Times New Roman" w:cs="Times New Roman" w:eastAsia="Times New Roman" w:hAnsi="Times New Roman"/>
          <w:sz w:val="18"/>
          <w:szCs w:val="18"/>
          <w:color w:val="auto"/>
        </w:rPr>
        <w:t>On March 27, 2025, Tenaya Therapeutics, Inc. (“Tenaya”) approved the implementation of a restructuring plan (the “Restructuring Plan”) to further focus company resources on generating data from MyPEAK</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-1, evaluating TN-201 as a gene therapy treatment for Myosin Binding Protein C3 (MYBPC3)-associated hypertrophic cardiomyopathy, and RIDGE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-1, evaluating TN-401 as a gene therapy treatment for plakophilin-2 (PKP2)-associated arrhythmogenic right ventricular cardiomyopathy. The Restructuring Plan includes cost containment measures that are expected to significantly reduce Tenaya’s cash expenses, resulting in an expected extension of Tenaya’s cash runway into the second half of 2026.</w:t>
      </w:r>
    </w:p>
    <w:p>
      <w:pPr>
        <w:spacing w:after="0" w:line="199" w:lineRule="exact"/>
        <w:rPr>
          <w:sz w:val="20"/>
          <w:szCs w:val="20"/>
          <w:color w:val="auto"/>
        </w:rPr>
      </w:pPr>
    </w:p>
    <w:p>
      <w:pPr>
        <w:ind w:right="5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Restructuring Plan, Tenaya intends to reduce the company’s workforce to align with Tenaya’s business focus. The Restructuring Plan is not expected to impact Tenaya’s ability to execute on projected enrollment milestones or data readouts for MyPEAK-1 and RIDGE-1. A sufficient amount of TN-201 and TN-401 drug product required to support Tenaya’s ongoing gene therapy clinical trials has been produced, and manufacturing efforts to prepare for future pivotal studies for both gene therapy programs continue as planned. Key capabilities to support early research have also been retained.</w:t>
      </w:r>
    </w:p>
    <w:p>
      <w:pPr>
        <w:spacing w:after="0" w:line="183"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Restructuring Plan, Tenaya estimates that it will incur approximately $1.6 million to $2.7 million of aggregate charges, primarily related to employee cash severance and continuing health benefits. Tenaya expects to recognize substantially all of the charges by the end of the third quarter of 2025. The foregoing estimates that Tenaya expects to incur in connection with the Restructuring Plan are contingent upon various assumptions and actual results may differ. Tenaya may also incur additional costs not currently contemplated due to events related to or resulting from the Restructuring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This Current Report on Form 8-K contains forward-looking statements, including statements regarding the continued development of Tenaya’s clinical-stage gene therapy programs and the implementation of the Restructuring Plan, including expected savings and charges relating thereto and the objectives and anticipated timing thereof, and Tenaya’s cash runway. Actual results may differ from those set forth in or implied by this Current Report on Form 8-K due to the risks and uncertainties associated with Tenaya’s ability to conduct clinical trials of TN-201 and TN-401 sufficient to achieve a positive completion; risks related to the potential failure of TN-201 and TN-401 to demonstrate safety and efficacy in clinical trials; Tenaya’s ability to raise any additional funding it will need to continue to pursue its business and product development plans; the uncertain timing and level of expenses associated with the development of TN-201 and TN-401; risks related to Tenaya’s ability to implement the Restructuring Plan and its impact on Tenaya’s business; the level of saving resulting from and charges related to the Restructuring Plan; market competition; changes in economic and business conditions, and other factors described in Tenaya’s other filings with the Securities Exchange Commission. You are cautioned not to place undue reliance on these forward-looking statements. Any forward-looking statements contained in this Current Report on Form 8-K speak only as of the date hereof, and Tenaya specifically disclaims any obligation to update any forward-looking statement, except as required by law.</w:t>
      </w:r>
    </w:p>
    <w:p>
      <w:pPr>
        <w:sectPr>
          <w:pgSz w:w="11900" w:h="16838" w:orient="portrait"/>
          <w:cols w:equalWidth="0" w:num="1">
            <w:col w:w="11000"/>
          </w:cols>
          <w:pgMar w:left="440"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Drimmer Rokovich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Jennifer Drimmer Rokovich</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28, 2025</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2025-03-28T15:46:45Z</dcterms:created>
  <dcterms:modified xsi:type="dcterms:W3CDTF">2025-03-28T15:46:45Z</dcterms:modified>
</cp:coreProperties>
</file>