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4,436,821.00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5,154,950.00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5,154,950.00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TENAYA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171 Oyster Point Boulevard Suite 500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383 Madison Avenue,,New York, NY 10179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87990A106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Investment Company Act of 1940 (15 U.S.C. 80a-3);</w:t>
            </w:r>
          </w:p>
        </w:tc>
        <w:tc>
          <w:tcPr>
            <w:tcW w:w="0" w:type="dxa"/>
            <w:vAlign w:val="bottom"/>
          </w:tcPr>
          <w:p>
            <w:pPr>
              <w:spacing w:after="0"/>
              <w:rPr>
                <w:sz w:val="1"/>
                <w:szCs w:val="1"/>
                <w:color w:val="auto"/>
              </w:rPr>
            </w:pPr>
          </w:p>
        </w:tc>
      </w:tr>
      <w:tr>
        <w:trPr>
          <w:trHeight w:val="27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(j)</w:t>
            </w:r>
          </w:p>
        </w:tc>
        <w:tc>
          <w:tcPr>
            <w:tcW w:w="103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accordance with § 240.13d-1(b)(1)(ii)(J),</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please specify the type of institution:</w:t>
            </w:r>
          </w:p>
        </w:tc>
        <w:tc>
          <w:tcPr>
            <w:tcW w:w="0" w:type="dxa"/>
            <w:vAlign w:val="bottom"/>
          </w:tcPr>
          <w:p>
            <w:pPr>
              <w:spacing w:after="0"/>
              <w:rPr>
                <w:sz w:val="1"/>
                <w:szCs w:val="1"/>
                <w:color w:val="auto"/>
              </w:rPr>
            </w:pPr>
          </w:p>
        </w:tc>
      </w:tr>
      <w:tr>
        <w:trPr>
          <w:trHeight w:val="31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(k)</w:t>
            </w: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Group, in accordance with Rule 240.13d-1(b)(1)(ii)(K).</w:t>
            </w:r>
          </w:p>
        </w:tc>
        <w:tc>
          <w:tcPr>
            <w:tcW w:w="0" w:type="dxa"/>
            <w:vAlign w:val="bottom"/>
          </w:tcPr>
          <w:p>
            <w:pPr>
              <w:spacing w:after="0"/>
              <w:rPr>
                <w:sz w:val="1"/>
                <w:szCs w:val="1"/>
                <w:color w:val="auto"/>
              </w:rPr>
            </w:pPr>
          </w:p>
        </w:tc>
      </w:tr>
      <w:tr>
        <w:trPr>
          <w:trHeight w:val="594"/>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4.</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w:t>
            </w: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5154950</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6.5 %</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Number of shares as to which the person has: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4436821</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5154950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5.</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594"/>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proceeds from the sale of, such securities, a statement to that effect should be included in response to this item and, if</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such interest relates to more than 5 percent of the class, such person should be identified. A listing of the shareholders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58"/>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780" w:type="dxa"/>
            <w:vAlign w:val="bottom"/>
            <w:vMerge w:val="continue"/>
          </w:tcPr>
          <w:p>
            <w:pPr>
              <w:spacing w:after="0"/>
              <w:rPr>
                <w:sz w:val="13"/>
                <w:szCs w:val="13"/>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1"/>
        </w:trPr>
        <w:tc>
          <w:tcPr>
            <w:tcW w:w="780" w:type="dxa"/>
            <w:vAlign w:val="bottom"/>
          </w:tcPr>
          <w:p>
            <w:pPr>
              <w:spacing w:after="0"/>
              <w:rPr>
                <w:sz w:val="10"/>
                <w:szCs w:val="10"/>
                <w:color w:val="auto"/>
              </w:rPr>
            </w:pPr>
          </w:p>
        </w:tc>
        <w:tc>
          <w:tcPr>
            <w:tcW w:w="10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JPMorgan Chase Bank, National Association; J.P. Morgan Investment Management Inc.</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exhibit stating the identity and Item 3 classification of each member of the group. If a group has filed this schedule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pursuant to §240.13d-1(c) or §240.13d-1(d), attach an exhibit stating the identity of each member of the group.</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Notice of dissolution of a group may be furnished as an exhibit stating the date of the dissolution and that all further</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filings with respect to transactions in the security reported on will be filed, if required, by members of the group, in</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their individual capacity. See Item 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-9968230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-9462135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138" w:gutter="0" w:footer="0" w:header="0"/>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Rachel Tsvaygoft</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3"/>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2025-02-10T11:57:12Z</dcterms:created>
  <dcterms:modified xsi:type="dcterms:W3CDTF">2025-02-10T11:57:12Z</dcterms:modified>
</cp:coreProperties>
</file>