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jc w:val="center"/>
        <w:ind w:left="3720" w:right="720" w:hanging="3712"/>
        <w:spacing w:after="0" w:line="328" w:lineRule="auto"/>
        <w:tabs>
          <w:tab w:leader="none" w:pos="476"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 For the quarterly period ended June 30, 2021</w:t>
      </w:r>
    </w:p>
    <w:p>
      <w:pPr>
        <w:spacing w:after="0" w:line="267" w:lineRule="exact"/>
        <w:rPr>
          <w:sz w:val="24"/>
          <w:szCs w:val="24"/>
          <w:color w:val="auto"/>
        </w:rPr>
      </w:pPr>
    </w:p>
    <w:p>
      <w:pPr>
        <w:jc w:val="center"/>
        <w:ind w:left="3340" w:right="700" w:hanging="3332"/>
        <w:spacing w:after="0" w:line="316" w:lineRule="auto"/>
        <w:tabs>
          <w:tab w:leader="none" w:pos="459"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 For the transition period from ________ to _________</w:t>
      </w:r>
    </w:p>
    <w:p>
      <w:pPr>
        <w:spacing w:after="0" w:line="1" w:lineRule="exact"/>
        <w:rPr>
          <w:rFonts w:ascii="MS PGothic" w:cs="MS PGothic" w:eastAsia="MS PGothic" w:hAnsi="MS PGothic"/>
          <w:sz w:val="20"/>
          <w:szCs w:val="20"/>
          <w:color w:val="auto"/>
          <w:highlight w:val="black"/>
        </w:rPr>
      </w:pPr>
    </w:p>
    <w:p>
      <w:pPr>
        <w:ind w:left="406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Commission File Number: 001-40656</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-269875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jc w:val="center"/>
              <w:ind w:left="1062"/>
              <w:spacing w:after="0"/>
              <w:rPr>
                <w:sz w:val="20"/>
                <w:szCs w:val="20"/>
                <w:color w:val="auto"/>
              </w:rPr>
            </w:pPr>
            <w:r>
              <w:rPr>
                <w:rFonts w:ascii="Arial" w:cs="Arial" w:eastAsia="Arial" w:hAnsi="Arial"/>
                <w:sz w:val="20"/>
                <w:szCs w:val="20"/>
                <w:b w:val="1"/>
                <w:bCs w:val="1"/>
                <w:color w:val="auto"/>
                <w:w w:val="91"/>
              </w:rPr>
              <w:t>Delaware</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80" w:type="dxa"/>
            <w:vAlign w:val="bottom"/>
          </w:tcPr>
          <w:p>
            <w:pPr>
              <w:jc w:val="right"/>
              <w:ind w:right="2243"/>
              <w:spacing w:after="0"/>
              <w:rPr>
                <w:sz w:val="20"/>
                <w:szCs w:val="20"/>
                <w:color w:val="auto"/>
              </w:rPr>
            </w:pPr>
            <w:r>
              <w:rPr>
                <w:rFonts w:ascii="Arial" w:cs="Arial" w:eastAsia="Arial" w:hAnsi="Arial"/>
                <w:sz w:val="20"/>
                <w:szCs w:val="20"/>
                <w:b w:val="1"/>
                <w:bCs w:val="1"/>
                <w:color w:val="auto"/>
              </w:rPr>
              <w:t>81-3789973</w:t>
            </w:r>
          </w:p>
        </w:tc>
        <w:tc>
          <w:tcPr>
            <w:tcW w:w="0" w:type="dxa"/>
            <w:vAlign w:val="bottom"/>
          </w:tcPr>
          <w:p>
            <w:pPr>
              <w:spacing w:after="0"/>
              <w:rPr>
                <w:sz w:val="1"/>
                <w:szCs w:val="1"/>
                <w:color w:val="auto"/>
              </w:rPr>
            </w:pPr>
          </w:p>
        </w:tc>
      </w:tr>
      <w:tr>
        <w:trPr>
          <w:trHeight w:val="135"/>
        </w:trPr>
        <w:tc>
          <w:tcPr>
            <w:tcW w:w="4500" w:type="dxa"/>
            <w:vAlign w:val="bottom"/>
          </w:tcPr>
          <w:p>
            <w:pPr>
              <w:jc w:val="center"/>
              <w:ind w:left="1042"/>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80" w:type="dxa"/>
            <w:vAlign w:val="bottom"/>
          </w:tcPr>
          <w:p>
            <w:pPr>
              <w:jc w:val="center"/>
              <w:ind w:right="1663"/>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0"/>
        </w:trPr>
        <w:tc>
          <w:tcPr>
            <w:tcW w:w="4500" w:type="dxa"/>
            <w:vAlign w:val="bottom"/>
          </w:tcPr>
          <w:p>
            <w:pPr>
              <w:jc w:val="center"/>
              <w:ind w:left="1062"/>
              <w:spacing w:after="0" w:line="131" w:lineRule="exact"/>
              <w:rPr>
                <w:sz w:val="20"/>
                <w:szCs w:val="20"/>
                <w:color w:val="auto"/>
              </w:rPr>
            </w:pPr>
            <w:r>
              <w:rPr>
                <w:rFonts w:ascii="Arial" w:cs="Arial" w:eastAsia="Arial" w:hAnsi="Arial"/>
                <w:sz w:val="13"/>
                <w:szCs w:val="13"/>
                <w:b w:val="1"/>
                <w:bCs w:val="1"/>
                <w:color w:val="auto"/>
                <w:w w:val="88"/>
              </w:rPr>
              <w:t>incorporation or organization)</w:t>
            </w: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80" w:type="dxa"/>
            <w:vAlign w:val="bottom"/>
          </w:tcPr>
          <w:p>
            <w:pPr>
              <w:jc w:val="center"/>
              <w:ind w:right="1663"/>
              <w:spacing w:after="0" w:line="131"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30"/>
        </w:trPr>
        <w:tc>
          <w:tcPr>
            <w:tcW w:w="4500" w:type="dxa"/>
            <w:vAlign w:val="bottom"/>
          </w:tcPr>
          <w:p>
            <w:pPr>
              <w:jc w:val="center"/>
              <w:ind w:left="1062"/>
              <w:spacing w:after="0"/>
              <w:rPr>
                <w:sz w:val="20"/>
                <w:szCs w:val="20"/>
                <w:color w:val="auto"/>
              </w:rPr>
            </w:pPr>
            <w:r>
              <w:rPr>
                <w:rFonts w:ascii="Arial" w:cs="Arial" w:eastAsia="Arial" w:hAnsi="Arial"/>
                <w:sz w:val="20"/>
                <w:szCs w:val="20"/>
                <w:b w:val="1"/>
                <w:bCs w:val="1"/>
                <w:color w:val="auto"/>
                <w:w w:val="90"/>
              </w:rPr>
              <w:t>171 Oyster Point Boulevard, 5</w:t>
            </w:r>
            <w:r>
              <w:rPr>
                <w:rFonts w:ascii="Arial" w:cs="Arial" w:eastAsia="Arial" w:hAnsi="Arial"/>
                <w:sz w:val="16"/>
                <w:szCs w:val="16"/>
                <w:b w:val="1"/>
                <w:bCs w:val="1"/>
                <w:color w:val="auto"/>
                <w:w w:val="90"/>
              </w:rPr>
              <w:t>th</w:t>
            </w:r>
            <w:r>
              <w:rPr>
                <w:rFonts w:ascii="Arial" w:cs="Arial" w:eastAsia="Arial" w:hAnsi="Arial"/>
                <w:sz w:val="20"/>
                <w:szCs w:val="20"/>
                <w:b w:val="1"/>
                <w:bCs w:val="1"/>
                <w:color w:val="auto"/>
                <w:w w:val="90"/>
              </w:rPr>
              <w:t xml:space="preserve"> Floor</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00" w:type="dxa"/>
            <w:vAlign w:val="bottom"/>
          </w:tcPr>
          <w:p>
            <w:pPr>
              <w:jc w:val="center"/>
              <w:ind w:left="1062"/>
              <w:spacing w:after="0"/>
              <w:rPr>
                <w:sz w:val="20"/>
                <w:szCs w:val="20"/>
                <w:color w:val="auto"/>
              </w:rPr>
            </w:pPr>
            <w:r>
              <w:rPr>
                <w:rFonts w:ascii="Arial" w:cs="Arial" w:eastAsia="Arial" w:hAnsi="Arial"/>
                <w:sz w:val="20"/>
                <w:szCs w:val="20"/>
                <w:b w:val="1"/>
                <w:bCs w:val="1"/>
                <w:color w:val="auto"/>
                <w:w w:val="88"/>
              </w:rPr>
              <w:t>South San Francisco, CA</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80" w:type="dxa"/>
            <w:vAlign w:val="bottom"/>
          </w:tcPr>
          <w:p>
            <w:pPr>
              <w:jc w:val="right"/>
              <w:ind w:right="2483"/>
              <w:spacing w:after="0"/>
              <w:rPr>
                <w:sz w:val="20"/>
                <w:szCs w:val="20"/>
                <w:color w:val="auto"/>
              </w:rPr>
            </w:pPr>
            <w:r>
              <w:rPr>
                <w:rFonts w:ascii="Arial" w:cs="Arial" w:eastAsia="Arial" w:hAnsi="Arial"/>
                <w:sz w:val="20"/>
                <w:szCs w:val="20"/>
                <w:b w:val="1"/>
                <w:bCs w:val="1"/>
                <w:color w:val="auto"/>
              </w:rPr>
              <w:t>94080</w:t>
            </w:r>
          </w:p>
        </w:tc>
        <w:tc>
          <w:tcPr>
            <w:tcW w:w="0" w:type="dxa"/>
            <w:vAlign w:val="bottom"/>
          </w:tcPr>
          <w:p>
            <w:pPr>
              <w:spacing w:after="0"/>
              <w:rPr>
                <w:sz w:val="1"/>
                <w:szCs w:val="1"/>
                <w:color w:val="auto"/>
              </w:rPr>
            </w:pPr>
          </w:p>
        </w:tc>
      </w:tr>
      <w:tr>
        <w:trPr>
          <w:trHeight w:val="164"/>
        </w:trPr>
        <w:tc>
          <w:tcPr>
            <w:tcW w:w="4500" w:type="dxa"/>
            <w:vAlign w:val="bottom"/>
          </w:tcPr>
          <w:p>
            <w:pPr>
              <w:jc w:val="center"/>
              <w:ind w:left="106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80" w:type="dxa"/>
            <w:vAlign w:val="bottom"/>
          </w:tcPr>
          <w:p>
            <w:pPr>
              <w:jc w:val="center"/>
              <w:ind w:right="166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81"/>
        </w:trPr>
        <w:tc>
          <w:tcPr>
            <w:tcW w:w="4500" w:type="dxa"/>
            <w:vAlign w:val="bottom"/>
          </w:tcPr>
          <w:p>
            <w:pPr>
              <w:spacing w:after="0"/>
              <w:rPr>
                <w:sz w:val="24"/>
                <w:szCs w:val="24"/>
                <w:color w:val="auto"/>
              </w:rPr>
            </w:pPr>
          </w:p>
        </w:tc>
        <w:tc>
          <w:tcPr>
            <w:tcW w:w="2140" w:type="dxa"/>
            <w:vAlign w:val="bottom"/>
            <w:gridSpan w:val="2"/>
          </w:tcPr>
          <w:p>
            <w:pPr>
              <w:jc w:val="center"/>
              <w:ind w:left="1"/>
              <w:spacing w:after="0"/>
              <w:rPr>
                <w:sz w:val="20"/>
                <w:szCs w:val="20"/>
                <w:color w:val="auto"/>
              </w:rPr>
            </w:pPr>
            <w:r>
              <w:rPr>
                <w:rFonts w:ascii="Arial" w:cs="Arial" w:eastAsia="Arial" w:hAnsi="Arial"/>
                <w:sz w:val="20"/>
                <w:szCs w:val="20"/>
                <w:b w:val="1"/>
                <w:bCs w:val="1"/>
                <w:color w:val="auto"/>
                <w:w w:val="90"/>
              </w:rPr>
              <w:t>(650) 825-6900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360" w:type="dxa"/>
            <w:vAlign w:val="bottom"/>
            <w:gridSpan w:val="6"/>
          </w:tcPr>
          <w:p>
            <w:pPr>
              <w:jc w:val="center"/>
              <w:ind w:left="3802"/>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4500" w:type="dxa"/>
            <w:vAlign w:val="bottom"/>
            <w:vMerge w:val="restart"/>
          </w:tcPr>
          <w:p>
            <w:pPr>
              <w:ind w:left="60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2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4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vMerge w:val="restart"/>
          </w:tcPr>
          <w:p>
            <w:pPr>
              <w:jc w:val="center"/>
              <w:ind w:right="700"/>
              <w:spacing w:after="0"/>
              <w:rPr>
                <w:sz w:val="20"/>
                <w:szCs w:val="20"/>
                <w:color w:val="auto"/>
              </w:rPr>
            </w:pPr>
            <w:r>
              <w:rPr>
                <w:rFonts w:ascii="Arial" w:cs="Arial" w:eastAsia="Arial" w:hAnsi="Arial"/>
                <w:sz w:val="14"/>
                <w:szCs w:val="14"/>
                <w:b w:val="1"/>
                <w:bCs w:val="1"/>
                <w:color w:val="auto"/>
                <w:w w:val="93"/>
              </w:rPr>
              <w:t>Trading</w:t>
            </w: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8"/>
                <w:szCs w:val="18"/>
                <w:color w:val="auto"/>
              </w:rPr>
            </w:pPr>
          </w:p>
        </w:tc>
        <w:tc>
          <w:tcPr>
            <w:tcW w:w="2740" w:type="dxa"/>
            <w:vAlign w:val="bottom"/>
            <w:gridSpan w:val="4"/>
            <w:vMerge w:val="continue"/>
          </w:tcPr>
          <w:p>
            <w:pPr>
              <w:spacing w:after="0"/>
              <w:rPr>
                <w:sz w:val="18"/>
                <w:szCs w:val="18"/>
                <w:color w:val="auto"/>
              </w:rPr>
            </w:pPr>
          </w:p>
        </w:tc>
        <w:tc>
          <w:tcPr>
            <w:tcW w:w="3880" w:type="dxa"/>
            <w:vAlign w:val="bottom"/>
            <w:vMerge w:val="restart"/>
          </w:tcPr>
          <w:p>
            <w:pPr>
              <w:jc w:val="center"/>
              <w:ind w:right="523"/>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1"/>
              </w:rPr>
              <w:t>Symbol(s)</w:t>
            </w: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TNYA</w:t>
            </w:r>
          </w:p>
        </w:tc>
        <w:tc>
          <w:tcPr>
            <w:tcW w:w="120" w:type="dxa"/>
            <w:vAlign w:val="bottom"/>
            <w:gridSpan w:val="2"/>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jc w:val="center"/>
              <w:ind w:right="523"/>
              <w:spacing w:after="0"/>
              <w:rPr>
                <w:sz w:val="20"/>
                <w:szCs w:val="20"/>
                <w:color w:val="auto"/>
              </w:rPr>
            </w:pPr>
            <w:r>
              <w:rPr>
                <w:rFonts w:ascii="Arial" w:cs="Arial" w:eastAsia="Arial" w:hAnsi="Arial"/>
                <w:sz w:val="16"/>
                <w:szCs w:val="16"/>
                <w:color w:val="auto"/>
                <w:w w:val="92"/>
              </w:rPr>
              <w:t>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520" w:right="2120"/>
        <w:spacing w:after="0" w:line="25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September 2, 2021, the registrant had 41,279,800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240030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60" w:type="dxa"/>
            <w:vAlign w:val="bottom"/>
            <w:gridSpan w:val="7"/>
          </w:tcPr>
          <w:p>
            <w:pPr>
              <w:ind w:left="7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445"/>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183"/>
        </w:trPr>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tcBorders>
              <w:bottom w:val="single" w:sz="8" w:color="0000EE"/>
            </w:tcBorders>
            <w:gridSpan w:val="5"/>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32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100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gridSpan w:val="3"/>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Balance Sheets</w:t>
              </w:r>
            </w:hyperlink>
          </w:p>
        </w:tc>
        <w:tc>
          <w:tcPr>
            <w:tcW w:w="7140" w:type="dxa"/>
            <w:vAlign w:val="bottom"/>
            <w:gridSpan w:val="9"/>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Statements of Operations and Comprehensive Loss</w:t>
              </w:r>
            </w:hyperlink>
          </w:p>
        </w:tc>
        <w:tc>
          <w:tcPr>
            <w:tcW w:w="4800" w:type="dxa"/>
            <w:vAlign w:val="bottom"/>
            <w:gridSpan w:val="4"/>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Statements of Convertible Preferred Stock and Stockholders’ Deficit</w:t>
              </w:r>
            </w:hyperlink>
          </w:p>
        </w:tc>
        <w:tc>
          <w:tcPr>
            <w:tcW w:w="3540" w:type="dxa"/>
            <w:vAlign w:val="bottom"/>
            <w:gridSpan w:val="3"/>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40" w:type="dxa"/>
            <w:vAlign w:val="bottom"/>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Statements of Cash Flows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40" w:type="dxa"/>
            <w:vAlign w:val="bottom"/>
            <w:gridSpan w:val="1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6"/>
          </w:tcPr>
          <w:p>
            <w:pPr>
              <w:spacing w:after="0"/>
              <w:rPr>
                <w:sz w:val="18"/>
                <w:szCs w:val="18"/>
                <w:color w:val="auto"/>
              </w:rPr>
            </w:pPr>
          </w:p>
        </w:tc>
        <w:tc>
          <w:tcPr>
            <w:tcW w:w="5200" w:type="dxa"/>
            <w:vAlign w:val="bottom"/>
            <w:gridSpan w:val="5"/>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780" w:type="dxa"/>
            <w:vAlign w:val="bottom"/>
            <w:gridSpan w:val="4"/>
          </w:tcPr>
          <w:p>
            <w:pPr>
              <w:ind w:left="1020"/>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II—OTHER INFORMATION</w:t>
              </w:r>
            </w:hyperlink>
          </w:p>
        </w:tc>
        <w:tc>
          <w:tcPr>
            <w:tcW w:w="2120" w:type="dxa"/>
            <w:vAlign w:val="bottom"/>
          </w:tcPr>
          <w:p>
            <w:pPr>
              <w:spacing w:after="0"/>
              <w:rPr>
                <w:sz w:val="17"/>
                <w:szCs w:val="17"/>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3360" w:type="dxa"/>
            <w:vAlign w:val="bottom"/>
            <w:gridSpan w:val="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2840" w:type="dxa"/>
            <w:vAlign w:val="bottom"/>
            <w:tcBorders>
              <w:top w:val="single" w:sz="8" w:color="0000EE"/>
            </w:tcBorders>
            <w:gridSpan w:val="2"/>
          </w:tcPr>
          <w:p>
            <w:pPr>
              <w:spacing w:after="0"/>
              <w:rPr>
                <w:sz w:val="18"/>
                <w:szCs w:val="18"/>
                <w:color w:val="auto"/>
              </w:rPr>
            </w:pPr>
          </w:p>
        </w:tc>
        <w:tc>
          <w:tcPr>
            <w:tcW w:w="19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6780" w:type="dxa"/>
            <w:vAlign w:val="bottom"/>
            <w:gridSpan w:val="6"/>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Unregistered Sales of Equity Securities and Use of Proceeds</w:t>
              </w:r>
            </w:hyperlink>
          </w:p>
        </w:tc>
        <w:tc>
          <w:tcPr>
            <w:tcW w:w="3760" w:type="dxa"/>
            <w:vAlign w:val="bottom"/>
            <w:gridSpan w:val="2"/>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Defaults Upon Senior Securities</w:t>
              </w:r>
            </w:hyperlink>
          </w:p>
        </w:tc>
        <w:tc>
          <w:tcPr>
            <w:tcW w:w="5780" w:type="dxa"/>
            <w:vAlign w:val="bottom"/>
            <w:gridSpan w:val="4"/>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3">
              <w:r>
                <w:rPr>
                  <w:rFonts w:ascii="Arial" w:cs="Arial" w:eastAsia="Arial" w:hAnsi="Arial"/>
                  <w:sz w:val="18"/>
                  <w:szCs w:val="18"/>
                  <w:color w:val="0000EE"/>
                  <w:w w:val="91"/>
                </w:rPr>
                <w:t>Mine Safety Disclosures</w:t>
              </w:r>
            </w:hyperlink>
          </w:p>
        </w:tc>
        <w:tc>
          <w:tcPr>
            <w:tcW w:w="6340" w:type="dxa"/>
            <w:vAlign w:val="bottom"/>
            <w:gridSpan w:val="5"/>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120" w:type="dxa"/>
            <w:vAlign w:val="bottom"/>
            <w:gridSpan w:val="1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Other Information</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Exhibits</w:t>
              </w:r>
            </w:hyperlink>
          </w:p>
        </w:tc>
        <w:tc>
          <w:tcPr>
            <w:tcW w:w="6800" w:type="dxa"/>
            <w:vAlign w:val="bottom"/>
            <w:gridSpan w:val="7"/>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520" w:type="dxa"/>
            <w:vAlign w:val="bottom"/>
            <w:gridSpan w:val="9"/>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09"/>
        </w:trPr>
        <w:tc>
          <w:tcPr>
            <w:tcW w:w="9120" w:type="dxa"/>
            <w:vAlign w:val="bottom"/>
            <w:gridSpan w:val="1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SIGNATURES</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1000"/>
        </w:trPr>
        <w:tc>
          <w:tcPr>
            <w:tcW w:w="10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left="3080"/>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337"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231F20"/>
        </w:rPr>
        <w:t>This Quarterly Report on Form 10-Q, or Quarterly Report, contains forward-looking statements.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69" w:lineRule="exact"/>
        <w:rPr>
          <w:sz w:val="20"/>
          <w:szCs w:val="20"/>
          <w:color w:val="auto"/>
        </w:rPr>
      </w:pPr>
    </w:p>
    <w:p>
      <w:pPr>
        <w:ind w:left="880" w:right="120" w:hanging="373"/>
        <w:spacing w:after="0" w:line="277"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ability of our preclinical studies and planned clinical trials to demonstrate safety and efficacy of our product candidates, and other positive results;</w:t>
      </w:r>
    </w:p>
    <w:p>
      <w:pPr>
        <w:spacing w:after="0" w:line="62" w:lineRule="exact"/>
        <w:rPr>
          <w:rFonts w:ascii="Arial" w:cs="Arial" w:eastAsia="Arial" w:hAnsi="Arial"/>
          <w:sz w:val="18"/>
          <w:szCs w:val="18"/>
          <w:color w:val="231F20"/>
        </w:rPr>
      </w:pPr>
    </w:p>
    <w:p>
      <w:pPr>
        <w:ind w:left="880" w:right="40" w:hanging="373"/>
        <w:spacing w:after="0" w:line="277"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timing, progress and results of preclinical studies and planned clinical trials for our current product candidates and other product candidates we may develop;</w:t>
      </w:r>
    </w:p>
    <w:p>
      <w:pPr>
        <w:spacing w:after="0" w:line="62" w:lineRule="exact"/>
        <w:rPr>
          <w:rFonts w:ascii="Arial" w:cs="Arial" w:eastAsia="Arial" w:hAnsi="Arial"/>
          <w:sz w:val="18"/>
          <w:szCs w:val="18"/>
          <w:color w:val="231F20"/>
        </w:rPr>
      </w:pPr>
    </w:p>
    <w:p>
      <w:pPr>
        <w:ind w:left="880" w:right="380" w:hanging="373"/>
        <w:spacing w:after="0" w:line="277"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timing, scope and likelihood of regulatory filings and approvals, including timing of INDs, CTAs, FDA approvals, and final regulatory approval of our current product candidates and any other future product candidates;</w:t>
      </w:r>
    </w:p>
    <w:p>
      <w:pPr>
        <w:spacing w:after="0" w:line="62"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ability to develop and advance our current product candidates and programs into, and successfully complete, clinical studies;</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our manufacturing, commercialization, and marketing capabilities and strategy and the timing of our facilities becoming operational;</w:t>
      </w:r>
    </w:p>
    <w:p>
      <w:pPr>
        <w:spacing w:after="0" w:line="142" w:lineRule="exact"/>
        <w:rPr>
          <w:rFonts w:ascii="Arial" w:cs="Arial" w:eastAsia="Arial" w:hAnsi="Arial"/>
          <w:sz w:val="17"/>
          <w:szCs w:val="17"/>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plans relating to commercializing our product candidates, if approved;</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need to hire additional personnel and our ability to attract and retain such personnel;</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competitive position and the success of competing therapies that are or may become available;</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our plans relating to the further development of our product candidates, including additional indications and targets we may pursue;</w:t>
      </w:r>
    </w:p>
    <w:p>
      <w:pPr>
        <w:spacing w:after="0" w:line="142" w:lineRule="exact"/>
        <w:rPr>
          <w:rFonts w:ascii="Arial" w:cs="Arial" w:eastAsia="Arial" w:hAnsi="Arial"/>
          <w:sz w:val="17"/>
          <w:szCs w:val="17"/>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impact of existing laws and regulations and regulatory developments in the United States, Europe and other jurisdictions;</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our expectations regarding the impact of the COVID-19 pandemic on our business, including our preclinical studies and clinical trials;</w:t>
      </w:r>
    </w:p>
    <w:p>
      <w:pPr>
        <w:spacing w:after="0" w:line="142" w:lineRule="exact"/>
        <w:rPr>
          <w:rFonts w:ascii="Arial" w:cs="Arial" w:eastAsia="Arial" w:hAnsi="Arial"/>
          <w:sz w:val="17"/>
          <w:szCs w:val="17"/>
          <w:color w:val="auto"/>
        </w:rPr>
      </w:pPr>
    </w:p>
    <w:p>
      <w:pPr>
        <w:ind w:left="880" w:hanging="373"/>
        <w:spacing w:after="0" w:line="259"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8" w:lineRule="exact"/>
        <w:rPr>
          <w:rFonts w:ascii="Arial" w:cs="Arial" w:eastAsia="Arial" w:hAnsi="Arial"/>
          <w:sz w:val="18"/>
          <w:szCs w:val="18"/>
          <w:color w:val="231F20"/>
        </w:rPr>
      </w:pPr>
    </w:p>
    <w:p>
      <w:pPr>
        <w:ind w:left="880" w:right="40" w:hanging="373"/>
        <w:spacing w:after="0" w:line="25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our continued reliance on third parties to conduct additional preclinical studies and planned clinical trials of our product candidates, and for the development and manufacture of our product candidates for preclinical studies and clinical trials; our ability to obtain, and negotiate favorable terms of, any collaboration, partnership, licensing or other arrangements that may be necessary or desirable to develop, manufacture or commercialize our product candidates;</w:t>
      </w:r>
    </w:p>
    <w:p>
      <w:pPr>
        <w:spacing w:after="0" w:line="78"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62"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the rate and degree of market acceptance and clinical utility of our current product candidates and other product candidates we may develop;</w:t>
      </w:r>
    </w:p>
    <w:p>
      <w:pPr>
        <w:spacing w:after="0" w:line="153" w:lineRule="exact"/>
        <w:rPr>
          <w:rFonts w:ascii="Arial" w:cs="Arial" w:eastAsia="Arial" w:hAnsi="Arial"/>
          <w:sz w:val="16"/>
          <w:szCs w:val="16"/>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estimates regarding expenses, future revenue, capital requirements and needs for additional financing;</w:t>
      </w:r>
    </w:p>
    <w:p>
      <w:pPr>
        <w:spacing w:after="0" w:line="130"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financial performance;</w:t>
      </w:r>
    </w:p>
    <w:p>
      <w:pPr>
        <w:spacing w:after="0" w:line="130" w:lineRule="exact"/>
        <w:rPr>
          <w:rFonts w:ascii="Arial" w:cs="Arial" w:eastAsia="Arial" w:hAnsi="Arial"/>
          <w:sz w:val="18"/>
          <w:szCs w:val="18"/>
          <w:color w:val="231F20"/>
        </w:rPr>
      </w:pPr>
    </w:p>
    <w:p>
      <w:pPr>
        <w:ind w:left="880" w:right="240" w:hanging="373"/>
        <w:spacing w:after="0" w:line="277" w:lineRule="auto"/>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period over which we estimate our existing cash and cash equivalents will be sufficient to fund our future operating expenses and capital expenditure requirements; and</w:t>
      </w:r>
    </w:p>
    <w:p>
      <w:pPr>
        <w:spacing w:after="0" w:line="62" w:lineRule="exact"/>
        <w:rPr>
          <w:rFonts w:ascii="Arial" w:cs="Arial" w:eastAsia="Arial" w:hAnsi="Arial"/>
          <w:sz w:val="18"/>
          <w:szCs w:val="18"/>
          <w:color w:val="231F20"/>
        </w:rPr>
      </w:pPr>
    </w:p>
    <w:p>
      <w:pPr>
        <w:ind w:left="880" w:hanging="373"/>
        <w:spacing w:after="0"/>
        <w:tabs>
          <w:tab w:leader="none" w:pos="88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expectations regarding the period during which we will remain an emerging growth company under the JOBS Act.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3" w:name="page4"/>
    <w:bookmarkEnd w:id="3"/>
    <w:p>
      <w:pPr>
        <w:ind w:firstLine="510"/>
        <w:spacing w:after="0" w:line="253" w:lineRule="auto"/>
        <w:rPr>
          <w:sz w:val="20"/>
          <w:szCs w:val="20"/>
          <w:color w:val="auto"/>
        </w:rPr>
      </w:pPr>
      <w:r>
        <w:rPr>
          <w:rFonts w:ascii="Arial" w:cs="Arial" w:eastAsia="Arial" w:hAnsi="Arial"/>
          <w:sz w:val="18"/>
          <w:szCs w:val="18"/>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11"/>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111,886</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113,222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non-current</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156,895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148,161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w:t>
            </w: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140"/>
              <w:spacing w:after="0"/>
              <w:rPr>
                <w:sz w:val="20"/>
                <w:szCs w:val="20"/>
                <w:color w:val="auto"/>
              </w:rPr>
            </w:pPr>
            <w:r>
              <w:rPr>
                <w:rFonts w:ascii="Arial" w:cs="Arial" w:eastAsia="Arial" w:hAnsi="Arial"/>
                <w:sz w:val="18"/>
                <w:szCs w:val="18"/>
                <w:b w:val="1"/>
                <w:bCs w:val="1"/>
                <w:color w:val="auto"/>
              </w:rPr>
              <w:t>STOCKHOLDERS’ DEFICIT</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5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5,020</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60"/>
              <w:spacing w:after="0"/>
              <w:rPr>
                <w:sz w:val="20"/>
                <w:szCs w:val="20"/>
                <w:color w:val="auto"/>
              </w:rPr>
            </w:pPr>
            <w:r>
              <w:rPr>
                <w:rFonts w:ascii="Arial" w:cs="Arial" w:eastAsia="Arial" w:hAnsi="Arial"/>
                <w:sz w:val="18"/>
                <w:szCs w:val="18"/>
                <w:color w:val="auto"/>
              </w:rPr>
              <w:t>Deferred rent and other lease liabilities, current</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Deferred rent and other lease liabilities, non-current</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240,735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Common stock</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Notes receivable from stockholders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(111,120)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(82,812)</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Total stockholders’ deficit</w:t>
            </w:r>
          </w:p>
        </w:tc>
        <w:tc>
          <w:tcPr>
            <w:tcW w:w="13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(108,536)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156,895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148,161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10,906</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6,958</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20,496</w:t>
            </w:r>
          </w:p>
        </w:tc>
        <w:tc>
          <w:tcPr>
            <w:tcW w:w="16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140"/>
              <w:spacing w:after="0"/>
              <w:rPr>
                <w:sz w:val="20"/>
                <w:szCs w:val="20"/>
                <w:color w:val="auto"/>
              </w:rPr>
            </w:pPr>
            <w:r>
              <w:rPr>
                <w:rFonts w:ascii="Arial" w:cs="Arial" w:eastAsia="Arial" w:hAnsi="Arial"/>
                <w:sz w:val="18"/>
                <w:szCs w:val="18"/>
                <w:color w:val="auto"/>
              </w:rPr>
              <w:t>Change in fair value of convertible preferred stock tranche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liability</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income tax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 net loss per share,</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1,147,471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948,403</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1,122,775</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920,196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Notes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180" w:type="dxa"/>
            <w:vAlign w:val="bottom"/>
            <w:tcBorders>
              <w:right w:val="single" w:sz="8" w:color="auto"/>
            </w:tcBorders>
            <w:gridSpan w:val="5"/>
            <w:vMerge w:val="restart"/>
          </w:tcPr>
          <w:p>
            <w:pPr>
              <w:ind w:left="100"/>
              <w:spacing w:after="0"/>
              <w:rPr>
                <w:sz w:val="20"/>
                <w:szCs w:val="20"/>
                <w:color w:val="auto"/>
              </w:rPr>
            </w:pPr>
            <w:r>
              <w:rPr>
                <w:rFonts w:ascii="Arial" w:cs="Arial" w:eastAsia="Arial" w:hAnsi="Arial"/>
                <w:sz w:val="14"/>
                <w:szCs w:val="14"/>
                <w:b w:val="1"/>
                <w:bCs w:val="1"/>
                <w:color w:val="auto"/>
              </w:rPr>
              <w:t>Convertible Preferred Stock</w:t>
            </w:r>
          </w:p>
        </w:tc>
        <w:tc>
          <w:tcPr>
            <w:tcW w:w="80" w:type="dxa"/>
            <w:vAlign w:val="bottom"/>
          </w:tcPr>
          <w:p>
            <w:pPr>
              <w:spacing w:after="0"/>
              <w:rPr>
                <w:sz w:val="12"/>
                <w:szCs w:val="12"/>
                <w:color w:val="auto"/>
              </w:rPr>
            </w:pPr>
          </w:p>
        </w:tc>
        <w:tc>
          <w:tcPr>
            <w:tcW w:w="186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Receivable</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2180" w:type="dxa"/>
            <w:vAlign w:val="bottom"/>
            <w:tcBorders>
              <w:right w:val="single" w:sz="8" w:color="auto"/>
            </w:tcBorders>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from</w:t>
            </w:r>
          </w:p>
        </w:tc>
        <w:tc>
          <w:tcPr>
            <w:tcW w:w="980" w:type="dxa"/>
            <w:vAlign w:val="bottom"/>
            <w:gridSpan w:val="3"/>
            <w:vMerge w:val="continue"/>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5"/>
        </w:trPr>
        <w:tc>
          <w:tcPr>
            <w:tcW w:w="2900" w:type="dxa"/>
            <w:vAlign w:val="bottom"/>
          </w:tcPr>
          <w:p>
            <w:pPr>
              <w:spacing w:after="0"/>
              <w:rPr>
                <w:sz w:val="13"/>
                <w:szCs w:val="13"/>
                <w:color w:val="auto"/>
              </w:rPr>
            </w:pPr>
          </w:p>
        </w:tc>
        <w:tc>
          <w:tcPr>
            <w:tcW w:w="92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1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Stockholders</w:t>
            </w:r>
          </w:p>
        </w:tc>
        <w:tc>
          <w:tcPr>
            <w:tcW w:w="140" w:type="dxa"/>
            <w:vAlign w:val="bottom"/>
          </w:tcPr>
          <w:p>
            <w:pPr>
              <w:spacing w:after="0"/>
              <w:rPr>
                <w:sz w:val="13"/>
                <w:szCs w:val="13"/>
                <w:color w:val="auto"/>
              </w:rPr>
            </w:pPr>
          </w:p>
        </w:tc>
        <w:tc>
          <w:tcPr>
            <w:tcW w:w="840" w:type="dxa"/>
            <w:vAlign w:val="bottom"/>
            <w:gridSpan w:val="2"/>
          </w:tcPr>
          <w:p>
            <w:pPr>
              <w:jc w:val="right"/>
              <w:ind w:right="281"/>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21"/>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January 1, 2021</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24,493,528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220,754</w:t>
            </w:r>
          </w:p>
        </w:tc>
        <w:tc>
          <w:tcPr>
            <w:tcW w:w="2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1,210,306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(82,812)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(81,315)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60"/>
              <w:spacing w:after="0"/>
              <w:rPr>
                <w:sz w:val="20"/>
                <w:szCs w:val="20"/>
                <w:color w:val="auto"/>
              </w:rPr>
            </w:pPr>
            <w:r>
              <w:rPr>
                <w:rFonts w:ascii="Arial" w:cs="Arial" w:eastAsia="Arial" w:hAnsi="Arial"/>
                <w:sz w:val="18"/>
                <w:szCs w:val="18"/>
                <w:color w:val="auto"/>
              </w:rPr>
              <w:t>Issuance of Series C convertible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60"/>
              <w:spacing w:after="0"/>
              <w:rPr>
                <w:sz w:val="20"/>
                <w:szCs w:val="20"/>
                <w:color w:val="auto"/>
              </w:rPr>
            </w:pPr>
            <w:r>
              <w:rPr>
                <w:rFonts w:ascii="Arial" w:cs="Arial" w:eastAsia="Arial" w:hAnsi="Arial"/>
                <w:sz w:val="18"/>
                <w:szCs w:val="18"/>
                <w:color w:val="auto"/>
              </w:rPr>
              <w:t>preferred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80"/>
              <w:spacing w:after="0"/>
              <w:rPr>
                <w:sz w:val="20"/>
                <w:szCs w:val="20"/>
                <w:color w:val="auto"/>
              </w:rPr>
            </w:pPr>
            <w:r>
              <w:rPr>
                <w:rFonts w:ascii="Arial" w:cs="Arial" w:eastAsia="Arial" w:hAnsi="Arial"/>
                <w:sz w:val="18"/>
                <w:szCs w:val="18"/>
                <w:color w:val="auto"/>
              </w:rPr>
              <w:t>stock, net of issuance costs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color w:val="auto"/>
              </w:rPr>
              <w:t>$20</w:t>
            </w:r>
          </w:p>
        </w:tc>
        <w:tc>
          <w:tcPr>
            <w:tcW w:w="920" w:type="dxa"/>
            <w:vAlign w:val="bottom"/>
          </w:tcPr>
          <w:p>
            <w:pPr>
              <w:jc w:val="right"/>
              <w:spacing w:after="0"/>
              <w:rPr>
                <w:sz w:val="20"/>
                <w:szCs w:val="20"/>
                <w:color w:val="auto"/>
              </w:rPr>
            </w:pPr>
            <w:r>
              <w:rPr>
                <w:rFonts w:ascii="Arial" w:cs="Arial" w:eastAsia="Arial" w:hAnsi="Arial"/>
                <w:sz w:val="18"/>
                <w:szCs w:val="18"/>
                <w:color w:val="auto"/>
              </w:rPr>
              <w:t>1,608,750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19,981</w:t>
            </w: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upon</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60"/>
              <w:spacing w:after="0"/>
              <w:rPr>
                <w:sz w:val="20"/>
                <w:szCs w:val="20"/>
                <w:color w:val="auto"/>
              </w:rPr>
            </w:pPr>
            <w:r>
              <w:rPr>
                <w:rFonts w:ascii="Arial" w:cs="Arial" w:eastAsia="Arial" w:hAnsi="Arial"/>
                <w:sz w:val="18"/>
                <w:szCs w:val="18"/>
                <w:color w:val="auto"/>
              </w:rPr>
              <w:t>related to</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80"/>
              <w:spacing w:after="0"/>
              <w:rPr>
                <w:sz w:val="20"/>
                <w:szCs w:val="20"/>
                <w:color w:val="auto"/>
              </w:rPr>
            </w:pPr>
            <w:r>
              <w:rPr>
                <w:rFonts w:ascii="Arial" w:cs="Arial" w:eastAsia="Arial" w:hAnsi="Arial"/>
                <w:sz w:val="18"/>
                <w:szCs w:val="18"/>
                <w:color w:val="auto"/>
              </w:rPr>
              <w:t>early exercise of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early exercised stock</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Net loss and other comprehensive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(13,098)</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Balance March 31, 2021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26,102,278</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240,735</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1,222,449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upon</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60"/>
              <w:spacing w:after="0"/>
              <w:rPr>
                <w:sz w:val="20"/>
                <w:szCs w:val="20"/>
                <w:color w:val="auto"/>
              </w:rPr>
            </w:pPr>
            <w:r>
              <w:rPr>
                <w:rFonts w:ascii="Arial" w:cs="Arial" w:eastAsia="Arial" w:hAnsi="Arial"/>
                <w:sz w:val="18"/>
                <w:szCs w:val="18"/>
                <w:color w:val="auto"/>
              </w:rPr>
              <w:t>related to</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80"/>
              <w:spacing w:after="0"/>
              <w:rPr>
                <w:sz w:val="20"/>
                <w:szCs w:val="20"/>
                <w:color w:val="auto"/>
              </w:rPr>
            </w:pPr>
            <w:r>
              <w:rPr>
                <w:rFonts w:ascii="Arial" w:cs="Arial" w:eastAsia="Arial" w:hAnsi="Arial"/>
                <w:sz w:val="18"/>
                <w:szCs w:val="18"/>
                <w:color w:val="auto"/>
              </w:rPr>
              <w:t>early exercise of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(11,980)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early exercised stock</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60"/>
              <w:spacing w:after="0"/>
              <w:rPr>
                <w:sz w:val="20"/>
                <w:szCs w:val="20"/>
                <w:color w:val="auto"/>
              </w:rPr>
            </w:pPr>
            <w:r>
              <w:rPr>
                <w:rFonts w:ascii="Arial" w:cs="Arial" w:eastAsia="Arial" w:hAnsi="Arial"/>
                <w:sz w:val="18"/>
                <w:szCs w:val="18"/>
                <w:color w:val="auto"/>
              </w:rPr>
              <w:t>Notes receivable from</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color w:val="auto"/>
              </w:rPr>
              <w:t>stockholders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60"/>
              <w:spacing w:after="0"/>
              <w:rPr>
                <w:sz w:val="20"/>
                <w:szCs w:val="20"/>
                <w:color w:val="auto"/>
              </w:rPr>
            </w:pPr>
            <w:r>
              <w:rPr>
                <w:rFonts w:ascii="Arial" w:cs="Arial" w:eastAsia="Arial" w:hAnsi="Arial"/>
                <w:sz w:val="18"/>
                <w:szCs w:val="18"/>
                <w:color w:val="auto"/>
                <w:w w:val="95"/>
              </w:rPr>
              <w:t>Net loss and other comprehensive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color w:val="auto"/>
              </w:rPr>
              <w:t>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(15,210)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(15,210)</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26,102,278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240,735</w:t>
            </w:r>
          </w:p>
        </w:tc>
        <w:tc>
          <w:tcPr>
            <w:tcW w:w="2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1,222,642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(111,120</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(108,536</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Notes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180" w:type="dxa"/>
            <w:vAlign w:val="bottom"/>
            <w:tcBorders>
              <w:right w:val="single" w:sz="8" w:color="auto"/>
            </w:tcBorders>
            <w:gridSpan w:val="5"/>
            <w:vMerge w:val="restart"/>
          </w:tcPr>
          <w:p>
            <w:pPr>
              <w:ind w:left="100"/>
              <w:spacing w:after="0"/>
              <w:rPr>
                <w:sz w:val="20"/>
                <w:szCs w:val="20"/>
                <w:color w:val="auto"/>
              </w:rPr>
            </w:pPr>
            <w:r>
              <w:rPr>
                <w:rFonts w:ascii="Arial" w:cs="Arial" w:eastAsia="Arial" w:hAnsi="Arial"/>
                <w:sz w:val="14"/>
                <w:szCs w:val="14"/>
                <w:b w:val="1"/>
                <w:bCs w:val="1"/>
                <w:color w:val="auto"/>
              </w:rPr>
              <w:t>Convertible Preferred Stock</w:t>
            </w:r>
          </w:p>
        </w:tc>
        <w:tc>
          <w:tcPr>
            <w:tcW w:w="80" w:type="dxa"/>
            <w:vAlign w:val="bottom"/>
          </w:tcPr>
          <w:p>
            <w:pPr>
              <w:spacing w:after="0"/>
              <w:rPr>
                <w:sz w:val="12"/>
                <w:szCs w:val="12"/>
                <w:color w:val="auto"/>
              </w:rPr>
            </w:pPr>
          </w:p>
        </w:tc>
        <w:tc>
          <w:tcPr>
            <w:tcW w:w="186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Receivable</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2180" w:type="dxa"/>
            <w:vAlign w:val="bottom"/>
            <w:tcBorders>
              <w:right w:val="single" w:sz="8" w:color="auto"/>
            </w:tcBorders>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from</w:t>
            </w:r>
          </w:p>
        </w:tc>
        <w:tc>
          <w:tcPr>
            <w:tcW w:w="1040" w:type="dxa"/>
            <w:vAlign w:val="bottom"/>
            <w:gridSpan w:val="3"/>
            <w:vMerge w:val="continue"/>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92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1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Stockholders</w:t>
            </w:r>
          </w:p>
        </w:tc>
        <w:tc>
          <w:tcPr>
            <w:tcW w:w="160" w:type="dxa"/>
            <w:vAlign w:val="bottom"/>
          </w:tcPr>
          <w:p>
            <w:pPr>
              <w:spacing w:after="0"/>
              <w:rPr>
                <w:sz w:val="13"/>
                <w:szCs w:val="13"/>
                <w:color w:val="auto"/>
              </w:rPr>
            </w:pPr>
          </w:p>
        </w:tc>
        <w:tc>
          <w:tcPr>
            <w:tcW w:w="880" w:type="dxa"/>
            <w:vAlign w:val="bottom"/>
            <w:gridSpan w:val="2"/>
          </w:tcPr>
          <w:p>
            <w:pPr>
              <w:jc w:val="right"/>
              <w:ind w:right="341"/>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21"/>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January 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11,403,077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73,042</w:t>
            </w:r>
          </w:p>
        </w:tc>
        <w:tc>
          <w:tcPr>
            <w:tcW w:w="2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1,193,488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(44,417)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60"/>
              <w:spacing w:after="0"/>
              <w:rPr>
                <w:sz w:val="20"/>
                <w:szCs w:val="20"/>
                <w:color w:val="auto"/>
              </w:rPr>
            </w:pPr>
            <w:r>
              <w:rPr>
                <w:rFonts w:ascii="Arial" w:cs="Arial" w:eastAsia="Arial" w:hAnsi="Arial"/>
                <w:sz w:val="18"/>
                <w:szCs w:val="18"/>
                <w:color w:val="auto"/>
              </w:rPr>
              <w:t>Issuance of Series B convertible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60"/>
              <w:spacing w:after="0"/>
              <w:rPr>
                <w:sz w:val="20"/>
                <w:szCs w:val="20"/>
                <w:color w:val="auto"/>
              </w:rPr>
            </w:pPr>
            <w:r>
              <w:rPr>
                <w:rFonts w:ascii="Arial" w:cs="Arial" w:eastAsia="Arial" w:hAnsi="Arial"/>
                <w:sz w:val="18"/>
                <w:szCs w:val="18"/>
                <w:color w:val="auto"/>
              </w:rPr>
              <w:t>preferred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80"/>
              <w:spacing w:after="0"/>
              <w:rPr>
                <w:sz w:val="20"/>
                <w:szCs w:val="20"/>
                <w:color w:val="auto"/>
              </w:rPr>
            </w:pPr>
            <w:r>
              <w:rPr>
                <w:rFonts w:ascii="Arial" w:cs="Arial" w:eastAsia="Arial" w:hAnsi="Arial"/>
                <w:sz w:val="18"/>
                <w:szCs w:val="18"/>
                <w:color w:val="auto"/>
              </w:rPr>
              <w:t>stock, net of issuance costs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60"/>
              <w:spacing w:after="0"/>
              <w:rPr>
                <w:sz w:val="20"/>
                <w:szCs w:val="20"/>
                <w:color w:val="auto"/>
              </w:rPr>
            </w:pPr>
            <w:r>
              <w:rPr>
                <w:rFonts w:ascii="Arial" w:cs="Arial" w:eastAsia="Arial" w:hAnsi="Arial"/>
                <w:sz w:val="18"/>
                <w:szCs w:val="18"/>
                <w:color w:val="auto"/>
              </w:rPr>
              <w:t>$23 and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80"/>
              <w:spacing w:after="0"/>
              <w:rPr>
                <w:sz w:val="20"/>
                <w:szCs w:val="20"/>
                <w:color w:val="auto"/>
              </w:rPr>
            </w:pPr>
            <w:r>
              <w:rPr>
                <w:rFonts w:ascii="Arial" w:cs="Arial" w:eastAsia="Arial" w:hAnsi="Arial"/>
                <w:sz w:val="18"/>
                <w:szCs w:val="18"/>
                <w:color w:val="auto"/>
              </w:rPr>
              <w:t>partial settlement of convertible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80"/>
              <w:spacing w:after="0"/>
              <w:rPr>
                <w:sz w:val="20"/>
                <w:szCs w:val="20"/>
                <w:color w:val="auto"/>
              </w:rPr>
            </w:pPr>
            <w:r>
              <w:rPr>
                <w:rFonts w:ascii="Arial" w:cs="Arial" w:eastAsia="Arial" w:hAnsi="Arial"/>
                <w:sz w:val="18"/>
                <w:szCs w:val="18"/>
                <w:color w:val="auto"/>
              </w:rPr>
              <w:t>preferred stock tranche liability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color w:val="auto"/>
              </w:rPr>
              <w:t>of $27</w:t>
            </w:r>
          </w:p>
        </w:tc>
        <w:tc>
          <w:tcPr>
            <w:tcW w:w="920" w:type="dxa"/>
            <w:vAlign w:val="bottom"/>
          </w:tcPr>
          <w:p>
            <w:pPr>
              <w:jc w:val="right"/>
              <w:spacing w:after="0"/>
              <w:rPr>
                <w:sz w:val="20"/>
                <w:szCs w:val="20"/>
                <w:color w:val="auto"/>
              </w:rPr>
            </w:pPr>
            <w:r>
              <w:rPr>
                <w:rFonts w:ascii="Arial" w:cs="Arial" w:eastAsia="Arial" w:hAnsi="Arial"/>
                <w:sz w:val="18"/>
                <w:szCs w:val="18"/>
                <w:color w:val="auto"/>
              </w:rPr>
              <w:t>3,086,415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30,671</w:t>
            </w: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upon</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60"/>
              <w:spacing w:after="0"/>
              <w:rPr>
                <w:sz w:val="20"/>
                <w:szCs w:val="20"/>
                <w:color w:val="auto"/>
              </w:rPr>
            </w:pPr>
            <w:r>
              <w:rPr>
                <w:rFonts w:ascii="Arial" w:cs="Arial" w:eastAsia="Arial" w:hAnsi="Arial"/>
                <w:sz w:val="18"/>
                <w:szCs w:val="18"/>
                <w:color w:val="auto"/>
              </w:rPr>
              <w:t>related to</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80"/>
              <w:spacing w:after="0"/>
              <w:rPr>
                <w:sz w:val="20"/>
                <w:szCs w:val="20"/>
                <w:color w:val="auto"/>
              </w:rPr>
            </w:pPr>
            <w:r>
              <w:rPr>
                <w:rFonts w:ascii="Arial" w:cs="Arial" w:eastAsia="Arial" w:hAnsi="Arial"/>
                <w:sz w:val="18"/>
                <w:szCs w:val="18"/>
                <w:color w:val="auto"/>
              </w:rPr>
              <w:t>early exercise of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early exercised stock</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60"/>
              <w:spacing w:after="0"/>
              <w:rPr>
                <w:sz w:val="20"/>
                <w:szCs w:val="20"/>
                <w:color w:val="auto"/>
              </w:rPr>
            </w:pPr>
            <w:r>
              <w:rPr>
                <w:rFonts w:ascii="Arial" w:cs="Arial" w:eastAsia="Arial" w:hAnsi="Arial"/>
                <w:sz w:val="18"/>
                <w:szCs w:val="18"/>
                <w:color w:val="auto"/>
              </w:rPr>
              <w:t>Notes receivable from</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color w:val="auto"/>
              </w:rPr>
              <w:t>stockholders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60"/>
              <w:spacing w:after="0"/>
              <w:rPr>
                <w:sz w:val="20"/>
                <w:szCs w:val="20"/>
                <w:color w:val="auto"/>
              </w:rPr>
            </w:pPr>
            <w:r>
              <w:rPr>
                <w:rFonts w:ascii="Arial" w:cs="Arial" w:eastAsia="Arial" w:hAnsi="Arial"/>
                <w:sz w:val="18"/>
                <w:szCs w:val="18"/>
                <w:color w:val="auto"/>
                <w:w w:val="95"/>
              </w:rPr>
              <w:t>Net loss and other comprehensive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color w:val="auto"/>
              </w:rPr>
              <w:t>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(9,051)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14,489,492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103,713</w:t>
            </w:r>
          </w:p>
        </w:tc>
        <w:tc>
          <w:tcPr>
            <w:tcW w:w="2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1,196,209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(53,468)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(52,621)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60"/>
              <w:spacing w:after="0"/>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60"/>
              <w:spacing w:after="0"/>
              <w:rPr>
                <w:sz w:val="20"/>
                <w:szCs w:val="20"/>
                <w:color w:val="auto"/>
              </w:rPr>
            </w:pPr>
            <w:r>
              <w:rPr>
                <w:rFonts w:ascii="Arial" w:cs="Arial" w:eastAsia="Arial" w:hAnsi="Arial"/>
                <w:sz w:val="18"/>
                <w:szCs w:val="18"/>
                <w:color w:val="auto"/>
              </w:rPr>
              <w:t>exercise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80"/>
              <w:spacing w:after="0"/>
              <w:rPr>
                <w:sz w:val="20"/>
                <w:szCs w:val="20"/>
                <w:color w:val="auto"/>
              </w:rPr>
            </w:pPr>
            <w:r>
              <w:rPr>
                <w:rFonts w:ascii="Arial" w:cs="Arial" w:eastAsia="Arial" w:hAnsi="Arial"/>
                <w:sz w:val="18"/>
                <w:szCs w:val="18"/>
                <w:color w:val="auto"/>
              </w:rPr>
              <w:t>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early exercised stock</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Net loss and other comprehensive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(8,731)</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Balance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14,489,492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103,713</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1,198,002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(62,199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(61,154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ind w:right="54"/>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64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80" w:type="dxa"/>
            <w:vAlign w:val="bottom"/>
          </w:tcPr>
          <w:p>
            <w:pPr>
              <w:spacing w:after="0"/>
              <w:rPr>
                <w:sz w:val="20"/>
                <w:szCs w:val="20"/>
                <w:color w:val="auto"/>
              </w:rPr>
            </w:pPr>
            <w:r>
              <w:rPr>
                <w:rFonts w:ascii="Arial" w:cs="Arial" w:eastAsia="Arial" w:hAnsi="Arial"/>
                <w:sz w:val="14"/>
                <w:szCs w:val="14"/>
                <w:color w:val="auto"/>
              </w:rPr>
              <w:t>Net loss</w:t>
            </w:r>
          </w:p>
        </w:tc>
        <w:tc>
          <w:tcPr>
            <w:tcW w:w="1620" w:type="dxa"/>
            <w:vAlign w:val="bottom"/>
            <w:gridSpan w:val="2"/>
          </w:tcPr>
          <w:p>
            <w:pPr>
              <w:jc w:val="right"/>
              <w:ind w:right="8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(28,308)</w:t>
            </w:r>
          </w:p>
        </w:tc>
        <w:tc>
          <w:tcPr>
            <w:tcW w:w="1000" w:type="dxa"/>
            <w:vAlign w:val="bottom"/>
            <w:gridSpan w:val="2"/>
          </w:tcPr>
          <w:p>
            <w:pPr>
              <w:jc w:val="right"/>
              <w:ind w:right="914"/>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(17,782)</w:t>
            </w: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1,424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tcPr>
          <w:p>
            <w:pPr>
              <w:ind w:left="260"/>
              <w:spacing w:after="0"/>
              <w:rPr>
                <w:sz w:val="20"/>
                <w:szCs w:val="20"/>
                <w:color w:val="auto"/>
              </w:rPr>
            </w:pPr>
            <w:r>
              <w:rPr>
                <w:rFonts w:ascii="Arial" w:cs="Arial" w:eastAsia="Arial" w:hAnsi="Arial"/>
                <w:sz w:val="14"/>
                <w:szCs w:val="14"/>
                <w:color w:val="auto"/>
              </w:rPr>
              <w:t>Loss on disposal of property and equipment</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Non-cash operating lease expense</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80" w:type="dxa"/>
            <w:vAlign w:val="bottom"/>
          </w:tcPr>
          <w:p>
            <w:pPr>
              <w:ind w:left="260"/>
              <w:spacing w:after="0"/>
              <w:rPr>
                <w:sz w:val="20"/>
                <w:szCs w:val="20"/>
                <w:color w:val="auto"/>
              </w:rPr>
            </w:pPr>
            <w:r>
              <w:rPr>
                <w:rFonts w:ascii="Arial" w:cs="Arial" w:eastAsia="Arial" w:hAnsi="Arial"/>
                <w:sz w:val="14"/>
                <w:szCs w:val="14"/>
                <w:color w:val="auto"/>
              </w:rPr>
              <w:t>Change in fair value of convertible preferred stock tranche liability</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non-current assets</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(2,954)</w:t>
            </w:r>
          </w:p>
        </w:tc>
        <w:tc>
          <w:tcPr>
            <w:tcW w:w="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62"/>
        </w:trPr>
        <w:tc>
          <w:tcPr>
            <w:tcW w:w="708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1,363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(33)</w:t>
            </w:r>
          </w:p>
        </w:tc>
        <w:tc>
          <w:tcPr>
            <w:tcW w:w="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tcPr>
          <w:p>
            <w:pPr>
              <w:ind w:left="500"/>
              <w:spacing w:after="0"/>
              <w:rPr>
                <w:sz w:val="20"/>
                <w:szCs w:val="20"/>
                <w:color w:val="auto"/>
              </w:rPr>
            </w:pPr>
            <w:r>
              <w:rPr>
                <w:rFonts w:ascii="Arial" w:cs="Arial" w:eastAsia="Arial" w:hAnsi="Arial"/>
                <w:sz w:val="14"/>
                <w:szCs w:val="14"/>
                <w:color w:val="auto"/>
              </w:rPr>
              <w:t>Deferred rent and other lease liabilities</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Operating lease liabilities</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(745)</w:t>
            </w:r>
          </w:p>
        </w:tc>
        <w:tc>
          <w:tcPr>
            <w:tcW w:w="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80" w:type="dxa"/>
            <w:vAlign w:val="bottom"/>
          </w:tcPr>
          <w:p>
            <w:pPr>
              <w:ind w:left="500"/>
              <w:spacing w:after="0"/>
              <w:rPr>
                <w:sz w:val="20"/>
                <w:szCs w:val="20"/>
                <w:color w:val="auto"/>
              </w:rPr>
            </w:pPr>
            <w:r>
              <w:rPr>
                <w:rFonts w:ascii="Arial" w:cs="Arial" w:eastAsia="Arial" w:hAnsi="Arial"/>
                <w:sz w:val="14"/>
                <w:szCs w:val="14"/>
                <w:color w:val="auto"/>
              </w:rPr>
              <w:t>Other non-current liabilities</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5"/>
        </w:trPr>
        <w:tc>
          <w:tcPr>
            <w:tcW w:w="7080" w:type="dxa"/>
            <w:vAlign w:val="bottom"/>
            <w:tcBorders>
              <w:top w:val="single" w:sz="8" w:color="CFF0FC"/>
            </w:tcBorders>
            <w:shd w:val="clear" w:color="auto" w:fill="CFF0FC"/>
          </w:tcPr>
          <w:p>
            <w:pPr>
              <w:ind w:left="620"/>
              <w:spacing w:after="0" w:line="155" w:lineRule="exact"/>
              <w:rPr>
                <w:sz w:val="20"/>
                <w:szCs w:val="20"/>
                <w:color w:val="auto"/>
              </w:rPr>
            </w:pPr>
            <w:r>
              <w:rPr>
                <w:rFonts w:ascii="Arial" w:cs="Arial" w:eastAsia="Arial" w:hAnsi="Arial"/>
                <w:sz w:val="14"/>
                <w:szCs w:val="14"/>
                <w:color w:val="auto"/>
              </w:rPr>
              <w:t>Net cash used in operating activities</w:t>
            </w:r>
          </w:p>
        </w:tc>
        <w:tc>
          <w:tcPr>
            <w:tcW w:w="64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(27,808)</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(15,512)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Purchases of property and equipment</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(7,559)</w:t>
            </w:r>
          </w:p>
        </w:tc>
        <w:tc>
          <w:tcPr>
            <w:tcW w:w="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(1,424)</w:t>
            </w:r>
          </w:p>
        </w:tc>
        <w:tc>
          <w:tcPr>
            <w:tcW w:w="0" w:type="dxa"/>
            <w:vAlign w:val="bottom"/>
          </w:tcPr>
          <w:p>
            <w:pPr>
              <w:spacing w:after="0"/>
              <w:rPr>
                <w:sz w:val="1"/>
                <w:szCs w:val="1"/>
                <w:color w:val="auto"/>
              </w:rPr>
            </w:pPr>
          </w:p>
        </w:tc>
      </w:tr>
      <w:tr>
        <w:trPr>
          <w:trHeight w:val="162"/>
        </w:trPr>
        <w:tc>
          <w:tcPr>
            <w:tcW w:w="7080" w:type="dxa"/>
            <w:vAlign w:val="bottom"/>
          </w:tcPr>
          <w:p>
            <w:pPr>
              <w:ind w:left="260"/>
              <w:spacing w:after="0"/>
              <w:rPr>
                <w:sz w:val="20"/>
                <w:szCs w:val="20"/>
                <w:color w:val="auto"/>
              </w:rPr>
            </w:pPr>
            <w:r>
              <w:rPr>
                <w:rFonts w:ascii="Arial" w:cs="Arial" w:eastAsia="Arial" w:hAnsi="Arial"/>
                <w:sz w:val="14"/>
                <w:szCs w:val="14"/>
                <w:color w:val="auto"/>
              </w:rPr>
              <w:t>Proceeds from maturities of marketable securities</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80" w:type="dxa"/>
            <w:vAlign w:val="bottom"/>
            <w:tcBorders>
              <w:top w:val="single" w:sz="8" w:color="CFF0FC"/>
            </w:tcBorders>
            <w:shd w:val="clear" w:color="auto" w:fill="CFF0FC"/>
          </w:tcPr>
          <w:p>
            <w:pPr>
              <w:ind w:left="620"/>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64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(7,559)</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tcPr>
          <w:p>
            <w:pPr>
              <w:ind w:left="26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19,981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tcPr>
          <w:p>
            <w:pPr>
              <w:ind w:left="260"/>
              <w:spacing w:after="0"/>
              <w:rPr>
                <w:sz w:val="20"/>
                <w:szCs w:val="20"/>
                <w:color w:val="auto"/>
              </w:rPr>
            </w:pPr>
            <w:r>
              <w:rPr>
                <w:rFonts w:ascii="Arial" w:cs="Arial" w:eastAsia="Arial" w:hAnsi="Arial"/>
                <w:sz w:val="14"/>
                <w:szCs w:val="14"/>
                <w:color w:val="auto"/>
              </w:rPr>
              <w:t>Repurchases of common stock</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repayments on notes receivable from stockholders</w:t>
            </w:r>
          </w:p>
        </w:tc>
        <w:tc>
          <w:tcPr>
            <w:tcW w:w="6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80" w:type="dxa"/>
            <w:vAlign w:val="bottom"/>
          </w:tcPr>
          <w:p>
            <w:pPr>
              <w:ind w:left="260"/>
              <w:spacing w:after="0"/>
              <w:rPr>
                <w:sz w:val="20"/>
                <w:szCs w:val="20"/>
                <w:color w:val="auto"/>
              </w:rPr>
            </w:pPr>
            <w:r>
              <w:rPr>
                <w:rFonts w:ascii="Arial" w:cs="Arial" w:eastAsia="Arial" w:hAnsi="Arial"/>
                <w:sz w:val="14"/>
                <w:szCs w:val="14"/>
                <w:color w:val="auto"/>
              </w:rPr>
              <w:t>Payment of deferred offering costs</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(1,389)</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080" w:type="dxa"/>
            <w:vAlign w:val="bottom"/>
            <w:tcBorders>
              <w:top w:val="single" w:sz="8" w:color="CFF0FC"/>
            </w:tcBorders>
            <w:shd w:val="clear" w:color="auto" w:fill="CFF0FC"/>
          </w:tcPr>
          <w:p>
            <w:pPr>
              <w:ind w:left="62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64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18,717</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30,649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line="155" w:lineRule="exact"/>
              <w:rPr>
                <w:sz w:val="20"/>
                <w:szCs w:val="20"/>
                <w:color w:val="auto"/>
              </w:rPr>
            </w:pPr>
            <w:r>
              <w:rPr>
                <w:rFonts w:ascii="Arial" w:cs="Arial" w:eastAsia="Arial" w:hAnsi="Arial"/>
                <w:sz w:val="14"/>
                <w:szCs w:val="14"/>
                <w:color w:val="auto"/>
              </w:rPr>
              <w:t>Net change in cash, cash equivalents and restricted cash</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(16,650)</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16,466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640" w:type="dxa"/>
            <w:vAlign w:val="bottom"/>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129,083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and cash equivalents and restricted cash at end of period</w:t>
            </w:r>
          </w:p>
        </w:tc>
        <w:tc>
          <w:tcPr>
            <w:tcW w:w="64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jc w:val="right"/>
              <w:ind w:right="86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112,433</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jc w:val="right"/>
              <w:ind w:right="914"/>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40,737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08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Components of cash, cash equivalents and restricted cash:</w:t>
            </w: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111,886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40,338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 non-current</w:t>
            </w:r>
          </w:p>
        </w:tc>
        <w:tc>
          <w:tcPr>
            <w:tcW w:w="640" w:type="dxa"/>
            <w:vAlign w:val="bottom"/>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547</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0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cash equivalents and restricted cash</w:t>
            </w:r>
          </w:p>
        </w:tc>
        <w:tc>
          <w:tcPr>
            <w:tcW w:w="64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jc w:val="right"/>
              <w:ind w:right="86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112,433</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jc w:val="right"/>
              <w:ind w:right="914"/>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40,737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08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 of cash operating activities:</w:t>
            </w: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260"/>
              <w:spacing w:after="0"/>
              <w:rPr>
                <w:sz w:val="20"/>
                <w:szCs w:val="20"/>
                <w:color w:val="auto"/>
              </w:rPr>
            </w:pPr>
            <w:r>
              <w:rPr>
                <w:rFonts w:ascii="Arial" w:cs="Arial" w:eastAsia="Arial" w:hAnsi="Arial"/>
                <w:sz w:val="14"/>
                <w:szCs w:val="14"/>
                <w:color w:val="auto"/>
              </w:rPr>
              <w:t>Cash paid for leases included in operating cash outflows</w:t>
            </w:r>
          </w:p>
        </w:tc>
        <w:tc>
          <w:tcPr>
            <w:tcW w:w="1620" w:type="dxa"/>
            <w:vAlign w:val="bottom"/>
            <w:gridSpan w:val="2"/>
          </w:tcPr>
          <w:p>
            <w:pPr>
              <w:jc w:val="right"/>
              <w:ind w:right="8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2,830</w:t>
            </w:r>
          </w:p>
        </w:tc>
        <w:tc>
          <w:tcPr>
            <w:tcW w:w="300" w:type="dxa"/>
            <w:vAlign w:val="bottom"/>
          </w:tcPr>
          <w:p>
            <w:pPr>
              <w:spacing w:after="0"/>
              <w:rPr>
                <w:sz w:val="17"/>
                <w:szCs w:val="17"/>
                <w:color w:val="auto"/>
              </w:rPr>
            </w:pPr>
          </w:p>
        </w:tc>
        <w:tc>
          <w:tcPr>
            <w:tcW w:w="1000" w:type="dxa"/>
            <w:vAlign w:val="bottom"/>
            <w:gridSpan w:val="2"/>
          </w:tcPr>
          <w:p>
            <w:pPr>
              <w:jc w:val="right"/>
              <w:ind w:right="914"/>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0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 of non-cash operating activities:</w:t>
            </w:r>
          </w:p>
        </w:tc>
        <w:tc>
          <w:tcPr>
            <w:tcW w:w="64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260"/>
              <w:spacing w:after="0"/>
              <w:rPr>
                <w:sz w:val="20"/>
                <w:szCs w:val="20"/>
                <w:color w:val="auto"/>
              </w:rPr>
            </w:pPr>
            <w:r>
              <w:rPr>
                <w:rFonts w:ascii="Arial" w:cs="Arial" w:eastAsia="Arial" w:hAnsi="Arial"/>
                <w:sz w:val="14"/>
                <w:szCs w:val="14"/>
                <w:color w:val="auto"/>
              </w:rPr>
              <w:t>Lease liability obtained in exchange for right-of-use asset</w:t>
            </w:r>
          </w:p>
        </w:tc>
        <w:tc>
          <w:tcPr>
            <w:tcW w:w="1620" w:type="dxa"/>
            <w:vAlign w:val="bottom"/>
            <w:gridSpan w:val="2"/>
          </w:tcPr>
          <w:p>
            <w:pPr>
              <w:jc w:val="right"/>
              <w:ind w:right="8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8,558</w:t>
            </w:r>
          </w:p>
        </w:tc>
        <w:tc>
          <w:tcPr>
            <w:tcW w:w="300" w:type="dxa"/>
            <w:vAlign w:val="bottom"/>
          </w:tcPr>
          <w:p>
            <w:pPr>
              <w:spacing w:after="0"/>
              <w:rPr>
                <w:sz w:val="17"/>
                <w:szCs w:val="17"/>
                <w:color w:val="auto"/>
              </w:rPr>
            </w:pPr>
          </w:p>
        </w:tc>
        <w:tc>
          <w:tcPr>
            <w:tcW w:w="1000" w:type="dxa"/>
            <w:vAlign w:val="bottom"/>
            <w:gridSpan w:val="2"/>
          </w:tcPr>
          <w:p>
            <w:pPr>
              <w:jc w:val="right"/>
              <w:ind w:right="914"/>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0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64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80" w:type="dxa"/>
            <w:vAlign w:val="bottom"/>
          </w:tcPr>
          <w:p>
            <w:pPr>
              <w:ind w:left="260"/>
              <w:spacing w:after="0" w:line="143" w:lineRule="exact"/>
              <w:rPr>
                <w:sz w:val="20"/>
                <w:szCs w:val="20"/>
                <w:color w:val="auto"/>
              </w:rPr>
            </w:pPr>
            <w:r>
              <w:rPr>
                <w:rFonts w:ascii="Arial" w:cs="Arial" w:eastAsia="Arial" w:hAnsi="Arial"/>
                <w:sz w:val="14"/>
                <w:szCs w:val="14"/>
                <w:color w:val="auto"/>
              </w:rPr>
              <w:t>Deferred offering costs related to initial public offering included in accounts payable and accrued</w:t>
            </w: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80" w:type="dxa"/>
            <w:vAlign w:val="bottom"/>
          </w:tcPr>
          <w:p>
            <w:pPr>
              <w:ind w:left="360"/>
              <w:spacing w:after="0"/>
              <w:rPr>
                <w:sz w:val="20"/>
                <w:szCs w:val="20"/>
                <w:color w:val="auto"/>
              </w:rPr>
            </w:pPr>
            <w:r>
              <w:rPr>
                <w:rFonts w:ascii="Arial" w:cs="Arial" w:eastAsia="Arial" w:hAnsi="Arial"/>
                <w:sz w:val="14"/>
                <w:szCs w:val="14"/>
                <w:color w:val="auto"/>
              </w:rPr>
              <w:t>expenses and other current liabilities</w:t>
            </w:r>
          </w:p>
        </w:tc>
        <w:tc>
          <w:tcPr>
            <w:tcW w:w="1620" w:type="dxa"/>
            <w:vAlign w:val="bottom"/>
            <w:gridSpan w:val="2"/>
          </w:tcPr>
          <w:p>
            <w:pPr>
              <w:jc w:val="right"/>
              <w:ind w:right="8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1,094</w:t>
            </w:r>
          </w:p>
        </w:tc>
        <w:tc>
          <w:tcPr>
            <w:tcW w:w="300" w:type="dxa"/>
            <w:vAlign w:val="bottom"/>
          </w:tcPr>
          <w:p>
            <w:pPr>
              <w:spacing w:after="0"/>
              <w:rPr>
                <w:sz w:val="18"/>
                <w:szCs w:val="18"/>
                <w:color w:val="auto"/>
              </w:rPr>
            </w:pPr>
          </w:p>
        </w:tc>
        <w:tc>
          <w:tcPr>
            <w:tcW w:w="1000" w:type="dxa"/>
            <w:vAlign w:val="bottom"/>
            <w:gridSpan w:val="2"/>
          </w:tcPr>
          <w:p>
            <w:pPr>
              <w:jc w:val="right"/>
              <w:ind w:right="914"/>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080" w:type="dxa"/>
            <w:vAlign w:val="bottom"/>
            <w:tcBorders>
              <w:top w:val="single" w:sz="8" w:color="CFF0FC"/>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Property and equipment included in accounts payable and accrued expenses and other current liabilities</w:t>
            </w:r>
          </w:p>
        </w:tc>
        <w:tc>
          <w:tcPr>
            <w:tcW w:w="640" w:type="dxa"/>
            <w:vAlign w:val="bottom"/>
            <w:tcBorders>
              <w:top w:val="single" w:sz="8" w:color="CFF0FC"/>
              <w:bottom w:val="single" w:sz="8" w:color="CFF0FC"/>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ind w:right="86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1,954</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ind w:right="91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260"/>
              <w:spacing w:after="0"/>
              <w:rPr>
                <w:sz w:val="20"/>
                <w:szCs w:val="20"/>
                <w:color w:val="auto"/>
              </w:rPr>
            </w:pPr>
            <w:r>
              <w:rPr>
                <w:rFonts w:ascii="Arial" w:cs="Arial" w:eastAsia="Arial" w:hAnsi="Arial"/>
                <w:sz w:val="14"/>
                <w:szCs w:val="14"/>
                <w:color w:val="auto"/>
              </w:rPr>
              <w:t>Partial settlement of convertible preferred stock tranche liability in connection with the issuance of Series B</w:t>
            </w:r>
          </w:p>
        </w:tc>
        <w:tc>
          <w:tcPr>
            <w:tcW w:w="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080" w:type="dxa"/>
            <w:vAlign w:val="bottom"/>
          </w:tcPr>
          <w:p>
            <w:pPr>
              <w:ind w:left="360"/>
              <w:spacing w:after="0"/>
              <w:rPr>
                <w:sz w:val="20"/>
                <w:szCs w:val="20"/>
                <w:color w:val="auto"/>
              </w:rPr>
            </w:pPr>
            <w:r>
              <w:rPr>
                <w:rFonts w:ascii="Arial" w:cs="Arial" w:eastAsia="Arial" w:hAnsi="Arial"/>
                <w:sz w:val="14"/>
                <w:szCs w:val="14"/>
                <w:color w:val="auto"/>
              </w:rPr>
              <w:t>convertible preferred stock</w:t>
            </w:r>
          </w:p>
        </w:tc>
        <w:tc>
          <w:tcPr>
            <w:tcW w:w="1620" w:type="dxa"/>
            <w:vAlign w:val="bottom"/>
            <w:gridSpan w:val="2"/>
          </w:tcPr>
          <w:p>
            <w:pPr>
              <w:jc w:val="right"/>
              <w:ind w:right="8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914"/>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July 2021, the Company’s board of directors approved an amended and restated certificate of incorporation to effect a reverse split of shares of the Company’s common stock, redeemable convertible preferred stock, and authorized shares on a 1-for-6 basis (the Reverse Stock Split) effective on July 23, 2021. The par value of the common stock and preferred stock was not adjusted as a result of the Reverse Stock Split. All share data, per share data and related information for all periods presented in the accompanying condensed financial statements have been retrospectively adjusted to reflect the effect of the Reverse Stock Split.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On August 3, 2021, the Company completed its initial public offering (IPO), at which time the Company issued an aggregate of 13,800,000 shares of its common stock (inclusive of 1,800,000 shares pursuant to the underwriters’ overallotment option) at a price of $15.00 per share. The Company received net proceeds of approximately $188.8 million, after deducting underwriting discounts and commissions of $14.5 million and other offering expenses of $3.7 million. Immediately prior to the completion of the IPO, all of the Company’s outstanding shares of convertible preferred stock automatically converted into 26,102,278 shares of common stock.</w:t>
      </w:r>
    </w:p>
    <w:p>
      <w:pPr>
        <w:spacing w:after="0" w:line="188"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The condensed financial statements as of June 30, 2021, including share and per share amounts, do not give effect to the IPO and the conversion of the convertible preferred stock into common stock, as the IPO and such conversion were completed subsequent to June 30, 2021 (see Note 12).</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The Company has incurred net losses since inception and expects such losses to continue in the future as it conducts research and development activities. As of June 30, 2021, the Company had an accumulated deficit of $111.1 million. The Company incurred a net loss of $28.3 million and $17.8 million during the six months ended June 30, 2021 and 2020. The Company had $111.9 million of cash and cash equivalents as of June 30, 2021.</w:t>
      </w:r>
    </w:p>
    <w:p>
      <w:pPr>
        <w:spacing w:after="0" w:line="149"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Management recognizes the need to raise capital to fully implement its business plan. The Company may seek to raise capital through equity financings, debt financings, license agreements, collaborative agreements or other sources of financing. Management believes that its existing cash and cash equivalents as of June 30, 2021, together with the net proceeds received from its IPO (see Note 12), are sufficient to fund the Company’s operations for at least the next twelve months following the date these condensed financial statements are filed with the Securities and Exchange Commission (SEC).</w:t>
      </w:r>
    </w:p>
    <w:p>
      <w:pPr>
        <w:spacing w:after="0" w:line="261"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333333"/>
        </w:rPr>
        <w:t>The interim condensed balance sheet as of June 30, 2021, and the interim condensed statements of operations and comprehensive loss, convertible preferred stock and stockholders’ deficit and cash flows for the three and six months ended June 30, 2021 and 2020 are unaudited. These unaudited interim condensed financial statements have been prepared on the same basis as the Company’s annual financial statements and reflect all adjustments (consisting only of normal recurring adjustments) that are necessary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7" w:right="399" w:bottom="1440" w:gutter="0" w:footer="0" w:header="0"/>
        </w:sectPr>
      </w:pPr>
    </w:p>
    <w:bookmarkStart w:id="10" w:name="page11"/>
    <w:bookmarkEnd w:id="10"/>
    <w:p>
      <w:pPr>
        <w:spacing w:after="0" w:line="273" w:lineRule="auto"/>
        <w:rPr>
          <w:sz w:val="20"/>
          <w:szCs w:val="20"/>
          <w:color w:val="auto"/>
        </w:rPr>
      </w:pPr>
      <w:r>
        <w:rPr>
          <w:rFonts w:ascii="Arial" w:cs="Arial" w:eastAsia="Arial" w:hAnsi="Arial"/>
          <w:sz w:val="17"/>
          <w:szCs w:val="17"/>
          <w:color w:val="333333"/>
        </w:rPr>
        <w:t xml:space="preserve">for the fair statement of the Company’s financial position, results of operations and cash flows for the interim periods presented. The condensed results of operations for the three and six months ended June 30, 2021 are not necessarily indicative of the results to be expected for the full year or for any other future annual or interim period. The condensed balance sheet as of December 31, 2020 included herein was derived from the audited financial statements as of that date. </w:t>
      </w:r>
      <w:r>
        <w:rPr>
          <w:rFonts w:ascii="Arial" w:cs="Arial" w:eastAsia="Arial" w:hAnsi="Arial"/>
          <w:sz w:val="17"/>
          <w:szCs w:val="17"/>
          <w:color w:val="000000"/>
        </w:rPr>
        <w:t>These condensed financial statements should be read in conjunction with the Company’s audited financial statements included in the</w:t>
      </w:r>
      <w:r>
        <w:rPr>
          <w:rFonts w:ascii="Arial" w:cs="Arial" w:eastAsia="Arial" w:hAnsi="Arial"/>
          <w:sz w:val="17"/>
          <w:szCs w:val="17"/>
          <w:color w:val="333333"/>
        </w:rPr>
        <w:t xml:space="preserve"> </w:t>
      </w:r>
      <w:r>
        <w:rPr>
          <w:rFonts w:ascii="Arial" w:cs="Arial" w:eastAsia="Arial" w:hAnsi="Arial"/>
          <w:sz w:val="17"/>
          <w:szCs w:val="17"/>
          <w:color w:val="000000"/>
        </w:rPr>
        <w:t>prospectus dated July 29, 2021, that forms a part of the Company's Registration Statements on Form S-1 (File Nos. 333-257820 and 333-258285), as filed with the SEC pursuant to Rule 424 promulgated under the Securities Act of 1933, as amended.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condensed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The Company bases its estimates on historical experience, the current economic environment, and on various other assumptions that are believed to be reasonable under the circumstances. Actual results may differ from those estimates or assumptions.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on the date of purchase to be cash equivalents. Cash equivalents primarily consist of money market funds that are stated at fair value.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80" w:firstLine="510"/>
        <w:spacing w:after="0" w:line="342" w:lineRule="auto"/>
        <w:rPr>
          <w:sz w:val="20"/>
          <w:szCs w:val="20"/>
          <w:color w:val="auto"/>
        </w:rPr>
      </w:pPr>
      <w:r>
        <w:rPr>
          <w:rFonts w:ascii="Arial" w:cs="Arial" w:eastAsia="Arial" w:hAnsi="Arial"/>
          <w:sz w:val="16"/>
          <w:szCs w:val="16"/>
          <w:color w:val="auto"/>
        </w:rPr>
        <w:t xml:space="preserve">The Company adopted Accounting Standards Codification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on January 1, 2021, as discussed below in the section titled “Recently Adopted Accounting Standards”. Under ASC 842, the Company determines if an arrangement is a lease at inception.</w:t>
      </w:r>
    </w:p>
    <w:p>
      <w:pPr>
        <w:spacing w:after="0" w:line="12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18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Company’s non-lease components are primarily related to property taxes, insurance, and common area maintenance, which vary based on future outcomes, and are recognized as rent expense when incurred.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Deferred offering costs, consisting of legal, accounting, audit and filing fees relating to the Company’s initial public offering, are capitalized. Deferred offering costs will be offset against offering proceeds from the completion of the offering. As of June 30, 2021, $2.5 million of deferred offering costs were capitalized, which are included in other non-current assets in the accompanying condensed balance sheet. As of December 31, 2020, the Company did not incur any deferred offering costs.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 Shares related to early exercised stock options and restricted stock that are subject to repurchase are excluded from the basic and diluted net loss per share calculation until the Company’s repurchase right lapses.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 xml:space="preserve">On January 1, 2021, the Company adopted ASC 842 using the modified retrospective transition method and elected the practical expedients to not reassess whether any expired or existing contracts are or contain leases, carry forward its historical lease classification and not reassess initial direct costs for existing leases. The Company elected to not separate non-lease components from the associated lease components and to not recognize ROU assets and lease liabilities for leases with a term of twelve months or less. Upon adoption of ASC 842, the Company recorded an operating right-of-use asset of $4.6 million, operating lease liabilities of $9.1 million and derecognized deferred rent and other lease liabilities of $4.5 million. Results for the six months ended June 30, 2021 are presented under ASC 842. Prior period amounts before January 1, 2021 have not been adjusted and continue to be reported in accordance with the Company’s historical accounting under previous lease guidance,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840).</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existing incurred loss impairment model with an expected credit loss model. This standard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recognize an allowance for credit losses on available-for-sale debt securities rather than the current approach of recording a reduction to the carrying value of the asset. As an emerging growth company, ASU 2016-13 is effective for the Company beginning January 1, 2023. The Company is evaluating the impact of this standard on its financial statements.</w:t>
      </w:r>
    </w:p>
    <w:p>
      <w:pPr>
        <w:spacing w:after="0" w:line="18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beginning January 1, 2022. The Company is evaluating the impact of this standard on its financial statements.</w:t>
      </w:r>
    </w:p>
    <w:p>
      <w:pPr>
        <w:spacing w:after="0" w:line="188"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In August 2020, the FASB issued ASU No. 2020-06, Debt—</w:t>
      </w:r>
      <w:r>
        <w:rPr>
          <w:rFonts w:ascii="Arial" w:cs="Arial" w:eastAsia="Arial" w:hAnsi="Arial"/>
          <w:sz w:val="18"/>
          <w:szCs w:val="18"/>
          <w:i w:val="1"/>
          <w:iCs w:val="1"/>
          <w:color w:val="auto"/>
        </w:rPr>
        <w: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(Subtopic 815-40) </w:t>
      </w:r>
      <w:r>
        <w:rPr>
          <w:rFonts w:ascii="Arial" w:cs="Arial" w:eastAsia="Arial" w:hAnsi="Arial"/>
          <w:sz w:val="18"/>
          <w:szCs w:val="18"/>
          <w:color w:val="auto"/>
        </w:rPr>
        <w:t>(ASU 2020-06), which is intended to simplify the accounting for convertible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convertible preferred stock. This standard removes the existing guidance in ASC 470-20 that requires companies to account for cash conversion features and beneficial conversion features in equity, separately from the host convertible debt or preferred stock. As an emerging growth company, ASU 2020-06 is effective for the Company beginning January 1, 2024. The Company currently does not expect the adoption of this standard to have a material impact on its financial statements.</w:t>
      </w:r>
    </w:p>
    <w:p>
      <w:pPr>
        <w:spacing w:after="0" w:line="215"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Financial assets and liabilities are recognized at fair value on a recurring basis. The following tables summarize the Company’s financial assets measured at fair value on a recurring basis by level within the fair value hierarchy:</w:t>
      </w:r>
    </w:p>
    <w:p>
      <w:pPr>
        <w:sectPr>
          <w:pgSz w:w="11900" w:h="16838" w:orient="portrait"/>
          <w:cols w:equalWidth="0" w:num="1">
            <w:col w:w="11220"/>
          </w:cols>
          <w:pgMar w:left="320" w:top="665" w:right="35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Valuation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-3175</wp:posOffset>
            </wp:positionV>
            <wp:extent cx="7112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-127635</wp:posOffset>
            </wp:positionV>
            <wp:extent cx="659193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1935" cy="14541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659193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1935" cy="146050"/>
                    </a:xfrm>
                    <a:prstGeom prst="rect">
                      <a:avLst/>
                    </a:prstGeom>
                    <a:noFill/>
                  </pic:spPr>
                </pic:pic>
              </a:graphicData>
            </a:graphic>
          </wp:anchor>
        </w:drawing>
      </w:r>
    </w:p>
    <w:p>
      <w:pPr>
        <w:spacing w:after="0" w:line="3" w:lineRule="exact"/>
        <w:rPr>
          <w:sz w:val="20"/>
          <w:szCs w:val="20"/>
          <w:color w:val="auto"/>
        </w:rPr>
      </w:pPr>
    </w:p>
    <w:p>
      <w:pPr>
        <w:ind w:left="440" w:right="40" w:firstLine="123"/>
        <w:spacing w:after="0" w:line="273" w:lineRule="auto"/>
        <w:rPr>
          <w:sz w:val="20"/>
          <w:szCs w:val="20"/>
          <w:color w:val="auto"/>
        </w:rPr>
      </w:pPr>
      <w:r>
        <w:rPr>
          <w:rFonts w:ascii="Arial" w:cs="Arial" w:eastAsia="Arial" w:hAnsi="Arial"/>
          <w:sz w:val="18"/>
          <w:szCs w:val="18"/>
          <w:color w:val="auto"/>
        </w:rPr>
        <w:t>Money market funds Level 1 Total financial assets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Valuation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-3175</wp:posOffset>
            </wp:positionV>
            <wp:extent cx="7112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-127635</wp:posOffset>
            </wp:positionV>
            <wp:extent cx="659193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1935" cy="14605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659193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91935" cy="146050"/>
                    </a:xfrm>
                    <a:prstGeom prst="rect">
                      <a:avLst/>
                    </a:prstGeom>
                    <a:noFill/>
                  </pic:spPr>
                </pic:pic>
              </a:graphicData>
            </a:graphic>
          </wp:anchor>
        </w:drawing>
      </w:r>
    </w:p>
    <w:p>
      <w:pPr>
        <w:spacing w:after="0" w:line="3" w:lineRule="exact"/>
        <w:rPr>
          <w:sz w:val="20"/>
          <w:szCs w:val="20"/>
          <w:color w:val="auto"/>
        </w:rPr>
      </w:pPr>
    </w:p>
    <w:p>
      <w:pPr>
        <w:ind w:left="440" w:right="40" w:firstLine="123"/>
        <w:spacing w:after="0" w:line="273" w:lineRule="auto"/>
        <w:rPr>
          <w:sz w:val="20"/>
          <w:szCs w:val="20"/>
          <w:color w:val="auto"/>
        </w:rPr>
      </w:pPr>
      <w:r>
        <w:rPr>
          <w:rFonts w:ascii="Arial" w:cs="Arial" w:eastAsia="Arial" w:hAnsi="Arial"/>
          <w:sz w:val="18"/>
          <w:szCs w:val="18"/>
          <w:color w:val="auto"/>
        </w:rPr>
        <w:t>Money market funds Level 1 Total financial assets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June 30,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81"/>
              <w:spacing w:after="0" w:line="13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4"/>
          </w:tcPr>
          <w:p>
            <w:pPr>
              <w:jc w:val="center"/>
              <w:ind w:right="159"/>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4"/>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110,872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110,872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4"/>
          </w:tcPr>
          <w:p>
            <w:pPr>
              <w:jc w:val="center"/>
              <w:ind w:right="159"/>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4"/>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127,535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127,535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40" w:space="360"/>
            <w:col w:w="5220"/>
          </w:cols>
          <w:pgMar w:left="320" w:top="665" w:right="359" w:bottom="1440" w:gutter="0" w:footer="0" w:header="0"/>
          <w:type w:val="continuous"/>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type w:val="continuous"/>
        </w:sectPr>
      </w:pPr>
    </w:p>
    <w:bookmarkStart w:id="12" w:name="page13"/>
    <w:bookmarkEnd w:id="12"/>
    <w:p>
      <w:pPr>
        <w:ind w:left="520"/>
        <w:spacing w:after="0"/>
        <w:rPr>
          <w:sz w:val="20"/>
          <w:szCs w:val="20"/>
          <w:color w:val="auto"/>
        </w:rPr>
      </w:pPr>
      <w:r>
        <w:rPr>
          <w:rFonts w:ascii="Arial" w:cs="Arial" w:eastAsia="Arial" w:hAnsi="Arial"/>
          <w:sz w:val="17"/>
          <w:szCs w:val="17"/>
          <w:color w:val="auto"/>
        </w:rPr>
        <w:t>Money market funds are classified as Level 1 because they are valued using quoted market prices in active markets for identical assets.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unrealized losses as of June 30, 2021 and December 31, 2020.</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Preferred Stock Tranche Liability</w:t>
      </w:r>
    </w:p>
    <w:p>
      <w:pPr>
        <w:spacing w:after="0" w:line="225"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Company’s convertible preferred stock tranche liability (see Note 7) was determined based on significant inputs not observable in the market, which represents a Level 3 measurement within the fair value hierarchy. Fair value was calculated using an option pricing model that required significant unobservable inputs supported by little or no market activity. The convertible preferred stock tranche liability is considered a non-contingent forward and the standard forward pricing model was used with the following key assumptions: (a) calculation of an expected term and (b) a risk-free interest rate.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June 30, 2021 and December 31, 2020.</w:t>
      </w:r>
    </w:p>
    <w:p>
      <w:pPr>
        <w:spacing w:after="0" w:line="19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following table summarizes the significant unobservable assumptions used to value the convertible preferred stock tranche liability as of June 30, 2020:</w:t>
      </w:r>
    </w:p>
    <w:p>
      <w:pPr>
        <w:spacing w:after="0" w:line="28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to valuation date (in years)</w:t>
            </w:r>
          </w:p>
        </w:tc>
        <w:tc>
          <w:tcPr>
            <w:tcW w:w="1340" w:type="dxa"/>
            <w:vAlign w:val="bottom"/>
            <w:tcBorders>
              <w:top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color w:val="auto"/>
              </w:rPr>
              <w:t>0.17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Discount rate</w:t>
            </w:r>
          </w:p>
        </w:tc>
        <w:tc>
          <w:tcPr>
            <w:tcW w:w="1340" w:type="dxa"/>
            <w:vAlign w:val="bottom"/>
          </w:tcPr>
          <w:p>
            <w:pPr>
              <w:jc w:val="right"/>
              <w:ind w:right="416"/>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0"/>
                <w:szCs w:val="20"/>
                <w:color w:val="auto"/>
              </w:rPr>
            </w:pPr>
          </w:p>
        </w:tc>
      </w:tr>
    </w:tbl>
    <w:p>
      <w:pPr>
        <w:spacing w:after="0" w:line="228"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summarizes the changes in the estimated fair value of the Company’s convertible preferred stock tranche liability measured on a recurring basis using significant Level 3 inputs: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jc w:val="center"/>
              <w:ind w:left="18"/>
              <w:spacing w:after="0"/>
              <w:rPr>
                <w:sz w:val="20"/>
                <w:szCs w:val="20"/>
                <w:color w:val="auto"/>
              </w:rPr>
            </w:pPr>
            <w:r>
              <w:rPr>
                <w:rFonts w:ascii="Arial" w:cs="Arial" w:eastAsia="Arial" w:hAnsi="Arial"/>
                <w:sz w:val="14"/>
                <w:szCs w:val="14"/>
                <w:b w:val="1"/>
                <w:bCs w:val="1"/>
                <w:color w:val="auto"/>
                <w:w w:val="93"/>
              </w:rPr>
              <w:t>Six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left="118"/>
              <w:spacing w:after="0"/>
              <w:rPr>
                <w:sz w:val="20"/>
                <w:szCs w:val="20"/>
                <w:color w:val="auto"/>
              </w:rPr>
            </w:pPr>
            <w:r>
              <w:rPr>
                <w:rFonts w:ascii="Arial" w:cs="Arial" w:eastAsia="Arial" w:hAnsi="Arial"/>
                <w:sz w:val="14"/>
                <w:szCs w:val="14"/>
                <w:b w:val="1"/>
                <w:bCs w:val="1"/>
                <w:color w:val="auto"/>
                <w:w w:val="92"/>
              </w:rPr>
              <w:t>June 30, 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left="138"/>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Partial settlement upon second closing of Series B</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0" w:type="dxa"/>
            <w:vAlign w:val="bottom"/>
          </w:tcPr>
          <w:p>
            <w:pPr>
              <w:ind w:left="260"/>
              <w:spacing w:after="0"/>
              <w:rPr>
                <w:sz w:val="20"/>
                <w:szCs w:val="20"/>
                <w:color w:val="auto"/>
              </w:rPr>
            </w:pPr>
            <w:r>
              <w:rPr>
                <w:rFonts w:ascii="Arial" w:cs="Arial" w:eastAsia="Arial" w:hAnsi="Arial"/>
                <w:sz w:val="18"/>
                <w:szCs w:val="18"/>
                <w:color w:val="auto"/>
              </w:rPr>
              <w:t>convertible preferred stock</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fair value upon remeasurement</w:t>
            </w:r>
          </w:p>
        </w:tc>
        <w:tc>
          <w:tcPr>
            <w:tcW w:w="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60" w:type="dxa"/>
            <w:vAlign w:val="bottom"/>
            <w:gridSpan w:val="2"/>
          </w:tcPr>
          <w:p>
            <w:pPr>
              <w:ind w:left="560"/>
              <w:spacing w:after="0"/>
              <w:rPr>
                <w:sz w:val="20"/>
                <w:szCs w:val="20"/>
                <w:color w:val="auto"/>
              </w:rPr>
            </w:pPr>
            <w:r>
              <w:rPr>
                <w:rFonts w:ascii="Arial" w:cs="Arial" w:eastAsia="Arial" w:hAnsi="Arial"/>
                <w:sz w:val="18"/>
                <w:szCs w:val="18"/>
                <w:color w:val="auto"/>
              </w:rPr>
              <w:t>Ending balance</w:t>
            </w:r>
          </w:p>
        </w:tc>
        <w:tc>
          <w:tcPr>
            <w:tcW w:w="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60" w:type="dxa"/>
            <w:vAlign w:val="bottom"/>
            <w:gridSpan w:val="3"/>
          </w:tcPr>
          <w:p>
            <w:pPr>
              <w:ind w:left="52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60" w:type="dxa"/>
            <w:vAlign w:val="bottom"/>
            <w:gridSpan w:val="3"/>
          </w:tcPr>
          <w:p>
            <w:pPr>
              <w:ind w:left="520"/>
              <w:spacing w:after="0"/>
              <w:rPr>
                <w:sz w:val="20"/>
                <w:szCs w:val="20"/>
                <w:color w:val="auto"/>
              </w:rPr>
            </w:pPr>
            <w:r>
              <w:rPr>
                <w:rFonts w:ascii="Arial" w:cs="Arial" w:eastAsia="Arial" w:hAnsi="Arial"/>
                <w:sz w:val="18"/>
                <w:szCs w:val="18"/>
                <w:color w:val="auto"/>
              </w:rPr>
              <w:t>Property and equipment, net consists of the following:</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7"/>
          </w:tcPr>
          <w:p>
            <w:pPr>
              <w:jc w:val="right"/>
              <w:ind w:right="78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78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15,545</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7,678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8,182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7,237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Total property and equipment</w:t>
            </w:r>
          </w:p>
        </w:tc>
        <w:tc>
          <w:tcPr>
            <w:tcW w:w="600" w:type="dxa"/>
            <w:vAlign w:val="bottom"/>
            <w:gridSpan w:val="2"/>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33,034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23,888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(8,124)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Total property and equipment, net</w:t>
            </w:r>
          </w:p>
        </w:tc>
        <w:tc>
          <w:tcPr>
            <w:tcW w:w="60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17,185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Depreciation and amortization expense for the three months ended June 30, 2021 and 2020 was $0.7 million and $0.6 million, respectively. Depreciation and amortization expense for the six months ended June 30, 2021 and 2020 was $1.4 million and $1.2 million, respectively. Construction in progress primarily consists of capitalized machinery and equipment that is expected to be placed in service in the Company’s manufacturing and office space located in Union City, California (see Note 6).</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4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jc w:val="right"/>
              <w:ind w:right="69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expenses</w:t>
            </w:r>
          </w:p>
        </w:tc>
        <w:tc>
          <w:tcPr>
            <w:tcW w:w="9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w:t>
            </w:r>
          </w:p>
        </w:tc>
        <w:tc>
          <w:tcPr>
            <w:tcW w:w="8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Accrued property and equipment</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7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19"/>
                <w:szCs w:val="19"/>
                <w:color w:val="auto"/>
              </w:rPr>
            </w:pPr>
          </w:p>
        </w:tc>
      </w:tr>
      <w:tr>
        <w:trPr>
          <w:trHeight w:val="223"/>
        </w:trPr>
        <w:tc>
          <w:tcPr>
            <w:tcW w:w="4580" w:type="dxa"/>
            <w:vAlign w:val="bottom"/>
          </w:tcPr>
          <w:p>
            <w:pPr>
              <w:ind w:left="120"/>
              <w:spacing w:after="0"/>
              <w:rPr>
                <w:sz w:val="20"/>
                <w:szCs w:val="20"/>
                <w:color w:val="auto"/>
              </w:rPr>
            </w:pPr>
            <w:r>
              <w:rPr>
                <w:rFonts w:ascii="Arial" w:cs="Arial" w:eastAsia="Arial" w:hAnsi="Arial"/>
                <w:sz w:val="18"/>
                <w:szCs w:val="18"/>
                <w:color w:val="auto"/>
              </w:rPr>
              <w:t>Total accrued expenses and other current liabilities</w:t>
            </w:r>
          </w:p>
        </w:tc>
        <w:tc>
          <w:tcPr>
            <w:tcW w:w="7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8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tab/>
        <w:t>License Agreements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Gladstone License Agreement</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October 2016, the Company entered into a license agreement with the J. David Gladstone Institute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 up to $0.1 million per year, which will be creditable against royalties paid in the following twelve month period, (ii) milestone payments up to $4.1 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 to $100,000 to extend the deadline for its diligence milestone obligations for up to four additional one-year terms. As of June 30, 2021, the Company has not recognized any milestone and royalty payments under the Gladstone License Agreement.</w:t>
      </w:r>
    </w:p>
    <w:p>
      <w:pPr>
        <w:spacing w:after="0" w:line="166"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During the three and six months ended June 30, 2020 and 2021, there were no material amounts recorded related to annual license fees payable pursuant to the Gladstone License Agreement.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University of Texas Southwestern License Agreement</w:t>
      </w:r>
    </w:p>
    <w:p>
      <w:pPr>
        <w:spacing w:after="0" w:line="225"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June 30, 2021, the Company has not recognized any milestone and royalty payments under the UTSW License.</w:t>
      </w:r>
    </w:p>
    <w:p>
      <w:pPr>
        <w:spacing w:after="0" w:line="178"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During the three and six months ended June 30, 2020, the Company recorded research and development expenses of $nil and $0.1 million related to the upfront license fee payable pursuant to the UTSW License.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22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addition to the agreements described above, the Company has also entered into other license agreements with various institutions and business entities, none of which are material individually or in the aggregate.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 w:name="page15"/>
    <w:bookmarkEnd w:id="14"/>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Facility Leases</w:t>
      </w:r>
    </w:p>
    <w:p>
      <w:pPr>
        <w:spacing w:after="0" w:line="225" w:lineRule="exact"/>
        <w:rPr>
          <w:sz w:val="20"/>
          <w:szCs w:val="20"/>
          <w:color w:val="auto"/>
        </w:rPr>
      </w:pPr>
    </w:p>
    <w:p>
      <w:pPr>
        <w:jc w:val="both"/>
        <w:ind w:right="520" w:firstLine="510"/>
        <w:spacing w:after="0" w:line="286" w:lineRule="auto"/>
        <w:rPr>
          <w:sz w:val="20"/>
          <w:szCs w:val="20"/>
          <w:color w:val="auto"/>
        </w:rPr>
      </w:pPr>
      <w:r>
        <w:rPr>
          <w:rFonts w:ascii="Arial" w:cs="Arial" w:eastAsia="Arial" w:hAnsi="Arial"/>
          <w:sz w:val="17"/>
          <w:szCs w:val="17"/>
          <w:color w:val="auto"/>
        </w:rPr>
        <w:t>In December 2016, the Company entered into a lease agreement for office and laboratory space in South San Francisco, California. The lease expires in May 2025 and the Company may renew the lease term for two additional five-year periods. Pursuant to the lease agreement, the Company received a tenant improvement allowance of $5.8 million in aggregate for leasehold improvements to the facility.</w:t>
      </w:r>
    </w:p>
    <w:p>
      <w:pPr>
        <w:spacing w:after="0" w:line="16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In December 2020, the Company entered into a short-term sublease agreement for additional office and laboratory space in South San Francisco, California that expires on November 30, 2021.</w:t>
      </w:r>
    </w:p>
    <w:p>
      <w:pPr>
        <w:spacing w:after="0" w:line="170"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In February 2021, the Company entered into a lease agreement for manufacturing and office space located in Union City, California. The lease commenced in May 2021 and has a ten-year term with one five-year renewal option. Upon the execution of the lease agreement, the Company provided the landlord with a refundable security deposit of $3.3 million, which is included in other non-current assets on the condensed balance sheets.</w:t>
      </w:r>
    </w:p>
    <w:p>
      <w:pPr>
        <w:spacing w:after="0" w:line="149"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On January 1, 2021, the Company adopted ASC 842 (see Note 2) and the following disclosures as of and for the three and six months ended June 30, 2021 are presented under ASC 842. As of June 30, 2021, the remaining weighted-average lease term was 7.5 years and the weighted-average incremental borrowing rate used to determine the operating lease liability was 10.0%.</w:t>
      </w:r>
    </w:p>
    <w:p>
      <w:pPr>
        <w:spacing w:after="0" w:line="184"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For the three months ended June 30, 2021, the Company incurred $1.4 million in rent expense, of which $0.6 million is related to the Company’s short-term lease. Variable lease payments were $0.4 million for the three months ended June 30, 2021. For the three months ended June 30, 2020, the Company incurred $0.6 million in rent expense.</w:t>
      </w:r>
    </w:p>
    <w:p>
      <w:pPr>
        <w:spacing w:after="0" w:line="1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For the six months ended June 30, 2021, the Company incurred $2.6 million in rent expense, of which $1.2 million is related to the Company’s short-term lease. Variable lease payments were $0.8 million for the six months ended June 30, 2021. For the six months ended June 30, 2020, the Company incurred $1.3 million in rent expense.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2021, the undiscounted future minimum lease payments due under the Company’s non-cancelable operating leases are as follows:</w:t>
      </w:r>
    </w:p>
    <w:p>
      <w:pPr>
        <w:spacing w:after="0" w:line="186"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r>
      <w:tr>
        <w:trPr>
          <w:trHeight w:val="155"/>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2021 (remaining 6 months)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3,678</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3,910</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8,291</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undiscounted future minimum lease payments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23,719</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Present value adjustment for minimum lease commitments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(6,907)</w:t>
            </w:r>
          </w:p>
        </w:tc>
      </w:tr>
      <w:tr>
        <w:trPr>
          <w:trHeight w:val="229"/>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Tenant improvement receivable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(282)</w:t>
            </w: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16,530</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2020, undiscounted future minimum lease payments due under the Company’s non-cancelable operating lease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415"/>
              <w:spacing w:after="0"/>
              <w:rPr>
                <w:sz w:val="20"/>
                <w:szCs w:val="20"/>
                <w:color w:val="auto"/>
              </w:rPr>
            </w:pPr>
            <w:r>
              <w:rPr>
                <w:rFonts w:ascii="Arial" w:cs="Arial" w:eastAsia="Arial" w:hAnsi="Arial"/>
                <w:sz w:val="14"/>
                <w:szCs w:val="14"/>
                <w:b w:val="1"/>
                <w:bCs w:val="1"/>
                <w:color w:val="auto"/>
              </w:rPr>
              <w:t>Amount</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3,752</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2022</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2,206</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2024</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2,363</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2260"/>
              <w:spacing w:after="0"/>
              <w:rPr>
                <w:sz w:val="20"/>
                <w:szCs w:val="20"/>
                <w:color w:val="auto"/>
              </w:rPr>
            </w:pPr>
            <w:r>
              <w:rPr>
                <w:rFonts w:ascii="Arial" w:cs="Arial" w:eastAsia="Arial" w:hAnsi="Arial"/>
                <w:sz w:val="18"/>
                <w:szCs w:val="18"/>
                <w:color w:val="auto"/>
                <w:w w:val="99"/>
              </w:rPr>
              <w:t>Total future minimum lease payments</w:t>
            </w:r>
          </w:p>
        </w:tc>
        <w:tc>
          <w:tcPr>
            <w:tcW w:w="2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vMerge w:val="restart"/>
          </w:tcPr>
          <w:p>
            <w:pPr>
              <w:jc w:val="right"/>
              <w:ind w:right="179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ind w:right="180" w:firstLine="510"/>
        <w:spacing w:after="0" w:line="259" w:lineRule="auto"/>
        <w:rPr>
          <w:sz w:val="20"/>
          <w:szCs w:val="20"/>
          <w:color w:val="auto"/>
        </w:rPr>
      </w:pPr>
      <w:r>
        <w:rPr>
          <w:rFonts w:ascii="Arial" w:cs="Arial" w:eastAsia="Arial" w:hAnsi="Arial"/>
          <w:sz w:val="18"/>
          <w:szCs w:val="18"/>
          <w:color w:val="auto"/>
        </w:rPr>
        <w:t>The Company has previously entered into agreements to sublease portions of the Company’s facilities in South San Francisco to two different subtenants, both of which expired as of December 31, 2020. Pursuant to the sublease agreements, the Company received sublease income of $0.1 million and $0.2 million during the three and six months ended June 30, 2020, which is included in other income (expense), net on the condensed statements of operations and comprehensive loss.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440" w:firstLine="510"/>
        <w:spacing w:after="0" w:line="311" w:lineRule="auto"/>
        <w:rPr>
          <w:sz w:val="20"/>
          <w:szCs w:val="20"/>
          <w:color w:val="auto"/>
        </w:rPr>
      </w:pPr>
      <w:r>
        <w:rPr>
          <w:rFonts w:ascii="Arial" w:cs="Arial" w:eastAsia="Arial" w:hAnsi="Arial"/>
          <w:sz w:val="16"/>
          <w:szCs w:val="16"/>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June 30, 2021 and December 31, 2020, the Company does not have any material indemnification claims that were probable or reasonably possible and, consequently, has not recorded any related liabilities.</w:t>
      </w:r>
    </w:p>
    <w:p>
      <w:pPr>
        <w:spacing w:after="0" w:line="173"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Prior to the Company’s IPO (see Note 12), convertible preferred stock as of June 30, 2021 and December 31, 2020 consists of the following:</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left="1000"/>
              <w:spacing w:after="0"/>
              <w:rPr>
                <w:sz w:val="20"/>
                <w:szCs w:val="20"/>
                <w:color w:val="auto"/>
              </w:rPr>
            </w:pPr>
            <w:r>
              <w:rPr>
                <w:rFonts w:ascii="Arial" w:cs="Arial" w:eastAsia="Arial" w:hAnsi="Arial"/>
                <w:sz w:val="14"/>
                <w:szCs w:val="14"/>
                <w:b w:val="1"/>
                <w:bCs w:val="1"/>
                <w:color w:val="auto"/>
                <w:w w:val="90"/>
              </w:rPr>
              <w:t>June 30, 2021</w:t>
            </w: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6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1"/>
                <w:szCs w:val="11"/>
                <w:color w:val="auto"/>
              </w:rPr>
            </w:pPr>
          </w:p>
        </w:tc>
        <w:tc>
          <w:tcPr>
            <w:tcW w:w="1320" w:type="dxa"/>
            <w:vAlign w:val="bottom"/>
            <w:gridSpan w:val="2"/>
          </w:tcPr>
          <w:p>
            <w:pPr>
              <w:jc w:val="center"/>
              <w:ind w:right="620"/>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36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36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340" w:type="dxa"/>
            <w:vAlign w:val="bottom"/>
            <w:tcBorders>
              <w:top w:val="single" w:sz="8" w:color="auto"/>
            </w:tcBorders>
            <w:gridSpan w:val="5"/>
          </w:tcPr>
          <w:p>
            <w:pPr>
              <w:jc w:val="center"/>
              <w:ind w:right="240"/>
              <w:spacing w:after="0" w:line="155" w:lineRule="exact"/>
              <w:rPr>
                <w:sz w:val="20"/>
                <w:szCs w:val="20"/>
                <w:color w:val="auto"/>
              </w:rPr>
            </w:pPr>
            <w:r>
              <w:rPr>
                <w:rFonts w:ascii="Arial" w:cs="Arial" w:eastAsia="Arial" w:hAnsi="Arial"/>
                <w:sz w:val="14"/>
                <w:szCs w:val="14"/>
                <w:b w:val="1"/>
                <w:bCs w:val="1"/>
                <w:color w:val="auto"/>
                <w:w w:val="90"/>
              </w:rPr>
              <w:t>(In thousands, except share data)</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Convertible Preferred Stock</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Series A</w:t>
            </w:r>
          </w:p>
        </w:tc>
        <w:tc>
          <w:tcPr>
            <w:tcW w:w="1380" w:type="dxa"/>
            <w:vAlign w:val="bottom"/>
          </w:tcPr>
          <w:p>
            <w:pPr>
              <w:jc w:val="right"/>
              <w:spacing w:after="0"/>
              <w:rPr>
                <w:sz w:val="20"/>
                <w:szCs w:val="20"/>
                <w:color w:val="auto"/>
              </w:rPr>
            </w:pPr>
            <w:r>
              <w:rPr>
                <w:rFonts w:ascii="Arial" w:cs="Arial" w:eastAsia="Arial" w:hAnsi="Arial"/>
                <w:sz w:val="18"/>
                <w:szCs w:val="18"/>
                <w:color w:val="auto"/>
              </w:rPr>
              <w:t>8,316,666</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8,316,662</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43,393</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Series B</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9,259,254</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9,259,245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8,526,381</w:t>
            </w:r>
          </w:p>
        </w:tc>
        <w:tc>
          <w:tcPr>
            <w:tcW w:w="2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8,526,371</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105,698</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26,102,301</w:t>
            </w:r>
          </w:p>
        </w:tc>
        <w:tc>
          <w:tcPr>
            <w:tcW w:w="2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26,102,278</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240,735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6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1"/>
                <w:szCs w:val="11"/>
                <w:color w:val="auto"/>
              </w:rPr>
            </w:pPr>
          </w:p>
        </w:tc>
        <w:tc>
          <w:tcPr>
            <w:tcW w:w="1320" w:type="dxa"/>
            <w:vAlign w:val="bottom"/>
            <w:gridSpan w:val="2"/>
          </w:tcPr>
          <w:p>
            <w:pPr>
              <w:jc w:val="center"/>
              <w:ind w:right="620"/>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36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36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340" w:type="dxa"/>
            <w:vAlign w:val="bottom"/>
            <w:tcBorders>
              <w:top w:val="single" w:sz="8" w:color="auto"/>
            </w:tcBorders>
            <w:gridSpan w:val="5"/>
          </w:tcPr>
          <w:p>
            <w:pPr>
              <w:jc w:val="center"/>
              <w:ind w:right="240"/>
              <w:spacing w:after="0" w:line="155" w:lineRule="exact"/>
              <w:rPr>
                <w:sz w:val="20"/>
                <w:szCs w:val="20"/>
                <w:color w:val="auto"/>
              </w:rPr>
            </w:pPr>
            <w:r>
              <w:rPr>
                <w:rFonts w:ascii="Arial" w:cs="Arial" w:eastAsia="Arial" w:hAnsi="Arial"/>
                <w:sz w:val="14"/>
                <w:szCs w:val="14"/>
                <w:b w:val="1"/>
                <w:bCs w:val="1"/>
                <w:color w:val="auto"/>
                <w:w w:val="90"/>
              </w:rPr>
              <w:t>(In thousands, except share data)</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Convertible Preferred Stock</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Series A</w:t>
            </w:r>
          </w:p>
        </w:tc>
        <w:tc>
          <w:tcPr>
            <w:tcW w:w="1380" w:type="dxa"/>
            <w:vAlign w:val="bottom"/>
          </w:tcPr>
          <w:p>
            <w:pPr>
              <w:jc w:val="right"/>
              <w:spacing w:after="0"/>
              <w:rPr>
                <w:sz w:val="20"/>
                <w:szCs w:val="20"/>
                <w:color w:val="auto"/>
              </w:rPr>
            </w:pPr>
            <w:r>
              <w:rPr>
                <w:rFonts w:ascii="Arial" w:cs="Arial" w:eastAsia="Arial" w:hAnsi="Arial"/>
                <w:sz w:val="18"/>
                <w:szCs w:val="18"/>
                <w:color w:val="auto"/>
              </w:rPr>
              <w:t>8,316,666</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8,316,662</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43,393</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Series B</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9,259,254</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9,259,245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8,526,381</w:t>
            </w:r>
          </w:p>
        </w:tc>
        <w:tc>
          <w:tcPr>
            <w:tcW w:w="2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6,917,621</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85,717</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26,102,301</w:t>
            </w:r>
          </w:p>
        </w:tc>
        <w:tc>
          <w:tcPr>
            <w:tcW w:w="2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24,493,528</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220,754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261" w:lineRule="auto"/>
        <w:rPr>
          <w:sz w:val="20"/>
          <w:szCs w:val="20"/>
          <w:color w:val="auto"/>
        </w:rPr>
      </w:pPr>
      <w:r>
        <w:rPr>
          <w:rFonts w:ascii="Arial" w:cs="Arial" w:eastAsia="Arial" w:hAnsi="Arial"/>
          <w:sz w:val="18"/>
          <w:szCs w:val="18"/>
          <w:color w:val="auto"/>
        </w:rPr>
        <w:t>The Company classifies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 As a result, the Company has classified its convertible preferred stock as mezzanine equity on the balance sheets as the preferred stock is contingently redeemable. Subsequent adjustments to increase or decrease the carrying values to the ultimate liquidation values will be made only if and when it becomes probable that such liquidation event will occur.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22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August 2019, the Company entered into a Series B preferred stock purchase agreement (Series B SPA) for the issuance of up to 9,259,254 shares of the Company’s Series B convertible preferred stock at a purchase price of $9.936 per share in multiple closings. The Company completed the initial closing in August 2019, whereby 3,086,415 shares of Series B convertible preferred stock were issued for gross proceeds of $30.7 million. Pursuant to the Series B SPA, the Company was permitted to sell additional shares in subsequent closings contingent upon the approval of the Company’s board of directors.</w:t>
      </w:r>
    </w:p>
    <w:p>
      <w:pPr>
        <w:spacing w:after="0" w:line="18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On issuance, the Company determined that its obligation to issue additional shares of Series B convertible preferred stock in future closings was a freestanding instrument that should be classified as a liability on the Company’s balance sheets. The freestanding financial instrument, or convertible preferred stock tranche liability, was recorded at fair value on issuance of $0.8 million with the remaining proceeds being allocated to the Series B convertible preferred stock. Any changes in fair value of the convertible preferred stock tranche liability in subsequent reporting periods are recognized as a component of other income (expense), net in the statements of operations and comprehensive loss (see Note 3).</w:t>
      </w:r>
    </w:p>
    <w:p>
      <w:pPr>
        <w:spacing w:after="0" w:line="1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March 2020, the Company completed its second closing of Series B convertible preferred stock financing and issued 3,086,415 shares of Series B convertible preferred stock at the fixed purchase price of $9.936 per share for gross proceeds of $30.7 million, thereby settling a portion of the convertible preferred stock tranche liability. Immediately prior to the second closing, the Company measured the convertible preferred stock tranche liability to its then fair value. Upon the closing of the second tranche, the convertible preferred stock tranche liability was partially settled and the related balance of the liability of $27,000 was reclassified to Series B convertible preferred stock.</w:t>
      </w:r>
    </w:p>
    <w:p>
      <w:pPr>
        <w:spacing w:after="0" w:line="188"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In August 2020, the Company completed its third closing of Series B convertible preferred stock financing and issued 3,086,415 shares of Series B convertible preferred stock at the purchase price of $9.936 per share for gross proceeds of $30.7 million, thereby settling the remainder of the convertible preferred stock tranche liability. Immediately prior to the third closing, the Company measured the convertible preferred stock tranche liability to its then fair value. Upon the closing of the third tranche, the remaining convertible preferred stock tranche liability was settled and the balance of the liability of $0.7 million was reclassified to Series B convertible preferred stock.</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Series C Convertible Preferred Stock Financing</w:t>
      </w:r>
    </w:p>
    <w:p>
      <w:pPr>
        <w:spacing w:after="0" w:line="225"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In December 2020, the Company entered into a Series C preferred stock purchase agreement (Series C SPA) for the issuance of up to 8,526,381 shares of the Company’s Series C convertible preferred stock at a purchase price of $12.432 per share in two closings. The Company completed the initial closing in December 2020, whereby 6,917,621 shares of Series C convertible preferred stock were issued for gross proceeds of $86.0 million.</w:t>
      </w:r>
    </w:p>
    <w:p>
      <w:pPr>
        <w:spacing w:after="0" w:line="14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In January 2021, the Company sold an additional 1,608,750 shares of Series C convertible preferred stock at a purchase price of $12.432 per share for gross proceeds of $20.0 million.</w:t>
      </w:r>
    </w:p>
    <w:p>
      <w:pPr>
        <w:spacing w:after="0" w:line="166"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holders of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condensed statements of convertible preferred stock and stockholders’ deficit includes shares related to early exercised options and restricted stock that are subject to repurchase. Common stock issued and outstanding is reduced for any repurchases of early exercised stock options and restricted stock. As of June 30, 2021 and December 31, 2020, outstanding common stock included 55,902 and 138,127 shares related to early exercised stock options and restricted stock that are unvested and subject to repurchase.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shares of common stock reserved for issuance, on an as-if converted basis,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outstanding shares of convertible preferred</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26,102,278</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24,493,528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Stock options issued and outstanding</w:t>
            </w:r>
          </w:p>
        </w:tc>
        <w:tc>
          <w:tcPr>
            <w:tcW w:w="1080" w:type="dxa"/>
            <w:vAlign w:val="bottom"/>
          </w:tcPr>
          <w:p>
            <w:pPr>
              <w:jc w:val="right"/>
              <w:spacing w:after="0"/>
              <w:rPr>
                <w:sz w:val="20"/>
                <w:szCs w:val="20"/>
                <w:color w:val="auto"/>
              </w:rPr>
            </w:pPr>
            <w:r>
              <w:rPr>
                <w:rFonts w:ascii="Arial" w:cs="Arial" w:eastAsia="Arial" w:hAnsi="Arial"/>
                <w:sz w:val="18"/>
                <w:szCs w:val="18"/>
                <w:color w:val="auto"/>
              </w:rPr>
              <w:t>2,100,130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1,160,808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available for future grant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723,568</w:t>
            </w: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412,170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28,925,976</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26,066,506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jc w:val="right"/>
              <w:ind w:right="1310"/>
              <w:spacing w:after="0"/>
              <w:rPr>
                <w:sz w:val="20"/>
                <w:szCs w:val="20"/>
                <w:color w:val="auto"/>
              </w:rPr>
            </w:pPr>
            <w:r>
              <w:rPr>
                <w:rFonts w:ascii="Arial" w:cs="Arial" w:eastAsia="Arial" w:hAnsi="Arial"/>
                <w:sz w:val="18"/>
                <w:szCs w:val="18"/>
                <w:color w:val="auto"/>
              </w:rPr>
              <w:t>17</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1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October 2016, the Company adopted the 2016 Equity Incentive Plan (the 2016 Plan), which provides for the granting of incentive and non-statutory stock options, stock appreciation rights, restricted stock and restricted stock units and other forms of stock awards to its employees, directors and non-employee service providers.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shares reserved and available for grant under the 2016 Plan as of June 30, 2021 are 723,568.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2016 Plan:</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Price Per</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Share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3"/>
                <w:szCs w:val="13"/>
                <w:color w:val="auto"/>
              </w:rPr>
            </w:pPr>
          </w:p>
        </w:tc>
        <w:tc>
          <w:tcPr>
            <w:tcW w:w="10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1,160,808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985,330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(24,681)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(21,327)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2,100,130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16,956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Exercisable as of June 30, 2021</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611,961</w:t>
            </w: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stock-based compensation recognized in the Company’s condensed statements of operations and comprehensive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2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5"/>
        </w:trPr>
        <w:tc>
          <w:tcPr>
            <w:tcW w:w="3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8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174</w:t>
            </w:r>
          </w:p>
        </w:tc>
        <w:tc>
          <w:tcPr>
            <w:tcW w:w="9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328</w:t>
            </w: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FF0FC"/>
            </w:tcBorders>
          </w:tcPr>
          <w:p>
            <w:pPr>
              <w:spacing w:after="0"/>
              <w:rPr>
                <w:sz w:val="19"/>
                <w:szCs w:val="19"/>
                <w:color w:val="auto"/>
              </w:rPr>
            </w:pPr>
          </w:p>
        </w:tc>
      </w:tr>
      <w:tr>
        <w:trPr>
          <w:trHeight w:val="223"/>
        </w:trPr>
        <w:tc>
          <w:tcPr>
            <w:tcW w:w="38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 stock-based compensation</w:t>
            </w:r>
          </w:p>
        </w:tc>
        <w:tc>
          <w:tcPr>
            <w:tcW w:w="14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502</w:t>
            </w:r>
          </w:p>
        </w:tc>
        <w:tc>
          <w:tcPr>
            <w:tcW w:w="2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As of June 30, 2021, there was approximately $8.4 million of unrecognized stock-based compensation, which the Company expects to recognize over a weighted-average period of 3.5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 option pricing model using the following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7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400" w:type="dxa"/>
            <w:vAlign w:val="bottom"/>
            <w:gridSpan w:val="3"/>
          </w:tcPr>
          <w:p>
            <w:pPr>
              <w:jc w:val="center"/>
              <w:ind w:left="57"/>
              <w:spacing w:after="0"/>
              <w:rPr>
                <w:sz w:val="20"/>
                <w:szCs w:val="20"/>
                <w:color w:val="auto"/>
              </w:rPr>
            </w:pPr>
            <w:r>
              <w:rPr>
                <w:rFonts w:ascii="Arial" w:cs="Arial" w:eastAsia="Arial" w:hAnsi="Arial"/>
                <w:sz w:val="14"/>
                <w:szCs w:val="14"/>
                <w:b w:val="1"/>
                <w:bCs w:val="1"/>
                <w:color w:val="auto"/>
                <w:w w:val="93"/>
              </w:rPr>
              <w:t>Six Months Ended</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4"/>
                <w:szCs w:val="14"/>
                <w:color w:val="auto"/>
              </w:rPr>
            </w:pPr>
          </w:p>
        </w:tc>
        <w:tc>
          <w:tcPr>
            <w:tcW w:w="1400" w:type="dxa"/>
            <w:vAlign w:val="bottom"/>
            <w:gridSpan w:val="3"/>
          </w:tcPr>
          <w:p>
            <w:pPr>
              <w:jc w:val="center"/>
              <w:ind w:left="37"/>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060" w:type="dxa"/>
            <w:vAlign w:val="bottom"/>
            <w:tcBorders>
              <w:top w:val="single" w:sz="8" w:color="auto"/>
            </w:tcBorders>
          </w:tcPr>
          <w:p>
            <w:pPr>
              <w:jc w:val="center"/>
              <w:ind w:left="75"/>
              <w:spacing w:after="0" w:line="155" w:lineRule="exact"/>
              <w:rPr>
                <w:sz w:val="20"/>
                <w:szCs w:val="20"/>
                <w:color w:val="auto"/>
              </w:rPr>
            </w:pPr>
            <w:r>
              <w:rPr>
                <w:rFonts w:ascii="Arial" w:cs="Arial" w:eastAsia="Arial" w:hAnsi="Arial"/>
                <w:sz w:val="14"/>
                <w:szCs w:val="14"/>
                <w:b w:val="1"/>
                <w:bCs w:val="1"/>
                <w:color w:val="auto"/>
                <w:w w:val="96"/>
              </w:rPr>
              <w:t>2021</w:t>
            </w:r>
          </w:p>
        </w:tc>
        <w:tc>
          <w:tcPr>
            <w:tcW w:w="1600" w:type="dxa"/>
            <w:vAlign w:val="bottom"/>
            <w:tcBorders>
              <w:top w:val="single" w:sz="8" w:color="auto"/>
            </w:tcBorders>
            <w:gridSpan w:val="3"/>
          </w:tcPr>
          <w:p>
            <w:pPr>
              <w:jc w:val="center"/>
              <w:ind w:left="199"/>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1240" w:type="dxa"/>
            <w:vAlign w:val="bottom"/>
            <w:tcBorders>
              <w:top w:val="single" w:sz="8" w:color="auto"/>
            </w:tcBorders>
            <w:gridSpan w:val="2"/>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410"/>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060" w:type="dxa"/>
            <w:vAlign w:val="bottom"/>
            <w:tcBorders>
              <w:top w:val="single" w:sz="8" w:color="auto"/>
            </w:tcBorders>
            <w:shd w:val="clear" w:color="auto" w:fill="CFF0FC"/>
          </w:tcPr>
          <w:p>
            <w:pPr>
              <w:jc w:val="center"/>
              <w:ind w:left="55"/>
              <w:spacing w:after="0"/>
              <w:rPr>
                <w:sz w:val="20"/>
                <w:szCs w:val="20"/>
                <w:color w:val="auto"/>
              </w:rPr>
            </w:pPr>
            <w:r>
              <w:rPr>
                <w:rFonts w:ascii="Arial" w:cs="Arial" w:eastAsia="Arial" w:hAnsi="Arial"/>
                <w:sz w:val="18"/>
                <w:szCs w:val="18"/>
                <w:color w:val="auto"/>
                <w:w w:val="90"/>
              </w:rPr>
              <w:t>5.0 - 6.1</w:t>
            </w: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6.0 - 6.1</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8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- 6.1</w:t>
            </w:r>
          </w:p>
        </w:tc>
        <w:tc>
          <w:tcPr>
            <w:tcW w:w="14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- 6.1</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center"/>
              <w:ind w:left="75"/>
              <w:spacing w:after="0"/>
              <w:rPr>
                <w:sz w:val="20"/>
                <w:szCs w:val="20"/>
                <w:color w:val="auto"/>
              </w:rPr>
            </w:pPr>
            <w:r>
              <w:rPr>
                <w:rFonts w:ascii="Arial" w:cs="Arial" w:eastAsia="Arial" w:hAnsi="Arial"/>
                <w:sz w:val="18"/>
                <w:szCs w:val="18"/>
                <w:color w:val="auto"/>
                <w:w w:val="91"/>
              </w:rPr>
              <w:t>103%</w:t>
            </w:r>
          </w:p>
        </w:tc>
        <w:tc>
          <w:tcPr>
            <w:tcW w:w="1600" w:type="dxa"/>
            <w:vAlign w:val="bottom"/>
            <w:gridSpan w:val="3"/>
          </w:tcPr>
          <w:p>
            <w:pPr>
              <w:jc w:val="center"/>
              <w:ind w:left="219"/>
              <w:spacing w:after="0"/>
              <w:rPr>
                <w:sz w:val="20"/>
                <w:szCs w:val="20"/>
                <w:color w:val="auto"/>
              </w:rPr>
            </w:pPr>
            <w:r>
              <w:rPr>
                <w:rFonts w:ascii="Arial" w:cs="Arial" w:eastAsia="Arial" w:hAnsi="Arial"/>
                <w:sz w:val="18"/>
                <w:szCs w:val="18"/>
                <w:color w:val="auto"/>
                <w:w w:val="91"/>
              </w:rPr>
              <w:t>182%</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680" w:type="dxa"/>
            <w:vAlign w:val="bottom"/>
          </w:tcPr>
          <w:p>
            <w:pPr>
              <w:ind w:left="40"/>
              <w:spacing w:after="0"/>
              <w:rPr>
                <w:sz w:val="20"/>
                <w:szCs w:val="20"/>
                <w:color w:val="auto"/>
              </w:rPr>
            </w:pPr>
            <w:r>
              <w:rPr>
                <w:rFonts w:ascii="Arial" w:cs="Arial" w:eastAsia="Arial" w:hAnsi="Arial"/>
                <w:sz w:val="18"/>
                <w:szCs w:val="18"/>
                <w:color w:val="auto"/>
              </w:rPr>
              <w:t>- 103%</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700" w:type="dxa"/>
            <w:vAlign w:val="bottom"/>
          </w:tcPr>
          <w:p>
            <w:pPr>
              <w:ind w:left="20"/>
              <w:spacing w:after="0"/>
              <w:rPr>
                <w:sz w:val="20"/>
                <w:szCs w:val="20"/>
                <w:color w:val="auto"/>
              </w:rPr>
            </w:pPr>
            <w:r>
              <w:rPr>
                <w:rFonts w:ascii="Arial" w:cs="Arial" w:eastAsia="Arial" w:hAnsi="Arial"/>
                <w:sz w:val="18"/>
                <w:szCs w:val="18"/>
                <w:color w:val="auto"/>
              </w:rPr>
              <w:t>- 182%</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FF0FC"/>
          </w:tcPr>
          <w:p>
            <w:pPr>
              <w:jc w:val="center"/>
              <w:ind w:left="75"/>
              <w:spacing w:after="0"/>
              <w:rPr>
                <w:sz w:val="20"/>
                <w:szCs w:val="20"/>
                <w:color w:val="auto"/>
              </w:rPr>
            </w:pPr>
            <w:r>
              <w:rPr>
                <w:rFonts w:ascii="Arial" w:cs="Arial" w:eastAsia="Arial" w:hAnsi="Arial"/>
                <w:sz w:val="18"/>
                <w:szCs w:val="18"/>
                <w:color w:val="auto"/>
                <w:w w:val="91"/>
              </w:rPr>
              <w:t>0.8% - 1.0%</w:t>
            </w:r>
          </w:p>
        </w:tc>
        <w:tc>
          <w:tcPr>
            <w:tcW w:w="1600" w:type="dxa"/>
            <w:vAlign w:val="bottom"/>
            <w:gridSpan w:val="3"/>
            <w:shd w:val="clear" w:color="auto" w:fill="CFF0FC"/>
          </w:tcPr>
          <w:p>
            <w:pPr>
              <w:jc w:val="center"/>
              <w:ind w:left="219"/>
              <w:spacing w:after="0"/>
              <w:rPr>
                <w:sz w:val="20"/>
                <w:szCs w:val="20"/>
                <w:color w:val="auto"/>
              </w:rPr>
            </w:pPr>
            <w:r>
              <w:rPr>
                <w:rFonts w:ascii="Arial" w:cs="Arial" w:eastAsia="Arial" w:hAnsi="Arial"/>
                <w:sz w:val="18"/>
                <w:szCs w:val="18"/>
                <w:color w:val="auto"/>
                <w:w w:val="91"/>
              </w:rPr>
              <w:t>0.4% - 0.5%</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68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- 1.0%</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- 1.5%</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tcPr>
          <w:p>
            <w:pPr>
              <w:jc w:val="center"/>
              <w:ind w:left="75"/>
              <w:spacing w:after="0"/>
              <w:rPr>
                <w:sz w:val="20"/>
                <w:szCs w:val="20"/>
                <w:color w:val="auto"/>
              </w:rPr>
            </w:pPr>
            <w:r>
              <w:rPr>
                <w:rFonts w:ascii="Arial" w:cs="Arial" w:eastAsia="Arial" w:hAnsi="Arial"/>
                <w:sz w:val="18"/>
                <w:szCs w:val="18"/>
                <w:color w:val="auto"/>
                <w:w w:val="97"/>
              </w:rPr>
              <w:t>— %</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 %</w:t>
            </w: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 %</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7"/>
              </w:rPr>
              <w:t>— %</w:t>
            </w:r>
          </w:p>
        </w:tc>
        <w:tc>
          <w:tcPr>
            <w:tcW w:w="56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60" w:type="dxa"/>
            <w:vAlign w:val="bottom"/>
          </w:tcPr>
          <w:p>
            <w:pPr>
              <w:jc w:val="right"/>
              <w:ind w:right="495"/>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restricted stock activity is as follows: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at Date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of Grant per</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138,127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(70,322)</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auto"/>
              </w:rPr>
              <w:t>Repurchased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(12,345)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June 30,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Recourse Notes</w:t>
      </w:r>
    </w:p>
    <w:p>
      <w:pPr>
        <w:spacing w:after="0" w:line="22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2017 and 2018, the Company entered into full recourse notes with certain employees upon the exercise of stock options that are treated as substantive exercises for accounting purposes. The Company has the right to repurchase unvested shares up to 90 days after employment is terminated. As of June 30, 2021, the principal and accrued interest amount of the notes was $12,000. The notes are presented in the condensed statements of convertible preferred stock and stockholders’ deficit.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For the three and six months ended June 30, 2021 and 2020, the Company did not record any income tax expense. The Company has recorded a full valuation allowance against its U.S. federal and state deferred tax assets as the Company believes it is not more likely than not that the benefit will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potentially dilutive securities were not included in the calculation of diluted net loss per share as of the periods presented because the effect would have been anti-dilutive:</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66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18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26,102,278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14,489,492</w:t>
            </w:r>
          </w:p>
        </w:tc>
        <w:tc>
          <w:tcPr>
            <w:tcW w:w="80" w:type="dxa"/>
            <w:vAlign w:val="bottom"/>
            <w:shd w:val="clear" w:color="auto" w:fill="CFF0FC"/>
          </w:tcPr>
          <w:p>
            <w:pPr>
              <w:spacing w:after="0"/>
              <w:rPr>
                <w:sz w:val="19"/>
                <w:szCs w:val="19"/>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Series B convertible preferred stock issuable in a future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closing</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3,086,415</w:t>
            </w:r>
          </w:p>
        </w:tc>
        <w:tc>
          <w:tcPr>
            <w:tcW w:w="80" w:type="dxa"/>
            <w:vAlign w:val="bottom"/>
          </w:tcPr>
          <w:p>
            <w:pPr>
              <w:spacing w:after="0"/>
              <w:rPr>
                <w:sz w:val="20"/>
                <w:szCs w:val="20"/>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2,100,130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1,097,976</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subject to future vesting</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227,358</w:t>
            </w:r>
          </w:p>
        </w:tc>
        <w:tc>
          <w:tcPr>
            <w:tcW w:w="80" w:type="dxa"/>
            <w:vAlign w:val="bottom"/>
            <w:tcBorders>
              <w:bottom w:val="single" w:sz="8" w:color="CFF0FC"/>
            </w:tcBorders>
          </w:tcPr>
          <w:p>
            <w:pPr>
              <w:spacing w:after="0"/>
              <w:rPr>
                <w:sz w:val="19"/>
                <w:szCs w:val="19"/>
                <w:color w:val="auto"/>
              </w:rPr>
            </w:pPr>
          </w:p>
        </w:tc>
      </w:tr>
      <w:tr>
        <w:trPr>
          <w:trHeight w:val="223"/>
        </w:trPr>
        <w:tc>
          <w:tcPr>
            <w:tcW w:w="51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28,258,310</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18,901,241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20" w:right="9240" w:hanging="512"/>
        <w:spacing w:after="0" w:line="603" w:lineRule="auto"/>
        <w:tabs>
          <w:tab w:leader="none" w:pos="375"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b w:val="1"/>
          <w:bCs w:val="1"/>
          <w:i w:val="1"/>
          <w:iCs w:val="1"/>
          <w:color w:val="auto"/>
        </w:rPr>
        <w:t>Reverse Stock Split</w:t>
      </w:r>
    </w:p>
    <w:p>
      <w:pPr>
        <w:spacing w:after="0" w:line="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In July 2021, the Company’s board of directors approved an amended and restated certificate of incorporation to effect the Reverse Stock Split effective on July 23, 2021 (see Note 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Equity Incentive Plan and Employee Stock Purchase Plan</w:t>
      </w:r>
    </w:p>
    <w:p>
      <w:pPr>
        <w:spacing w:after="0" w:line="22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July 2021, the Company adopted the 2021 Equity Incentive Award Plan (the 2021 Plan) and the Employee Stock Purchase Plan (the ESPP), which both became effective in connection with the IPO. The Company has reserved 4,000,000 shares of common stock for future issuance under the 2021 Plan and 800,000 shares under the ESPP.</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79" w:right="39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In August 2021, the Company completed its IPO, at which time the Company issued an aggregate of 13,800,000 shares of its common stock (inclusive of 1,800,000 shares pursuant to the underwriters’ overallotment option) at a price of $15.00 per share. The Company received net proceeds of approximately $188.8 million, after deducting underwriting discounts and commissions of $14.5 million and other offering expenses of $3.7 million.</w:t>
      </w:r>
    </w:p>
    <w:p>
      <w:pPr>
        <w:spacing w:after="0" w:line="14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Immediately prior to the completion of the IPO, all of the Company’s outstanding shares of convertible preferred stock automatically converted into 26,102,278 shares of common stock (see Note 1 and Note 7).</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condensed financial statements and related notes included elsewhere in this Quarterly Report on Form 10-Q and our final prospectus, dated July 29, 2021, filed with the Securities and Exchange Commission pursuant to Rule 424(b)(4) under the Securities Act of 1933, as amended (the Prospectus).</w:t>
      </w:r>
    </w:p>
    <w:p>
      <w:pPr>
        <w:spacing w:after="0" w:line="165"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i w:val="1"/>
          <w:iCs w:val="1"/>
          <w:color w:val="auto"/>
        </w:rPr>
        <w:t>In addition to historical financial information, this discussion and analysis and other parts of this report contain forward-looking statements within the meaning of Section 27A of the Securities Act of 1933, as amended,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We are a biotechnology company headquartered in South San Francisco, California focused on discovering, designing, developing and delivering curative therapies that address the underlying drivers of heart disease. We are advancing a pipeline of disease-modifying therapies developed using our product platforms and core internal capabilities to target defined sub-populations of patients with rare or highly prevalent forms of heart disease.</w:t>
      </w:r>
    </w:p>
    <w:p>
      <w:pPr>
        <w:spacing w:after="0" w:line="149"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We were incorporated in August 2016 and commenced operations thereafter. Our operations to date have included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 All of our programs are currently in the preclinical stage and we do not have any products approved for sale. We have not generated any revenue.</w:t>
      </w:r>
    </w:p>
    <w:p>
      <w:pPr>
        <w:spacing w:after="0" w:line="18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are advancing a deep and diverse pipeline that includes both gene therapies and small molecules. In 2022, we intend to submit an investigational new drug application (IND) or a clinical trial application (CTA) to the U.S. Food and Drug Administration (FDA) or European Medicines Agency (EMA), respectively, for the most advanced product candidate from our Gene Therapy platform, TN-201, an adeno-associated virus (AAV)-based gene therapy to address genetic hypertrophic cardiomyopathy (gHCM) caused by Myosin Binding Protein C3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TN-201, currently in IND-enabling studies, is designed to deliver a fully functional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driven by our proprietary heart-specific promoter to restore normal levels of MYBPC3 protein.</w:t>
      </w:r>
    </w:p>
    <w:p>
      <w:pPr>
        <w:spacing w:after="0" w:line="19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also intend to submit an IND to the FDA in 2022 for the most advanced product candidate from our Precision Medicine platform, TYA-11631, a highly specific small molecule inhibitor of histone deacetylase 6 (HDAC6i). TYA-11631, currently in IND-enabling studies, has potentially broad utility in both heart failure (HF) with preserved ejection fraction (HFpEF) as well as genetic dilated cardiomyopathy (gDCM). Our PKP2 program involves using an AAV-based gene therapy to address genetic arrhythmogenic right ventricular cardiomyopathy (gARVC) caused by plakophilin 2 (PKP2) gene mutations, and is currently at the candidate selection stage. Our DWORF program, an AAV-based gene therapy designed to express the Dwarf Open Reading Frame (DWORF) gene in the heart, has potentially broad utility in dilated cardiomyopathy (DCM) and HF with reduced ejection fraction (HFrEF), and is currently at the candidate selection stage. Our Reprogramming program for cardiac regeneration can potentially replace heart cells lost in patients experiencing HF due to prior myocardial infarction (MI), and is currently at the candidate selection stage. In addition, we have numerous earlier-stage programs emerging from our product platforms to address other forms of HF.</w:t>
      </w:r>
    </w:p>
    <w:p>
      <w:pPr>
        <w:spacing w:after="0" w:line="18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Since our inception, we have incurred net losses each year and we expect to continue to incur significant and increasing losses for the foreseeable future as we continue to advance our platforms, programs and product candidates, and as we transition to operating as a public company. Our net losses may fluctuate significantly from period to period, depending on the timing of expenditures on our research and development activities. Our net losses were $28.3 million and $17.8 million for the six months ended June 30, 2021 and 2020, respectively. As of June 30, 2021, we had an accumulated deficit of $111.1 million and cash and cash equivalents of $111.9 million. Our net losses resulted primarily from our research and development programs and, to a lesser extent, general and administrative costs associated with our operations. Historically, we have funded our operations primarily from the sale and issuance of our convertible preferred stock.</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On August 3, 2021, we completed an initial public offering (IPO) of our common stock in which we issued an aggregate of 13,800,000 shares of our common stock (inclusive of 1,800,000 shares pursuant to the underwriters’ overallotment option) at a price of $15.00 per share. We received net proceeds of approximately $188.8 million from the IPO, after deducting underwriting discounts and commissions of $14.5 million and offering costs of $3.7 million.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510"/>
        <w:spacing w:after="0" w:line="218" w:lineRule="exact"/>
        <w:rPr>
          <w:sz w:val="20"/>
          <w:szCs w:val="20"/>
          <w:color w:val="auto"/>
        </w:rPr>
      </w:pPr>
      <w:r>
        <w:rPr>
          <w:rFonts w:ascii="Arial" w:cs="Arial" w:eastAsia="Arial" w:hAnsi="Arial"/>
          <w:sz w:val="16"/>
          <w:szCs w:val="16"/>
          <w:color w:val="auto"/>
        </w:rPr>
        <w:t>The global COVID</w:t>
      </w:r>
      <w:r>
        <w:rPr>
          <w:rFonts w:ascii="MS PGothic" w:cs="MS PGothic" w:eastAsia="MS PGothic" w:hAnsi="MS PGothic"/>
          <w:sz w:val="16"/>
          <w:szCs w:val="16"/>
          <w:color w:val="auto"/>
        </w:rPr>
        <w:t>‑</w:t>
      </w:r>
      <w:r>
        <w:rPr>
          <w:rFonts w:ascii="Arial" w:cs="Arial" w:eastAsia="Arial" w:hAnsi="Arial"/>
          <w:sz w:val="16"/>
          <w:szCs w:val="16"/>
          <w:color w:val="auto"/>
        </w:rPr>
        <w:t>19 pandemic continues to evolve. Potential impacts to our business include disruptions or restrictions on our employees’ ability to effectively conduct their work. In addition, some of our suppliers of certain lab materials, or service providers used in the performance of our research activities, are located in the areas impacted by COVID-19, which could limit our ability to achieve planned progress. COVID-19 could adversely affect the economies and financial markets, resulting in an economic downturn that could affect our financing prospects. To date, we have experienced modest delays in the progress of our research and development activities, primarily due to extended lead times at certain suppliers and temporary and partial shutdowns at certain academic institutions as a result of statewide stay-at-home orders. However, these stay-at-home orders have largely terminated and operations have since resumed. We continue to monitor and assess the effects of the COVID-19 pandemic on our business, but the ultimate impact of the COVID-19 outbreak or a similar health epidemic is highly uncertain and subject to change. For additional details, see Part II, Item 1A. “Risk Factors.”</w:t>
      </w:r>
    </w:p>
    <w:p>
      <w:pPr>
        <w:spacing w:after="0" w:line="306" w:lineRule="exact"/>
        <w:rPr>
          <w:sz w:val="20"/>
          <w:szCs w:val="20"/>
          <w:color w:val="auto"/>
        </w:rPr>
      </w:pPr>
    </w:p>
    <w:p>
      <w:pPr>
        <w:jc w:val="right"/>
        <w:ind w:right="8600"/>
        <w:spacing w:after="0"/>
        <w:rPr>
          <w:sz w:val="20"/>
          <w:szCs w:val="20"/>
          <w:color w:val="auto"/>
        </w:rPr>
      </w:pPr>
      <w:r>
        <w:rPr>
          <w:rFonts w:ascii="Arial" w:cs="Arial" w:eastAsia="Arial" w:hAnsi="Arial"/>
          <w:sz w:val="16"/>
          <w:szCs w:val="16"/>
          <w:b w:val="1"/>
          <w:bCs w:val="1"/>
          <w:color w:val="auto"/>
        </w:rPr>
        <w:t>Components of Operating Results</w:t>
      </w:r>
    </w:p>
    <w:p>
      <w:pPr>
        <w:spacing w:after="0" w:line="144" w:lineRule="exact"/>
        <w:rPr>
          <w:sz w:val="20"/>
          <w:szCs w:val="20"/>
          <w:color w:val="auto"/>
        </w:rPr>
      </w:pPr>
    </w:p>
    <w:p>
      <w:pPr>
        <w:jc w:val="right"/>
        <w:ind w:right="86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personnel-related costs (including salaries, benefits, travel and stock-based compensation for employees engaged in research and development functions), laboratory supplies and other non-capital equipment utilized for in-house research, allocated facilities and overhead costs. External research and development expenses include, among others, amounts incurred to clinical research organizations (CROs) that conduct research and development activities on our behalf, consulting fees and amounts owed under licensing agreements. We do not allocate our costs by platform, program or product candidate, as a significant amount of research and development expenses include internal costs, which are deployed across multiple platforms, programs, product candidates and activities.</w:t>
      </w:r>
    </w:p>
    <w:p>
      <w:pPr>
        <w:spacing w:after="0" w:line="178"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Amounts recorded for external goods or services incurred for research and development activities that have not yet been invoiced often represent estimates. We do not currently have projects that require estimates for percentage of completion and we record estimates for amounts due but not yet invoiced based on input from external service providers.</w:t>
      </w:r>
    </w:p>
    <w:p>
      <w:pPr>
        <w:spacing w:after="0" w:line="184"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travel and stock-based compensation for our employees in executive, finance and other administrative functions), legal fees, professional fees incurred for accounting, audit, and tax services, recruiting costs, and facility costs not otherwise included in research and development expenses. Legal fees include those related to corporate and intellectual property related matters.</w:t>
      </w:r>
    </w:p>
    <w:p>
      <w:pPr>
        <w:spacing w:after="0" w:line="187"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We expect that our general and administrative expenses will increase for the foreseeable future to support our continued research and development activities, general operations, future business development opportunities and professional fees. In addition, we expect to incur additional expenses associated with operating as a public company, including legal, accounting, insurance, exchange listing, SEC compliance, and investor relations costs.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interest earned on our cash, cash equivalents and investment balances.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change in fair value of our convertible preferred stock tranche liability fluctuates based on remeasurements at each reporting period. Our convertible preferred stock tranche liability stemmed from our obligation to issue additional shares to investors upon the second and third closings of our Series B convertible preferred stock. Until settlement, fluctuations in the fair value of a convertible preferred stock tranche liability are based on the remeasurement at each reporting period. Our convertible preferred stock tranche liability was settled on the second and third closings of our Series B convertible preferred stock financing in March and August 2020, respectively.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primarily consists of sublease income for a portion of our facilities in South San Francisco during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10,906</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6,958</w:t>
            </w:r>
          </w:p>
        </w:tc>
        <w:tc>
          <w:tcPr>
            <w:tcW w:w="16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3,948</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2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6,365</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(6,365)</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rPr>
                <w:sz w:val="20"/>
                <w:szCs w:val="20"/>
                <w:color w:val="auto"/>
              </w:rPr>
            </w:pPr>
            <w:r>
              <w:rPr>
                <w:rFonts w:ascii="Arial" w:cs="Arial" w:eastAsia="Arial" w:hAnsi="Arial"/>
                <w:sz w:val="18"/>
                <w:szCs w:val="18"/>
                <w:color w:val="auto"/>
              </w:rPr>
              <w:t>Change in fair value of convertible preferred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stock tranche liability</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(162)</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(6,479)</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Facility and laboratory costs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4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Personnel-related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External costs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research and development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Research and development expenses were $10.9 million and $7.0 million for the three months ended June 30, 2021 and 2020, respectively. The change of $3.9 million, or 57%, was primarily due to:</w:t>
      </w:r>
    </w:p>
    <w:p>
      <w:pPr>
        <w:spacing w:after="0" w:line="62" w:lineRule="exact"/>
        <w:rPr>
          <w:sz w:val="20"/>
          <w:szCs w:val="20"/>
          <w:color w:val="auto"/>
        </w:rPr>
      </w:pPr>
    </w:p>
    <w:p>
      <w:pPr>
        <w:ind w:left="7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$2.1 million in facility and laboratory costs, including laboratory supplies and materials and other allocated costs, as we ramped up our research and development operations;</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$1.1 million in personnel-related costs, including stock-based compensation, primarily due to growth in the number of our research and development employees as we expanded our research and development capabilities; and</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$0.8 million in external costs, including amounts paid to CROs for research and development activities, consulting fees, preclinical studies and other external research expenses as we progressed development of our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80" w:firstLine="510"/>
        <w:spacing w:after="0" w:line="279" w:lineRule="auto"/>
        <w:rPr>
          <w:sz w:val="20"/>
          <w:szCs w:val="20"/>
          <w:color w:val="auto"/>
        </w:rPr>
      </w:pPr>
      <w:r>
        <w:rPr>
          <w:rFonts w:ascii="Arial" w:cs="Arial" w:eastAsia="Arial" w:hAnsi="Arial"/>
          <w:sz w:val="17"/>
          <w:szCs w:val="17"/>
          <w:color w:val="auto"/>
        </w:rPr>
        <w:t>General and administrative expenses were $4.3 million and $1.9 million for the three months ended June 30, 2021 and 2020, respectively. The change of $2.4 million, or 126%, was primarily due to a $1.0 million increase in professional service expenses, as we prepared to become a public company, a $0.9 million increase in personnel-related expenses, including stock-based compensation, as a result of higher headcount as we grew our operations and a $0.3 million increase in facility and related costs, as we leased additional space in 2021.</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Interest income was $9,000 and $18,000 for the three months ended June 30, 2021 and 2020, respectively. The decrease of $9,000, or 50%, was primarily due to a change in our investment portfolio mix.</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change in fair value of our convertible preferred stock tranche liability for the three months ended June 30, 2020 was attributable to changes in the fair value of the underlying Series B convertible preferred stock. There was no similar expense for the three months ended June 30, 2021 as our convertible preferred stock tranche liability was settled in 2020.</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Other income (expense), net of $0.2 million for the three months ended June 30, 2020 was primarily related to sublease income. Our sublease agreements expired during 2020.</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20,496</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14,255</w:t>
            </w:r>
          </w:p>
        </w:tc>
        <w:tc>
          <w:tcPr>
            <w:tcW w:w="16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6,241</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44%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2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56%</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(10,204)</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Change in fair value of convertible preferred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stock tranche liability</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(341)</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96%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90%</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59%</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94"/>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Facility and laboratory costs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w:t>
            </w:r>
          </w:p>
        </w:tc>
        <w:tc>
          <w:tcPr>
            <w:tcW w:w="4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Personnel-related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1,979</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External costs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research and development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6,241</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Research and development expenses were $20.5 million and $14.3 million for the six months ended June 30, 2021 and 2020, respectively. The change of $6.2 million, or 44%, was primarily due to:</w:t>
      </w:r>
    </w:p>
    <w:p>
      <w:pPr>
        <w:spacing w:after="0" w:line="62" w:lineRule="exact"/>
        <w:rPr>
          <w:sz w:val="20"/>
          <w:szCs w:val="20"/>
          <w:color w:val="auto"/>
        </w:rPr>
      </w:pPr>
    </w:p>
    <w:p>
      <w:pPr>
        <w:ind w:left="880" w:right="10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$3.6 million in facility and laboratory costs, including laboratory supplies and materials and other allocated costs, as we ramped up our research and development operations;</w:t>
      </w:r>
    </w:p>
    <w:p>
      <w:pPr>
        <w:spacing w:after="0" w:line="62"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$2.0 million in personnel-related costs, including stock-based compensation, primarily due to growth in the number of our research and development employees as we expanded our research and development capabilities; and</w:t>
      </w:r>
    </w:p>
    <w:p>
      <w:pPr>
        <w:spacing w:after="0" w:line="62" w:lineRule="exact"/>
        <w:rPr>
          <w:rFonts w:ascii="Arial" w:cs="Arial" w:eastAsia="Arial" w:hAnsi="Arial"/>
          <w:sz w:val="18"/>
          <w:szCs w:val="18"/>
          <w:color w:val="auto"/>
        </w:rPr>
      </w:pPr>
    </w:p>
    <w:p>
      <w:pPr>
        <w:ind w:left="880" w:right="660" w:hanging="373"/>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of $0.7 million in external costs, including amounts paid to CROs for research and development activities, consulting fees, preclinical studies and other external research expenses as we progressed development of our programs.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General and administrative expenses were $7.8 million and $3.9 million for the six months ended June 30, 2021 and 2020, respectively. The change of $4.0 million, or 102%, was primarily due to a $1.8 million increase in professional service expenses and a $1.5 million increase in personnel-related expenses, including stock-based compensation, as a result of higher headcount as we grew our operations and a $0.3 million increase in facility and related costs, as we leased additional space in 2021.</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Interest income was $18,000 and $75,000 for the six months ended June 30, 2021 and 2020, respectively. The decrease of $57,000, or 76%, was primarily due to a change in our investment portfolio mix.</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 in Fair Value of Convertible Preferred Stock Tranche Liability</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change in fair value of our convertible preferred stock tranche liability for the six months ended June 30, 2020 was attributable to changes in the fair value of the underlying Series B convertible preferred stock. There was no similar expense for the six months ended June 30, 2021 as our convertible preferred stock tranche liability was settled in 2020.</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Other income (expense), net of $0.4 million for the six months ended June 30, 2020 was primarily related to sublease income. Our sublease agreements expired during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Since our inception, we have not generated any revenue and we have incurred significant net losses and negative cash flows from operations. From our inception through June 30, 2021, we have funded our operations primarily from the sale and issuance of our convertible preferred stock, from which we have raised an aggregate of $247.9 million in gross proceeds. As of June 30, 2021, we had cash and cash equivalents of $111.9 million and an accumulated deficit of $111.1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5" w:name="page26"/>
    <w:bookmarkEnd w:id="25"/>
    <w:p>
      <w:pPr>
        <w:ind w:right="820" w:firstLine="510"/>
        <w:spacing w:after="0" w:line="277" w:lineRule="auto"/>
        <w:rPr>
          <w:sz w:val="20"/>
          <w:szCs w:val="20"/>
          <w:color w:val="auto"/>
        </w:rPr>
      </w:pPr>
      <w:r>
        <w:rPr>
          <w:rFonts w:ascii="Arial" w:cs="Arial" w:eastAsia="Arial" w:hAnsi="Arial"/>
          <w:sz w:val="18"/>
          <w:szCs w:val="18"/>
          <w:color w:val="auto"/>
        </w:rPr>
        <w:t>In connection with our IPO, we issued and sold 13,800,000 shares of our common stock at a price of $15.00 per share for net proceeds of approximately $188.8 million.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expect our expenses and operating losses will increase substantially over the foreseeable future. The expected increase in expenses will be driven in large part by our ongoing activities, if and as we:</w:t>
      </w:r>
    </w:p>
    <w:p>
      <w:pPr>
        <w:spacing w:after="0" w:line="62" w:lineRule="exact"/>
        <w:rPr>
          <w:sz w:val="20"/>
          <w:szCs w:val="20"/>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advance our Gene Therapy, Cellular Regeneration and Precision Medicine platforms;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preclinical development of our product candidates and initiate additional preclinical studies;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 clinical trials of our product candidates;</w:t>
      </w:r>
    </w:p>
    <w:p>
      <w:pPr>
        <w:spacing w:after="0" w:line="130" w:lineRule="exact"/>
        <w:rPr>
          <w:rFonts w:ascii="Arial" w:cs="Arial" w:eastAsia="Arial" w:hAnsi="Arial"/>
          <w:sz w:val="18"/>
          <w:szCs w:val="18"/>
          <w:color w:val="auto"/>
        </w:rPr>
      </w:pPr>
    </w:p>
    <w:p>
      <w:pPr>
        <w:ind w:left="880" w:right="64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 out our manufacturing facilities and establish our manufacturing capabilities, including developing our contract development and manufacturing relationships;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and license technologies aligned with our Gene Therapy, Cellular Regeneration and Precision Medicine platforms;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that successfully complete clinical trials;</w:t>
      </w:r>
    </w:p>
    <w:p>
      <w:pPr>
        <w:spacing w:after="0" w:line="130"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future commercialization efforts;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grow, perfect, enforce and defend our intellectual property portfolio; and</w:t>
      </w:r>
    </w:p>
    <w:p>
      <w:pPr>
        <w:spacing w:after="0" w:line="130"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the additional costs associated with operating as a public company.</w:t>
      </w:r>
    </w:p>
    <w:p>
      <w:pPr>
        <w:spacing w:after="0" w:line="170"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Based on our current operating plan, we believe that our existing cash and cash equivalents, together with the net proceeds received from the IPO, will be sufficient to meet our working capital and capital expenditure needs through at least the next twelve months from the date of this Quarterly Report on Form 10-Q.</w:t>
      </w:r>
    </w:p>
    <w:p>
      <w:pPr>
        <w:spacing w:after="0" w:line="1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w:t>
      </w:r>
    </w:p>
    <w:p>
      <w:pPr>
        <w:spacing w:after="0" w:line="1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17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57"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Six Months Ended</w:t>
      </w:r>
    </w:p>
    <w:p>
      <w:pPr>
        <w:jc w:val="center"/>
        <w:ind w:left="44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700" w:type="dxa"/>
        <w:tblCellMar>
          <w:top w:w="0" w:type="dxa"/>
          <w:left w:w="0" w:type="dxa"/>
          <w:bottom w:w="0" w:type="dxa"/>
          <w:right w:w="0" w:type="dxa"/>
        </w:tblCellMar>
      </w:tblPr>
      <w:tr>
        <w:trPr>
          <w:trHeight w:val="156"/>
        </w:trPr>
        <w:tc>
          <w:tcPr>
            <w:tcW w:w="3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3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78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(27,808)</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(15,512)</w:t>
            </w:r>
          </w:p>
        </w:tc>
      </w:tr>
      <w:tr>
        <w:trPr>
          <w:trHeight w:val="229"/>
        </w:trPr>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(7,559)</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8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8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30,649</w:t>
            </w:r>
          </w:p>
        </w:tc>
        <w:tc>
          <w:tcPr>
            <w:tcW w:w="80" w:type="dxa"/>
            <w:vAlign w:val="bottom"/>
            <w:tcBorders>
              <w:bottom w:val="single" w:sz="8" w:color="CFF0FC"/>
            </w:tcBorders>
          </w:tcPr>
          <w:p>
            <w:pPr>
              <w:spacing w:after="0"/>
              <w:rPr>
                <w:sz w:val="19"/>
                <w:szCs w:val="19"/>
                <w:color w:val="auto"/>
              </w:rPr>
            </w:pPr>
          </w:p>
        </w:tc>
      </w:tr>
      <w:tr>
        <w:trPr>
          <w:trHeight w:val="209"/>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cash, cash equivalents</w:t>
            </w: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restricted cash</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(16,650)</w:t>
            </w:r>
          </w:p>
        </w:tc>
        <w:tc>
          <w:tcPr>
            <w:tcW w:w="5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16,466</w:t>
            </w:r>
          </w:p>
        </w:tc>
        <w:tc>
          <w:tcPr>
            <w:tcW w:w="80" w:type="dxa"/>
            <w:vAlign w:val="bottom"/>
            <w:shd w:val="clear" w:color="auto" w:fill="CFF0FC"/>
          </w:tcPr>
          <w:p>
            <w:pPr>
              <w:spacing w:after="0"/>
              <w:rPr>
                <w:sz w:val="20"/>
                <w:szCs w:val="20"/>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20" w:firstLine="510"/>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2021 was $27.8 million, which consisted primarily of a net loss of $28.3 million and a net change in net operating assets and liabilities of $2.3 million, partially offset by $2.8 million in non-cash charges. The non-cash charges primarily consisted of depreciation and amortization of $1.4 million, stock-based compensation of $0.9 million and non-cash operating lease expense of $0.4 million. The change in net operating assets and liabilities was primarily due to an increase in other non-current assets of $3.0 million related to a security deposit for a lease entered into in February 2021, and a decrease in operating lease liabilities of $0.7 million, partially offset by an increase in accounts payable and accrued expenses and other current liabilities of $1.3 million and a decrease in prepaid expenses and other current assets of $0.1 million.</w:t>
      </w:r>
    </w:p>
    <w:p>
      <w:pPr>
        <w:spacing w:after="0" w:line="195"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Net cash used in operating activities for the six months ended June 30, 2020 was $15.5 million, which consisted primarily of a net loss of $17.8 million, partially offset by non-cash charges of $1.6 million and a net change in net operating assets and liabilities of $0.6 million. The non-cash charges primarily consisted of depreciation and amortization of $1.2 million and stock-based compensation of $0.3 million. The change in net operating assets and liabilities was primarily due to an increase in accounts payable and accrued expenses and other current liabilities of $0.9 million and a decrease in prepaid expenses and other current assets of $0.3 million, partially offset by a decrease in deferred rent and other lease liabilities of $0.4 million and an increase in other non-current assets of $0.2 million as we expanded our operations.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2021 was $7.6 million, which consisted of purchases of property and equipment that primarily related to our manufacturing and office space in the San Francisco Bay Area.</w:t>
      </w:r>
    </w:p>
    <w:p>
      <w:pPr>
        <w:spacing w:after="0" w:line="170"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Net cash provided by investing activities for the six months ended June 30, 2020 was $1.3 million, which consisted of proceeds from maturities of marketable securities of $2.8 million, partially offset by purchases of property and equipment of $1.4 million.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40" w:firstLine="510"/>
        <w:spacing w:after="0" w:line="311" w:lineRule="auto"/>
        <w:rPr>
          <w:sz w:val="20"/>
          <w:szCs w:val="20"/>
          <w:color w:val="auto"/>
        </w:rPr>
      </w:pPr>
      <w:r>
        <w:rPr>
          <w:rFonts w:ascii="Arial" w:cs="Arial" w:eastAsia="Arial" w:hAnsi="Arial"/>
          <w:sz w:val="16"/>
          <w:szCs w:val="16"/>
          <w:color w:val="auto"/>
        </w:rPr>
        <w:t>Net cash provided by financing activities for the six months ended June 30, 2021 was $18.7 million, which consisted of net proceeds received from the sale and issuance of our Series C convertible preferred stock of $20.0 million, proceeds from the exercise of stock options of $0.1 million and proceeds of $0.1 million from repayments on notes receivable from stockholders, partially offset by payment of deferred offering costs of $1.4 million.</w:t>
      </w:r>
    </w:p>
    <w:p>
      <w:pPr>
        <w:spacing w:after="0" w:line="14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2020 was $30.6 million, which consisted primarily of net proceeds received from the sale and issuance of our Series B convertible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2021, there have been no material changes from the contractual obligations and commitments previously disclosed in our Prospectus.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inception, we have not engaged in any off-balance sheet arrangements as defined in the rules and regulations of the SEC.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management’s discussion and analysis of the financial condition and results of operations is based on our financial statements, which have been prepared in accordance with the U.S. generally accepted accounting principles, or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firstLine="510"/>
        <w:spacing w:after="0" w:line="277" w:lineRule="auto"/>
        <w:rPr>
          <w:sz w:val="20"/>
          <w:szCs w:val="20"/>
          <w:color w:val="auto"/>
        </w:rPr>
      </w:pPr>
      <w:r>
        <w:rPr>
          <w:rFonts w:ascii="Arial" w:cs="Arial" w:eastAsia="Arial" w:hAnsi="Arial"/>
          <w:sz w:val="17"/>
          <w:szCs w:val="17"/>
          <w:color w:val="auto"/>
        </w:rPr>
        <w:t>During the six months ended June 30, 2021, there were no material changes to our critical accounting policies or in the methodology used for estimates from those described in “Management’s Discussion and Analysis of Financial Condition and Results of Operations” included in the Prospectus. The determination of the fair value of our common stock is used in estimating the fair value of stock-based awards at grant date. Prior to the IPO, our common stock was not publicly traded, therefore we estimated the fair value of our common stock as discussed in our Prospectus. Following our IPO, the closing sale price per share of our common stock as reported on the Nasdaq Global Select Market on the date of grant will be used to determine the exercise price per share of our share-based awards to purchase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See Note 2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are an emerging growth company, as defined in the Jumpstart Our Business Startups Act of 2012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171"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7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231F20"/>
        </w:rPr>
        <w:t>We are a smaller reporting company, as defined by Rule 12b-2 under the Securities and Exchange Act of 1934 and in Item 10(f)(1) of Regulation S-K, and are not required to provide the information under this item.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the quarter ended June 30, 2021 that have materially affected, or are reasonably likely to materially affect, our internal control over financial reporting.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center"/>
        <w:ind w:right="-13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80" w:firstLine="510"/>
        <w:spacing w:after="0" w:line="286" w:lineRule="auto"/>
        <w:rPr>
          <w:sz w:val="20"/>
          <w:szCs w:val="20"/>
          <w:color w:val="auto"/>
        </w:rPr>
      </w:pPr>
      <w:r>
        <w:rPr>
          <w:rFonts w:ascii="Arial" w:cs="Arial" w:eastAsia="Arial" w:hAnsi="Arial"/>
          <w:sz w:val="17"/>
          <w:szCs w:val="17"/>
          <w:color w:val="auto"/>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of us because of defense and settlement costs, diversion of management resources,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360" w:firstLine="510"/>
        <w:spacing w:after="0" w:line="296" w:lineRule="auto"/>
        <w:rPr>
          <w:sz w:val="20"/>
          <w:szCs w:val="20"/>
          <w:color w:val="auto"/>
        </w:rPr>
      </w:pPr>
      <w:r>
        <w:rPr>
          <w:rFonts w:ascii="Arial" w:cs="Arial" w:eastAsia="Arial" w:hAnsi="Arial"/>
          <w:sz w:val="16"/>
          <w:szCs w:val="16"/>
          <w:i w:val="1"/>
          <w:iCs w:val="1"/>
          <w:color w:val="231F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 Factors Summary</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76" w:lineRule="exact"/>
        <w:rPr>
          <w:sz w:val="20"/>
          <w:szCs w:val="20"/>
          <w:color w:val="auto"/>
        </w:rPr>
      </w:pPr>
    </w:p>
    <w:p>
      <w:pPr>
        <w:ind w:left="880" w:right="280" w:hanging="373"/>
        <w:spacing w:after="0" w:line="226" w:lineRule="auto"/>
        <w:tabs>
          <w:tab w:leader="none" w:pos="880" w:val="left"/>
        </w:tabs>
        <w:numPr>
          <w:ilvl w:val="0"/>
          <w:numId w:val="15"/>
        </w:numPr>
        <w:rPr>
          <w:rFonts w:ascii="Arial" w:cs="Arial" w:eastAsia="Arial" w:hAnsi="Arial"/>
          <w:sz w:val="25"/>
          <w:szCs w:val="25"/>
          <w:color w:val="231F20"/>
          <w:vertAlign w:val="superscript"/>
        </w:rPr>
      </w:pPr>
      <w:r>
        <w:rPr>
          <w:rFonts w:ascii="Arial" w:cs="Arial" w:eastAsia="Arial" w:hAnsi="Arial"/>
          <w:sz w:val="18"/>
          <w:szCs w:val="18"/>
          <w:color w:val="231F20"/>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95" w:lineRule="exact"/>
        <w:rPr>
          <w:rFonts w:ascii="Arial" w:cs="Arial" w:eastAsia="Arial" w:hAnsi="Arial"/>
          <w:sz w:val="25"/>
          <w:szCs w:val="25"/>
          <w:color w:val="231F20"/>
          <w:vertAlign w:val="superscript"/>
        </w:rPr>
      </w:pPr>
    </w:p>
    <w:p>
      <w:pPr>
        <w:ind w:left="880" w:right="200" w:hanging="373"/>
        <w:spacing w:after="0" w:line="216" w:lineRule="auto"/>
        <w:tabs>
          <w:tab w:leader="none" w:pos="880" w:val="left"/>
        </w:tabs>
        <w:numPr>
          <w:ilvl w:val="0"/>
          <w:numId w:val="15"/>
        </w:numPr>
        <w:rPr>
          <w:rFonts w:ascii="Arial" w:cs="Arial" w:eastAsia="Arial" w:hAnsi="Arial"/>
          <w:sz w:val="25"/>
          <w:szCs w:val="25"/>
          <w:color w:val="231F20"/>
          <w:vertAlign w:val="superscript"/>
        </w:rPr>
      </w:pPr>
      <w:r>
        <w:rPr>
          <w:rFonts w:ascii="Arial" w:cs="Arial" w:eastAsia="Arial" w:hAnsi="Arial"/>
          <w:sz w:val="18"/>
          <w:szCs w:val="18"/>
          <w:color w:val="231F20"/>
        </w:rPr>
        <w:t>We have not generated any product revenue to date, have incurred significant net losses since our inception, and expect to continue to incur significant net losses for the foreseeable future.</w:t>
      </w:r>
    </w:p>
    <w:p>
      <w:pPr>
        <w:spacing w:after="0" w:line="94" w:lineRule="exact"/>
        <w:rPr>
          <w:rFonts w:ascii="Arial" w:cs="Arial" w:eastAsia="Arial" w:hAnsi="Arial"/>
          <w:sz w:val="25"/>
          <w:szCs w:val="25"/>
          <w:color w:val="231F20"/>
          <w:vertAlign w:val="superscript"/>
        </w:rPr>
      </w:pPr>
    </w:p>
    <w:p>
      <w:pPr>
        <w:ind w:left="880" w:right="440" w:hanging="373"/>
        <w:spacing w:after="0" w:line="216" w:lineRule="auto"/>
        <w:tabs>
          <w:tab w:leader="none" w:pos="880" w:val="left"/>
        </w:tabs>
        <w:numPr>
          <w:ilvl w:val="0"/>
          <w:numId w:val="15"/>
        </w:numPr>
        <w:rPr>
          <w:rFonts w:ascii="Arial" w:cs="Arial" w:eastAsia="Arial" w:hAnsi="Arial"/>
          <w:sz w:val="25"/>
          <w:szCs w:val="25"/>
          <w:color w:val="231F20"/>
          <w:vertAlign w:val="superscript"/>
        </w:rPr>
      </w:pPr>
      <w:r>
        <w:rPr>
          <w:rFonts w:ascii="Arial" w:cs="Arial" w:eastAsia="Arial" w:hAnsi="Arial"/>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94" w:lineRule="exact"/>
        <w:rPr>
          <w:rFonts w:ascii="Arial" w:cs="Arial" w:eastAsia="Arial" w:hAnsi="Arial"/>
          <w:sz w:val="25"/>
          <w:szCs w:val="25"/>
          <w:color w:val="231F20"/>
          <w:vertAlign w:val="superscript"/>
        </w:rPr>
      </w:pPr>
    </w:p>
    <w:p>
      <w:pPr>
        <w:ind w:left="880" w:right="200" w:hanging="373"/>
        <w:spacing w:after="0" w:line="226" w:lineRule="auto"/>
        <w:tabs>
          <w:tab w:leader="none" w:pos="880" w:val="left"/>
        </w:tabs>
        <w:numPr>
          <w:ilvl w:val="0"/>
          <w:numId w:val="15"/>
        </w:numPr>
        <w:rPr>
          <w:rFonts w:ascii="Arial" w:cs="Arial" w:eastAsia="Arial" w:hAnsi="Arial"/>
          <w:sz w:val="25"/>
          <w:szCs w:val="25"/>
          <w:color w:val="231F20"/>
          <w:vertAlign w:val="superscript"/>
        </w:rPr>
      </w:pPr>
      <w:r>
        <w:rPr>
          <w:rFonts w:ascii="Arial" w:cs="Arial" w:eastAsia="Arial" w:hAnsi="Arial"/>
          <w:sz w:val="18"/>
          <w:szCs w:val="18"/>
          <w:color w:val="231F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2" w:lineRule="exact"/>
        <w:rPr>
          <w:rFonts w:ascii="Arial" w:cs="Arial" w:eastAsia="Arial" w:hAnsi="Arial"/>
          <w:sz w:val="25"/>
          <w:szCs w:val="25"/>
          <w:color w:val="231F20"/>
          <w:vertAlign w:val="superscript"/>
        </w:rPr>
      </w:pPr>
    </w:p>
    <w:p>
      <w:pPr>
        <w:ind w:left="880" w:hanging="373"/>
        <w:spacing w:after="0"/>
        <w:tabs>
          <w:tab w:leader="none" w:pos="880" w:val="left"/>
        </w:tabs>
        <w:numPr>
          <w:ilvl w:val="0"/>
          <w:numId w:val="15"/>
        </w:numPr>
        <w:rPr>
          <w:rFonts w:ascii="Arial" w:cs="Arial" w:eastAsia="Arial" w:hAnsi="Arial"/>
          <w:sz w:val="22"/>
          <w:szCs w:val="22"/>
          <w:color w:val="231F20"/>
          <w:vertAlign w:val="superscript"/>
        </w:rPr>
      </w:pPr>
      <w:r>
        <w:rPr>
          <w:rFonts w:ascii="Arial" w:cs="Arial" w:eastAsia="Arial" w:hAnsi="Arial"/>
          <w:sz w:val="16"/>
          <w:szCs w:val="16"/>
          <w:color w:val="231F20"/>
        </w:rPr>
        <w:t>Our operations and financial results could be adversely impacted by the COVID-19 pandemic in the United States and the rest of the world.</w:t>
      </w:r>
    </w:p>
    <w:p>
      <w:pPr>
        <w:spacing w:after="0" w:line="107" w:lineRule="exact"/>
        <w:rPr>
          <w:rFonts w:ascii="Arial" w:cs="Arial" w:eastAsia="Arial" w:hAnsi="Arial"/>
          <w:sz w:val="22"/>
          <w:szCs w:val="22"/>
          <w:color w:val="231F20"/>
          <w:vertAlign w:val="superscript"/>
        </w:rPr>
      </w:pPr>
    </w:p>
    <w:p>
      <w:pPr>
        <w:ind w:left="880" w:right="260" w:hanging="373"/>
        <w:spacing w:after="0" w:line="238" w:lineRule="auto"/>
        <w:tabs>
          <w:tab w:leader="none" w:pos="880" w:val="left"/>
        </w:tabs>
        <w:numPr>
          <w:ilvl w:val="0"/>
          <w:numId w:val="15"/>
        </w:numPr>
        <w:rPr>
          <w:rFonts w:ascii="Arial" w:cs="Arial" w:eastAsia="Arial" w:hAnsi="Arial"/>
          <w:sz w:val="24"/>
          <w:szCs w:val="24"/>
          <w:color w:val="231F20"/>
          <w:vertAlign w:val="superscript"/>
        </w:rPr>
      </w:pPr>
      <w:r>
        <w:rPr>
          <w:rFonts w:ascii="Arial" w:cs="Arial" w:eastAsia="Arial" w:hAnsi="Arial"/>
          <w:sz w:val="17"/>
          <w:szCs w:val="17"/>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94" w:lineRule="exact"/>
        <w:rPr>
          <w:rFonts w:ascii="Arial" w:cs="Arial" w:eastAsia="Arial" w:hAnsi="Arial"/>
          <w:sz w:val="24"/>
          <w:szCs w:val="24"/>
          <w:color w:val="231F20"/>
          <w:vertAlign w:val="superscript"/>
        </w:rPr>
      </w:pPr>
    </w:p>
    <w:p>
      <w:pPr>
        <w:ind w:left="880" w:right="20" w:hanging="373"/>
        <w:spacing w:after="0" w:line="238" w:lineRule="auto"/>
        <w:tabs>
          <w:tab w:leader="none" w:pos="880" w:val="left"/>
        </w:tabs>
        <w:numPr>
          <w:ilvl w:val="0"/>
          <w:numId w:val="15"/>
        </w:numPr>
        <w:rPr>
          <w:rFonts w:ascii="Arial" w:cs="Arial" w:eastAsia="Arial" w:hAnsi="Arial"/>
          <w:sz w:val="24"/>
          <w:szCs w:val="24"/>
          <w:color w:val="231F20"/>
          <w:vertAlign w:val="superscript"/>
        </w:rPr>
      </w:pPr>
      <w:r>
        <w:rPr>
          <w:rFonts w:ascii="Arial" w:cs="Arial" w:eastAsia="Arial" w:hAnsi="Arial"/>
          <w:sz w:val="17"/>
          <w:szCs w:val="17"/>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94" w:lineRule="exact"/>
        <w:rPr>
          <w:rFonts w:ascii="Arial" w:cs="Arial" w:eastAsia="Arial" w:hAnsi="Arial"/>
          <w:sz w:val="24"/>
          <w:szCs w:val="24"/>
          <w:color w:val="231F20"/>
          <w:vertAlign w:val="superscript"/>
        </w:rPr>
      </w:pPr>
    </w:p>
    <w:p>
      <w:pPr>
        <w:ind w:left="880" w:right="480" w:hanging="373"/>
        <w:spacing w:after="0" w:line="216" w:lineRule="auto"/>
        <w:tabs>
          <w:tab w:leader="none" w:pos="880" w:val="left"/>
        </w:tabs>
        <w:numPr>
          <w:ilvl w:val="0"/>
          <w:numId w:val="15"/>
        </w:numPr>
        <w:rPr>
          <w:rFonts w:ascii="Arial" w:cs="Arial" w:eastAsia="Arial" w:hAnsi="Arial"/>
          <w:sz w:val="25"/>
          <w:szCs w:val="25"/>
          <w:color w:val="231F20"/>
          <w:vertAlign w:val="superscript"/>
        </w:rPr>
      </w:pPr>
      <w:r>
        <w:rPr>
          <w:rFonts w:ascii="Arial" w:cs="Arial" w:eastAsia="Arial" w:hAnsi="Arial"/>
          <w:sz w:val="18"/>
          <w:szCs w:val="18"/>
          <w:color w:val="231F20"/>
        </w:rPr>
        <w:t>The mechanisms of action of our product candidates are unproven, and we do not know whether we will be able to develop any drug of commercial value.</w:t>
      </w:r>
    </w:p>
    <w:p>
      <w:pPr>
        <w:spacing w:after="0" w:line="94" w:lineRule="exact"/>
        <w:rPr>
          <w:rFonts w:ascii="Arial" w:cs="Arial" w:eastAsia="Arial" w:hAnsi="Arial"/>
          <w:sz w:val="25"/>
          <w:szCs w:val="25"/>
          <w:color w:val="231F20"/>
          <w:vertAlign w:val="superscript"/>
        </w:rPr>
      </w:pPr>
    </w:p>
    <w:p>
      <w:pPr>
        <w:ind w:left="880" w:right="180" w:hanging="373"/>
        <w:spacing w:after="0" w:line="235" w:lineRule="auto"/>
        <w:tabs>
          <w:tab w:leader="none" w:pos="880" w:val="left"/>
        </w:tabs>
        <w:numPr>
          <w:ilvl w:val="0"/>
          <w:numId w:val="15"/>
        </w:numPr>
        <w:rPr>
          <w:rFonts w:ascii="Arial" w:cs="Arial" w:eastAsia="Arial" w:hAnsi="Arial"/>
          <w:sz w:val="25"/>
          <w:szCs w:val="25"/>
          <w:color w:val="231F20"/>
          <w:vertAlign w:val="superscript"/>
        </w:rPr>
      </w:pPr>
      <w:r>
        <w:rPr>
          <w:rFonts w:ascii="Arial" w:cs="Arial" w:eastAsia="Arial" w:hAnsi="Arial"/>
          <w:sz w:val="18"/>
          <w:szCs w:val="18"/>
          <w:color w:val="231F20"/>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95" w:lineRule="exact"/>
        <w:rPr>
          <w:rFonts w:ascii="Arial" w:cs="Arial" w:eastAsia="Arial" w:hAnsi="Arial"/>
          <w:sz w:val="25"/>
          <w:szCs w:val="25"/>
          <w:color w:val="231F20"/>
          <w:vertAlign w:val="superscript"/>
        </w:rPr>
      </w:pPr>
    </w:p>
    <w:p>
      <w:pPr>
        <w:ind w:left="880" w:hanging="373"/>
        <w:spacing w:after="0" w:line="226" w:lineRule="auto"/>
        <w:tabs>
          <w:tab w:leader="none" w:pos="880" w:val="left"/>
        </w:tabs>
        <w:numPr>
          <w:ilvl w:val="0"/>
          <w:numId w:val="15"/>
        </w:numPr>
        <w:rPr>
          <w:rFonts w:ascii="Arial" w:cs="Arial" w:eastAsia="Arial" w:hAnsi="Arial"/>
          <w:sz w:val="25"/>
          <w:szCs w:val="25"/>
          <w:color w:val="231F20"/>
          <w:vertAlign w:val="superscript"/>
        </w:rPr>
      </w:pPr>
      <w:r>
        <w:rPr>
          <w:rFonts w:ascii="Arial" w:cs="Arial" w:eastAsia="Arial" w:hAnsi="Arial"/>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30" w:name="page31"/>
    <w:bookmarkEnd w:id="30"/>
    <w:p>
      <w:pPr>
        <w:jc w:val="both"/>
        <w:ind w:left="880" w:right="240" w:hanging="373"/>
        <w:spacing w:after="0" w:line="232" w:lineRule="auto"/>
        <w:tabs>
          <w:tab w:leader="none" w:pos="880" w:val="left"/>
        </w:tabs>
        <w:numPr>
          <w:ilvl w:val="0"/>
          <w:numId w:val="16"/>
        </w:numPr>
        <w:rPr>
          <w:rFonts w:ascii="Arial" w:cs="Arial" w:eastAsia="Arial" w:hAnsi="Arial"/>
          <w:sz w:val="25"/>
          <w:szCs w:val="25"/>
          <w:color w:val="231F20"/>
          <w:vertAlign w:val="superscript"/>
        </w:rPr>
      </w:pPr>
      <w:r>
        <w:rPr>
          <w:rFonts w:ascii="Arial" w:cs="Arial" w:eastAsia="Arial" w:hAnsi="Arial"/>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93" w:lineRule="exact"/>
        <w:rPr>
          <w:rFonts w:ascii="Arial" w:cs="Arial" w:eastAsia="Arial" w:hAnsi="Arial"/>
          <w:sz w:val="25"/>
          <w:szCs w:val="25"/>
          <w:color w:val="231F20"/>
          <w:vertAlign w:val="superscript"/>
        </w:rPr>
      </w:pPr>
    </w:p>
    <w:p>
      <w:pPr>
        <w:jc w:val="both"/>
        <w:ind w:left="880" w:right="320" w:hanging="373"/>
        <w:spacing w:after="0" w:line="226" w:lineRule="auto"/>
        <w:tabs>
          <w:tab w:leader="none" w:pos="880" w:val="left"/>
        </w:tabs>
        <w:numPr>
          <w:ilvl w:val="0"/>
          <w:numId w:val="16"/>
        </w:numPr>
        <w:rPr>
          <w:rFonts w:ascii="Arial" w:cs="Arial" w:eastAsia="Arial" w:hAnsi="Arial"/>
          <w:sz w:val="25"/>
          <w:szCs w:val="25"/>
          <w:color w:val="231F20"/>
          <w:vertAlign w:val="superscript"/>
        </w:rPr>
      </w:pPr>
      <w:r>
        <w:rPr>
          <w:rFonts w:ascii="Arial" w:cs="Arial" w:eastAsia="Arial" w:hAnsi="Arial"/>
          <w:sz w:val="18"/>
          <w:szCs w:val="18"/>
          <w:color w:val="231F20"/>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95" w:lineRule="exact"/>
        <w:rPr>
          <w:rFonts w:ascii="Arial" w:cs="Arial" w:eastAsia="Arial" w:hAnsi="Arial"/>
          <w:sz w:val="25"/>
          <w:szCs w:val="25"/>
          <w:color w:val="231F20"/>
          <w:vertAlign w:val="superscript"/>
        </w:rPr>
      </w:pPr>
    </w:p>
    <w:p>
      <w:pPr>
        <w:jc w:val="both"/>
        <w:ind w:left="880" w:right="360" w:hanging="373"/>
        <w:spacing w:after="0" w:line="226" w:lineRule="auto"/>
        <w:tabs>
          <w:tab w:leader="none" w:pos="880" w:val="left"/>
        </w:tabs>
        <w:numPr>
          <w:ilvl w:val="0"/>
          <w:numId w:val="16"/>
        </w:numPr>
        <w:rPr>
          <w:rFonts w:ascii="Arial" w:cs="Arial" w:eastAsia="Arial" w:hAnsi="Arial"/>
          <w:sz w:val="25"/>
          <w:szCs w:val="25"/>
          <w:color w:val="231F20"/>
          <w:vertAlign w:val="superscript"/>
        </w:rPr>
      </w:pPr>
      <w:r>
        <w:rPr>
          <w:rFonts w:ascii="Arial" w:cs="Arial" w:eastAsia="Arial" w:hAnsi="Arial"/>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95" w:lineRule="exact"/>
        <w:rPr>
          <w:rFonts w:ascii="Arial" w:cs="Arial" w:eastAsia="Arial" w:hAnsi="Arial"/>
          <w:sz w:val="25"/>
          <w:szCs w:val="25"/>
          <w:color w:val="231F20"/>
          <w:vertAlign w:val="superscript"/>
        </w:rPr>
      </w:pPr>
    </w:p>
    <w:p>
      <w:pPr>
        <w:jc w:val="both"/>
        <w:ind w:left="880" w:right="60" w:hanging="373"/>
        <w:spacing w:after="0" w:line="226" w:lineRule="auto"/>
        <w:tabs>
          <w:tab w:leader="none" w:pos="880" w:val="left"/>
        </w:tabs>
        <w:numPr>
          <w:ilvl w:val="0"/>
          <w:numId w:val="16"/>
        </w:numPr>
        <w:rPr>
          <w:rFonts w:ascii="Arial" w:cs="Arial" w:eastAsia="Arial" w:hAnsi="Arial"/>
          <w:sz w:val="25"/>
          <w:szCs w:val="25"/>
          <w:color w:val="231F20"/>
          <w:vertAlign w:val="superscript"/>
        </w:rPr>
      </w:pPr>
      <w:r>
        <w:rPr>
          <w:rFonts w:ascii="Arial" w:cs="Arial" w:eastAsia="Arial" w:hAnsi="Arial"/>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95" w:lineRule="exact"/>
        <w:rPr>
          <w:rFonts w:ascii="Arial" w:cs="Arial" w:eastAsia="Arial" w:hAnsi="Arial"/>
          <w:sz w:val="25"/>
          <w:szCs w:val="25"/>
          <w:color w:val="231F20"/>
          <w:vertAlign w:val="superscript"/>
        </w:rPr>
      </w:pPr>
    </w:p>
    <w:p>
      <w:pPr>
        <w:ind w:left="880" w:right="140" w:hanging="373"/>
        <w:spacing w:after="0" w:line="245" w:lineRule="auto"/>
        <w:tabs>
          <w:tab w:leader="none" w:pos="880" w:val="left"/>
        </w:tabs>
        <w:numPr>
          <w:ilvl w:val="0"/>
          <w:numId w:val="16"/>
        </w:numPr>
        <w:rPr>
          <w:rFonts w:ascii="Arial" w:cs="Arial" w:eastAsia="Arial" w:hAnsi="Arial"/>
          <w:sz w:val="24"/>
          <w:szCs w:val="24"/>
          <w:color w:val="231F20"/>
          <w:vertAlign w:val="superscript"/>
        </w:rPr>
      </w:pPr>
      <w:r>
        <w:rPr>
          <w:rFonts w:ascii="Arial" w:cs="Arial" w:eastAsia="Arial" w:hAnsi="Arial"/>
          <w:sz w:val="17"/>
          <w:szCs w:val="17"/>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91" w:lineRule="exact"/>
        <w:rPr>
          <w:rFonts w:ascii="Arial" w:cs="Arial" w:eastAsia="Arial" w:hAnsi="Arial"/>
          <w:sz w:val="24"/>
          <w:szCs w:val="24"/>
          <w:color w:val="231F20"/>
          <w:vertAlign w:val="superscript"/>
        </w:rPr>
      </w:pPr>
    </w:p>
    <w:p>
      <w:pPr>
        <w:ind w:left="880" w:right="80" w:hanging="373"/>
        <w:spacing w:after="0" w:line="226" w:lineRule="auto"/>
        <w:tabs>
          <w:tab w:leader="none" w:pos="880" w:val="left"/>
        </w:tabs>
        <w:numPr>
          <w:ilvl w:val="0"/>
          <w:numId w:val="16"/>
        </w:numPr>
        <w:rPr>
          <w:rFonts w:ascii="Arial" w:cs="Arial" w:eastAsia="Arial" w:hAnsi="Arial"/>
          <w:sz w:val="25"/>
          <w:szCs w:val="25"/>
          <w:color w:val="231F20"/>
          <w:vertAlign w:val="superscript"/>
        </w:rPr>
      </w:pPr>
      <w:r>
        <w:rPr>
          <w:rFonts w:ascii="Arial" w:cs="Arial" w:eastAsia="Arial" w:hAnsi="Arial"/>
          <w:sz w:val="18"/>
          <w:szCs w:val="18"/>
          <w:color w:val="231F20"/>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Financial Position, Need for Additional Capital and Limited Operating History</w:t>
      </w:r>
    </w:p>
    <w:p>
      <w:pPr>
        <w:spacing w:after="0" w:line="135" w:lineRule="exact"/>
        <w:rPr>
          <w:sz w:val="20"/>
          <w:szCs w:val="20"/>
          <w:color w:val="auto"/>
        </w:rPr>
      </w:pPr>
    </w:p>
    <w:p>
      <w:pPr>
        <w:jc w:val="both"/>
        <w:ind w:right="500"/>
        <w:spacing w:after="0" w:line="381" w:lineRule="auto"/>
        <w:rPr>
          <w:sz w:val="20"/>
          <w:szCs w:val="20"/>
          <w:color w:val="auto"/>
        </w:rPr>
      </w:pPr>
      <w:r>
        <w:rPr>
          <w:rFonts w:ascii="Arial" w:cs="Arial" w:eastAsia="Arial" w:hAnsi="Arial"/>
          <w:sz w:val="15"/>
          <w:szCs w:val="15"/>
          <w:b w:val="1"/>
          <w:bCs w:val="1"/>
          <w:i w:val="1"/>
          <w:iCs w:val="1"/>
          <w:color w:val="231F20"/>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31F20"/>
        </w:rPr>
        <w:t>We are a preclinical stage biotechnology company with a limited operating history upon which you can evaluate our business and prospects. We commenced operations in 2016, have not initiated or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All of our product candidates are still in preclinical development and have never been tested in humans. Since our inception in 2016, we have devoted substantially all of our focus and financial resources to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w:t>
      </w:r>
    </w:p>
    <w:p>
      <w:pPr>
        <w:spacing w:after="0" w:line="23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231F20"/>
        </w:rPr>
        <w:t>We have not yet demonstrated our ability to successfully initiate and complete any clinical trials, obtain marketing approvals, manufacture a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22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3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7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231F20"/>
        </w:rPr>
        <w:t>We have incurred significant net losses since our inception, have not generated any product revenue to date and, up until the date of our IPO in July 2021, have financed our operations through private placements of our convertible preferred stock. Our net loss was $28.3 million for the three months ended June 30, 2021. As of June 30, 2021, we had an accumulated deficit of $111.1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40"/>
        <w:spacing w:after="0" w:line="272" w:lineRule="auto"/>
        <w:rPr>
          <w:sz w:val="20"/>
          <w:szCs w:val="20"/>
          <w:color w:val="auto"/>
        </w:rPr>
      </w:pPr>
      <w:r>
        <w:rPr>
          <w:rFonts w:ascii="Arial" w:cs="Arial" w:eastAsia="Arial" w:hAnsi="Arial"/>
          <w:sz w:val="17"/>
          <w:szCs w:val="17"/>
          <w:color w:val="231F20"/>
        </w:rPr>
        <w:t>Substantially all of our losses have resulted from expenses incurred in connection with our research and development programs and from general and administrative costs associated with our operations. We are still in the early stages of development of our product candidates and have not yet initiated or completed any clinical trials.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218"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35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231F20"/>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92" w:lineRule="exact"/>
        <w:rPr>
          <w:sz w:val="20"/>
          <w:szCs w:val="20"/>
          <w:color w:val="auto"/>
        </w:rPr>
      </w:pPr>
    </w:p>
    <w:p>
      <w:pPr>
        <w:ind w:left="880" w:right="260" w:hanging="373"/>
        <w:spacing w:after="0" w:line="216" w:lineRule="auto"/>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successful and timely completion of preclinical and clinical development of product candidates and programs in our Gene Therapy, Cellular Regeneration and Precision Medicine platforms, and our other future product candidates and programs;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obtaining regulatory approval to commence clinical trials of our product candidates;</w:t>
      </w:r>
    </w:p>
    <w:p>
      <w:pPr>
        <w:spacing w:after="0" w:line="107" w:lineRule="exact"/>
        <w:rPr>
          <w:rFonts w:ascii="Arial" w:cs="Arial" w:eastAsia="Arial" w:hAnsi="Arial"/>
          <w:sz w:val="25"/>
          <w:szCs w:val="25"/>
          <w:color w:val="auto"/>
          <w:vertAlign w:val="superscript"/>
        </w:rPr>
      </w:pPr>
    </w:p>
    <w:p>
      <w:pPr>
        <w:ind w:left="880" w:right="260" w:hanging="373"/>
        <w:spacing w:after="0" w:line="216" w:lineRule="auto"/>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establishing and maintaining relationships with contract research organizations (CROs) and clinical sites for the clinical development of our product candidates and any other future product candidates;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the initiation and successful patient enrollment and completion of clinical trials on a timely basis;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acceptable frequency and severity of adverse events in the clinical trials;</w:t>
      </w:r>
    </w:p>
    <w:p>
      <w:pPr>
        <w:spacing w:after="0" w:line="107" w:lineRule="exact"/>
        <w:rPr>
          <w:rFonts w:ascii="Arial" w:cs="Arial" w:eastAsia="Arial" w:hAnsi="Arial"/>
          <w:sz w:val="25"/>
          <w:szCs w:val="25"/>
          <w:color w:val="auto"/>
          <w:vertAlign w:val="superscript"/>
        </w:rPr>
      </w:pPr>
    </w:p>
    <w:p>
      <w:pPr>
        <w:ind w:left="880" w:right="320" w:hanging="373"/>
        <w:spacing w:after="0" w:line="216" w:lineRule="auto"/>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the efficacy and safety profiles that are satisfactory to the U.S. Food and Drug Administration (FDA) or any comparable foreign regulatory authority for marketing approval;</w:t>
      </w:r>
    </w:p>
    <w:p>
      <w:pPr>
        <w:spacing w:after="0" w:line="94" w:lineRule="exact"/>
        <w:rPr>
          <w:rFonts w:ascii="Arial" w:cs="Arial" w:eastAsia="Arial" w:hAnsi="Arial"/>
          <w:sz w:val="25"/>
          <w:szCs w:val="25"/>
          <w:color w:val="auto"/>
          <w:vertAlign w:val="superscript"/>
        </w:rPr>
      </w:pPr>
    </w:p>
    <w:p>
      <w:pPr>
        <w:ind w:left="880" w:right="280" w:hanging="373"/>
        <w:spacing w:after="0" w:line="216" w:lineRule="auto"/>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timely receipt of marketing approvals from applicable regulatory authorities for any product candidates for which we successfully complete clinical development;</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complying with any required post-marketing approval commitments to applicable regulatory authorities;</w:t>
      </w:r>
    </w:p>
    <w:p>
      <w:pPr>
        <w:spacing w:after="0" w:line="98" w:lineRule="exact"/>
        <w:rPr>
          <w:rFonts w:ascii="Arial" w:cs="Arial" w:eastAsia="Arial" w:hAnsi="Arial"/>
          <w:sz w:val="25"/>
          <w:szCs w:val="25"/>
          <w:color w:val="auto"/>
          <w:vertAlign w:val="superscript"/>
        </w:rPr>
      </w:pPr>
    </w:p>
    <w:p>
      <w:pPr>
        <w:ind w:left="880" w:hanging="373"/>
        <w:spacing w:after="0" w:line="226" w:lineRule="auto"/>
        <w:tabs>
          <w:tab w:leader="none" w:pos="88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231F20"/>
        </w:rPr>
        <w:t>establishing and operating a manufacturing facility and developing an efficient and scalable manufacturing process for our product candidates;</w:t>
      </w:r>
    </w:p>
    <w:p>
      <w:pPr>
        <w:spacing w:after="0" w:line="108" w:lineRule="exact"/>
        <w:rPr>
          <w:rFonts w:ascii="Arial" w:cs="Arial" w:eastAsia="Arial" w:hAnsi="Arial"/>
          <w:sz w:val="22"/>
          <w:szCs w:val="22"/>
          <w:color w:val="auto"/>
          <w:vertAlign w:val="superscript"/>
        </w:rPr>
      </w:pPr>
    </w:p>
    <w:p>
      <w:pPr>
        <w:ind w:left="880" w:right="100" w:hanging="373"/>
        <w:spacing w:after="0" w:line="226" w:lineRule="auto"/>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95"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successful commercial launch following any marketing approval, including the development of a commercial infrastructure, whether in-house or with one or more collaborators;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successful outputs from our capsid engineering and promotor and regulator elements efforts;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a continued acceptable safety profile following any marketing approval of our product candidates;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commercial acceptance of our product candidates by patients, the medical community and third-party payors;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satisfying any required post-marketing approval commitments to applicable regulatory authorities;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231F20"/>
        </w:rPr>
        <w:t>identifying, assessing and developing new product candidates;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ind w:left="880" w:right="100" w:hanging="373"/>
        <w:spacing w:after="0" w:line="216" w:lineRule="auto"/>
        <w:tabs>
          <w:tab w:leader="none" w:pos="8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231F20"/>
        </w:rPr>
        <w:t>obtaining, maintaining, and expanding patent and other intellectual property protection, trade secret protection and regulatory exclusivity, both in the United States and internationally;</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231F20"/>
        </w:rPr>
        <w:t>protecting and enforcing our rights in our intellectual property portfolio;</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231F20"/>
        </w:rPr>
        <w:t>defending against third-party infringement, misappropriation, or other claims, if any;</w:t>
      </w:r>
    </w:p>
    <w:p>
      <w:pPr>
        <w:spacing w:after="0" w:line="107" w:lineRule="exact"/>
        <w:rPr>
          <w:rFonts w:ascii="Arial" w:cs="Arial" w:eastAsia="Arial" w:hAnsi="Arial"/>
          <w:sz w:val="25"/>
          <w:szCs w:val="25"/>
          <w:color w:val="auto"/>
          <w:vertAlign w:val="superscript"/>
        </w:rPr>
      </w:pPr>
    </w:p>
    <w:p>
      <w:pPr>
        <w:ind w:left="880" w:right="920" w:hanging="373"/>
        <w:spacing w:after="0" w:line="216" w:lineRule="auto"/>
        <w:tabs>
          <w:tab w:leader="none" w:pos="8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231F20"/>
        </w:rPr>
        <w:t>entering into, on favorable terms, any collaboration, licensing or other arrangements that may be necessary or desirable to develop, manufacture or commercialize our product candidates;</w:t>
      </w:r>
    </w:p>
    <w:p>
      <w:pPr>
        <w:spacing w:after="0" w:line="94" w:lineRule="exact"/>
        <w:rPr>
          <w:rFonts w:ascii="Arial" w:cs="Arial" w:eastAsia="Arial" w:hAnsi="Arial"/>
          <w:sz w:val="25"/>
          <w:szCs w:val="25"/>
          <w:color w:val="auto"/>
          <w:vertAlign w:val="superscript"/>
        </w:rPr>
      </w:pPr>
    </w:p>
    <w:p>
      <w:pPr>
        <w:ind w:left="880" w:right="140" w:hanging="373"/>
        <w:spacing w:after="0" w:line="216" w:lineRule="auto"/>
        <w:tabs>
          <w:tab w:leader="none" w:pos="8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231F20"/>
        </w:rPr>
        <w:t>obtaining coverage and adequate reimbursement by third-party payors for our products and patients’ willingness to pay in the absence of such coverage and adequate reimbursement;</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231F20"/>
        </w:rPr>
        <w:t>obtaining additional funding to develop, manufacture and commercialize our product candidates;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231F20"/>
        </w:rPr>
        <w:t>addressing any competing therapies and technological and market developments;</w:t>
      </w:r>
    </w:p>
    <w:p>
      <w:pPr>
        <w:spacing w:after="0" w:line="107" w:lineRule="exact"/>
        <w:rPr>
          <w:rFonts w:ascii="Arial" w:cs="Arial" w:eastAsia="Arial" w:hAnsi="Arial"/>
          <w:sz w:val="25"/>
          <w:szCs w:val="25"/>
          <w:color w:val="auto"/>
          <w:vertAlign w:val="superscript"/>
        </w:rPr>
      </w:pPr>
    </w:p>
    <w:p>
      <w:pPr>
        <w:ind w:left="880" w:right="160" w:hanging="373"/>
        <w:spacing w:after="0" w:line="216" w:lineRule="auto"/>
        <w:tabs>
          <w:tab w:leader="none" w:pos="8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231F20"/>
        </w:rPr>
        <w:t>managing costs, including any unforeseen costs, that we may incur as a result of nonclinical study or clinical trial delays due to COVID-19 or other causes;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231F20"/>
        </w:rPr>
        <w:t>attracting, hiring and retaining qualified personnel including clinical, scientific, management and administrative personnel.</w:t>
      </w:r>
    </w:p>
    <w:p>
      <w:pPr>
        <w:spacing w:after="0" w:line="25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214" w:lineRule="exact"/>
        <w:rPr>
          <w:sz w:val="20"/>
          <w:szCs w:val="20"/>
          <w:color w:val="auto"/>
        </w:rPr>
      </w:pPr>
    </w:p>
    <w:p>
      <w:pPr>
        <w:ind w:right="560" w:firstLine="510"/>
        <w:spacing w:after="0" w:line="263" w:lineRule="auto"/>
        <w:rPr>
          <w:sz w:val="20"/>
          <w:szCs w:val="20"/>
          <w:color w:val="auto"/>
        </w:rPr>
      </w:pPr>
      <w:r>
        <w:rPr>
          <w:rFonts w:ascii="Arial" w:cs="Arial" w:eastAsia="Arial" w:hAnsi="Arial"/>
          <w:sz w:val="18"/>
          <w:szCs w:val="18"/>
          <w:color w:val="231F20"/>
        </w:rPr>
        <w:t>We may also experience delays in establishing our manufacturing facility, developing a sustainable, reproducible and scalable manufacturing process or transferring that process to commercial partners, which may prevent us from initiating and completing our planned clinical trials or commercializing our product candidates on a timely or profitable basis, if at all.</w:t>
      </w:r>
    </w:p>
    <w:p>
      <w:pPr>
        <w:spacing w:after="0" w:line="3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231F20"/>
        </w:rPr>
        <w:t>We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6"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231F20"/>
        </w:rPr>
        <w:t xml:space="preserve">As of June 30, 2021, we had $111.9 million in cash and cash equivalents. We expect our current cash and cash equivalents, </w:t>
      </w:r>
      <w:r>
        <w:rPr>
          <w:rFonts w:ascii="Arial" w:cs="Arial" w:eastAsia="Arial" w:hAnsi="Arial"/>
          <w:sz w:val="17"/>
          <w:szCs w:val="17"/>
          <w:color w:val="000000"/>
        </w:rPr>
        <w:t>together with the net</w:t>
      </w:r>
      <w:r>
        <w:rPr>
          <w:rFonts w:ascii="Arial" w:cs="Arial" w:eastAsia="Arial" w:hAnsi="Arial"/>
          <w:sz w:val="17"/>
          <w:szCs w:val="17"/>
          <w:color w:val="231F20"/>
        </w:rPr>
        <w:t xml:space="preserve"> </w:t>
      </w:r>
      <w:r>
        <w:rPr>
          <w:rFonts w:ascii="Arial" w:cs="Arial" w:eastAsia="Arial" w:hAnsi="Arial"/>
          <w:sz w:val="17"/>
          <w:szCs w:val="17"/>
          <w:color w:val="000000"/>
        </w:rPr>
        <w:t xml:space="preserve">proceeds received from the IPO, </w:t>
      </w:r>
      <w:r>
        <w:rPr>
          <w:rFonts w:ascii="Arial" w:cs="Arial" w:eastAsia="Arial" w:hAnsi="Arial"/>
          <w:sz w:val="17"/>
          <w:szCs w:val="17"/>
          <w:color w:val="231F20"/>
        </w:rPr>
        <w:t>will be sufficient to fund our current operating plan for operations through at least the next twelve months from the date</w:t>
      </w:r>
      <w:r>
        <w:rPr>
          <w:rFonts w:ascii="Arial" w:cs="Arial" w:eastAsia="Arial" w:hAnsi="Arial"/>
          <w:sz w:val="17"/>
          <w:szCs w:val="17"/>
          <w:color w:val="000000"/>
        </w:rPr>
        <w:t xml:space="preserve"> </w:t>
      </w:r>
      <w:r>
        <w:rPr>
          <w:rFonts w:ascii="Arial" w:cs="Arial" w:eastAsia="Arial" w:hAnsi="Arial"/>
          <w:sz w:val="17"/>
          <w:szCs w:val="17"/>
          <w:color w:val="231F20"/>
        </w:rPr>
        <w:t>of this Quarterly Report on Form 10-Q. Our estimate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6"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programs as well as develop our proprietary drug discovery platforms.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preclinical studies in addition to those that we currently anticipate. Other unanticipated costs may also arise. Because the design and outcome of our planned and anticipated preclinical studies and clinical trials are highly uncertain, we cannot reasonably estimate the actual amount of resources and funding that will be necessary to successfully complete the development and commercialization of any product candidate we develop. We are not permitted to market or promote any product candidate before we receive marketing approval from the FDA. We also expect to incur costs associated with operating as a public company. Accordingly, we will need to obtain substantial additional funding in order to continue our operations.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future capital requirements will depend on may factors, including, but not limited to:</w:t>
      </w:r>
    </w:p>
    <w:p>
      <w:pPr>
        <w:spacing w:after="0" w:line="117" w:lineRule="exact"/>
        <w:rPr>
          <w:sz w:val="20"/>
          <w:szCs w:val="20"/>
          <w:color w:val="auto"/>
        </w:rPr>
      </w:pPr>
    </w:p>
    <w:p>
      <w:pPr>
        <w:ind w:left="880" w:right="20" w:hanging="373"/>
        <w:spacing w:after="0" w:line="216" w:lineRule="auto"/>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the scope, progress, results and costs of researching, developing and testing our product candidates including conducting preclinical studies and clinical trials;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231F20"/>
        </w:rPr>
        <w:t>the costs, timing and outcome of regulatory review of our product candidates or any future candidates;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3" w:name="page34"/>
    <w:bookmarkEnd w:id="33"/>
    <w:p>
      <w:pPr>
        <w:ind w:left="880" w:hanging="373"/>
        <w:spacing w:after="0"/>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number and characteristics of other product candidates that we pursue or acquire;</w:t>
      </w:r>
    </w:p>
    <w:p>
      <w:pPr>
        <w:spacing w:after="0" w:line="107" w:lineRule="exact"/>
        <w:rPr>
          <w:rFonts w:ascii="Arial" w:cs="Arial" w:eastAsia="Arial" w:hAnsi="Arial"/>
          <w:sz w:val="25"/>
          <w:szCs w:val="25"/>
          <w:color w:val="auto"/>
          <w:vertAlign w:val="superscript"/>
        </w:rPr>
      </w:pPr>
    </w:p>
    <w:p>
      <w:pPr>
        <w:ind w:left="880" w:right="620" w:hanging="373"/>
        <w:spacing w:after="0" w:line="216"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costs of future activities, including product sales, medical affairs, marketing, manufacturing and distribution, for any of our product candidates for which we receive marketing approval;</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costs of establishing and operating our own manufacturing facility;</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costs of manufacturing commercial-grade products and sufficient inventory to support commercial launch;</w:t>
      </w:r>
    </w:p>
    <w:p>
      <w:pPr>
        <w:spacing w:after="0" w:line="107"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cost of commercialization activities, include the cost of building a sales force in anticipation of product commercialization and distribution costs;</w:t>
      </w:r>
    </w:p>
    <w:p>
      <w:pPr>
        <w:spacing w:after="0" w:line="49"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231F20"/>
        </w:rPr>
        <w:t>the revenue, if any, received from commercial sale of our products, should any of our product candidates receive marketing approval;</w:t>
      </w:r>
    </w:p>
    <w:p>
      <w:pPr>
        <w:spacing w:after="0" w:line="98" w:lineRule="exact"/>
        <w:rPr>
          <w:rFonts w:ascii="Arial" w:cs="Arial" w:eastAsia="Arial" w:hAnsi="Arial"/>
          <w:sz w:val="24"/>
          <w:szCs w:val="24"/>
          <w:color w:val="auto"/>
          <w:vertAlign w:val="superscript"/>
        </w:rPr>
      </w:pPr>
    </w:p>
    <w:p>
      <w:pPr>
        <w:ind w:left="880" w:hanging="373"/>
        <w:spacing w:after="0" w:line="199"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cost and timing of hiring new employees to support our continued growth;</w:t>
      </w:r>
    </w:p>
    <w:p>
      <w:pPr>
        <w:spacing w:after="0" w:line="107" w:lineRule="exact"/>
        <w:rPr>
          <w:rFonts w:ascii="Arial" w:cs="Arial" w:eastAsia="Arial" w:hAnsi="Arial"/>
          <w:sz w:val="25"/>
          <w:szCs w:val="25"/>
          <w:color w:val="auto"/>
          <w:vertAlign w:val="superscript"/>
        </w:rPr>
      </w:pPr>
    </w:p>
    <w:p>
      <w:pPr>
        <w:ind w:left="880" w:right="380" w:hanging="373"/>
        <w:spacing w:after="0" w:line="216"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costs of preparing, filing and prosecuting patent applications, maintaining, protecting and enforcing our intellectual property rights and defending intellectual property-related claims;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effect of competing products that may limit market penetration of our products;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ability to establish and maintain collaborations on favorable terms, if at all;</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extent to which we acquire or in-license other product candidates and technologies;</w:t>
      </w:r>
    </w:p>
    <w:p>
      <w:pPr>
        <w:spacing w:after="0" w:line="99" w:lineRule="exact"/>
        <w:rPr>
          <w:rFonts w:ascii="Arial" w:cs="Arial" w:eastAsia="Arial" w:hAnsi="Arial"/>
          <w:sz w:val="25"/>
          <w:szCs w:val="25"/>
          <w:color w:val="auto"/>
          <w:vertAlign w:val="superscript"/>
        </w:rPr>
      </w:pPr>
    </w:p>
    <w:p>
      <w:pPr>
        <w:ind w:left="880" w:hanging="373"/>
        <w:spacing w:after="0" w:line="226" w:lineRule="auto"/>
        <w:tabs>
          <w:tab w:leader="none" w:pos="88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231F20"/>
        </w:rPr>
        <w:t>the timing, receipt and amount of sales of, or milestone payments related to or royalties on, our current or future product candidates, if any;</w:t>
      </w:r>
    </w:p>
    <w:p>
      <w:pPr>
        <w:spacing w:after="0" w:line="99" w:lineRule="exact"/>
        <w:rPr>
          <w:rFonts w:ascii="Arial" w:cs="Arial" w:eastAsia="Arial" w:hAnsi="Arial"/>
          <w:sz w:val="22"/>
          <w:szCs w:val="22"/>
          <w:color w:val="auto"/>
          <w:vertAlign w:val="superscript"/>
        </w:rPr>
      </w:pPr>
    </w:p>
    <w:p>
      <w:pPr>
        <w:ind w:left="880" w:hanging="373"/>
        <w:spacing w:after="0" w:line="199"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our need to implement additional internal systems and infrastructure, including financial and reporting systems;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compliance and administrative costs associated with being a public company; and</w:t>
      </w:r>
    </w:p>
    <w:p>
      <w:pPr>
        <w:spacing w:after="0" w:line="107" w:lineRule="exact"/>
        <w:rPr>
          <w:rFonts w:ascii="Arial" w:cs="Arial" w:eastAsia="Arial" w:hAnsi="Arial"/>
          <w:sz w:val="25"/>
          <w:szCs w:val="25"/>
          <w:color w:val="auto"/>
          <w:vertAlign w:val="superscript"/>
        </w:rPr>
      </w:pPr>
    </w:p>
    <w:p>
      <w:pPr>
        <w:ind w:left="880" w:right="220" w:hanging="373"/>
        <w:spacing w:after="0" w:line="216" w:lineRule="auto"/>
        <w:tabs>
          <w:tab w:leader="none" w:pos="8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231F20"/>
        </w:rPr>
        <w:t>the extent to which we acquire or invest in businesses, products, or technologies, although we currently have no commitments or agreements relating to any of these types of transactions.</w:t>
      </w:r>
    </w:p>
    <w:p>
      <w:pPr>
        <w:spacing w:after="0" w:line="243"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231F20"/>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Identifying potential product candidates and conducting preclinical studies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219"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231F20"/>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platforms, programs, planned clinical trials or future commercialization efforts.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operations and financial results could be adversely impacted by the COVID-19 pandemic in the United States and the rest of the world.</w:t>
      </w:r>
    </w:p>
    <w:p>
      <w:pPr>
        <w:spacing w:after="0" w:line="14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231F20"/>
        </w:rPr>
        <w:t>In March 2020, the World Health Organization declared the novel coronavirus disease (COVID-19) outbreak a global pandemic. To limit the spread of COVID-19, governments have taken various actions including the issuance of stay-at-home orders and physical distancing guidelines. Accordingly, businesses have adjusted, reduced or suspended operating activities. Beginning in March 2020, the majority of our workforce began working from home.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that could severely impact our business, including:</w:t>
      </w:r>
    </w:p>
    <w:p>
      <w:pPr>
        <w:spacing w:after="0" w:line="70" w:lineRule="exact"/>
        <w:rPr>
          <w:sz w:val="20"/>
          <w:szCs w:val="20"/>
          <w:color w:val="auto"/>
        </w:rPr>
      </w:pPr>
    </w:p>
    <w:p>
      <w:pPr>
        <w:ind w:left="880" w:right="60" w:hanging="373"/>
        <w:spacing w:after="0" w:line="216" w:lineRule="auto"/>
        <w:tabs>
          <w:tab w:leader="none" w:pos="8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231F20"/>
        </w:rPr>
        <w:t>interruptions, difficulties or delays arising in our existing operations and company culture as a result of all of our employees working remotely, including those hired during the COVID-19 pandemic;</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231F20"/>
        </w:rPr>
        <w:t>delays in the build out of our manufacturing facility;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34" w:name="page35"/>
    <w:bookmarkEnd w:id="34"/>
    <w:p>
      <w:pPr>
        <w:ind w:left="880" w:hanging="373"/>
        <w:spacing w:after="0"/>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delays in receiving approval from local regulatory authorities to initiate our planned clinical trials;</w:t>
      </w:r>
    </w:p>
    <w:p>
      <w:pPr>
        <w:spacing w:after="0" w:line="107" w:lineRule="exact"/>
        <w:rPr>
          <w:rFonts w:ascii="Arial" w:cs="Arial" w:eastAsia="Arial" w:hAnsi="Arial"/>
          <w:sz w:val="25"/>
          <w:szCs w:val="25"/>
          <w:color w:val="auto"/>
          <w:vertAlign w:val="superscript"/>
        </w:rPr>
      </w:pPr>
    </w:p>
    <w:p>
      <w:pPr>
        <w:ind w:left="880" w:right="240" w:hanging="373"/>
        <w:spacing w:after="0" w:line="216"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delays or difficulties in enrolling and retaining patients in clinical trials and incurrence of additional costs as a result of preclinical study and clinical trial delays and adjustments;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challenges related to ongoing and increased operational expenses related to the COVID-19 pandemic;</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delays or difficulties in clinical site initiation, including difficulties in recruiting clinical site investigators and clinical site staff;</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delays, difficulties or increased costs to comply with COVID-19 protocols at our leased facilities and clinical sites;</w:t>
      </w:r>
    </w:p>
    <w:p>
      <w:pPr>
        <w:spacing w:after="0" w:line="107" w:lineRule="exact"/>
        <w:rPr>
          <w:rFonts w:ascii="Arial" w:cs="Arial" w:eastAsia="Arial" w:hAnsi="Arial"/>
          <w:sz w:val="25"/>
          <w:szCs w:val="25"/>
          <w:color w:val="auto"/>
          <w:vertAlign w:val="superscript"/>
        </w:rPr>
      </w:pPr>
    </w:p>
    <w:p>
      <w:pPr>
        <w:ind w:left="880" w:right="200" w:hanging="373"/>
        <w:spacing w:after="0" w:line="216" w:lineRule="auto"/>
        <w:tabs>
          <w:tab w:leader="none" w:pos="880" w:val="left"/>
        </w:tabs>
        <w:numPr>
          <w:ilvl w:val="0"/>
          <w:numId w:val="22"/>
        </w:numPr>
        <w:rPr>
          <w:rFonts w:ascii="Arial" w:cs="Arial" w:eastAsia="Arial" w:hAnsi="Arial"/>
          <w:sz w:val="25"/>
          <w:szCs w:val="25"/>
          <w:color w:val="231F20"/>
          <w:vertAlign w:val="superscript"/>
        </w:rPr>
      </w:pPr>
      <w:r>
        <w:rPr>
          <w:rFonts w:ascii="Arial" w:cs="Arial" w:eastAsia="Arial" w:hAnsi="Arial"/>
          <w:sz w:val="18"/>
          <w:szCs w:val="18"/>
          <w:color w:val="231F20"/>
        </w:rPr>
        <w:t>diversion of healthcare resources away from the conduct of clinical trials, including the diversion of hospitals that may serve as our potential clinical trial sites and hospital staff supporting the conduct of clinical trials;</w:t>
      </w:r>
    </w:p>
    <w:p>
      <w:pPr>
        <w:spacing w:after="0" w:line="94" w:lineRule="exact"/>
        <w:rPr>
          <w:rFonts w:ascii="Arial" w:cs="Arial" w:eastAsia="Arial" w:hAnsi="Arial"/>
          <w:sz w:val="25"/>
          <w:szCs w:val="25"/>
          <w:color w:val="231F20"/>
          <w:vertAlign w:val="superscript"/>
        </w:rPr>
      </w:pPr>
    </w:p>
    <w:p>
      <w:pPr>
        <w:ind w:left="880" w:hanging="373"/>
        <w:spacing w:after="0" w:line="216"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interruption of key clinical trial activities, such as clinical trial site monitoring, due to limitations on travel imposed or recommended by federal or state governments, employers and others;</w:t>
      </w:r>
    </w:p>
    <w:p>
      <w:pPr>
        <w:spacing w:after="0" w:line="94" w:lineRule="exact"/>
        <w:rPr>
          <w:rFonts w:ascii="Arial" w:cs="Arial" w:eastAsia="Arial" w:hAnsi="Arial"/>
          <w:sz w:val="25"/>
          <w:szCs w:val="25"/>
          <w:color w:val="auto"/>
          <w:vertAlign w:val="superscript"/>
        </w:rPr>
      </w:pPr>
    </w:p>
    <w:p>
      <w:pPr>
        <w:ind w:left="880" w:right="160" w:hanging="373"/>
        <w:spacing w:after="0" w:line="226"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delays in preclinical and clinical sites receiving the supplies and materials needed to conduct our planned clinical trials;</w:t>
      </w:r>
    </w:p>
    <w:p>
      <w:pPr>
        <w:spacing w:after="0" w:line="107" w:lineRule="exact"/>
        <w:rPr>
          <w:rFonts w:ascii="Arial" w:cs="Arial" w:eastAsia="Arial" w:hAnsi="Arial"/>
          <w:sz w:val="25"/>
          <w:szCs w:val="25"/>
          <w:color w:val="auto"/>
          <w:vertAlign w:val="superscript"/>
        </w:rPr>
      </w:pPr>
    </w:p>
    <w:p>
      <w:pPr>
        <w:ind w:left="880" w:right="320" w:hanging="373"/>
        <w:spacing w:after="0" w:line="216"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interruption in global shipping that may affect the transport of clinical trial materials, such as investigational drug product to be used in our clinical trials;</w:t>
      </w:r>
    </w:p>
    <w:p>
      <w:pPr>
        <w:spacing w:after="0" w:line="94" w:lineRule="exact"/>
        <w:rPr>
          <w:rFonts w:ascii="Arial" w:cs="Arial" w:eastAsia="Arial" w:hAnsi="Arial"/>
          <w:sz w:val="25"/>
          <w:szCs w:val="25"/>
          <w:color w:val="auto"/>
          <w:vertAlign w:val="superscript"/>
        </w:rPr>
      </w:pPr>
    </w:p>
    <w:p>
      <w:pPr>
        <w:ind w:left="880" w:right="220" w:hanging="373"/>
        <w:spacing w:after="0" w:line="216"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94" w:lineRule="exact"/>
        <w:rPr>
          <w:rFonts w:ascii="Arial" w:cs="Arial" w:eastAsia="Arial" w:hAnsi="Arial"/>
          <w:sz w:val="25"/>
          <w:szCs w:val="25"/>
          <w:color w:val="auto"/>
          <w:vertAlign w:val="superscript"/>
        </w:rPr>
      </w:pPr>
    </w:p>
    <w:p>
      <w:pPr>
        <w:ind w:left="880" w:hanging="373"/>
        <w:spacing w:after="0" w:line="216"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delays in necessary interactions with regulators, ethics committees and other important agencies and contractors due to limitations in employee resources or forced furlough of government or contractor personnel;</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refusal of the FDA to accept data from clinical trials in affected geographies outside the United States;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231F20"/>
        </w:rPr>
        <w:t>increased competition for CROs, contract development and manufacturing organizations (CDMOs), suppliers and vendors; and</w:t>
      </w:r>
    </w:p>
    <w:p>
      <w:pPr>
        <w:spacing w:after="0" w:line="107" w:lineRule="exact"/>
        <w:rPr>
          <w:rFonts w:ascii="Arial" w:cs="Arial" w:eastAsia="Arial" w:hAnsi="Arial"/>
          <w:sz w:val="25"/>
          <w:szCs w:val="25"/>
          <w:color w:val="auto"/>
          <w:vertAlign w:val="superscript"/>
        </w:rPr>
      </w:pPr>
    </w:p>
    <w:p>
      <w:pPr>
        <w:ind w:left="880" w:right="120" w:hanging="373"/>
        <w:spacing w:after="0" w:line="227" w:lineRule="auto"/>
        <w:tabs>
          <w:tab w:leader="none" w:pos="88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231F20"/>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243"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31F20"/>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211" w:lineRule="exact"/>
        <w:rPr>
          <w:sz w:val="20"/>
          <w:szCs w:val="20"/>
          <w:color w:val="auto"/>
        </w:rPr>
      </w:pPr>
    </w:p>
    <w:p>
      <w:pPr>
        <w:ind w:right="180" w:firstLine="510"/>
        <w:spacing w:after="0" w:line="289" w:lineRule="auto"/>
        <w:rPr>
          <w:sz w:val="20"/>
          <w:szCs w:val="20"/>
          <w:color w:val="auto"/>
        </w:rPr>
      </w:pPr>
      <w:r>
        <w:rPr>
          <w:rFonts w:ascii="Arial" w:cs="Arial" w:eastAsia="Arial" w:hAnsi="Arial"/>
          <w:sz w:val="16"/>
          <w:szCs w:val="16"/>
          <w:color w:val="231F20"/>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Additionally, certain preclinical studies are conducted by CROs, some of which were delayed as a result of the COVID-19 pandemic and which could be discontinued or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20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231F20"/>
        </w:rPr>
        <w:t>Three vaccines for COVID-19 have been granted Emergency Use Authorization by the FDA, and more are likely to be authorized in the coming months. The resultant demand for vaccines and potential for manufacturing facilities and materials to be commandeered under the Defense Production Act of 1950, or equivalent foreign legislation, has made it more difficult to obtain materials and manufacturing slots for our product candidates needed for our preclinical studies and clinical trials, which could lead to delays in these studies and trials.</w:t>
      </w:r>
    </w:p>
    <w:p>
      <w:pPr>
        <w:spacing w:after="0" w:line="22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231F20"/>
        </w:rPr>
        <w:t>The global outbreak of COVID-19 continues to rapidly evolve. The extent to which the COVID-19 pandemic impacts our business will depend on future developments such as the rate of the spread of the disease, travel restrictions and social distancing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2" w:right="359" w:bottom="1440" w:gutter="0" w:footer="0" w:header="0"/>
        </w:sectPr>
      </w:pPr>
    </w:p>
    <w:bookmarkStart w:id="35" w:name="page36"/>
    <w:bookmarkEnd w:id="35"/>
    <w:p>
      <w:pPr>
        <w:spacing w:after="0" w:line="273" w:lineRule="auto"/>
        <w:rPr>
          <w:sz w:val="20"/>
          <w:szCs w:val="20"/>
          <w:color w:val="auto"/>
        </w:rPr>
      </w:pPr>
      <w:r>
        <w:rPr>
          <w:rFonts w:ascii="Arial" w:cs="Arial" w:eastAsia="Arial" w:hAnsi="Arial"/>
          <w:sz w:val="17"/>
          <w:szCs w:val="17"/>
          <w:color w:val="231F20"/>
        </w:rPr>
        <w:t>the United States and other countries, business closures or business disruptions, supply of and demand for vaccines, and the effectiveness of actions taken in the United States and other countries to contain and treat the disease and to address its impact, including on financial markets or otherwise. Further, a lack of coordinated response on risk mitigation and vaccination deployment with respect to the COVID-19 pandemic could result in significant increases to the duration and severity of the pandemic and could have a corresponding negative impact on our business.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205"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231F20"/>
        </w:rPr>
        <w:t>To the extent the COVID-19 pandemic adversely affects our business, financial condition and operating results, it may also have the effect of heightening many of the risks described in this “Risk Factors” section.</w:t>
      </w:r>
    </w:p>
    <w:p>
      <w:pPr>
        <w:spacing w:after="0" w:line="35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231F20"/>
        </w:rPr>
        <w:t>Raising additional capital will cause dilution to our stockholders, restrict our operations or require us to relinquish rights to our technologies or product candidates.</w:t>
      </w:r>
    </w:p>
    <w:p>
      <w:pPr>
        <w:spacing w:after="0" w:line="76"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231F20"/>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221"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ability to utilize our net operating loss carryforwards and certain other tax attributes to offset future taxable income may be limited.</w:t>
      </w:r>
    </w:p>
    <w:p>
      <w:pPr>
        <w:spacing w:after="0" w:line="142"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231F20"/>
        </w:rPr>
        <w:t>Our net operating loss (NOL) carryforwards may be unavailable to offset future taxable income because of restrictions under U.S. tax law. Our NOLs generated in tax years ending on or prior to December 31, 2017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our current year taxable income. It is uncertain if and to what extent various states will conform to the Tax Act. As of December 31, 2020, we had available federal NOL carry forwards of approximately $78.5 million, of which $75.4 million do not expire.</w:t>
      </w:r>
    </w:p>
    <w:p>
      <w:pPr>
        <w:spacing w:after="0" w:line="193"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231F20"/>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 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As of December 31, 2020, a formal study was conducted and concluded that we experienced an ownership change during 2020. As a result, we have removed $3.1 million of deferred tax assets related to NOLs and research tax credit carryforwards due to Section 382 limitations. Our ability to utilize our remaining NOLs and certain other tax attributes could be further limited by a future “ownership change” as described above and consequently, we may not be able to utilize a material portion of our NOLs and certain other tax attributes, which could have a material adverse effect on our cash flows and results of operations.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231F20"/>
        </w:rPr>
        <w:t>Risks Related to the Discovery, Development, Manufacturing and Commercialization of Our Product Candidates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89"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231F20"/>
        </w:rPr>
        <w:t>We are very early in our development efforts. We have not initiated clinical trials for any of our programs. We do not have any products that are approved for commercial sale, and we may never be able to develop or commercialize marketable products. Before we generate any revenue from product sales, each of our programs and product candidates will require additional preclinical and clinical development, expansion of manufacturing capabilities and expertise, regulatory approval, building a commercial organization or successfully outsourcing commercialization, substantial investment and significant marketing efforts. We are not permitted to market or promote any product candidates before we receive approval from the FDA or comparable foreign regulatory authorities, and we many never receive such approval. Because our product candidates are in an early stage of development, there is a high risk of failure and we may never succeed in developing marketable products.</w:t>
      </w:r>
    </w:p>
    <w:p>
      <w:pPr>
        <w:spacing w:after="0" w:line="218"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231F20"/>
        </w:rPr>
        <w:t>If we do not successfully initiate and complete our planned clinical trials in a timely manner or fail to achieve favorable results from the trial, we may experience significant delays or other issues in advancing our programs. We cannot be certain that our clinical trials will be initiated and completed on time, if at all, or whether our planned clinical strategy will be acceptable to the FDA or comparable foreign regulatory authorities. 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studies and clinical trials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93"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w:t>
      </w:r>
    </w:p>
    <w:p>
      <w:pPr>
        <w:spacing w:after="0" w:line="5"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the successful and timely completion of our ongoing preclinical studies;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generating sufficient data to support the initiation or continuation of clinical trials;</w:t>
      </w:r>
    </w:p>
    <w:p>
      <w:pPr>
        <w:spacing w:after="0" w:line="107" w:lineRule="exact"/>
        <w:rPr>
          <w:rFonts w:ascii="Arial" w:cs="Arial" w:eastAsia="Arial" w:hAnsi="Arial"/>
          <w:sz w:val="25"/>
          <w:szCs w:val="25"/>
          <w:color w:val="auto"/>
          <w:vertAlign w:val="superscript"/>
        </w:rPr>
      </w:pPr>
    </w:p>
    <w:p>
      <w:pPr>
        <w:ind w:left="880" w:right="180" w:hanging="373"/>
        <w:spacing w:after="0" w:line="216"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addressing any delays, necessary adjustments and additional costs in preclinical studies and clinical trials resulting from factors related to the COVID-19 pandemic;</w:t>
      </w:r>
    </w:p>
    <w:p>
      <w:pPr>
        <w:spacing w:after="0" w:line="72"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231F20"/>
        </w:rPr>
        <w:t>submission of INDs or other regulatory applications for our planned clinical trials and authorizations from regulators to initiate clinical trials;</w:t>
      </w:r>
    </w:p>
    <w:p>
      <w:pPr>
        <w:spacing w:after="0" w:line="98" w:lineRule="exact"/>
        <w:rPr>
          <w:rFonts w:ascii="Arial" w:cs="Arial" w:eastAsia="Arial" w:hAnsi="Arial"/>
          <w:sz w:val="22"/>
          <w:szCs w:val="22"/>
          <w:color w:val="auto"/>
          <w:vertAlign w:val="superscript"/>
        </w:rPr>
      </w:pPr>
    </w:p>
    <w:p>
      <w:pPr>
        <w:ind w:left="880" w:hanging="373"/>
        <w:spacing w:after="0" w:line="199"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contracting with the necessary parties to conduct clinical trials;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successful enrollment in, and completion of, clinical trials on a timely basis;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achieving favorable results from clinical trials;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the timely manufacture of sufficient quantities of a product candidate for use in clinical trials and, if approved, commercialization;</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successful outputs from our capsid engineering and promotor and regulator elements efforts;</w:t>
      </w:r>
    </w:p>
    <w:p>
      <w:pPr>
        <w:spacing w:after="0" w:line="107" w:lineRule="exact"/>
        <w:rPr>
          <w:rFonts w:ascii="Arial" w:cs="Arial" w:eastAsia="Arial" w:hAnsi="Arial"/>
          <w:sz w:val="25"/>
          <w:szCs w:val="25"/>
          <w:color w:val="auto"/>
          <w:vertAlign w:val="superscript"/>
        </w:rPr>
      </w:pPr>
    </w:p>
    <w:p>
      <w:pPr>
        <w:ind w:left="880" w:right="720" w:hanging="373"/>
        <w:spacing w:after="0" w:line="216"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sufficiency of our financial and other resources to complete the necessary preclinical studies and clinical trials and commercialization activities;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the frequency and severity of adverse events in clinical trials;</w:t>
      </w:r>
    </w:p>
    <w:p>
      <w:pPr>
        <w:spacing w:after="0" w:line="107" w:lineRule="exact"/>
        <w:rPr>
          <w:rFonts w:ascii="Arial" w:cs="Arial" w:eastAsia="Arial" w:hAnsi="Arial"/>
          <w:sz w:val="25"/>
          <w:szCs w:val="25"/>
          <w:color w:val="auto"/>
          <w:vertAlign w:val="superscript"/>
        </w:rPr>
      </w:pPr>
    </w:p>
    <w:p>
      <w:pPr>
        <w:ind w:left="880" w:right="220" w:hanging="373"/>
        <w:spacing w:after="0" w:line="216"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demonstrating efficacy, safety and tolerability profiles that are satisfactory to the FDA, EMA or any comparable foreign regulatory authority for marketing approval;</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the timely receipt of marketing approvals from applicable regulatory authorities;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the extent of any required post-marketing approval commitments to applicable regulatory authorities;</w:t>
      </w:r>
    </w:p>
    <w:p>
      <w:pPr>
        <w:spacing w:after="0" w:line="107" w:lineRule="exact"/>
        <w:rPr>
          <w:rFonts w:ascii="Arial" w:cs="Arial" w:eastAsia="Arial" w:hAnsi="Arial"/>
          <w:sz w:val="25"/>
          <w:szCs w:val="25"/>
          <w:color w:val="auto"/>
          <w:vertAlign w:val="superscript"/>
        </w:rPr>
      </w:pPr>
    </w:p>
    <w:p>
      <w:pPr>
        <w:ind w:left="880" w:right="440" w:hanging="373"/>
        <w:spacing w:after="0" w:line="216"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operational, technical and clinical development challenges associated with pediatric indications that we may pursue, including challenges associated with recruiting and enrolling eligible pediatric patients in clinical trials;</w:t>
      </w:r>
    </w:p>
    <w:p>
      <w:pPr>
        <w:spacing w:after="0" w:line="94" w:lineRule="exact"/>
        <w:rPr>
          <w:rFonts w:ascii="Arial" w:cs="Arial" w:eastAsia="Arial" w:hAnsi="Arial"/>
          <w:sz w:val="25"/>
          <w:szCs w:val="25"/>
          <w:color w:val="auto"/>
          <w:vertAlign w:val="superscript"/>
        </w:rPr>
      </w:pPr>
    </w:p>
    <w:p>
      <w:pPr>
        <w:ind w:left="880" w:right="100" w:hanging="373"/>
        <w:spacing w:after="0" w:line="226" w:lineRule="auto"/>
        <w:tabs>
          <w:tab w:leader="none" w:pos="8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231F20"/>
        </w:rPr>
        <w:t>additional clinical trials and other requirements imposed by regulatory authorities for expanding drug labeling to include pediatric populations or for approval a pediatric product candidate, including formulation changes, additional bridging studies, manufacturing changes, dosage and administration changes, among others;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37" w:name="page38"/>
    <w:bookmarkEnd w:id="37"/>
    <w:p>
      <w:pPr>
        <w:ind w:left="880" w:right="300" w:hanging="373"/>
        <w:spacing w:after="0" w:line="216"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the maintenance of existing or the establishment of new supply arrangements with third-party drug product suppliers and manufacturers for clinical development and, if approved, commercialization;</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maintaining consistent quality, purity, and potency across clinical supplies and commercial supplies for any approved products;</w:t>
      </w:r>
    </w:p>
    <w:p>
      <w:pPr>
        <w:spacing w:after="0" w:line="107" w:lineRule="exact"/>
        <w:rPr>
          <w:rFonts w:ascii="Arial" w:cs="Arial" w:eastAsia="Arial" w:hAnsi="Arial"/>
          <w:sz w:val="25"/>
          <w:szCs w:val="25"/>
          <w:color w:val="auto"/>
          <w:vertAlign w:val="superscript"/>
        </w:rPr>
      </w:pPr>
    </w:p>
    <w:p>
      <w:pPr>
        <w:ind w:left="880" w:right="500" w:hanging="373"/>
        <w:spacing w:after="0" w:line="216"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obtaining and maintaining patent and other intellectual property protection, trade secret protection and regulatory exclusivity, both in the United States and internationally;</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protecting, enforcing and defending our rights in our intellectual property portfolio;</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our ability to expand into multiple indications;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the successful launch of commercial sales following any marketing approval;</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a continued acceptable safety profile and sustained therapeutic effect of our therapies following any marketing approval;</w:t>
      </w:r>
    </w:p>
    <w:p>
      <w:pPr>
        <w:spacing w:after="0" w:line="107"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the actual market-size, ability to identify patients and the demographics of patients eligible for our product candidates, which may be different than expected;</w:t>
      </w:r>
    </w:p>
    <w:p>
      <w:pPr>
        <w:spacing w:after="0" w:line="94" w:lineRule="exact"/>
        <w:rPr>
          <w:rFonts w:ascii="Arial" w:cs="Arial" w:eastAsia="Arial" w:hAnsi="Arial"/>
          <w:sz w:val="25"/>
          <w:szCs w:val="25"/>
          <w:color w:val="auto"/>
          <w:vertAlign w:val="superscript"/>
        </w:rPr>
      </w:pPr>
    </w:p>
    <w:p>
      <w:pPr>
        <w:ind w:left="880" w:right="160" w:hanging="373"/>
        <w:spacing w:after="0" w:line="216" w:lineRule="auto"/>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commercial acceptance by patients, the medical community and third-party payors, particularly since the product candidates we develop may be novel;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231F20"/>
        </w:rPr>
        <w:t>our ability to compete with other therapies.</w:t>
      </w:r>
    </w:p>
    <w:p>
      <w:pPr>
        <w:spacing w:after="0" w:line="242"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231F20"/>
        </w:rPr>
        <w:t>We do not have control over many of these factors, including certain aspects of preclinical and clinical development and the regulatory submission process and potential threats to our intellectual property rights. If we are not successful with respect to one or more of these factors in a timely manner or at all, we could experience significant delays or an inability to successfully commercialize our product candidates, which would materially harm our business.</w:t>
      </w:r>
    </w:p>
    <w:p>
      <w:pPr>
        <w:spacing w:after="0" w:line="176"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231F20"/>
        </w:rPr>
        <w:t>To become and remain profitable, we must develop, obtain approval for and eventually commercialize products candidates, if approved, that generate significant revenue. We do not expect to receive approval of any product candidates for many years and may never succeed in these activities. In addition, it is not uncommon for product candidates to exhibit unforeseen safety issues or inadequate efficacy when tested in humans despite promising results in preclinical animal models,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21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231F20"/>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214" w:lineRule="exact"/>
        <w:rPr>
          <w:sz w:val="20"/>
          <w:szCs w:val="20"/>
          <w:color w:val="auto"/>
        </w:rPr>
      </w:pPr>
    </w:p>
    <w:p>
      <w:pPr>
        <w:jc w:val="both"/>
        <w:ind w:right="540" w:firstLine="510"/>
        <w:spacing w:after="0" w:line="311" w:lineRule="auto"/>
        <w:rPr>
          <w:sz w:val="20"/>
          <w:szCs w:val="20"/>
          <w:color w:val="auto"/>
        </w:rPr>
      </w:pPr>
      <w:r>
        <w:rPr>
          <w:rFonts w:ascii="Arial" w:cs="Arial" w:eastAsia="Arial" w:hAnsi="Arial"/>
          <w:sz w:val="16"/>
          <w:szCs w:val="16"/>
          <w:color w:val="231F20"/>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29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7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188"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231F20"/>
        </w:rPr>
        <w:t>To date, only three products that utilize AAV-mediated gene transfer have been approved in the United States or Europe, including Novartis Pharmaceuticals’ Zolgensma (developed by AveXis), Roche’s Luxturna (developed by Spark Therapeutics), and uniQure’s Glybera. No AAV-based gene therapies have yet been approved for the heart, much less therapies for the heart using novel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40"/>
        <w:spacing w:after="0" w:line="277" w:lineRule="auto"/>
        <w:rPr>
          <w:sz w:val="20"/>
          <w:szCs w:val="20"/>
          <w:color w:val="auto"/>
        </w:rPr>
      </w:pPr>
      <w:r>
        <w:rPr>
          <w:rFonts w:ascii="Arial" w:cs="Arial" w:eastAsia="Arial" w:hAnsi="Arial"/>
          <w:sz w:val="18"/>
          <w:szCs w:val="18"/>
          <w:color w:val="231F20"/>
        </w:rPr>
        <w:t>capsids or promoters or delivery methods. It is therefore difficult to determine how long it will take or how much it will cost to obtain regulatory approvals for our product candidates in the United States, the European Union or other jurisdictions.</w:t>
      </w:r>
    </w:p>
    <w:p>
      <w:pPr>
        <w:spacing w:after="0" w:line="19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The regulatory requirements that will govern any novel gene therapy product candidates we develop are not entirely clear, have changed over time and are subject to further change. Within the broader genetic medicine field, very few therapeutic products have received marketing authorization from the FDA, the EMA or comparable foreign regulatory authorities.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209"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231F20"/>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20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231F20"/>
        </w:rPr>
        <w:t>The same applies in the European Union. The EMA’s Committee for Advanced Therapies (CAT) is responsible for assessing the quality, safety, and efficacy of advanced-therapy medicinal products. Advanced- 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93"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231F20"/>
        </w:rPr>
        <w:t>Approvals by the EMA may not be indicative of what the FDA may require for approval. Delay or failure to obtain, or unexpected costs in obtaining, the regulatory approvals necessary to bring a potential product to market could decrease our ability to generate sufficient product revenue and our business, financial condition, results of operations and prospects could be materially harmed.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right="40" w:firstLine="510"/>
        <w:spacing w:after="0" w:line="286" w:lineRule="auto"/>
        <w:rPr>
          <w:sz w:val="20"/>
          <w:szCs w:val="20"/>
          <w:color w:val="auto"/>
        </w:rPr>
      </w:pPr>
      <w:r>
        <w:rPr>
          <w:rFonts w:ascii="Arial" w:cs="Arial" w:eastAsia="Arial" w:hAnsi="Arial"/>
          <w:sz w:val="16"/>
          <w:szCs w:val="16"/>
          <w:color w:val="231F20"/>
        </w:rPr>
        <w:t>Adverse developments in preclinical studies or clinical trials conducted by others in the field of gene therapy and gene regulation products may cause the FDA, the EMA, and other regulatory bodies to revise the requirements for the conduct of the clinical studies and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194"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3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The mechanisms of action of our product candidates are unproven, and we do not know whether we will be able to develop any drug of commercial value.</w:t>
      </w:r>
    </w:p>
    <w:p>
      <w:pPr>
        <w:spacing w:after="0" w:line="7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have seen for our compounds in preclinical models may not translate into similar results in humans, and results of early clinical trials in humans may not be predictive of the results of larger clinical trials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19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38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b w:val="1"/>
          <w:bCs w:val="1"/>
          <w:i w:val="1"/>
          <w:iCs w:val="1"/>
          <w:color w:val="231F20"/>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40" w:name="page41"/>
    <w:bookmarkEnd w:id="40"/>
    <w:p>
      <w:pPr>
        <w:ind w:right="460"/>
        <w:spacing w:after="0" w:line="277" w:lineRule="auto"/>
        <w:rPr>
          <w:sz w:val="20"/>
          <w:szCs w:val="20"/>
          <w:color w:val="auto"/>
        </w:rPr>
      </w:pPr>
      <w:r>
        <w:rPr>
          <w:rFonts w:ascii="Arial" w:cs="Arial" w:eastAsia="Arial" w:hAnsi="Arial"/>
          <w:sz w:val="18"/>
          <w:szCs w:val="18"/>
          <w:b w:val="1"/>
          <w:bCs w:val="1"/>
          <w:i w:val="1"/>
          <w:iCs w:val="1"/>
          <w:color w:val="231F20"/>
        </w:rPr>
        <w:t>may not be predictive of future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231F20"/>
        </w:rPr>
        <w:t>It is impossible to predict when or if any product candidate that we develop will prove effective or safe in humans or will receive marketing approval. 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w:t>
      </w:r>
    </w:p>
    <w:p>
      <w:pPr>
        <w:spacing w:after="0" w:line="214"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231F20"/>
        </w:rPr>
        <w:t>Clinical testing is expensive, difficult to design and implement, can take many years to complete and its ultimate outcome is uncertain. We cannot guarantee that any of our clinical trials will be conducted as planned or completed on schedule, or at all. Clinical trials can fail at any stage of testing and failure may result from a multitude of factors, including, among other things, flaws in study design, dose selection issues, placebo effects, patient enrollment criteria and failure to demonstrate favorable safety or efficacy traits.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clinical trials that we conduct will demonstrate consistent or adequate efficacy and safety to support marketing approval.</w:t>
      </w:r>
    </w:p>
    <w:p>
      <w:pPr>
        <w:spacing w:after="0" w:line="193"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studies, such as bridging studies and additional safety studies, before we can commence our clinical trials in pediatric populations. Any delays in our planned clinical development activities for pediatric patients could have an adverse effect on our business operations.</w:t>
      </w:r>
    </w:p>
    <w:p>
      <w:pPr>
        <w:spacing w:after="0" w:line="21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195"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231F20"/>
        </w:rPr>
        <w:t>To date, we have not initiated or completed any clinical trials required for the approval of our product candidates. We may experience numerous unforeseen events during, or as a result of, preclinical studies or clinical trials that could delay or prevent receipt of marketing approval or our ability to commercialize our product candidates, including:</w:t>
      </w:r>
    </w:p>
    <w:p>
      <w:pPr>
        <w:spacing w:after="0" w:line="32"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 xml:space="preserve">inability to generate sufficient preclinical, toxicology, or other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or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data to support the initiation of clinical trials;</w:t>
      </w:r>
    </w:p>
    <w:p>
      <w:pPr>
        <w:spacing w:after="0" w:line="107" w:lineRule="exact"/>
        <w:rPr>
          <w:rFonts w:ascii="Arial" w:cs="Arial" w:eastAsia="Arial" w:hAnsi="Arial"/>
          <w:sz w:val="25"/>
          <w:szCs w:val="25"/>
          <w:color w:val="auto"/>
          <w:vertAlign w:val="superscript"/>
        </w:rPr>
      </w:pPr>
    </w:p>
    <w:p>
      <w:pPr>
        <w:ind w:left="880" w:right="440" w:hanging="373"/>
        <w:spacing w:after="0" w:line="216"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delays in sufficiently developing, characterizing or controlling a manufacturing process suitable for advanced clinical trials, including our natural history studies;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receipt of feedback from regulatory authorities that requires us to modify the design of our clinical trials;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clinical trial observations or results that require us to modify the design of our clinical trials;</w:t>
      </w:r>
    </w:p>
    <w:p>
      <w:pPr>
        <w:spacing w:after="0" w:line="107" w:lineRule="exact"/>
        <w:rPr>
          <w:rFonts w:ascii="Arial" w:cs="Arial" w:eastAsia="Arial" w:hAnsi="Arial"/>
          <w:sz w:val="25"/>
          <w:szCs w:val="25"/>
          <w:color w:val="auto"/>
          <w:vertAlign w:val="superscript"/>
        </w:rPr>
      </w:pPr>
    </w:p>
    <w:p>
      <w:pPr>
        <w:ind w:left="880" w:right="460" w:hanging="373"/>
        <w:spacing w:after="0" w:line="216" w:lineRule="auto"/>
        <w:tabs>
          <w:tab w:leader="none" w:pos="8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231F20"/>
        </w:rPr>
        <w:t>negative or inconclusive clinical trial results that may require us to conduct additional clinical trials or abandon certain drug development programs;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left="880" w:hanging="373"/>
        <w:spacing w:after="0"/>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obtaining approval from one or more IRBs;</w:t>
      </w:r>
    </w:p>
    <w:p>
      <w:pPr>
        <w:spacing w:after="0" w:line="107" w:lineRule="exact"/>
        <w:rPr>
          <w:rFonts w:ascii="Arial" w:cs="Arial" w:eastAsia="Arial" w:hAnsi="Arial"/>
          <w:sz w:val="25"/>
          <w:szCs w:val="25"/>
          <w:color w:val="auto"/>
          <w:vertAlign w:val="superscript"/>
        </w:rPr>
      </w:pPr>
    </w:p>
    <w:p>
      <w:pPr>
        <w:ind w:left="880" w:right="120" w:hanging="373"/>
        <w:spacing w:after="0" w:line="216"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94" w:lineRule="exact"/>
        <w:rPr>
          <w:rFonts w:ascii="Arial" w:cs="Arial" w:eastAsia="Arial" w:hAnsi="Arial"/>
          <w:sz w:val="25"/>
          <w:szCs w:val="25"/>
          <w:color w:val="auto"/>
          <w:vertAlign w:val="superscript"/>
        </w:rPr>
      </w:pPr>
    </w:p>
    <w:p>
      <w:pPr>
        <w:ind w:left="880" w:right="60" w:hanging="373"/>
        <w:spacing w:after="0" w:line="216"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94" w:lineRule="exact"/>
        <w:rPr>
          <w:rFonts w:ascii="Arial" w:cs="Arial" w:eastAsia="Arial" w:hAnsi="Arial"/>
          <w:sz w:val="25"/>
          <w:szCs w:val="25"/>
          <w:color w:val="auto"/>
          <w:vertAlign w:val="superscript"/>
        </w:rPr>
      </w:pPr>
    </w:p>
    <w:p>
      <w:pPr>
        <w:ind w:left="880" w:hanging="373"/>
        <w:spacing w:after="0" w:line="216"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changes to clinical trial protocol;</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clinical sites deviating from trial protocol or dropping out of a trial;</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the cost of clinical trials of our product candidates being greater than anticipated;</w:t>
      </w:r>
    </w:p>
    <w:p>
      <w:pPr>
        <w:spacing w:after="0" w:line="107" w:lineRule="exact"/>
        <w:rPr>
          <w:rFonts w:ascii="Arial" w:cs="Arial" w:eastAsia="Arial" w:hAnsi="Arial"/>
          <w:sz w:val="25"/>
          <w:szCs w:val="25"/>
          <w:color w:val="auto"/>
          <w:vertAlign w:val="superscript"/>
        </w:rPr>
      </w:pPr>
    </w:p>
    <w:p>
      <w:pPr>
        <w:ind w:left="880" w:right="780" w:hanging="373"/>
        <w:spacing w:after="0" w:line="216"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the supply or quality of our product candidates or other materials necessary to conduct clinical trials of our product candidates being insufficient or inadequate;</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subjects experiencing severe or unexpected drug-related adverse effects;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07" w:lineRule="exact"/>
        <w:rPr>
          <w:rFonts w:ascii="Arial" w:cs="Arial" w:eastAsia="Arial" w:hAnsi="Arial"/>
          <w:sz w:val="25"/>
          <w:szCs w:val="25"/>
          <w:color w:val="auto"/>
          <w:vertAlign w:val="superscript"/>
        </w:rPr>
      </w:pPr>
    </w:p>
    <w:p>
      <w:pPr>
        <w:ind w:left="880" w:right="240" w:hanging="373"/>
        <w:spacing w:after="0" w:line="238" w:lineRule="auto"/>
        <w:tabs>
          <w:tab w:leader="none" w:pos="88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231F20"/>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37" w:lineRule="exact"/>
        <w:rPr>
          <w:rFonts w:ascii="Arial" w:cs="Arial" w:eastAsia="Arial" w:hAnsi="Arial"/>
          <w:sz w:val="24"/>
          <w:szCs w:val="24"/>
          <w:color w:val="auto"/>
          <w:vertAlign w:val="superscript"/>
        </w:rPr>
      </w:pPr>
    </w:p>
    <w:p>
      <w:pPr>
        <w:ind w:left="880" w:hanging="373"/>
        <w:spacing w:after="0"/>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any changes to our manufacturing process that may be necessary or desired;</w:t>
      </w:r>
    </w:p>
    <w:p>
      <w:pPr>
        <w:spacing w:after="0" w:line="107" w:lineRule="exact"/>
        <w:rPr>
          <w:rFonts w:ascii="Arial" w:cs="Arial" w:eastAsia="Arial" w:hAnsi="Arial"/>
          <w:sz w:val="25"/>
          <w:szCs w:val="25"/>
          <w:color w:val="auto"/>
          <w:vertAlign w:val="superscript"/>
        </w:rPr>
      </w:pPr>
    </w:p>
    <w:p>
      <w:pPr>
        <w:ind w:left="880" w:right="80" w:hanging="373"/>
        <w:spacing w:after="0" w:line="227" w:lineRule="auto"/>
        <w:tabs>
          <w:tab w:leader="none" w:pos="88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36" w:lineRule="exact"/>
        <w:rPr>
          <w:rFonts w:ascii="Arial" w:cs="Arial" w:eastAsia="Arial" w:hAnsi="Arial"/>
          <w:sz w:val="24"/>
          <w:szCs w:val="24"/>
          <w:color w:val="auto"/>
          <w:vertAlign w:val="superscript"/>
        </w:rPr>
      </w:pPr>
    </w:p>
    <w:p>
      <w:pPr>
        <w:ind w:left="880" w:hanging="373"/>
        <w:spacing w:after="0"/>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third-party contractors not performing data collection or analysis in a timely or accurate manner;</w:t>
      </w:r>
    </w:p>
    <w:p>
      <w:pPr>
        <w:spacing w:after="0" w:line="107" w:lineRule="exact"/>
        <w:rPr>
          <w:rFonts w:ascii="Arial" w:cs="Arial" w:eastAsia="Arial" w:hAnsi="Arial"/>
          <w:sz w:val="25"/>
          <w:szCs w:val="25"/>
          <w:color w:val="auto"/>
          <w:vertAlign w:val="superscript"/>
        </w:rPr>
      </w:pPr>
    </w:p>
    <w:p>
      <w:pPr>
        <w:jc w:val="both"/>
        <w:ind w:left="880" w:right="120" w:hanging="373"/>
        <w:spacing w:after="0" w:line="226"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regulators revising the requirements for approving our product candidates;</w:t>
      </w:r>
    </w:p>
    <w:p>
      <w:pPr>
        <w:spacing w:after="0" w:line="98" w:lineRule="exact"/>
        <w:rPr>
          <w:rFonts w:ascii="Arial" w:cs="Arial" w:eastAsia="Arial" w:hAnsi="Arial"/>
          <w:sz w:val="25"/>
          <w:szCs w:val="25"/>
          <w:color w:val="auto"/>
          <w:vertAlign w:val="superscript"/>
        </w:rPr>
      </w:pPr>
    </w:p>
    <w:p>
      <w:pPr>
        <w:ind w:left="880" w:hanging="373"/>
        <w:spacing w:after="0" w:line="207" w:lineRule="auto"/>
        <w:tabs>
          <w:tab w:leader="none" w:pos="88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231F20"/>
        </w:rPr>
        <w:t>absence in some countries of established groups with sufficient regulatory expertise for review of AAV gene therapy protocols; and</w:t>
      </w:r>
    </w:p>
    <w:p>
      <w:pPr>
        <w:spacing w:after="0" w:line="108" w:lineRule="exact"/>
        <w:rPr>
          <w:rFonts w:ascii="Arial" w:cs="Arial" w:eastAsia="Arial" w:hAnsi="Arial"/>
          <w:sz w:val="24"/>
          <w:szCs w:val="24"/>
          <w:color w:val="auto"/>
          <w:vertAlign w:val="superscript"/>
        </w:rPr>
      </w:pPr>
    </w:p>
    <w:p>
      <w:pPr>
        <w:ind w:left="880" w:right="240" w:hanging="373"/>
        <w:spacing w:after="0" w:line="216" w:lineRule="auto"/>
        <w:tabs>
          <w:tab w:leader="none" w:pos="8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230"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231F20"/>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203"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2" w:right="379" w:bottom="1440" w:gutter="0" w:footer="0" w:header="0"/>
        </w:sectPr>
      </w:pPr>
    </w:p>
    <w:bookmarkStart w:id="42" w:name="page43"/>
    <w:bookmarkEnd w:id="42"/>
    <w:p>
      <w:pPr>
        <w:ind w:right="40" w:firstLine="510"/>
        <w:spacing w:after="0" w:line="272" w:lineRule="auto"/>
        <w:rPr>
          <w:sz w:val="20"/>
          <w:szCs w:val="20"/>
          <w:color w:val="auto"/>
        </w:rPr>
      </w:pPr>
      <w:r>
        <w:rPr>
          <w:rFonts w:ascii="Arial" w:cs="Arial" w:eastAsia="Arial" w:hAnsi="Arial"/>
          <w:sz w:val="17"/>
          <w:szCs w:val="17"/>
          <w:color w:val="231F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which could result in increased costs and expenses and/or delays. Any delays in completing our clinical trials will increase our costs, slow down our product candidate development and approval process and jeopardize our ability to commence product sales and generate revenues.</w:t>
      </w:r>
    </w:p>
    <w:p>
      <w:pPr>
        <w:spacing w:after="0" w:line="20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37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89" w:lineRule="exact"/>
        <w:rPr>
          <w:sz w:val="20"/>
          <w:szCs w:val="20"/>
          <w:color w:val="auto"/>
        </w:rPr>
      </w:pPr>
    </w:p>
    <w:p>
      <w:pPr>
        <w:ind w:right="140" w:firstLine="510"/>
        <w:spacing w:after="0" w:line="290" w:lineRule="auto"/>
        <w:rPr>
          <w:sz w:val="20"/>
          <w:szCs w:val="20"/>
          <w:color w:val="auto"/>
        </w:rPr>
      </w:pPr>
      <w:r>
        <w:rPr>
          <w:rFonts w:ascii="Arial" w:cs="Arial" w:eastAsia="Arial" w:hAnsi="Arial"/>
          <w:sz w:val="16"/>
          <w:szCs w:val="16"/>
          <w:color w:val="231F20"/>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19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Patients in our planned clinical trials may in the future suffer other serious adverse events or other side effects not observed in our preclinical studies or previous clinical trials. Patients treated with our other product candidates may also be undergoing other therapies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w:t>
      </w:r>
    </w:p>
    <w:p>
      <w:pPr>
        <w:spacing w:after="0" w:line="205"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231F20"/>
        </w:rPr>
        <w:t>If further serious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35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5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3" w:name="page44"/>
    <w:bookmarkEnd w:id="43"/>
    <w:p>
      <w:pPr>
        <w:ind w:right="60"/>
        <w:spacing w:after="0" w:line="255" w:lineRule="auto"/>
        <w:rPr>
          <w:sz w:val="20"/>
          <w:szCs w:val="20"/>
          <w:color w:val="auto"/>
        </w:rPr>
      </w:pPr>
      <w:r>
        <w:rPr>
          <w:rFonts w:ascii="Arial" w:cs="Arial" w:eastAsia="Arial" w:hAnsi="Arial"/>
          <w:sz w:val="18"/>
          <w:szCs w:val="18"/>
          <w:color w:val="231F20"/>
        </w:rPr>
        <w:t>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21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9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231F20"/>
        </w:rPr>
        <w:t>We do not know whether any clinical trials we may conduct will demonstrate consistent or adequate efficacy and safety sufficient to obtain approval to market any of our product candidates.</w:t>
      </w:r>
    </w:p>
    <w:p>
      <w:pPr>
        <w:spacing w:after="0" w:line="35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76"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231F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w:t>
      </w:r>
    </w:p>
    <w:p>
      <w:pPr>
        <w:spacing w:after="0" w:line="214" w:lineRule="exact"/>
        <w:rPr>
          <w:sz w:val="20"/>
          <w:szCs w:val="20"/>
          <w:color w:val="auto"/>
        </w:rPr>
      </w:pPr>
    </w:p>
    <w:p>
      <w:pPr>
        <w:jc w:val="both"/>
        <w:ind w:right="220" w:firstLine="510"/>
        <w:spacing w:after="0" w:line="279" w:lineRule="auto"/>
        <w:rPr>
          <w:sz w:val="20"/>
          <w:szCs w:val="20"/>
          <w:color w:val="auto"/>
        </w:rPr>
      </w:pPr>
      <w:r>
        <w:rPr>
          <w:rFonts w:ascii="Arial" w:cs="Arial" w:eastAsia="Arial" w:hAnsi="Arial"/>
          <w:sz w:val="17"/>
          <w:szCs w:val="17"/>
          <w:color w:val="231F20"/>
        </w:rPr>
        <w:t>We may experience delays if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19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spacing w:after="0" w:line="215"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231F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current or any future clinical trials may be affected by other factors, including:</w:t>
      </w:r>
    </w:p>
    <w:p>
      <w:pPr>
        <w:spacing w:after="0" w:line="14"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size and nature of the patient population;</w:t>
      </w:r>
    </w:p>
    <w:p>
      <w:pPr>
        <w:spacing w:after="0" w:line="107" w:lineRule="exact"/>
        <w:rPr>
          <w:rFonts w:ascii="Arial" w:cs="Arial" w:eastAsia="Arial" w:hAnsi="Arial"/>
          <w:sz w:val="25"/>
          <w:szCs w:val="25"/>
          <w:color w:val="auto"/>
          <w:vertAlign w:val="superscript"/>
        </w:rPr>
      </w:pPr>
    </w:p>
    <w:p>
      <w:pPr>
        <w:ind w:left="880" w:right="280" w:hanging="373"/>
        <w:spacing w:after="0" w:line="262" w:lineRule="auto"/>
        <w:tabs>
          <w:tab w:leader="none" w:pos="88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231F20"/>
        </w:rPr>
        <w:t>challenges associated with recruiting pediatric patient population, including, but not limited to, identifying clinical sites that are qualified to participate in pediatric clinical trials, smaller number of eligible pediatric patients who are interested in participating within the target age groups, or under- diagnosis or challenges associated with diagnosing pediatric populations with the applicable target disease or condition;</w:t>
      </w:r>
    </w:p>
    <w:p>
      <w:pPr>
        <w:spacing w:after="0" w:line="21" w:lineRule="exact"/>
        <w:rPr>
          <w:rFonts w:ascii="Arial" w:cs="Arial" w:eastAsia="Arial" w:hAnsi="Arial"/>
          <w:sz w:val="22"/>
          <w:szCs w:val="22"/>
          <w:color w:val="auto"/>
          <w:vertAlign w:val="superscript"/>
        </w:rPr>
      </w:pPr>
    </w:p>
    <w:p>
      <w:pPr>
        <w:ind w:left="880" w:hanging="373"/>
        <w:spacing w:after="0"/>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perceived risks and benefits of novel, unproven approaches;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severity of the disease under investigation;</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availability and efficacy of approved drugs for the disease under investigation;</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7"/>
        </w:numPr>
        <w:rPr>
          <w:rFonts w:ascii="Arial" w:cs="Arial" w:eastAsia="Arial" w:hAnsi="Arial"/>
          <w:sz w:val="25"/>
          <w:szCs w:val="25"/>
          <w:color w:val="231F20"/>
          <w:vertAlign w:val="superscript"/>
        </w:rPr>
      </w:pPr>
      <w:r>
        <w:rPr>
          <w:rFonts w:ascii="Arial" w:cs="Arial" w:eastAsia="Arial" w:hAnsi="Arial"/>
          <w:sz w:val="18"/>
          <w:szCs w:val="18"/>
          <w:color w:val="231F20"/>
        </w:rPr>
        <w:t>patient eligibility criteria for the trial in question as defined in the protocol;</w:t>
      </w:r>
    </w:p>
    <w:p>
      <w:pPr>
        <w:spacing w:after="0" w:line="99" w:lineRule="exact"/>
        <w:rPr>
          <w:rFonts w:ascii="Arial" w:cs="Arial" w:eastAsia="Arial" w:hAnsi="Arial"/>
          <w:sz w:val="25"/>
          <w:szCs w:val="25"/>
          <w:color w:val="231F20"/>
          <w:vertAlign w:val="superscript"/>
        </w:rPr>
      </w:pPr>
    </w:p>
    <w:p>
      <w:pPr>
        <w:ind w:left="880" w:hanging="373"/>
        <w:spacing w:after="0" w:line="199" w:lineRule="auto"/>
        <w:tabs>
          <w:tab w:leader="none" w:pos="8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231F20"/>
        </w:rPr>
        <w:t>perceived risks and benefits of the product candidate under study;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 w:name="page45"/>
    <w:bookmarkEnd w:id="44"/>
    <w:p>
      <w:pPr>
        <w:jc w:val="both"/>
        <w:ind w:left="880" w:right="700" w:hanging="373"/>
        <w:spacing w:after="0" w:line="226" w:lineRule="auto"/>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patient referral practices of physicians;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the ability to monitor patients adequately during and after treatment;</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the activities of key opinion leaders (KOLs) and patient advocacy groups;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proximity and availability of clinical trial sites for prospective patients; and</w:t>
      </w:r>
    </w:p>
    <w:p>
      <w:pPr>
        <w:spacing w:after="0" w:line="107" w:lineRule="exact"/>
        <w:rPr>
          <w:rFonts w:ascii="Arial" w:cs="Arial" w:eastAsia="Arial" w:hAnsi="Arial"/>
          <w:sz w:val="25"/>
          <w:szCs w:val="25"/>
          <w:color w:val="auto"/>
          <w:vertAlign w:val="superscript"/>
        </w:rPr>
      </w:pPr>
    </w:p>
    <w:p>
      <w:pPr>
        <w:ind w:left="880" w:right="60" w:hanging="373"/>
        <w:spacing w:after="0" w:line="216" w:lineRule="auto"/>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231F20"/>
        </w:rPr>
        <w:t>the risk that patients enrolled in clinical trials will drop out of the trials before completion or, because they may have an advanced disease, will not survive the full terms of the clinical trials.</w:t>
      </w:r>
    </w:p>
    <w:p>
      <w:pPr>
        <w:spacing w:after="0" w:line="230"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3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9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231F20"/>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36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2"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21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45" w:name="page46"/>
    <w:bookmarkEnd w:id="45"/>
    <w:p>
      <w:pPr>
        <w:ind w:right="500" w:firstLine="510"/>
        <w:spacing w:after="0" w:line="277" w:lineRule="auto"/>
        <w:rPr>
          <w:sz w:val="20"/>
          <w:szCs w:val="20"/>
          <w:color w:val="auto"/>
        </w:rPr>
      </w:pPr>
      <w:r>
        <w:rPr>
          <w:rFonts w:ascii="Arial" w:cs="Arial" w:eastAsia="Arial" w:hAnsi="Arial"/>
          <w:sz w:val="18"/>
          <w:szCs w:val="18"/>
          <w:color w:val="231F20"/>
        </w:rPr>
        <w:t>We expect to face competition from existing products and products in development for each of our programs. We anticipate substantial direct competition from a variety of competitors, including:</w:t>
      </w:r>
    </w:p>
    <w:p>
      <w:pPr>
        <w:spacing w:after="0" w:line="76" w:lineRule="exact"/>
        <w:rPr>
          <w:sz w:val="20"/>
          <w:szCs w:val="20"/>
          <w:color w:val="auto"/>
        </w:rPr>
      </w:pPr>
    </w:p>
    <w:p>
      <w:pPr>
        <w:ind w:left="880" w:hanging="373"/>
        <w:spacing w:after="0" w:line="226"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General cardiovascular drug development: Companies known to have approved product and active drug development efforts for cardiovascular disease include but are not limited to AstraZeneca, Bayer, Bristol Myers Squibb, Cytokinetics, Eli Lilly, Johnson &amp; Johnson/Janssen, Maze Therapeutics, Merck, Novartis, and Novo Nordisk;</w:t>
      </w:r>
    </w:p>
    <w:p>
      <w:pPr>
        <w:spacing w:after="0" w:line="95" w:lineRule="exact"/>
        <w:rPr>
          <w:rFonts w:ascii="Arial" w:cs="Arial" w:eastAsia="Arial" w:hAnsi="Arial"/>
          <w:sz w:val="25"/>
          <w:szCs w:val="25"/>
          <w:color w:val="auto"/>
          <w:vertAlign w:val="superscript"/>
        </w:rPr>
      </w:pPr>
    </w:p>
    <w:p>
      <w:pPr>
        <w:ind w:left="880" w:right="200" w:hanging="373"/>
        <w:spacing w:after="0" w:line="226"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Gene Therapy platform: Companies known to be pursuing gene therapy approaches for the heart include but are not limited to 4D Molecular Therapeutics, Bayer, Bristol Myers Squibb, BioMarin Pharmaceutical, DiNAQOR, Nuevocor, Precigen, Renova Therapeutics, Renovacor, Rocket Pharmaceuticals, Sardicor, Stride Bio, and uniQure;</w:t>
      </w:r>
    </w:p>
    <w:p>
      <w:pPr>
        <w:spacing w:after="0" w:line="95" w:lineRule="exact"/>
        <w:rPr>
          <w:rFonts w:ascii="Arial" w:cs="Arial" w:eastAsia="Arial" w:hAnsi="Arial"/>
          <w:sz w:val="25"/>
          <w:szCs w:val="25"/>
          <w:color w:val="auto"/>
          <w:vertAlign w:val="superscript"/>
        </w:rPr>
      </w:pPr>
    </w:p>
    <w:p>
      <w:pPr>
        <w:ind w:left="880" w:right="120" w:hanging="373"/>
        <w:spacing w:after="0" w:line="226"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Cellular Regeneration platform: Companies known to be pursuing approaches to cellular regeneration for the heart include but are not limited to AstraZeneca, Bayer, BioCardia, Cardior Pharmaceuticals, Jaan Biotherapeutics, Khloris Biosciences, Mesoblast, Mogrify, Sana Biotechnologies and Xylocor Therapeutics; and</w:t>
      </w:r>
    </w:p>
    <w:p>
      <w:pPr>
        <w:spacing w:after="0" w:line="95" w:lineRule="exact"/>
        <w:rPr>
          <w:rFonts w:ascii="Arial" w:cs="Arial" w:eastAsia="Arial" w:hAnsi="Arial"/>
          <w:sz w:val="25"/>
          <w:szCs w:val="25"/>
          <w:color w:val="auto"/>
          <w:vertAlign w:val="superscript"/>
        </w:rPr>
      </w:pPr>
    </w:p>
    <w:p>
      <w:pPr>
        <w:ind w:left="880" w:right="420" w:hanging="373"/>
        <w:spacing w:after="0" w:line="216" w:lineRule="auto"/>
        <w:tabs>
          <w:tab w:leader="none" w:pos="88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231F20"/>
        </w:rPr>
        <w:t>Precision Medicine platform: Companies known to be pursuing approaches to drug discovery for the heart using disease models based on iPSC-CMs include but are not limited to DiNAQOR and Tara Biosystems.</w:t>
      </w:r>
    </w:p>
    <w:p>
      <w:pPr>
        <w:spacing w:after="0" w:line="230" w:lineRule="exact"/>
        <w:rPr>
          <w:sz w:val="20"/>
          <w:szCs w:val="20"/>
          <w:color w:val="auto"/>
        </w:rPr>
      </w:pPr>
    </w:p>
    <w:p>
      <w:pPr>
        <w:ind w:right="160" w:firstLine="510"/>
        <w:spacing w:after="0" w:line="288" w:lineRule="auto"/>
        <w:rPr>
          <w:sz w:val="20"/>
          <w:szCs w:val="20"/>
          <w:color w:val="auto"/>
        </w:rPr>
      </w:pPr>
      <w:r>
        <w:rPr>
          <w:rFonts w:ascii="Arial" w:cs="Arial" w:eastAsia="Arial" w:hAnsi="Arial"/>
          <w:sz w:val="16"/>
          <w:szCs w:val="16"/>
          <w:color w:val="231F20"/>
        </w:rPr>
        <w:t>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19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3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7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231F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20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231F20"/>
        </w:rPr>
        <w:t>Further, others, including regulatory agencies, may not accept or agree with our assumptions, estimates, calculations, conclusions or analyses or may interpret or weigh the importance of data differently, which could impact the value of the particular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46" w:name="page47"/>
    <w:bookmarkEnd w:id="46"/>
    <w:p>
      <w:pPr>
        <w:spacing w:after="0" w:line="296" w:lineRule="auto"/>
        <w:rPr>
          <w:sz w:val="20"/>
          <w:szCs w:val="20"/>
          <w:color w:val="auto"/>
        </w:rPr>
      </w:pPr>
      <w:r>
        <w:rPr>
          <w:rFonts w:ascii="Arial" w:cs="Arial" w:eastAsia="Arial" w:hAnsi="Arial"/>
          <w:sz w:val="16"/>
          <w:szCs w:val="16"/>
          <w:color w:val="231F20"/>
        </w:rPr>
        <w:t>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our efforts to utilize our proprietary drug discovery platforms to develop a pipeline of product candidates.</w:t>
      </w:r>
    </w:p>
    <w:p>
      <w:pPr>
        <w:spacing w:after="0" w:line="14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231F20"/>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spacing w:after="0" w:line="19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231F20"/>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21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231F20"/>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37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231F20"/>
        </w:rPr>
        <w:t>The manufacture of drugs is complex, and we or our third-party manufacturers may encounter difficulties in production. If we or any of our third-party manufacturers encounter such difficulties, our ability to provide adequate supply of our product candidates for preclinical studies or clinical trials or our products for patients, if approved, could be delayed or prevented.</w:t>
      </w:r>
    </w:p>
    <w:p>
      <w:pPr>
        <w:spacing w:after="0" w:line="89"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231F20"/>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385"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gene therapy product candidates require processing steps that are more complex than those required for most chemical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ind w:right="100"/>
        <w:spacing w:after="0" w:line="271" w:lineRule="auto"/>
        <w:rPr>
          <w:sz w:val="20"/>
          <w:szCs w:val="20"/>
          <w:color w:val="auto"/>
        </w:rPr>
      </w:pPr>
      <w:r>
        <w:rPr>
          <w:rFonts w:ascii="Arial" w:cs="Arial" w:eastAsia="Arial" w:hAnsi="Arial"/>
          <w:sz w:val="17"/>
          <w:szCs w:val="17"/>
          <w:color w:val="231F20"/>
        </w:rPr>
        <w:t>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205"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231F20"/>
        </w:rPr>
        <w:t>In addition, the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188"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231F20"/>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5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231F20"/>
        </w:rPr>
        <w:t>Any problems in our manufacturing process or facilities or the facilities with which we contract could make us a less attractive collaborator for potential partners, including larger pharmaceutical companies, which could limit our access to additional attractive development programs. Problems in manufacturing process or facilities also could restrict our ability to meet market demand for our products, if approved. Additionally, 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35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231F20"/>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89"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231F20"/>
        </w:rPr>
        <w:t>We have historically relied on third parties to manufacture supplies of our product candidates. 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pharmacology (efficacy) and toxicology (safety) studies. We have initiated construction of a dedicated cGMP facility for drug product manufacturing in the San Francisco Bay Area that we expect will be operational in the first half of 2022. The facility will initially produce drug product at the 1000L scale to support FIH studies for TN-201, the most advanced product candidate from our MYBPC3 program. To optimize our use of resources and utilize extensive third-party experience in small molecule manufacturing, we intend to work with CDMOs for our small molecule programs. We intend to initiate cGMP manufacturing for our HDAC6 inhibitor program, TYA-11631, before the end of 2021.</w:t>
      </w:r>
    </w:p>
    <w:p>
      <w:pPr>
        <w:spacing w:after="0" w:line="219" w:lineRule="exact"/>
        <w:rPr>
          <w:sz w:val="20"/>
          <w:szCs w:val="20"/>
          <w:color w:val="auto"/>
        </w:rPr>
      </w:pPr>
    </w:p>
    <w:p>
      <w:pPr>
        <w:ind w:firstLine="510"/>
        <w:spacing w:after="0" w:line="307" w:lineRule="auto"/>
        <w:rPr>
          <w:sz w:val="20"/>
          <w:szCs w:val="20"/>
          <w:color w:val="auto"/>
        </w:rPr>
      </w:pPr>
      <w:r>
        <w:rPr>
          <w:rFonts w:ascii="Arial" w:cs="Arial" w:eastAsia="Arial" w:hAnsi="Arial"/>
          <w:sz w:val="15"/>
          <w:szCs w:val="15"/>
          <w:color w:val="231F20"/>
        </w:rPr>
        <w:t>Although some of our employees have experience in the manufacturing of biopharmaceutical products from prior employment at other companies, we as a company have no prior experience in manufacturing. We may face delays or increased costs in the build out of our manufacturing facility or the production of clinical supply at our manufacturing facility, once operational, and cannot guarantee when our facility will be able to produce sufficient quantities of product candidates needed to support our preclinical studies and planned clinical trials. In addition, government approvals will be required for us to operate our manufacturing facility and can be time-consuming to obtain, and there can be no assurance that such approval will be obtained. As a manufacturer of pharmaceutical products, we also will be required to demonstrate and maintain compliance with cGMP requirements related to production processes, quality control and assurance and recordkeeping. Furthermore, establishing and maintaining manufacturing operations may require a reallocation of other resources and management time, as well as potentially significant capital expenditures,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Any delays in developing our internal manufacturing capabilities may disrupt or delay the supply of our product candidates if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right="260"/>
        <w:spacing w:after="0" w:line="259" w:lineRule="auto"/>
        <w:rPr>
          <w:sz w:val="20"/>
          <w:szCs w:val="20"/>
          <w:color w:val="auto"/>
        </w:rPr>
      </w:pPr>
      <w:r>
        <w:rPr>
          <w:rFonts w:ascii="Arial" w:cs="Arial" w:eastAsia="Arial" w:hAnsi="Arial"/>
          <w:sz w:val="18"/>
          <w:szCs w:val="18"/>
          <w:color w:val="231F20"/>
        </w:rPr>
        <w:t>we have not maintained a sufficient back-up supply of such product candidates through third-party manufacturers.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214"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231F20"/>
        </w:rPr>
        <w:t>Any failure or delay in the development of our manufacturing facility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3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231F20"/>
        </w:rPr>
        <w:t>We will need to comply with the FDA’s and applicable foreign regulatory authorities’ cGMP requirements for the production of product candidates for clinical trials and, if approved, commercial supply. We may encounter difficulties in achieving QC and QA and may experience shortages in qualified personnel.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3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7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31F20"/>
        </w:rPr>
        <w:t>To date, our product candidates have been manufactured in quantities adequate for preclinical studies.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we are unable to successfully manufacture of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methods of product candidate manufacturing or formulation may result in additional costs or delay.</w:t>
      </w:r>
    </w:p>
    <w:p>
      <w:pPr>
        <w:spacing w:after="0" w:line="13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231F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Even if approved, we may not successfully commercialize our product candidates.</w:t>
      </w:r>
    </w:p>
    <w:p>
      <w:pPr>
        <w:spacing w:after="0" w:line="13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231F20"/>
        </w:rPr>
        <w:t>Our product candidates are subject to the risks of failure inherent in the development of pharmaceutical products based on new technologies, and our failure to develop safe, commercially viable products would severely limit our ability to become profitable or to achieve significant revenues. Even if one or more of our product candidates is approved, we may be unable to successfully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231F20"/>
        </w:rPr>
        <w:t>commercialize our product candidates for several reasons, including:</w:t>
      </w:r>
    </w:p>
    <w:p>
      <w:pPr>
        <w:spacing w:after="0" w:line="131" w:lineRule="exact"/>
        <w:rPr>
          <w:sz w:val="20"/>
          <w:szCs w:val="20"/>
          <w:color w:val="auto"/>
        </w:rPr>
      </w:pPr>
    </w:p>
    <w:p>
      <w:pPr>
        <w:ind w:left="880" w:right="400" w:hanging="373"/>
        <w:spacing w:after="0" w:line="226" w:lineRule="auto"/>
        <w:tabs>
          <w:tab w:leader="none" w:pos="8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231F20"/>
        </w:rPr>
        <w:t>some or all of our product candidates may be found to be unsafe or ineffective or otherwise fail to meet applicable regulatory standards or receive necessary regulatory clearances; our product candidates, if safe and effective, may nonetheless not be able to be developed into commercially viable products;</w:t>
      </w:r>
    </w:p>
    <w:p>
      <w:pPr>
        <w:spacing w:after="0" w:line="72"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231F20"/>
        </w:rPr>
        <w:t>it may be difficult to manufacture or market our product candidates on a scale that is necessary to ultimately deliver our products to end-users;</w:t>
      </w:r>
    </w:p>
    <w:p>
      <w:pPr>
        <w:spacing w:after="0" w:line="98" w:lineRule="exact"/>
        <w:rPr>
          <w:rFonts w:ascii="Arial" w:cs="Arial" w:eastAsia="Arial" w:hAnsi="Arial"/>
          <w:sz w:val="22"/>
          <w:szCs w:val="22"/>
          <w:color w:val="auto"/>
          <w:vertAlign w:val="superscript"/>
        </w:rPr>
      </w:pPr>
    </w:p>
    <w:p>
      <w:pPr>
        <w:ind w:left="880" w:hanging="373"/>
        <w:spacing w:after="0" w:line="199" w:lineRule="auto"/>
        <w:tabs>
          <w:tab w:leader="none" w:pos="8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231F20"/>
        </w:rPr>
        <w:t>intellectual property and proprietary rights of third parties may preclude us from marketing our product candidates;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231F20"/>
        </w:rPr>
        <w:t>the nature of our indications as rare diseases means that the potential market size may be limited; and</w:t>
      </w:r>
    </w:p>
    <w:p>
      <w:pPr>
        <w:spacing w:after="0" w:line="107" w:lineRule="exact"/>
        <w:rPr>
          <w:rFonts w:ascii="Arial" w:cs="Arial" w:eastAsia="Arial" w:hAnsi="Arial"/>
          <w:sz w:val="25"/>
          <w:szCs w:val="25"/>
          <w:color w:val="auto"/>
          <w:vertAlign w:val="superscript"/>
        </w:rPr>
      </w:pPr>
    </w:p>
    <w:p>
      <w:pPr>
        <w:ind w:left="880" w:right="600" w:hanging="373"/>
        <w:spacing w:after="0" w:line="216" w:lineRule="auto"/>
        <w:tabs>
          <w:tab w:leader="none" w:pos="8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231F20"/>
        </w:rPr>
        <w:t>third parties may market superior or equivalent drugs which could adversely affect the commercial viability and success of our product candidates.</w:t>
      </w:r>
    </w:p>
    <w:p>
      <w:pPr>
        <w:spacing w:after="0" w:line="35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76" w:lineRule="exact"/>
        <w:rPr>
          <w:sz w:val="20"/>
          <w:szCs w:val="20"/>
          <w:color w:val="auto"/>
        </w:rPr>
      </w:pPr>
    </w:p>
    <w:p>
      <w:pPr>
        <w:jc w:val="both"/>
        <w:ind w:right="140" w:firstLine="510"/>
        <w:spacing w:after="0" w:line="259" w:lineRule="auto"/>
        <w:rPr>
          <w:sz w:val="20"/>
          <w:szCs w:val="20"/>
          <w:color w:val="auto"/>
        </w:rPr>
      </w:pPr>
      <w:r>
        <w:rPr>
          <w:rFonts w:ascii="Arial" w:cs="Arial" w:eastAsia="Arial" w:hAnsi="Arial"/>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21" w:lineRule="exact"/>
        <w:rPr>
          <w:sz w:val="20"/>
          <w:szCs w:val="20"/>
          <w:color w:val="auto"/>
        </w:rPr>
      </w:pPr>
    </w:p>
    <w:p>
      <w:pPr>
        <w:ind w:left="880" w:hanging="373"/>
        <w:spacing w:after="0"/>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the efficacy and safety profile as demonstrated in clinical trials compared to alternative treatments;</w:t>
      </w:r>
    </w:p>
    <w:p>
      <w:pPr>
        <w:spacing w:after="0" w:line="107" w:lineRule="exact"/>
        <w:rPr>
          <w:rFonts w:ascii="Arial" w:cs="Arial" w:eastAsia="Arial" w:hAnsi="Arial"/>
          <w:sz w:val="25"/>
          <w:szCs w:val="25"/>
          <w:color w:val="auto"/>
          <w:vertAlign w:val="superscript"/>
        </w:rPr>
      </w:pPr>
    </w:p>
    <w:p>
      <w:pPr>
        <w:ind w:left="880" w:right="220" w:hanging="373"/>
        <w:spacing w:after="0" w:line="216"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perceive safety and efficacy profile and ease of use for pediatric patient population if approved for a pediatric indication;</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the timing of market introduction of the product candidate as well as competitive products;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the clinical indications for which a product candidate is approved;</w:t>
      </w:r>
    </w:p>
    <w:p>
      <w:pPr>
        <w:spacing w:after="0" w:line="107" w:lineRule="exact"/>
        <w:rPr>
          <w:rFonts w:ascii="Arial" w:cs="Arial" w:eastAsia="Arial" w:hAnsi="Arial"/>
          <w:sz w:val="25"/>
          <w:szCs w:val="25"/>
          <w:color w:val="auto"/>
          <w:vertAlign w:val="superscript"/>
        </w:rPr>
      </w:pPr>
    </w:p>
    <w:p>
      <w:pPr>
        <w:ind w:left="880" w:right="80" w:hanging="373"/>
        <w:spacing w:after="0" w:line="252" w:lineRule="auto"/>
        <w:tabs>
          <w:tab w:leader="none" w:pos="88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24" w:lineRule="exact"/>
        <w:rPr>
          <w:rFonts w:ascii="Arial" w:cs="Arial" w:eastAsia="Arial" w:hAnsi="Arial"/>
          <w:sz w:val="22"/>
          <w:szCs w:val="22"/>
          <w:color w:val="auto"/>
          <w:vertAlign w:val="superscript"/>
        </w:rPr>
      </w:pPr>
    </w:p>
    <w:p>
      <w:pPr>
        <w:ind w:left="880" w:hanging="373"/>
        <w:spacing w:after="0"/>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physicians, hospitals, treatment centers and patients considering our product candidates as a safe, pure and effective treatment;</w:t>
      </w:r>
    </w:p>
    <w:p>
      <w:pPr>
        <w:spacing w:after="0" w:line="107" w:lineRule="exact"/>
        <w:rPr>
          <w:rFonts w:ascii="Arial" w:cs="Arial" w:eastAsia="Arial" w:hAnsi="Arial"/>
          <w:sz w:val="25"/>
          <w:szCs w:val="25"/>
          <w:color w:val="auto"/>
          <w:vertAlign w:val="superscript"/>
        </w:rPr>
      </w:pPr>
    </w:p>
    <w:p>
      <w:pPr>
        <w:ind w:left="880" w:hanging="373"/>
        <w:spacing w:after="0" w:line="216"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the potential and perceived advantages of our product candidates over alternative treatments;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the cost of treatment in relation to alternative treatments;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relative convenience and ease of administration;</w:t>
      </w:r>
    </w:p>
    <w:p>
      <w:pPr>
        <w:spacing w:after="0" w:line="99" w:lineRule="exact"/>
        <w:rPr>
          <w:rFonts w:ascii="Arial" w:cs="Arial" w:eastAsia="Arial" w:hAnsi="Arial"/>
          <w:sz w:val="25"/>
          <w:szCs w:val="25"/>
          <w:color w:val="auto"/>
          <w:vertAlign w:val="superscript"/>
        </w:rPr>
      </w:pPr>
    </w:p>
    <w:p>
      <w:pPr>
        <w:ind w:left="880" w:hanging="373"/>
        <w:spacing w:after="0" w:line="207" w:lineRule="auto"/>
        <w:tabs>
          <w:tab w:leader="none" w:pos="88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231F20"/>
        </w:rPr>
        <w:t>the willingness of the target patient population or their caregivers to try new therapies and of physicians to prescribe these therapies;</w:t>
      </w:r>
    </w:p>
    <w:p>
      <w:pPr>
        <w:spacing w:after="0" w:line="99" w:lineRule="exact"/>
        <w:rPr>
          <w:rFonts w:ascii="Arial" w:cs="Arial" w:eastAsia="Arial" w:hAnsi="Arial"/>
          <w:sz w:val="24"/>
          <w:szCs w:val="24"/>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the availability of coverage and adequate reimbursement by third-party payors, including government authorities;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patients’ willingness to pay for these therapies in the absence of such coverage and adequate reimbursement;</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the effectiveness of sales and marketing efforts;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support from KOLs and patient advocacy groups;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unfavorable publicity relating to our product candidates; and</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231F20"/>
        </w:rPr>
        <w:t>the approval of other new therapies for the same indications.</w:t>
      </w:r>
    </w:p>
    <w:p>
      <w:pPr>
        <w:spacing w:after="0" w:line="243" w:lineRule="exact"/>
        <w:rPr>
          <w:sz w:val="20"/>
          <w:szCs w:val="20"/>
          <w:color w:val="auto"/>
        </w:rPr>
      </w:pPr>
    </w:p>
    <w:p>
      <w:pPr>
        <w:ind w:right="280" w:firstLine="510"/>
        <w:spacing w:after="0" w:line="342" w:lineRule="auto"/>
        <w:rPr>
          <w:sz w:val="20"/>
          <w:szCs w:val="20"/>
          <w:color w:val="auto"/>
        </w:rPr>
      </w:pPr>
      <w:r>
        <w:rPr>
          <w:rFonts w:ascii="Arial" w:cs="Arial" w:eastAsia="Arial" w:hAnsi="Arial"/>
          <w:sz w:val="16"/>
          <w:szCs w:val="16"/>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0" w:name="page51"/>
    <w:bookmarkEnd w:id="50"/>
    <w:p>
      <w:pPr>
        <w:ind w:right="200"/>
        <w:spacing w:after="0" w:line="277" w:lineRule="auto"/>
        <w:rPr>
          <w:sz w:val="20"/>
          <w:szCs w:val="20"/>
          <w:color w:val="auto"/>
        </w:rPr>
      </w:pPr>
      <w:r>
        <w:rPr>
          <w:rFonts w:ascii="Arial" w:cs="Arial" w:eastAsia="Arial" w:hAnsi="Arial"/>
          <w:sz w:val="18"/>
          <w:szCs w:val="18"/>
          <w:b w:val="1"/>
          <w:bCs w:val="1"/>
          <w:i w:val="1"/>
          <w:iCs w:val="1"/>
          <w:color w:val="231F20"/>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76"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231F20"/>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214"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231F20"/>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22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231F20"/>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3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9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206"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33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231F20"/>
        </w:rPr>
        <w:t>Any product candidates we develop may become subject to unfavorable third-party coverage and reimbursement practices, as well as pricing regulations.</w:t>
      </w:r>
    </w:p>
    <w:p>
      <w:pPr>
        <w:spacing w:after="0" w:line="7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231F20"/>
        </w:rPr>
        <w:t>coverage and reimbursement strategy for any approved product candidate that accounts for the smaller potential market size.</w:t>
      </w:r>
    </w:p>
    <w:p>
      <w:pPr>
        <w:spacing w:after="0" w:line="252"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231F20"/>
        </w:rPr>
        <w:t>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22" w:lineRule="exact"/>
        <w:rPr>
          <w:sz w:val="20"/>
          <w:szCs w:val="20"/>
          <w:color w:val="auto"/>
        </w:rPr>
      </w:pPr>
    </w:p>
    <w:p>
      <w:pPr>
        <w:ind w:right="220" w:firstLine="510"/>
        <w:spacing w:after="0" w:line="253" w:lineRule="auto"/>
        <w:rPr>
          <w:sz w:val="20"/>
          <w:szCs w:val="20"/>
          <w:color w:val="auto"/>
        </w:rPr>
      </w:pPr>
      <w:r>
        <w:rPr>
          <w:rFonts w:ascii="Arial" w:cs="Arial" w:eastAsia="Arial" w:hAnsi="Arial"/>
          <w:sz w:val="18"/>
          <w:szCs w:val="18"/>
          <w:color w:val="231F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w:t>
      </w:r>
    </w:p>
    <w:p>
      <w:pPr>
        <w:spacing w:after="0" w:line="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231F20"/>
        </w:rPr>
        <w:t>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2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21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231F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9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33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8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231F20"/>
        </w:rPr>
        <w:t>Our business exposes us to significant product liability risks inherent in the development, testing, manufacturing and marketing of therapeutic treatments. We currently have no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231F20"/>
        </w:rPr>
        <w:t>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215"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231F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successful defense would require significant financial and management resources.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Regardless of the merits or eventual outcome, liability claims may result in:</w:t>
      </w:r>
    </w:p>
    <w:p>
      <w:pPr>
        <w:spacing w:after="0" w:line="60" w:lineRule="exact"/>
        <w:rPr>
          <w:sz w:val="20"/>
          <w:szCs w:val="20"/>
          <w:color w:val="auto"/>
        </w:rPr>
      </w:pPr>
    </w:p>
    <w:p>
      <w:pPr>
        <w:ind w:left="880" w:hanging="373"/>
        <w:spacing w:after="0"/>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delays in the development of our product candidates;</w:t>
      </w:r>
    </w:p>
    <w:p>
      <w:pPr>
        <w:spacing w:after="0" w:line="107" w:lineRule="exact"/>
        <w:rPr>
          <w:rFonts w:ascii="Arial" w:cs="Arial" w:eastAsia="Arial" w:hAnsi="Arial"/>
          <w:sz w:val="25"/>
          <w:szCs w:val="25"/>
          <w:color w:val="auto"/>
          <w:vertAlign w:val="superscript"/>
        </w:rPr>
      </w:pPr>
    </w:p>
    <w:p>
      <w:pPr>
        <w:ind w:left="880" w:right="600" w:hanging="373"/>
        <w:spacing w:after="0" w:line="216"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FDA, EMA or other regulatory authority investigation of the safety and effectiveness of our products, our manufacturing processes and facilities or our marketing programs;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decreased or interrupted demand for our products;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injury to our reputation;</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withdrawal of clinical trial participants and inability to continue clinical trials;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initiation of investigations by regulators;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costs to defend the related litigation;</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a diversion of management’s time and our resources;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substantial monetary awards to trial participants or patients;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product recalls, withdrawals or labeling, marketing, or promotional restrictions;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loss of revenue;</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exhaustion of any available insurance and our capital resources; and</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231F20"/>
        </w:rPr>
        <w:t>the inability to commercialize any products.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Regulatory Approval and Other Legal Compliance Matters</w:t>
      </w:r>
    </w:p>
    <w:p>
      <w:pPr>
        <w:spacing w:after="0" w:line="13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9"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 We cannot provide any assurance that any product candidate we may develop will progress through required clinical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231F20"/>
        </w:rPr>
        <w:t>testing and obtain the regulatory approvals necessary for us to begin selling them.</w:t>
      </w:r>
    </w:p>
    <w:p>
      <w:pPr>
        <w:spacing w:after="0" w:line="252"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231F20"/>
        </w:rPr>
        <w:t>We have not initiated, conducted, managed or completed any clinical trials nor managed the regulatory approval process with the FDA or any other regulatory authority. Applications for our product candidates could fail to receive regulatory approval for many reasons, including the following:</w:t>
      </w:r>
    </w:p>
    <w:p>
      <w:pPr>
        <w:spacing w:after="0" w:line="29"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231F20"/>
        </w:rPr>
        <w:t>the FDA, EMA or other comparable foreign regulatory authorities may disagree with the design, implementation or results of our clinical trials;</w:t>
      </w:r>
    </w:p>
    <w:p>
      <w:pPr>
        <w:spacing w:after="0" w:line="107" w:lineRule="exact"/>
        <w:rPr>
          <w:rFonts w:ascii="Arial" w:cs="Arial" w:eastAsia="Arial" w:hAnsi="Arial"/>
          <w:sz w:val="22"/>
          <w:szCs w:val="22"/>
          <w:color w:val="auto"/>
          <w:vertAlign w:val="superscript"/>
        </w:rPr>
      </w:pPr>
    </w:p>
    <w:p>
      <w:pPr>
        <w:ind w:left="880" w:right="320" w:hanging="373"/>
        <w:spacing w:after="0" w:line="226"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95"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94" w:lineRule="exact"/>
        <w:rPr>
          <w:rFonts w:ascii="Arial" w:cs="Arial" w:eastAsia="Arial" w:hAnsi="Arial"/>
          <w:sz w:val="25"/>
          <w:szCs w:val="25"/>
          <w:color w:val="auto"/>
          <w:vertAlign w:val="superscript"/>
        </w:rPr>
      </w:pPr>
    </w:p>
    <w:p>
      <w:pPr>
        <w:ind w:left="880" w:right="460" w:hanging="373"/>
        <w:spacing w:after="0" w:line="216"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the FDA, EMA or other comparable foreign regulatory authorities may disagree with our interpretation of data from preclinical studies or clinical trials;</w:t>
      </w:r>
    </w:p>
    <w:p>
      <w:pPr>
        <w:spacing w:after="0" w:line="94" w:lineRule="exact"/>
        <w:rPr>
          <w:rFonts w:ascii="Arial" w:cs="Arial" w:eastAsia="Arial" w:hAnsi="Arial"/>
          <w:sz w:val="25"/>
          <w:szCs w:val="25"/>
          <w:color w:val="auto"/>
          <w:vertAlign w:val="superscript"/>
        </w:rPr>
      </w:pPr>
    </w:p>
    <w:p>
      <w:pPr>
        <w:ind w:left="880" w:right="40" w:hanging="373"/>
        <w:spacing w:after="0" w:line="216"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we may be unable to demonstrate to the FDA, EMA or other comparable foreign regulatory authorities that our product candidate’s risk-benefit ratio for its proposed indication is acceptable;</w:t>
      </w:r>
    </w:p>
    <w:p>
      <w:pPr>
        <w:spacing w:after="0" w:line="94" w:lineRule="exact"/>
        <w:rPr>
          <w:rFonts w:ascii="Arial" w:cs="Arial" w:eastAsia="Arial" w:hAnsi="Arial"/>
          <w:sz w:val="25"/>
          <w:szCs w:val="25"/>
          <w:color w:val="auto"/>
          <w:vertAlign w:val="superscript"/>
        </w:rPr>
      </w:pPr>
    </w:p>
    <w:p>
      <w:pPr>
        <w:ind w:left="880" w:right="560" w:hanging="373"/>
        <w:spacing w:after="0" w:line="252" w:lineRule="auto"/>
        <w:tabs>
          <w:tab w:leader="none" w:pos="88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81" w:lineRule="exact"/>
        <w:rPr>
          <w:rFonts w:ascii="Arial" w:cs="Arial" w:eastAsia="Arial" w:hAnsi="Arial"/>
          <w:sz w:val="22"/>
          <w:szCs w:val="22"/>
          <w:color w:val="auto"/>
          <w:vertAlign w:val="superscript"/>
        </w:rPr>
      </w:pPr>
    </w:p>
    <w:p>
      <w:pPr>
        <w:ind w:left="880" w:right="60" w:hanging="373"/>
        <w:spacing w:after="0" w:line="216" w:lineRule="auto"/>
        <w:tabs>
          <w:tab w:leader="none" w:pos="88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23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212"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described above as well as risks attributable to the satisfaction of local regulations in foreign jurisdictions. Moreover, the time required to obtain approval may differ from that required to obtain FDA approval.</w:t>
      </w:r>
    </w:p>
    <w:p>
      <w:pPr>
        <w:spacing w:after="0" w:line="32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231F20"/>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231F20"/>
        </w:rPr>
        <w:t>We are planning on undertaking clinical trials in the United States and additional clinical trials internationally. The acceptance of study data by the FDA, EMA or other comparable foreign regulatory authority from clinical trials conducted outside of their respective jurisdictions may be subject to certain conditions. In cases where data from U.S. clinical trials are intended to serve as the basis for marketing approval in the foreign countries outside the United States, the standards for clinical trials and approval may be different. There can be no assurance that any U.S.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340"/>
        <w:spacing w:after="0" w:line="277" w:lineRule="auto"/>
        <w:rPr>
          <w:sz w:val="20"/>
          <w:szCs w:val="20"/>
          <w:color w:val="auto"/>
        </w:rPr>
      </w:pPr>
      <w:r>
        <w:rPr>
          <w:rFonts w:ascii="Arial" w:cs="Arial" w:eastAsia="Arial" w:hAnsi="Arial"/>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231F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23"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32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231F20"/>
        </w:rPr>
        <w:t>Even if we successfully complete the necessary preclinical studies and clinical trials, we cannot predict when, or if, we will obtain regulatory approval to commercialize a product candidate and the approval may be for a narrower indication than we seek.</w:t>
      </w:r>
    </w:p>
    <w:p>
      <w:pPr>
        <w:spacing w:after="0" w:line="5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We cannot commercialize a product candidate until the appropriate regulatory authorities have reviewed and approved the product candidate. We have not received approval from regulatory authorities in any jurisdiction to market any of our product candidates. Even if our product candidates meet their safety and efficacy endpoints in clinical trials, the regulatory authorities may not complete their review processes in a timely manner, issue a complete response letter, or ultimately, we may not be able to obtain regulatory approval. In addition, we may experience delays or rejections if an FDA Advisory Committee recommends disapproval or restrictions on use.</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In addition, we may experience delays or rejections based upon additional government regulation from future legislation or administrative actions, or changes in regulatory authority policy during the period of product development, clinical trials and the review process. Regulatory authorities have substantial discretion in the approval process and may refuse to accept any application or may decide that our data are insufficient for approval and require additional preclinical, clinical or other studies. In addition, varying interpretations of data obtained from preclinical and clinical testing could delay, limit or prevent the receipt of marketing approval for a product candidate.</w:t>
      </w:r>
    </w:p>
    <w:p>
      <w:pPr>
        <w:spacing w:after="0" w:line="215"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231F20"/>
        </w:rPr>
        <w:t>Regulatory authorities also may approve a product candidate for more limited indications than requested or they may impose significant limitations in the form of narrow indications, warnings or other labeling changes. These regulatory authorities may require precautions or contra-indications with respect to conditions of use or they may grant approval subject to the performance of costly post-marketing clinical trials. Regulatory</w:t>
      </w:r>
    </w:p>
    <w:p>
      <w:pPr>
        <w:spacing w:after="0" w:line="16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231F20"/>
        </w:rPr>
        <w:t>authorities may impose restrictions and conditions on product distribution, prescribing, or dispensing in the form of a REMS or equivalent requirement.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Even if our product candidates receive regulatory approval, they will be subject to significant post- marketing regulatory requirements and oversight.</w:t>
      </w:r>
    </w:p>
    <w:p>
      <w:pPr>
        <w:spacing w:after="0" w:line="165"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231F20"/>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5" w:name="page56"/>
    <w:bookmarkEnd w:id="55"/>
    <w:p>
      <w:pPr>
        <w:spacing w:after="0" w:line="271" w:lineRule="auto"/>
        <w:rPr>
          <w:sz w:val="20"/>
          <w:szCs w:val="20"/>
          <w:color w:val="auto"/>
        </w:rPr>
      </w:pPr>
      <w:r>
        <w:rPr>
          <w:rFonts w:ascii="Arial" w:cs="Arial" w:eastAsia="Arial" w:hAnsi="Arial"/>
          <w:sz w:val="17"/>
          <w:szCs w:val="17"/>
          <w:color w:val="231F20"/>
        </w:rPr>
        <w:t>candidates will be subject to extensive and ongoing regulatory requirements. These requirements include submissions of safety and other post- 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27" w:lineRule="exact"/>
        <w:rPr>
          <w:sz w:val="20"/>
          <w:szCs w:val="20"/>
          <w:color w:val="auto"/>
        </w:rPr>
      </w:pPr>
    </w:p>
    <w:p>
      <w:pPr>
        <w:ind w:left="880" w:hanging="373"/>
        <w:spacing w:after="0"/>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delays in or the rejection of product approvals;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restrictions on the products, manufacturers or manufacturing process;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warning or untitled letters;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civil and criminal penalties;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injunctions;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suspension or withdrawal of regulatory approvals;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product seizures, detentions or import bans;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voluntary or mandatory product recalls and publicity requirements;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total or partial suspension of production; and</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231F20"/>
        </w:rPr>
        <w:t>imposition of restrictions on operations, including costly new manufacturing requirements.</w:t>
      </w:r>
    </w:p>
    <w:p>
      <w:pPr>
        <w:spacing w:after="0" w:line="243"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31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231F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However, there can be no assurances that we will be able to obtain orphan designations for our product candidates.</w:t>
      </w:r>
    </w:p>
    <w:p>
      <w:pPr>
        <w:spacing w:after="0" w:line="206"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ind w:firstLine="510"/>
        <w:spacing w:after="0" w:line="286" w:lineRule="auto"/>
        <w:rPr>
          <w:sz w:val="20"/>
          <w:szCs w:val="20"/>
          <w:color w:val="auto"/>
        </w:rPr>
      </w:pPr>
      <w:r>
        <w:rPr>
          <w:rFonts w:ascii="Arial" w:cs="Arial" w:eastAsia="Arial" w:hAnsi="Arial"/>
          <w:sz w:val="16"/>
          <w:szCs w:val="16"/>
          <w:color w:val="231F20"/>
        </w:rPr>
        <w:t>The FDA has granted orphan drug designation for TN-201, the most advanced product candidate from our MYBPC3 program, and we may seek orphan drug designation for other product candidates in the United States,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face difficulties from changes to current FDA and healthcare regulations and future legislation.</w:t>
      </w:r>
    </w:p>
    <w:p>
      <w:pPr>
        <w:spacing w:after="0" w:line="13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231F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1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231F20"/>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208"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231F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For example, various portions of the ACA have been the subject of legal and constitutional challenges in the U.S. Supreme Court. In June 2021, the U.S. Supreme Court held that Texas and other challengers had no legal standing to challenge the ACA, dismissing the case without specifically ruling on the constitutionality of the ACA.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w:t>
      </w:r>
    </w:p>
    <w:p>
      <w:pPr>
        <w:spacing w:after="0" w:line="20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231F20"/>
        </w:rPr>
        <w:t>In addition, other legislative changes have been proposed and adopted in the United States since the ACA was enacted. These changes included aggregate reductions to Medicare payments to providers of up to 2% per fiscal year, effective April 1, 2013, which will remain in effect through 2030, with the exception of a temporary suspension implemented under various COVID-19 relief legislation from May 1, 2020 through the end of 2021,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7" w:name="page58"/>
    <w:bookmarkEnd w:id="57"/>
    <w:p>
      <w:pPr>
        <w:ind w:right="120" w:firstLine="510"/>
        <w:spacing w:after="0" w:line="285" w:lineRule="auto"/>
        <w:rPr>
          <w:sz w:val="20"/>
          <w:szCs w:val="20"/>
          <w:color w:val="auto"/>
        </w:rPr>
      </w:pPr>
      <w:r>
        <w:rPr>
          <w:rFonts w:ascii="Arial" w:cs="Arial" w:eastAsia="Arial" w:hAnsi="Arial"/>
          <w:sz w:val="16"/>
          <w:szCs w:val="16"/>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Biden administration.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The impact of these lawsuits as well as legislative, executive, and administrative actions of the Biden administration on us and the pharmaceutical industry as a whole is unclear.</w:t>
      </w:r>
    </w:p>
    <w:p>
      <w:pPr>
        <w:spacing w:after="0" w:line="20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20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20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33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92"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21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231F20"/>
        </w:rPr>
        <w:t>Outside of the United States, legal requirements relating to the collection, storage, processing and transfer of personal data continue to evolve. For example, the collection and use of health data and other personal data is governed in the European Union by the General Data Protection Regulation (GDPR), which extends the geographical scope of EU data protection law to entities and operations outside of the European Union under certain conditions and imposes substantial obligations upon companies and new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8" w:name="page59"/>
    <w:bookmarkEnd w:id="58"/>
    <w:p>
      <w:pPr>
        <w:spacing w:after="0" w:line="285" w:lineRule="auto"/>
        <w:rPr>
          <w:sz w:val="20"/>
          <w:szCs w:val="20"/>
          <w:color w:val="auto"/>
        </w:rPr>
      </w:pPr>
      <w:r>
        <w:rPr>
          <w:rFonts w:ascii="Arial" w:cs="Arial" w:eastAsia="Arial" w:hAnsi="Arial"/>
          <w:sz w:val="16"/>
          <w:szCs w:val="16"/>
          <w:color w:val="231F20"/>
        </w:rPr>
        <w:t>rights for individuals, and by certain EU member state-level legislation. For example,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regulations and standards in the European Union, including those of EU member states, relating to privacy and data protection. This may be onerous and if our efforts to comply with GDPR or other applicable EU laws, rules, regulations and standards are not successful, or are perceived to be unsuccessful, it could adversely affect our business. Further, in July 2020, the European Court of Justice (ECJ) invalidated the EU-U.S. Privacy Shield, which had enabled the transfer of personal data from the European Union to the United States for companies that had self-certified to the Privacy Shield. The ECJ decision also raised questions about the continued validity of one of the primary alternatives to the EU-U.S. Privacy Shield, namely the European Commission’s Standard Contractual Clauses, and EU regulators have issued additional guidance regarding considerations and requirements that we and other companies must consider and undertake when using the Standard Contractual Clauses. Although the European Union has presented a new draft set of contractual clauses, at present, there are few, if any, viable alternatives to the EU-U.S. Privacy Shield and the Standard Contractual Clauses and it remains to be seen whether additional means for lawful data transfers will become available. To the extent that we were to rely on the EU-U.S. or Swiss-U.S. Privacy Shield programs, we will not be able to do so in the future, and the ECJ’s decision and other regulatory guidance or developments otherwise may impose additional obligations with respect to the transfer of personal data from the European Union and Switzerland to the United States, each of which could restrict our activities in those jurisdictions, limit our ability to provide our products and services in those jurisdictions, or increase our costs and obligations and impose limitations upon our ability to efficiently transfer personal data from the European Union and Switzerland to the United States.</w:t>
      </w:r>
    </w:p>
    <w:p>
      <w:pPr>
        <w:spacing w:after="0" w:line="200" w:lineRule="exact"/>
        <w:rPr>
          <w:sz w:val="20"/>
          <w:szCs w:val="20"/>
          <w:color w:val="auto"/>
        </w:rPr>
      </w:pPr>
    </w:p>
    <w:p>
      <w:pPr>
        <w:spacing w:after="0" w:line="21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231F20"/>
        </w:rPr>
        <w:t>Further, the exit of the United Kingdom from the European Union, often referred to as Brexit, has created uncertainty with regard to data protection regulation in the United Kingdom. Specifically, the United Kingdom exited the European Union on January 1, 2020, subject to a transition period that ended December 31, 2020. The United Kingdom has implemented legislation similar to the GDPR, referred to as the UK GDPR, which provides for significant fines of up to the greater of £17.5 million or 4% of global turnover and exposes us to two parallel regimes with potentially divergent enforcement actions for certain violations. With respect to transfers of personal data,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The relationship between the United Kingdom and European Union in relation to aspects of data protection law in the medium and longer term remains unclear, including with respect to cross-border data transfers and the role of the UK Information Commissioner’s Office with respect to the European Union, which exposes us to further compliance risk. We may incur liabilities, expenses, costs, and other operational losses relating to the GDPR, the UK GDPR, and other laws and regulations in the European Union and United Kingdom relating to privacy and data protection, including those of applicable EU member states in connection with any measures we take to comply with them.</w:t>
      </w:r>
    </w:p>
    <w:p>
      <w:pPr>
        <w:spacing w:after="0" w:line="201"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231F20"/>
        </w:rPr>
        <w:t>Finally, federal, state and foreign laws, rules, regulations and standards may apply generally to the privacy and security of information we maintain, and may differ from each other in significant ways, thus complicating compliance efforts and potentially requiring us to undertake additional measures to comply with them. In the United States, there are a broad variety of data privacy, protection and security laws, rules, regulations and standards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ind w:right="40"/>
        <w:spacing w:after="0" w:line="273" w:lineRule="auto"/>
        <w:rPr>
          <w:sz w:val="20"/>
          <w:szCs w:val="20"/>
          <w:color w:val="auto"/>
        </w:rPr>
      </w:pPr>
      <w:r>
        <w:rPr>
          <w:rFonts w:ascii="Arial" w:cs="Arial" w:eastAsia="Arial" w:hAnsi="Arial"/>
          <w:sz w:val="17"/>
          <w:szCs w:val="17"/>
          <w:color w:val="231F20"/>
        </w:rPr>
        <w:t xml:space="preserve">CCPA and other similar laws could impact our business activities, depending on their interpretation. Further, laws in all 50 states require businesses to provide notice to customers whose personal data has been disclosed as a result of a data breach. </w:t>
      </w:r>
      <w:r>
        <w:rPr>
          <w:rFonts w:ascii="Arial" w:cs="Arial" w:eastAsia="Arial" w:hAnsi="Arial"/>
          <w:sz w:val="17"/>
          <w:szCs w:val="17"/>
          <w:color w:val="000000"/>
        </w:rPr>
        <w:t>Additionally, other state legislatures have enacted or are</w:t>
      </w:r>
      <w:r>
        <w:rPr>
          <w:rFonts w:ascii="Arial" w:cs="Arial" w:eastAsia="Arial" w:hAnsi="Arial"/>
          <w:sz w:val="17"/>
          <w:szCs w:val="17"/>
          <w:color w:val="231F20"/>
        </w:rPr>
        <w:t xml:space="preserve"> </w:t>
      </w:r>
      <w:r>
        <w:rPr>
          <w:rFonts w:ascii="Arial" w:cs="Arial" w:eastAsia="Arial" w:hAnsi="Arial"/>
          <w:sz w:val="17"/>
          <w:szCs w:val="17"/>
          <w:color w:val="000000"/>
        </w:rPr>
        <w:t>currently contemplating, and may pass, their own comprehensive data privacy and security laws, with potentially greater penalties and more rigorous compliance requirements relevant to our business. For example, in March 2021, Virginia enacted the Virginia Consumer Data Protection Act, or CDPA, which becomes effective on January 1, 2023, and in June 2021, Colorado enacted the Colorado Privacy Act, or CPA, which takes effect on July 1, 2023. The CPA and CDPA share similarities with the CCPA, the CPRA, and legislation proposed in other states.</w:t>
      </w:r>
    </w:p>
    <w:p>
      <w:pPr>
        <w:spacing w:after="0" w:line="205"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231F20"/>
        </w:rPr>
        <w:t>With the GDPR, CCPA, CRPA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 Additionally, the CPRA and the CCPA may lead other states to pass comparable legislation, with potentially greater penalties and more rigorous compliance requirements relevant to our business. Additionally, if third parties we work with, such as vendors or service providers, violate applicable laws, rules or regulations or our policies, such violations may also put our or our customers’ data, including personal data, at risk, which could in turn have an adverse effect on our business.</w:t>
      </w:r>
    </w:p>
    <w:p>
      <w:pPr>
        <w:spacing w:after="0" w:line="19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340" w:lineRule="exact"/>
        <w:rPr>
          <w:sz w:val="20"/>
          <w:szCs w:val="20"/>
          <w:color w:val="auto"/>
        </w:rPr>
      </w:pPr>
    </w:p>
    <w:p>
      <w:pPr>
        <w:ind w:right="280"/>
        <w:spacing w:after="0" w:line="340" w:lineRule="auto"/>
        <w:rPr>
          <w:sz w:val="20"/>
          <w:szCs w:val="20"/>
          <w:color w:val="auto"/>
        </w:rPr>
      </w:pPr>
      <w:r>
        <w:rPr>
          <w:rFonts w:ascii="Arial" w:cs="Arial" w:eastAsia="Arial" w:hAnsi="Arial"/>
          <w:sz w:val="15"/>
          <w:szCs w:val="15"/>
          <w:b w:val="1"/>
          <w:bCs w:val="1"/>
          <w:i w:val="1"/>
          <w:iCs w:val="1"/>
          <w:color w:val="231F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215" w:lineRule="exact"/>
        <w:rPr>
          <w:sz w:val="20"/>
          <w:szCs w:val="20"/>
          <w:color w:val="auto"/>
        </w:rPr>
      </w:pPr>
    </w:p>
    <w:p>
      <w:pPr>
        <w:ind w:right="280" w:firstLine="510"/>
        <w:spacing w:after="0" w:line="273" w:lineRule="auto"/>
        <w:rPr>
          <w:sz w:val="20"/>
          <w:szCs w:val="20"/>
          <w:color w:val="auto"/>
        </w:rPr>
      </w:pPr>
      <w:r>
        <w:rPr>
          <w:rFonts w:ascii="Arial" w:cs="Arial" w:eastAsia="Arial" w:hAnsi="Arial"/>
          <w:sz w:val="17"/>
          <w:szCs w:val="17"/>
          <w:color w:val="231F20"/>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93" w:lineRule="exact"/>
        <w:rPr>
          <w:sz w:val="20"/>
          <w:szCs w:val="20"/>
          <w:color w:val="auto"/>
        </w:rPr>
      </w:pPr>
    </w:p>
    <w:p>
      <w:pPr>
        <w:ind w:right="320" w:firstLine="510"/>
        <w:spacing w:after="0" w:line="257" w:lineRule="auto"/>
        <w:rPr>
          <w:sz w:val="20"/>
          <w:szCs w:val="20"/>
          <w:color w:val="auto"/>
        </w:rPr>
      </w:pPr>
      <w:r>
        <w:rPr>
          <w:rFonts w:ascii="Arial" w:cs="Arial" w:eastAsia="Arial" w:hAnsi="Arial"/>
          <w:sz w:val="18"/>
          <w:szCs w:val="18"/>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231F20"/>
        </w:rPr>
        <w:t>healthcare laws and regulations may include the following:</w:t>
      </w:r>
    </w:p>
    <w:p>
      <w:pPr>
        <w:spacing w:after="0" w:line="117" w:lineRule="exact"/>
        <w:rPr>
          <w:sz w:val="20"/>
          <w:szCs w:val="20"/>
          <w:color w:val="auto"/>
        </w:rPr>
      </w:pPr>
    </w:p>
    <w:p>
      <w:pPr>
        <w:ind w:left="880" w:right="220" w:hanging="373"/>
        <w:spacing w:after="0" w:line="232" w:lineRule="auto"/>
        <w:tabs>
          <w:tab w:leader="none" w:pos="88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3" w:lineRule="exact"/>
        <w:rPr>
          <w:rFonts w:ascii="Arial" w:cs="Arial" w:eastAsia="Arial" w:hAnsi="Arial"/>
          <w:sz w:val="25"/>
          <w:szCs w:val="25"/>
          <w:color w:val="auto"/>
          <w:vertAlign w:val="superscript"/>
        </w:rPr>
      </w:pPr>
    </w:p>
    <w:p>
      <w:pPr>
        <w:ind w:left="880" w:hanging="373"/>
        <w:spacing w:after="0" w:line="232" w:lineRule="auto"/>
        <w:tabs>
          <w:tab w:leader="none" w:pos="88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3" w:lineRule="exact"/>
        <w:rPr>
          <w:rFonts w:ascii="Arial" w:cs="Arial" w:eastAsia="Arial" w:hAnsi="Arial"/>
          <w:sz w:val="25"/>
          <w:szCs w:val="25"/>
          <w:color w:val="auto"/>
          <w:vertAlign w:val="superscript"/>
        </w:rPr>
      </w:pPr>
    </w:p>
    <w:p>
      <w:pPr>
        <w:ind w:left="880" w:right="300" w:hanging="373"/>
        <w:spacing w:after="0" w:line="227" w:lineRule="auto"/>
        <w:tabs>
          <w:tab w:leader="none" w:pos="88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231F20"/>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94" w:lineRule="exact"/>
        <w:rPr>
          <w:rFonts w:ascii="Arial" w:cs="Arial" w:eastAsia="Arial" w:hAnsi="Arial"/>
          <w:sz w:val="24"/>
          <w:szCs w:val="24"/>
          <w:color w:val="auto"/>
          <w:vertAlign w:val="superscript"/>
        </w:rPr>
      </w:pPr>
    </w:p>
    <w:p>
      <w:pPr>
        <w:ind w:left="880" w:right="40" w:hanging="373"/>
        <w:spacing w:after="0" w:line="235" w:lineRule="auto"/>
        <w:tabs>
          <w:tab w:leader="none" w:pos="88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95" w:lineRule="exact"/>
        <w:rPr>
          <w:rFonts w:ascii="Arial" w:cs="Arial" w:eastAsia="Arial" w:hAnsi="Arial"/>
          <w:sz w:val="25"/>
          <w:szCs w:val="25"/>
          <w:color w:val="auto"/>
          <w:vertAlign w:val="superscript"/>
        </w:rPr>
      </w:pPr>
    </w:p>
    <w:p>
      <w:pPr>
        <w:ind w:left="880" w:right="500" w:hanging="373"/>
        <w:spacing w:after="0" w:line="268" w:lineRule="auto"/>
        <w:tabs>
          <w:tab w:leader="none" w:pos="88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231F20"/>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73" w:lineRule="exact"/>
        <w:rPr>
          <w:rFonts w:ascii="Arial" w:cs="Arial" w:eastAsia="Arial" w:hAnsi="Arial"/>
          <w:sz w:val="22"/>
          <w:szCs w:val="22"/>
          <w:color w:val="auto"/>
          <w:vertAlign w:val="superscript"/>
        </w:rPr>
      </w:pPr>
    </w:p>
    <w:p>
      <w:pPr>
        <w:ind w:left="880" w:right="360" w:hanging="373"/>
        <w:spacing w:after="0" w:line="216" w:lineRule="auto"/>
        <w:tabs>
          <w:tab w:leader="none" w:pos="88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231F20"/>
        </w:rPr>
        <w:t>federal consumer protection and unfair competition laws, which broadly regulate marketplace activities and activities that potentially harm consumers;</w:t>
      </w:r>
    </w:p>
    <w:p>
      <w:pPr>
        <w:spacing w:after="0" w:line="94" w:lineRule="exact"/>
        <w:rPr>
          <w:rFonts w:ascii="Arial" w:cs="Arial" w:eastAsia="Arial" w:hAnsi="Arial"/>
          <w:sz w:val="25"/>
          <w:szCs w:val="25"/>
          <w:color w:val="auto"/>
          <w:vertAlign w:val="superscript"/>
        </w:rPr>
      </w:pPr>
    </w:p>
    <w:p>
      <w:pPr>
        <w:ind w:left="880" w:right="20" w:hanging="373"/>
        <w:spacing w:after="0" w:line="274" w:lineRule="auto"/>
        <w:tabs>
          <w:tab w:leader="none" w:pos="88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with data reporting in 2022, reporting obligations with respect to covered recipients have been expanded to include physician assistants, nurse practitioners, clinical nurse specialists, certified registered nurse anesthetists and anesthesiologist assistants, and certified nurse midwives for payments and transfers of value made during the previous year; and</w:t>
      </w:r>
    </w:p>
    <w:p>
      <w:pPr>
        <w:spacing w:after="0" w:line="70" w:lineRule="exact"/>
        <w:rPr>
          <w:rFonts w:ascii="Arial" w:cs="Arial" w:eastAsia="Arial" w:hAnsi="Arial"/>
          <w:sz w:val="22"/>
          <w:szCs w:val="22"/>
          <w:color w:val="auto"/>
          <w:vertAlign w:val="superscript"/>
        </w:rPr>
      </w:pPr>
    </w:p>
    <w:p>
      <w:pPr>
        <w:ind w:left="880" w:right="20" w:hanging="373"/>
        <w:spacing w:after="0"/>
        <w:tabs>
          <w:tab w:leader="none" w:pos="88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235"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ind w:right="380"/>
        <w:spacing w:after="0" w:line="311" w:lineRule="auto"/>
        <w:rPr>
          <w:sz w:val="20"/>
          <w:szCs w:val="20"/>
          <w:color w:val="auto"/>
        </w:rPr>
      </w:pPr>
      <w:r>
        <w:rPr>
          <w:rFonts w:ascii="Arial" w:cs="Arial" w:eastAsia="Arial" w:hAnsi="Arial"/>
          <w:sz w:val="16"/>
          <w:szCs w:val="16"/>
          <w:color w:val="231F20"/>
        </w:rPr>
        <w:t>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9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2" w:lineRule="exact"/>
        <w:rPr>
          <w:sz w:val="20"/>
          <w:szCs w:val="20"/>
          <w:color w:val="auto"/>
        </w:rPr>
      </w:pPr>
    </w:p>
    <w:p>
      <w:pPr>
        <w:ind w:right="120" w:firstLine="510"/>
        <w:spacing w:after="0" w:line="268" w:lineRule="auto"/>
        <w:rPr>
          <w:sz w:val="20"/>
          <w:szCs w:val="20"/>
          <w:color w:val="auto"/>
        </w:rPr>
      </w:pPr>
      <w:r>
        <w:rPr>
          <w:rFonts w:ascii="Arial" w:cs="Arial" w:eastAsia="Arial" w:hAnsi="Arial"/>
          <w:sz w:val="17"/>
          <w:szCs w:val="17"/>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76" w:lineRule="exact"/>
        <w:rPr>
          <w:sz w:val="20"/>
          <w:szCs w:val="20"/>
          <w:color w:val="auto"/>
        </w:rPr>
      </w:pPr>
    </w:p>
    <w:p>
      <w:pPr>
        <w:ind w:right="220" w:firstLine="510"/>
        <w:spacing w:after="0" w:line="273" w:lineRule="auto"/>
        <w:rPr>
          <w:sz w:val="20"/>
          <w:szCs w:val="20"/>
          <w:color w:val="auto"/>
        </w:rPr>
      </w:pPr>
      <w:r>
        <w:rPr>
          <w:rFonts w:ascii="Arial" w:cs="Arial" w:eastAsia="Arial" w:hAnsi="Arial"/>
          <w:sz w:val="17"/>
          <w:szCs w:val="17"/>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214"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332"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231F20"/>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5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directly or indirectly, offering, promising, giving or authorizing others to give anything of value, either directly or indirectly, to recipients in the public or private sector in order to influence official action or otherwise obtain or retain business. Our business is heavily regulated and therefore involves significant interaction with public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ind w:right="360"/>
        <w:spacing w:after="0" w:line="286" w:lineRule="auto"/>
        <w:rPr>
          <w:sz w:val="20"/>
          <w:szCs w:val="20"/>
          <w:color w:val="auto"/>
        </w:rPr>
      </w:pPr>
      <w:r>
        <w:rPr>
          <w:rFonts w:ascii="Arial" w:cs="Arial" w:eastAsia="Arial" w:hAnsi="Arial"/>
          <w:sz w:val="17"/>
          <w:szCs w:val="17"/>
          <w:color w:val="231F20"/>
        </w:rPr>
        <w:t>officials, including officials of non-U.S. governments. Additionally, in many other countries, hospitals are owned and operated by the government, and doctors and other hospital employees would be considered foreign officials under the FCPA. Recently, the SEC and Department of Justice (DOJ) have increased their FCPA enforcement activities with respect to biotechnology and pharmaceutical companies.</w:t>
      </w:r>
    </w:p>
    <w:p>
      <w:pPr>
        <w:spacing w:after="0" w:line="19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231F20"/>
        </w:rPr>
        <w:t>We sometimes leverage third parties to assist with the conduct of our business abroad.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and third-party intermediaries will not take actions in violation of applicable law for which we may be ultimately held responsible. As we increase our international sales and business, our risks under these laws may increase.</w:t>
      </w:r>
    </w:p>
    <w:p>
      <w:pPr>
        <w:spacing w:after="0" w:line="20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There is no certainty that all of our employees, agents, representatives, business partners and third-party intermediaries, or those of our affiliates, will comply with applicable laws and regulations, for which we may be ultimately held responsible.</w:t>
      </w:r>
    </w:p>
    <w:p>
      <w:pPr>
        <w:spacing w:after="0" w:line="21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231F20"/>
        </w:rPr>
        <w:t>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205"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3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Comprehensive U.S. tax reform legislation could increase the tax burden on our orphan drug programs and adversely affect our business and financial condition.</w:t>
      </w:r>
    </w:p>
    <w:p>
      <w:pPr>
        <w:spacing w:after="0" w:line="76"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231F20"/>
        </w:rPr>
        <w:t>In 2017, the U.S. government enacted the Tax Act, which as modified by the CARES Act, includes significant changes to the taxation of business entities. These changes include, among others, (i) a permanent reduction to the corporate income tax rate, (ii) a partial limitation on the deductibility of business interest expense and NOL carryforwards and (iii) a shift of the U.S. taxation of multinational corporations from a tax on worldwide income to a territorial system (along with certain rules designed to prevent erosion of the U.S. income tax base). Further, the comprehensive tax legislation reduces the orphan drug tax credit from 50% to 25% of qualifying expenditures. When and if we become profitable, this reduction in tax credits may result in an increased federal income tax burden on our orphan drug programs as it may cause us to pay federal income taxes earlier under the revised tax law than under the prior law and, despite being partially off-set by a reduction in the corporate tax rate from a top marginal rate of 35% to a flat rate of 21%, may increase our total federal tax liability attributable to such programs. Additionally, President Biden has proposed an increase of the corporate tax rate from 21% to 28%, which, if enacted would further increase our total federal tax liability when and if we become profitable.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ind w:right="20" w:firstLine="510"/>
        <w:spacing w:after="0" w:line="291" w:lineRule="auto"/>
        <w:rPr>
          <w:sz w:val="20"/>
          <w:szCs w:val="20"/>
          <w:color w:val="auto"/>
        </w:rPr>
      </w:pPr>
      <w:r>
        <w:rPr>
          <w:rFonts w:ascii="Arial" w:cs="Arial" w:eastAsia="Arial" w:hAnsi="Arial"/>
          <w:sz w:val="16"/>
          <w:szCs w:val="16"/>
          <w:color w:val="231F20"/>
        </w:rPr>
        <w:t>Notwithstanding the changes in the corporate income tax rate, the overall impact of this comprehensive tax legislation resulted in an overall reduction in our deferred tax assets, and our business and financial condition could still be adversely affected as additional guidance and regulations are issued with respect to the original tax law change. In addition, it is uncertain if and to what extent various states will conform to this comprehensive tax legislation, and states may enact suspensions or limitations on the use of NOLs and tax credits (including, without limitation, California legislation enacted in 2020 that suspends the use of California NOLs and limits the use of certain California tax credits for certain periods). The impact of this comprehensive tax legislation on holders of our common stock is also uncertain and could be adverse. Investors should consult with their legal and tax advisors with respect to this comprehensive tax legislation and the potential tax consequences of investing in or holding our common stock.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Employee Matters, Managing Our Growth and Other Risks Related to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is highly dependent on our ability to attract and retain highly skilled executive officers and employees.</w:t>
      </w:r>
    </w:p>
    <w:p>
      <w:pPr>
        <w:spacing w:after="0" w:line="13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particularly Faraz Ali, M.B.A., our Chief Executive Officer. Additionally, the COVID-19 pandemic may interfere with our ability to hire or retain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219"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203"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31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76"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231F20"/>
        </w:rPr>
        <w:t>As of June 30, 2021, we had more than 85 full-time employees. Of these employees, approximately 47 are engaged in research and development activities and approximately 25 are engaged in manufacturing activities. In order to successfully implement our development and commercialization plans and strategies, and as we begin to operate as a public company, we expect to need additional managerial, operational, sales, marketing, financial and other personnel. Future growth would impose significant added responsibilities on members of management, including:</w:t>
      </w:r>
    </w:p>
    <w:p>
      <w:pPr>
        <w:ind w:left="880" w:hanging="373"/>
        <w:spacing w:after="0" w:line="233" w:lineRule="auto"/>
        <w:tabs>
          <w:tab w:leader="none" w:pos="88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231F20"/>
        </w:rPr>
        <w:t>identifying, recruiting, integrating, maintaining and motivating additional employees;</w:t>
      </w:r>
    </w:p>
    <w:p>
      <w:pPr>
        <w:spacing w:after="0" w:line="107" w:lineRule="exact"/>
        <w:rPr>
          <w:rFonts w:ascii="Arial" w:cs="Arial" w:eastAsia="Arial" w:hAnsi="Arial"/>
          <w:sz w:val="25"/>
          <w:szCs w:val="25"/>
          <w:color w:val="auto"/>
          <w:vertAlign w:val="superscript"/>
        </w:rPr>
      </w:pPr>
    </w:p>
    <w:p>
      <w:pPr>
        <w:ind w:left="880" w:right="220" w:hanging="373"/>
        <w:spacing w:after="0" w:line="226" w:lineRule="auto"/>
        <w:tabs>
          <w:tab w:leader="none" w:pos="88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231F20"/>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231F20"/>
        </w:rPr>
        <w:t>improving our operational, financial and management controls, reporting systems and procedures.</w:t>
      </w:r>
    </w:p>
    <w:p>
      <w:pPr>
        <w:spacing w:after="0" w:line="24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64" w:name="page65"/>
    <w:bookmarkEnd w:id="64"/>
    <w:p>
      <w:pPr>
        <w:ind w:firstLine="510"/>
        <w:spacing w:after="0" w:line="271" w:lineRule="auto"/>
        <w:rPr>
          <w:sz w:val="20"/>
          <w:szCs w:val="20"/>
          <w:color w:val="auto"/>
        </w:rPr>
      </w:pPr>
      <w:r>
        <w:rPr>
          <w:rFonts w:ascii="Arial" w:cs="Arial" w:eastAsia="Arial" w:hAnsi="Arial"/>
          <w:sz w:val="17"/>
          <w:szCs w:val="17"/>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205"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231F20"/>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3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7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231F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214"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231F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3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9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from inadvertent or intentional actions by our employees, contractors, consultants, business partners, and other third parties, cyber-attacks by malicious third parties (including supply chain cyber-attacks or attacks by nation-state or nation-state supported actors, or the deployment of harmful malware, ransomware, denial-of-service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or other assets, which could result in financial, legal, business and reputational harm to us.</w:t>
      </w:r>
    </w:p>
    <w:p>
      <w:pPr>
        <w:spacing w:after="0" w:line="209"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231F20"/>
        </w:rPr>
        <w:t>We have in the past and may in the future experience phishing attempts, and companies have, in general, experienced an increase in phishing and social engineering attacks from third parties in connection with the COVID-19 pandemic, and the increase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spacing w:after="0" w:line="287" w:lineRule="auto"/>
        <w:rPr>
          <w:sz w:val="20"/>
          <w:szCs w:val="20"/>
          <w:color w:val="auto"/>
        </w:rPr>
      </w:pPr>
      <w:r>
        <w:rPr>
          <w:rFonts w:ascii="Arial" w:cs="Arial" w:eastAsia="Arial" w:hAnsi="Arial"/>
          <w:sz w:val="16"/>
          <w:szCs w:val="16"/>
          <w:color w:val="231F20"/>
        </w:rPr>
        <w:t>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 attack attributed to our third-party service providers as they relate to the information we share with them.</w:t>
      </w:r>
    </w:p>
    <w:p>
      <w:pPr>
        <w:spacing w:after="0" w:line="19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If any data breach or other security incident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 leads to loss, damage, or unauthorized access to, or use, alteration, disclosure or dissemination of, personal data, including personal data regarding our clinical trial subjects or employees, could harm our reputation directly,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 Additionally, we do not currently maintain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21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231F20"/>
        </w:rPr>
        <w:t>Notifications and follow-up actions related to a data breach or other security incident could impact our reputation and cause us to incur significant costs, including significant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of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3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7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31F20"/>
        </w:rPr>
        <w:t>Our facilities are located in the San Francisco Bay Area. We have not undertaken a systematic analysis of the potential consequences to our business and financial results from a major flood, blizzard, wildfire,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231F20"/>
        </w:rPr>
        <w:t>A variety of risks associated with marketing our product candidates internationally could materially adversely affect our business.</w:t>
      </w:r>
    </w:p>
    <w:p>
      <w:pPr>
        <w:spacing w:after="0" w:line="13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231F20"/>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 w:lineRule="exact"/>
        <w:rPr>
          <w:sz w:val="20"/>
          <w:szCs w:val="20"/>
          <w:color w:val="auto"/>
        </w:rPr>
      </w:pPr>
    </w:p>
    <w:p>
      <w:pPr>
        <w:ind w:left="880" w:hanging="373"/>
        <w:spacing w:after="0"/>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differing regulatory requirements and reimbursement regimes in foreign countries;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unexpected changes in tariffs, trade barriers, price and exchange controls and other regulatory requirements;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231F20"/>
          <w:vertAlign w:val="superscript"/>
        </w:rPr>
      </w:pPr>
      <w:r>
        <w:rPr>
          <w:rFonts w:ascii="Arial" w:cs="Arial" w:eastAsia="Arial" w:hAnsi="Arial"/>
          <w:sz w:val="18"/>
          <w:szCs w:val="18"/>
          <w:color w:val="231F20"/>
        </w:rPr>
        <w:t>economic weakness, including inflation, or political instability in particular foreign economies and markets;</w:t>
      </w:r>
    </w:p>
    <w:p>
      <w:pPr>
        <w:spacing w:after="0" w:line="99" w:lineRule="exact"/>
        <w:rPr>
          <w:rFonts w:ascii="Arial" w:cs="Arial" w:eastAsia="Arial" w:hAnsi="Arial"/>
          <w:sz w:val="25"/>
          <w:szCs w:val="25"/>
          <w:color w:val="231F20"/>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compliance with tax, employment, immigration and labor laws for employees living or traveling abroad;</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foreign taxes, including withholding of payroll taxes;</w:t>
      </w:r>
    </w:p>
    <w:p>
      <w:pPr>
        <w:spacing w:after="0" w:line="107" w:lineRule="exact"/>
        <w:rPr>
          <w:rFonts w:ascii="Arial" w:cs="Arial" w:eastAsia="Arial" w:hAnsi="Arial"/>
          <w:sz w:val="25"/>
          <w:szCs w:val="25"/>
          <w:color w:val="auto"/>
          <w:vertAlign w:val="superscript"/>
        </w:rPr>
      </w:pPr>
    </w:p>
    <w:p>
      <w:pPr>
        <w:ind w:left="880" w:right="100" w:hanging="373"/>
        <w:spacing w:after="0" w:line="216"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difficulties staffing and managing foreign operations;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workforce uncertainty in countries where labor unrest is more common than in the United States;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potential liability under the FCPA or comparable foreign regulations;</w:t>
      </w:r>
    </w:p>
    <w:p>
      <w:pPr>
        <w:spacing w:after="0" w:line="107" w:lineRule="exact"/>
        <w:rPr>
          <w:rFonts w:ascii="Arial" w:cs="Arial" w:eastAsia="Arial" w:hAnsi="Arial"/>
          <w:sz w:val="25"/>
          <w:szCs w:val="25"/>
          <w:color w:val="auto"/>
          <w:vertAlign w:val="superscript"/>
        </w:rPr>
      </w:pPr>
    </w:p>
    <w:p>
      <w:pPr>
        <w:ind w:left="880" w:right="420" w:hanging="373"/>
        <w:spacing w:after="0" w:line="227" w:lineRule="auto"/>
        <w:tabs>
          <w:tab w:leader="none" w:pos="880" w:val="left"/>
        </w:tabs>
        <w:numPr>
          <w:ilvl w:val="0"/>
          <w:numId w:val="37"/>
        </w:numPr>
        <w:rPr>
          <w:rFonts w:ascii="Arial" w:cs="Arial" w:eastAsia="Arial" w:hAnsi="Arial"/>
          <w:sz w:val="24"/>
          <w:szCs w:val="24"/>
          <w:color w:val="auto"/>
          <w:vertAlign w:val="superscript"/>
        </w:rPr>
      </w:pPr>
      <w:r>
        <w:rPr>
          <w:rFonts w:ascii="Arial" w:cs="Arial" w:eastAsia="Arial" w:hAnsi="Arial"/>
          <w:sz w:val="17"/>
          <w:szCs w:val="17"/>
          <w:color w:val="231F20"/>
        </w:rPr>
        <w:t>challenges obtaining, maintaining, protecting, defending and enforcing our contractual and intellectual property rights, especially in those foreign countries that do not respect and protect intellectual property rights to the same extent as the United States;</w:t>
      </w:r>
    </w:p>
    <w:p>
      <w:pPr>
        <w:spacing w:after="0" w:line="36" w:lineRule="exact"/>
        <w:rPr>
          <w:rFonts w:ascii="Arial" w:cs="Arial" w:eastAsia="Arial" w:hAnsi="Arial"/>
          <w:sz w:val="24"/>
          <w:szCs w:val="24"/>
          <w:color w:val="auto"/>
          <w:vertAlign w:val="superscript"/>
        </w:rPr>
      </w:pPr>
    </w:p>
    <w:p>
      <w:pPr>
        <w:ind w:left="880" w:hanging="373"/>
        <w:spacing w:after="0"/>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231F20"/>
        </w:rPr>
        <w:t>business interruptions resulting from geo-political actions, including war and terrorism.</w:t>
      </w:r>
    </w:p>
    <w:p>
      <w:pPr>
        <w:spacing w:after="0" w:line="243"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231F20"/>
        </w:rPr>
        <w:t>These and other risks associated with our international operations may materially adversely affect our ability to attain or maintain profitable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Intellectual Property</w:t>
      </w:r>
    </w:p>
    <w:p>
      <w:pPr>
        <w:spacing w:after="0" w:line="13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i w:val="1"/>
          <w:iCs w:val="1"/>
          <w:color w:val="231F20"/>
        </w:rPr>
        <w:t>We have in-licensed one issued U.S. patent, own one issued U.S. patent, and own one allowed U.S. patent application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231F20"/>
        </w:rPr>
        <w:t>Our commercial success depends in large part on our ability to obtain, maintain, protect, defend and enforce patents, trade secrets and other intellectual property for our product candidates and proprietary technologies and their uses, as well as our ability to operate without infringing, misappropriating or otherwise violating the intellectual property and proprietary rights of others. We rely on patent, copyright, trade secret and trademark laws in the United States and certain other countries to protect our proprietary technology, and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but the efforts we and our licensors take to protect our intellectual property may provide only limited protection. In particular, the development of our product candidates and technology is at an early stage and consequently, our patent portfolio is also at an early stage. Presently, we own one issued U.S. patent, one allowed U.S. patent application and one other pending non-provisional U.S. patent application, seven non- expired Patent Cooperation Treaty (PCT) applications, nine pending foreign patent applications and at least five pending provisional U.S. patent applications. There can be no assurance that we or our licensors will obtain any additional issued patents or that any issued patents we or our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21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infringed, designed around, or invalidated by third parties.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7" w:name="page68"/>
    <w:bookmarkEnd w:id="67"/>
    <w:p>
      <w:pPr>
        <w:ind w:right="20" w:firstLine="510"/>
        <w:spacing w:after="0" w:line="275" w:lineRule="auto"/>
        <w:rPr>
          <w:sz w:val="20"/>
          <w:szCs w:val="20"/>
          <w:color w:val="auto"/>
        </w:rPr>
      </w:pPr>
      <w:r>
        <w:rPr>
          <w:rFonts w:ascii="Arial" w:cs="Arial" w:eastAsia="Arial" w:hAnsi="Arial"/>
          <w:sz w:val="17"/>
          <w:szCs w:val="17"/>
          <w:color w:val="231F20"/>
        </w:rPr>
        <w:t>Even issued patents may later be found invalid or unenforceable or may be modified, narrowed in scope, or revoked in proceedings instituted by third parties before various patent offices or in courts in the United States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w:t>
      </w:r>
    </w:p>
    <w:p>
      <w:pPr>
        <w:spacing w:after="0" w:line="203"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231F20"/>
        </w:rPr>
        <w:t>We cannot be certain that the claims in our U.S. pending patent applications, corresponding international patent applications and patent applications in certain foreign jurisdictions, or those of our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twelve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 patent application, we may lose 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future patent applications for our technology and product candidates will result in the issuance of patents that effectively protect our technology and product candidates.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licensors do not successfully obtain patent protection, or if the scope of the patent protection we or our licensors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201"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by obtaining and defending adequate patent coverage. These risks and uncertainties include the following:</w:t>
      </w:r>
    </w:p>
    <w:p>
      <w:pPr>
        <w:spacing w:after="0" w:line="76" w:lineRule="exact"/>
        <w:rPr>
          <w:sz w:val="20"/>
          <w:szCs w:val="20"/>
          <w:color w:val="auto"/>
        </w:rPr>
      </w:pPr>
    </w:p>
    <w:p>
      <w:pPr>
        <w:jc w:val="both"/>
        <w:ind w:left="880" w:right="60" w:hanging="373"/>
        <w:spacing w:after="0" w:line="226" w:lineRule="auto"/>
        <w:tabs>
          <w:tab w:leader="none" w:pos="88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231F20"/>
        </w:rPr>
        <w:t>patent applications may not result in any patents being issued;</w:t>
      </w:r>
    </w:p>
    <w:p>
      <w:pPr>
        <w:spacing w:after="0" w:line="107" w:lineRule="exact"/>
        <w:rPr>
          <w:rFonts w:ascii="Arial" w:cs="Arial" w:eastAsia="Arial" w:hAnsi="Arial"/>
          <w:sz w:val="25"/>
          <w:szCs w:val="25"/>
          <w:color w:val="auto"/>
          <w:vertAlign w:val="superscript"/>
        </w:rPr>
      </w:pPr>
    </w:p>
    <w:p>
      <w:pPr>
        <w:ind w:left="880" w:right="120" w:hanging="373"/>
        <w:spacing w:after="0" w:line="216" w:lineRule="auto"/>
        <w:tabs>
          <w:tab w:leader="none" w:pos="880" w:val="left"/>
        </w:tabs>
        <w:numPr>
          <w:ilvl w:val="0"/>
          <w:numId w:val="38"/>
        </w:numPr>
        <w:rPr>
          <w:rFonts w:ascii="Arial" w:cs="Arial" w:eastAsia="Arial" w:hAnsi="Arial"/>
          <w:sz w:val="25"/>
          <w:szCs w:val="25"/>
          <w:color w:val="231F20"/>
          <w:vertAlign w:val="superscript"/>
        </w:rPr>
      </w:pPr>
      <w:r>
        <w:rPr>
          <w:rFonts w:ascii="Arial" w:cs="Arial" w:eastAsia="Arial" w:hAnsi="Arial"/>
          <w:sz w:val="18"/>
          <w:szCs w:val="18"/>
          <w:color w:val="231F20"/>
        </w:rPr>
        <w:t>patents may be challenged, invalidated, modified, revoked, circumvented, found to be unenforceable, narrowed in scope or otherwise may not provide any competitive advantage;</w:t>
      </w:r>
    </w:p>
    <w:p>
      <w:pPr>
        <w:spacing w:after="0" w:line="94" w:lineRule="exact"/>
        <w:rPr>
          <w:rFonts w:ascii="Arial" w:cs="Arial" w:eastAsia="Arial" w:hAnsi="Arial"/>
          <w:sz w:val="25"/>
          <w:szCs w:val="25"/>
          <w:color w:val="231F20"/>
          <w:vertAlign w:val="superscript"/>
        </w:rPr>
      </w:pPr>
    </w:p>
    <w:p>
      <w:pPr>
        <w:ind w:left="880" w:right="80" w:hanging="373"/>
        <w:spacing w:after="0" w:line="226" w:lineRule="auto"/>
        <w:tabs>
          <w:tab w:leader="none" w:pos="880" w:val="left"/>
        </w:tabs>
        <w:numPr>
          <w:ilvl w:val="0"/>
          <w:numId w:val="38"/>
        </w:numPr>
        <w:rPr>
          <w:rFonts w:ascii="Arial" w:cs="Arial" w:eastAsia="Arial" w:hAnsi="Arial"/>
          <w:sz w:val="25"/>
          <w:szCs w:val="25"/>
          <w:color w:val="231F20"/>
          <w:vertAlign w:val="superscript"/>
        </w:rPr>
      </w:pPr>
      <w:r>
        <w:rPr>
          <w:rFonts w:ascii="Arial" w:cs="Arial" w:eastAsia="Arial" w:hAnsi="Arial"/>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95" w:lineRule="exact"/>
        <w:rPr>
          <w:rFonts w:ascii="Arial" w:cs="Arial" w:eastAsia="Arial" w:hAnsi="Arial"/>
          <w:sz w:val="25"/>
          <w:szCs w:val="25"/>
          <w:color w:val="231F20"/>
          <w:vertAlign w:val="superscript"/>
        </w:rPr>
      </w:pPr>
    </w:p>
    <w:p>
      <w:pPr>
        <w:ind w:left="880" w:right="280" w:hanging="373"/>
        <w:spacing w:after="0" w:line="226" w:lineRule="auto"/>
        <w:tabs>
          <w:tab w:leader="none" w:pos="88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5" w:lineRule="exact"/>
        <w:rPr>
          <w:rFonts w:ascii="Arial" w:cs="Arial" w:eastAsia="Arial" w:hAnsi="Arial"/>
          <w:sz w:val="25"/>
          <w:szCs w:val="25"/>
          <w:color w:val="auto"/>
          <w:vertAlign w:val="superscript"/>
        </w:rPr>
      </w:pPr>
    </w:p>
    <w:p>
      <w:pPr>
        <w:ind w:left="880" w:right="420" w:hanging="373"/>
        <w:spacing w:after="0" w:line="226" w:lineRule="auto"/>
        <w:tabs>
          <w:tab w:leader="none" w:pos="88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23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8" w:name="page69"/>
    <w:bookmarkEnd w:id="68"/>
    <w:p>
      <w:pPr>
        <w:ind w:right="60" w:firstLine="510"/>
        <w:spacing w:after="0" w:line="275" w:lineRule="auto"/>
        <w:rPr>
          <w:sz w:val="20"/>
          <w:szCs w:val="20"/>
          <w:color w:val="auto"/>
        </w:rPr>
      </w:pPr>
      <w:r>
        <w:rPr>
          <w:rFonts w:ascii="Arial" w:cs="Arial" w:eastAsia="Arial" w:hAnsi="Arial"/>
          <w:sz w:val="17"/>
          <w:szCs w:val="17"/>
          <w:color w:val="231F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203"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76"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or otherwise provide any commercial advantage.</w:t>
      </w:r>
    </w:p>
    <w:p>
      <w:pPr>
        <w:spacing w:after="0" w:line="198"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 Our competitors or other third parties may be able to circumvent our potential future patents or the patents of our licensors by developing similar or alternative technologies or products in a non-infringing manner which could materially adversely affect our business, financial condition, results of operations and prospects.</w:t>
      </w:r>
    </w:p>
    <w:p>
      <w:pPr>
        <w:spacing w:after="0" w:line="195"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231F20"/>
        </w:rPr>
        <w:t>While we believe our intellectual property allows us to pursue our current development programs, several companies and academic institutions are pursuing alternate approaches to gene therapy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after that date that will not be filed outside the United States may remain confidential until a patent issues.</w:t>
      </w:r>
    </w:p>
    <w:p>
      <w:pPr>
        <w:spacing w:after="0" w:line="193"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231F20"/>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United States and abroad. For example, we may be subject to a third-party pre-issuance submission of prior art to the USPTO, or become involved in opposition, derivation, revocation, reexamination, post-grant review (PGR) and inter partes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Moreover, our potential future patents or the patents of our licensors may become subject to post-grant challenge proceedings, such as oppositions in a foreign patent office, that challenge our priority of invention or other features of patentability with respect to our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9" w:name="page70"/>
    <w:bookmarkEnd w:id="69"/>
    <w:p>
      <w:pPr>
        <w:spacing w:after="0" w:line="293" w:lineRule="auto"/>
        <w:rPr>
          <w:sz w:val="20"/>
          <w:szCs w:val="20"/>
          <w:color w:val="auto"/>
        </w:rPr>
      </w:pPr>
      <w:r>
        <w:rPr>
          <w:rFonts w:ascii="Arial" w:cs="Arial" w:eastAsia="Arial" w:hAnsi="Arial"/>
          <w:sz w:val="16"/>
          <w:szCs w:val="16"/>
          <w:color w:val="231F20"/>
        </w:rPr>
        <w:t>potential future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Intellectual property rights do not necessarily address all potential threats to our competitive advantage.</w:t>
      </w:r>
    </w:p>
    <w:p>
      <w:pPr>
        <w:spacing w:after="0" w:line="131" w:lineRule="exact"/>
        <w:rPr>
          <w:sz w:val="20"/>
          <w:szCs w:val="20"/>
          <w:color w:val="auto"/>
        </w:rPr>
      </w:pPr>
    </w:p>
    <w:p>
      <w:pPr>
        <w:ind w:right="620" w:firstLine="510"/>
        <w:spacing w:after="0" w:line="308" w:lineRule="auto"/>
        <w:rPr>
          <w:sz w:val="20"/>
          <w:szCs w:val="20"/>
          <w:color w:val="auto"/>
        </w:rPr>
      </w:pPr>
      <w:r>
        <w:rPr>
          <w:rFonts w:ascii="Arial" w:cs="Arial" w:eastAsia="Arial" w:hAnsi="Arial"/>
          <w:sz w:val="17"/>
          <w:szCs w:val="17"/>
          <w:color w:val="231F20"/>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38" w:lineRule="exact"/>
        <w:rPr>
          <w:sz w:val="20"/>
          <w:szCs w:val="20"/>
          <w:color w:val="auto"/>
        </w:rPr>
      </w:pPr>
    </w:p>
    <w:p>
      <w:pPr>
        <w:ind w:left="880" w:right="820" w:hanging="373"/>
        <w:spacing w:after="0" w:line="216" w:lineRule="auto"/>
        <w:tabs>
          <w:tab w:leader="none" w:pos="880" w:val="left"/>
        </w:tabs>
        <w:numPr>
          <w:ilvl w:val="0"/>
          <w:numId w:val="39"/>
        </w:numPr>
        <w:rPr>
          <w:rFonts w:ascii="Arial" w:cs="Arial" w:eastAsia="Arial" w:hAnsi="Arial"/>
          <w:sz w:val="25"/>
          <w:szCs w:val="25"/>
          <w:color w:val="231F20"/>
          <w:vertAlign w:val="superscript"/>
        </w:rPr>
      </w:pPr>
      <w:r>
        <w:rPr>
          <w:rFonts w:ascii="Arial" w:cs="Arial" w:eastAsia="Arial" w:hAnsi="Arial"/>
          <w:sz w:val="18"/>
          <w:szCs w:val="18"/>
          <w:color w:val="231F20"/>
        </w:rPr>
        <w:t>others may be able to develop products that are similar to our product candidates but that are not covered by the claims of the patent applications that we own or license;</w:t>
      </w:r>
    </w:p>
    <w:p>
      <w:pPr>
        <w:spacing w:after="0" w:line="94" w:lineRule="exact"/>
        <w:rPr>
          <w:rFonts w:ascii="Arial" w:cs="Arial" w:eastAsia="Arial" w:hAnsi="Arial"/>
          <w:sz w:val="25"/>
          <w:szCs w:val="25"/>
          <w:color w:val="231F20"/>
          <w:vertAlign w:val="superscript"/>
        </w:rPr>
      </w:pPr>
    </w:p>
    <w:p>
      <w:pPr>
        <w:ind w:left="880" w:right="240" w:hanging="373"/>
        <w:spacing w:after="0" w:line="216" w:lineRule="auto"/>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we or our current or future licensors or collaborators might not have been the first to make the inventions covered by the patent applications that we own or license now or may own or license in the future;</w:t>
      </w:r>
    </w:p>
    <w:p>
      <w:pPr>
        <w:spacing w:after="0" w:line="72"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231F20"/>
        </w:rPr>
        <w:t>we or our current or future licensors or collaborators might not have been the first to file patent applications covering certain of our inventions;</w:t>
      </w:r>
    </w:p>
    <w:p>
      <w:pPr>
        <w:spacing w:after="0" w:line="107" w:lineRule="exact"/>
        <w:rPr>
          <w:rFonts w:ascii="Arial" w:cs="Arial" w:eastAsia="Arial" w:hAnsi="Arial"/>
          <w:sz w:val="22"/>
          <w:szCs w:val="22"/>
          <w:color w:val="auto"/>
          <w:vertAlign w:val="superscript"/>
        </w:rPr>
      </w:pPr>
    </w:p>
    <w:p>
      <w:pPr>
        <w:ind w:left="880" w:right="220" w:hanging="373"/>
        <w:spacing w:after="0" w:line="216" w:lineRule="auto"/>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it is possible that the pending patent applications we own or license will not lead to issued patents;</w:t>
      </w:r>
    </w:p>
    <w:p>
      <w:pPr>
        <w:spacing w:after="0" w:line="107" w:lineRule="exact"/>
        <w:rPr>
          <w:rFonts w:ascii="Arial" w:cs="Arial" w:eastAsia="Arial" w:hAnsi="Arial"/>
          <w:sz w:val="25"/>
          <w:szCs w:val="25"/>
          <w:color w:val="auto"/>
          <w:vertAlign w:val="superscript"/>
        </w:rPr>
      </w:pPr>
    </w:p>
    <w:p>
      <w:pPr>
        <w:ind w:left="880" w:right="120" w:hanging="373"/>
        <w:spacing w:after="0" w:line="216" w:lineRule="auto"/>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issued patents that we may hold rights to may be held invalid or unenforceable, including as a result of legal challenges by our competitors or other third parties;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others may have access to the same intellectual property rights licensed to us in the future on a nonexclusive basis;</w:t>
      </w:r>
    </w:p>
    <w:p>
      <w:pPr>
        <w:spacing w:after="0" w:line="107" w:lineRule="exact"/>
        <w:rPr>
          <w:rFonts w:ascii="Arial" w:cs="Arial" w:eastAsia="Arial" w:hAnsi="Arial"/>
          <w:sz w:val="25"/>
          <w:szCs w:val="25"/>
          <w:color w:val="auto"/>
          <w:vertAlign w:val="superscript"/>
        </w:rPr>
      </w:pPr>
    </w:p>
    <w:p>
      <w:pPr>
        <w:ind w:left="880" w:right="820" w:hanging="373"/>
        <w:spacing w:after="0" w:line="227" w:lineRule="auto"/>
        <w:tabs>
          <w:tab w:leader="none" w:pos="88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6" w:lineRule="exact"/>
        <w:rPr>
          <w:rFonts w:ascii="Arial" w:cs="Arial" w:eastAsia="Arial" w:hAnsi="Arial"/>
          <w:sz w:val="24"/>
          <w:szCs w:val="24"/>
          <w:color w:val="auto"/>
          <w:vertAlign w:val="superscript"/>
        </w:rPr>
      </w:pPr>
    </w:p>
    <w:p>
      <w:pPr>
        <w:ind w:left="880" w:hanging="373"/>
        <w:spacing w:after="0"/>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we may not develop additional proprietary technologies that are patentable;</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the patents of others may have an adverse effect on our business; and</w:t>
      </w:r>
    </w:p>
    <w:p>
      <w:pPr>
        <w:spacing w:after="0" w:line="107" w:lineRule="exact"/>
        <w:rPr>
          <w:rFonts w:ascii="Arial" w:cs="Arial" w:eastAsia="Arial" w:hAnsi="Arial"/>
          <w:sz w:val="25"/>
          <w:szCs w:val="25"/>
          <w:color w:val="auto"/>
          <w:vertAlign w:val="superscript"/>
        </w:rPr>
      </w:pPr>
    </w:p>
    <w:p>
      <w:pPr>
        <w:ind w:left="880" w:right="340" w:hanging="373"/>
        <w:spacing w:after="0" w:line="216" w:lineRule="auto"/>
        <w:tabs>
          <w:tab w:leader="none" w:pos="88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231F20"/>
        </w:rPr>
        <w:t>we may choose not to file a patent in order to maintain certain trade secrets or know-how, and a third- party may subsequently file a patent covering such intellectual property.</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Should any of these events occur, it could significantly harm our business, results of operations and prospects.</w:t>
      </w:r>
    </w:p>
    <w:p>
      <w:pPr>
        <w:spacing w:after="0" w:line="36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77"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231F20"/>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 foreign issued patents and pending patent applications exist in the fields in which we are developing product candidates. There are and in the future may be third-party patents or patent 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0" w:name="page71"/>
    <w:bookmarkEnd w:id="70"/>
    <w:p>
      <w:pPr>
        <w:ind w:right="60" w:firstLine="510"/>
        <w:spacing w:after="0" w:line="289" w:lineRule="auto"/>
        <w:rPr>
          <w:sz w:val="20"/>
          <w:szCs w:val="20"/>
          <w:color w:val="auto"/>
        </w:rPr>
      </w:pPr>
      <w:r>
        <w:rPr>
          <w:rFonts w:ascii="Arial" w:cs="Arial" w:eastAsia="Arial" w:hAnsi="Arial"/>
          <w:sz w:val="16"/>
          <w:szCs w:val="16"/>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 not infringed. However, if such third-party patent rights were asserted against us and found to be valid, enforceable and infringed, we could be liable for damages and be required to obtain a license to such patent rights prior to commercializing TN-201 in the United States,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to such assertions,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193"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 If any third-party claims that we infringe any of the above-referenced patent rights or any other patent rights, such claims would be time consuming and could:</w:t>
      </w:r>
    </w:p>
    <w:p>
      <w:pPr>
        <w:spacing w:after="0" w:line="18" w:lineRule="exact"/>
        <w:rPr>
          <w:sz w:val="20"/>
          <w:szCs w:val="20"/>
          <w:color w:val="auto"/>
        </w:rPr>
      </w:pPr>
    </w:p>
    <w:p>
      <w:pPr>
        <w:ind w:left="880" w:hanging="373"/>
        <w:spacing w:after="0"/>
        <w:tabs>
          <w:tab w:leader="none" w:pos="8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231F20"/>
        </w:rPr>
        <w:t>result in costly litigation that may cause negative publicity;</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231F20"/>
        </w:rPr>
        <w:t>divert the time and attention of our technical personnel and management;</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231F20"/>
        </w:rPr>
        <w:t>cause development delays;</w:t>
      </w:r>
    </w:p>
    <w:p>
      <w:pPr>
        <w:spacing w:after="0" w:line="107" w:lineRule="exact"/>
        <w:rPr>
          <w:rFonts w:ascii="Arial" w:cs="Arial" w:eastAsia="Arial" w:hAnsi="Arial"/>
          <w:sz w:val="25"/>
          <w:szCs w:val="25"/>
          <w:color w:val="auto"/>
          <w:vertAlign w:val="superscript"/>
        </w:rPr>
      </w:pPr>
    </w:p>
    <w:p>
      <w:pPr>
        <w:ind w:left="880" w:right="200" w:hanging="373"/>
        <w:spacing w:after="0" w:line="216" w:lineRule="auto"/>
        <w:tabs>
          <w:tab w:leader="none" w:pos="8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231F20"/>
        </w:rPr>
        <w:t>prevent us from commercializing any of our product candidates until the asserted patent expires or is held finally invalid or not infringed in a court of law;</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231F20"/>
        </w:rPr>
        <w:t>require us to develop non-infringing technology, which may not be possible on a cost-effective basis;</w:t>
      </w:r>
    </w:p>
    <w:p>
      <w:pPr>
        <w:spacing w:after="0" w:line="107" w:lineRule="exact"/>
        <w:rPr>
          <w:rFonts w:ascii="Arial" w:cs="Arial" w:eastAsia="Arial" w:hAnsi="Arial"/>
          <w:sz w:val="25"/>
          <w:szCs w:val="25"/>
          <w:color w:val="auto"/>
          <w:vertAlign w:val="superscript"/>
        </w:rPr>
      </w:pPr>
    </w:p>
    <w:p>
      <w:pPr>
        <w:ind w:left="880" w:right="660" w:hanging="373"/>
        <w:spacing w:after="0" w:line="216" w:lineRule="auto"/>
        <w:tabs>
          <w:tab w:leader="none" w:pos="8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231F20"/>
        </w:rPr>
        <w:t>subject us to significant liability and damages to third parties, including treble damages if we are found to willfully infringe third-party intellectual property; or</w:t>
      </w:r>
    </w:p>
    <w:p>
      <w:pPr>
        <w:spacing w:after="0" w:line="94" w:lineRule="exact"/>
        <w:rPr>
          <w:rFonts w:ascii="Arial" w:cs="Arial" w:eastAsia="Arial" w:hAnsi="Arial"/>
          <w:sz w:val="25"/>
          <w:szCs w:val="25"/>
          <w:color w:val="auto"/>
          <w:vertAlign w:val="superscript"/>
        </w:rPr>
      </w:pPr>
    </w:p>
    <w:p>
      <w:pPr>
        <w:ind w:left="880" w:right="460" w:hanging="373"/>
        <w:spacing w:after="0" w:line="216" w:lineRule="auto"/>
        <w:tabs>
          <w:tab w:leader="none" w:pos="8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3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231F20"/>
        </w:rPr>
        <w:t>Although no third party has asserted a claim of patent infringement against us as of the date of this periodic report, there can be no assurance that we will not be subject to claims of patent or other intellectual property infringement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w:t>
      </w:r>
    </w:p>
    <w:p>
      <w:pPr>
        <w:spacing w:after="0" w:line="182"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231F20"/>
        </w:rPr>
        <w:t>Third parties may assert claims of patent infringement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1" w:name="page72"/>
    <w:bookmarkEnd w:id="71"/>
    <w:p>
      <w:pPr>
        <w:ind w:right="140"/>
        <w:spacing w:after="0" w:line="275" w:lineRule="auto"/>
        <w:rPr>
          <w:sz w:val="20"/>
          <w:szCs w:val="20"/>
          <w:color w:val="auto"/>
        </w:rPr>
      </w:pPr>
      <w:r>
        <w:rPr>
          <w:rFonts w:ascii="Arial" w:cs="Arial" w:eastAsia="Arial" w:hAnsi="Arial"/>
          <w:sz w:val="17"/>
          <w:szCs w:val="17"/>
          <w:color w:val="231F20"/>
        </w:rPr>
        <w:t>infringement, if necessary, and we could encounter delays in our product introductions while we attempt to develop alternative technology and product candidates to avoid infringing third-party intellectual property rights.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203"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03"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231F20"/>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21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19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obtaining or maintaining necessary rights to our product candidates through acquisitions and in-licenses.</w:t>
      </w:r>
    </w:p>
    <w:p>
      <w:pPr>
        <w:spacing w:after="0" w:line="129"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2" w:name="page73"/>
    <w:bookmarkEnd w:id="72"/>
    <w:p>
      <w:pPr>
        <w:spacing w:after="0" w:line="275" w:lineRule="auto"/>
        <w:rPr>
          <w:sz w:val="20"/>
          <w:szCs w:val="20"/>
          <w:color w:val="auto"/>
        </w:rPr>
      </w:pPr>
      <w:r>
        <w:rPr>
          <w:rFonts w:ascii="Arial" w:cs="Arial" w:eastAsia="Arial" w:hAnsi="Arial"/>
          <w:sz w:val="17"/>
          <w:szCs w:val="17"/>
          <w:color w:val="231F20"/>
        </w:rPr>
        <w:t>third-party intellectual property rights for future products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325"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i w:val="1"/>
          <w:iCs w:val="1"/>
          <w:color w:val="231F20"/>
        </w:rPr>
        <w:t>We may be involved in lawsuits to protect or enforce our potential future patents or our licensors’ patents, which could be expensive, time consuming and unsuccessful. Further, our potential future patents or our licensors’ patents could be found invalid or unenforceable if challenged in court.</w:t>
      </w:r>
    </w:p>
    <w:p>
      <w:pPr>
        <w:spacing w:after="0" w:line="1"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231F20"/>
        </w:rPr>
        <w:t>Competitors and other third parties may infringe, misappropriate or otherwise violate our intellectual property rights. To prevent infringement, misappropriation, unauthorized use or other violation, we may be required to file infringement claims, which can be 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or may refuse to stop the other party from using the technology at issue on the grounds that our potential future patents do not cover such technology. If we or any of our potential future collaborators were to initiate legal proceedings against a third party to enforce a patent directed at one of our product candidates, the defendant could counterclaim that our potential future patent or the patent of our licensor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8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231F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or cancellation of or amendment to our potential future patents in such a way that they no longer cover our technology or product candidates or prevent third parties from competing with our technology or product candidates. The outcome following legal assertions of invalidity and unenforceability is unpredictable. With respect to the validity question, for example, we cannot be certain that there is no invalidating prior art, of which we, our licensor, and the patent examiners are unaware during prosecution. There is also no assurance that there is not prior art of which we are aware, but which we do not believe affects the validity or enforceability of a claim in our potential future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proprietary drug discovery platform, or any product candidates that we may develop. Such a loss of patent protection would have a material adverse impact on our business, financial condition, results of operations and prospects.</w:t>
      </w:r>
    </w:p>
    <w:p>
      <w:pPr>
        <w:spacing w:after="0" w:line="209"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231F20"/>
        </w:rPr>
        <w:t>In addition, if the breadth or strength of protection provided by our patent applications or the patents and patent applications of our licensors is threatened, it could dissuade companies from collaborating with us to license, develop or commercialize current or future product candidates.</w:t>
      </w:r>
    </w:p>
    <w:p>
      <w:pPr>
        <w:spacing w:after="0" w:line="151"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92"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231F20"/>
        </w:rPr>
        <w:t>In addition, the issuance of a patent does not give us the right to practice the patented invention. Third parties may have blocking patents that could prevent us from marketing our own potential future patented product and practicing our own potential future patented technology.</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3" w:name="page74"/>
    <w:bookmarkEnd w:id="73"/>
    <w:p>
      <w:pPr>
        <w:ind w:right="440"/>
        <w:spacing w:after="0" w:line="277" w:lineRule="auto"/>
        <w:rPr>
          <w:sz w:val="20"/>
          <w:szCs w:val="20"/>
          <w:color w:val="auto"/>
        </w:rPr>
      </w:pPr>
      <w:r>
        <w:rPr>
          <w:rFonts w:ascii="Arial" w:cs="Arial" w:eastAsia="Arial" w:hAnsi="Arial"/>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76"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32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76"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231F20"/>
        </w:rPr>
        <w:t>Derivation proceedings provoked by third parties or brought by us or declared by the USPTO may be necessary to determine the priority of inventions with respect to our patent applications or the patents or patent applications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3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231F20"/>
        </w:rPr>
        <w:t>As is the case with other biotechnology and pharmaceutical companies, our success is heavily dependent on intellectual property, particularly patents. Obtaining and enforcing patents in the biotechnology and pharmaceutical industries involve a high degree of technological and legal complexity. Therefore, obtaining and enforcing biotechnology and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Congress or other foreign legislative bodies may pass patent reform legislation that is unfavorable to us.</w:t>
      </w:r>
    </w:p>
    <w:p>
      <w:pPr>
        <w:spacing w:after="0" w:line="204"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231F20"/>
        </w:rPr>
        <w:t xml:space="preserve">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 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6"/>
          <w:szCs w:val="16"/>
          <w:i w:val="1"/>
          <w:iCs w:val="1"/>
          <w:color w:val="231F20"/>
        </w:rPr>
        <w:t>inter partes</w:t>
      </w:r>
      <w:r>
        <w:rPr>
          <w:rFonts w:ascii="Arial" w:cs="Arial" w:eastAsia="Arial" w:hAnsi="Arial"/>
          <w:sz w:val="16"/>
          <w:szCs w:val="16"/>
          <w:color w:val="231F20"/>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 Smith Act, and many of the substantive changes to patent law associated with the Leahy-Smith Act, and in particular, the first-to-file provisions, became effective in 2013. The Leahy- 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In addition, patent reform legislation may pass in the future that could lead to additional uncertainties and increased costs surrounding the prosecution, enforcement and defense of our patent applications.</w:t>
      </w:r>
    </w:p>
    <w:p>
      <w:pPr>
        <w:spacing w:after="0" w:line="20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231F20"/>
        </w:rPr>
        <w:t>Furthermore,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4" w:name="page75"/>
    <w:bookmarkEnd w:id="74"/>
    <w:p>
      <w:pPr>
        <w:ind w:right="660"/>
        <w:spacing w:after="0" w:line="277" w:lineRule="auto"/>
        <w:rPr>
          <w:sz w:val="20"/>
          <w:szCs w:val="20"/>
          <w:color w:val="auto"/>
        </w:rPr>
      </w:pPr>
      <w:r>
        <w:rPr>
          <w:rFonts w:ascii="Arial" w:cs="Arial" w:eastAsia="Arial" w:hAnsi="Arial"/>
          <w:sz w:val="18"/>
          <w:szCs w:val="18"/>
          <w:b w:val="1"/>
          <w:bCs w:val="1"/>
          <w:i w:val="1"/>
          <w:iCs w:val="1"/>
          <w:color w:val="231F20"/>
        </w:rPr>
        <w:t>We may be subject to claims challenging the inventorship or ownership of our owned patent applications or in-licensed patent rights and other intellectual property.</w:t>
      </w:r>
    </w:p>
    <w:p>
      <w:pPr>
        <w:spacing w:after="0" w:line="7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231F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current or future products.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209"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Patent terms may be inadequate to protect our competitive position on our product candidates for an adequate amount of time.</w:t>
      </w:r>
    </w:p>
    <w:p>
      <w:pPr>
        <w:spacing w:after="0" w:line="13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do not obtain patent term extension for our product candidates, our business may be materially harmed.</w:t>
      </w:r>
    </w:p>
    <w:p>
      <w:pPr>
        <w:spacing w:after="0" w:line="13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231F20"/>
        </w:rPr>
        <w:t>Depending upon the timing, duration and specifics of FDA marketing approval of our product candidates, one or more of our U.S.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204"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231F20"/>
        </w:rPr>
        <w:t>We may not be granted any extensions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231F20"/>
        </w:rPr>
        <w:t>foregoing could have a material adverse effect on our business, financial condition, results of operations and prospects.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protect our intellectual property rights throughout the world.</w:t>
      </w:r>
    </w:p>
    <w:p>
      <w:pPr>
        <w:spacing w:after="0" w:line="13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231F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 where we do pursue patent protection. Consequently, we may not be able to prevent third parties from practicing our or our licensors’ inventions in all countries outside the United States, even in jurisdictions where we or our licensors due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potential future patents, the patents of our licensors, or other intellectual property rights may not be effective or sufficient to prevent them from competing.</w:t>
      </w:r>
    </w:p>
    <w:p>
      <w:pPr>
        <w:spacing w:after="0" w:line="208"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231F20"/>
        </w:rPr>
        <w:t>Many companies have encountered significant problems in protecting and defending intellectual property rights in foreign jurisdictions. The legal systems of many foreign countries, particularly certain developing countries, do not favor the enforcement of patents, trade secrets and other intellectual property protection, which could make it difficult for us to stop the infringement of our potential future patents or our licensor’s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potential future patents or the patents of our licensors at risk of being invalidated or interpreted narrowly and our patent applications or the patent applications of our licensors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32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89"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color w:val="231F20"/>
        </w:rPr>
        <w:t>Periodic maintenance fees, renewal fees, annuity fees and various other governmental fees on patents and/or patent applications will be due to the USPTO and various foreign patent offices outside of the United States at various points over the lifetime of our potential future patents and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3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We intend to use registered or unregistered trademarks or trade names to brand and market ourselves and our products, but we do not yet own a U.S. registered trademark for our corporate name, “Tenaya”. Our future trademark applications in the United States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6" w:name="page77"/>
    <w:bookmarkEnd w:id="76"/>
    <w:p>
      <w:pPr>
        <w:ind w:right="60"/>
        <w:spacing w:after="0" w:line="254" w:lineRule="auto"/>
        <w:rPr>
          <w:sz w:val="20"/>
          <w:szCs w:val="20"/>
          <w:color w:val="auto"/>
        </w:rPr>
      </w:pPr>
      <w:r>
        <w:rPr>
          <w:rFonts w:ascii="Arial" w:cs="Arial" w:eastAsia="Arial" w:hAnsi="Arial"/>
          <w:sz w:val="18"/>
          <w:szCs w:val="18"/>
          <w:color w:val="231F20"/>
        </w:rPr>
        <w:t>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222"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would be harmed.</w:t>
      </w:r>
    </w:p>
    <w:p>
      <w:pPr>
        <w:spacing w:after="0" w:line="13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231F20"/>
        </w:rPr>
        <w:t>In addition to seeking patent protection to protect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such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9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Moreover, third parties may still obtain this information or may come upon this or similar information independently, and we would have no right to prevent them from using that technology or information to compete with us.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such matters, regardless of their merit, could involve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7" w:name="page78"/>
    <w:bookmarkEnd w:id="77"/>
    <w:p>
      <w:pPr>
        <w:ind w:right="160"/>
        <w:spacing w:after="0" w:line="296" w:lineRule="auto"/>
        <w:rPr>
          <w:sz w:val="20"/>
          <w:szCs w:val="20"/>
          <w:color w:val="auto"/>
        </w:rPr>
      </w:pPr>
      <w:r>
        <w:rPr>
          <w:rFonts w:ascii="Arial" w:cs="Arial" w:eastAsia="Arial" w:hAnsi="Arial"/>
          <w:sz w:val="16"/>
          <w:szCs w:val="16"/>
          <w:color w:val="231F20"/>
        </w:rPr>
        <w:t>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8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33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have wrongfully hired an employee from our competitors or that we or our employees have wrongfully used or disclosed alleged confidential information or trade secrets of their former employers.</w:t>
      </w:r>
    </w:p>
    <w:p>
      <w:pPr>
        <w:spacing w:after="0" w:line="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Our rights to develop and commercialize our technology and product candidates may be subject, in part, to the terms and conditions of licenses granted to us by others.</w:t>
      </w:r>
    </w:p>
    <w:p>
      <w:pPr>
        <w:spacing w:after="0" w:line="76"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231F20"/>
        </w:rPr>
        <w:t>We have entered into a license agreement with UTSW pursuant to which we have acquired the exclusive right to certain patents and patent applications relating to therapeutics overexpressing the peptide named Dwarf Open Reading Frame, and have entered into various other license agreements with other third parties. We may enter into additional license agreements in the future with other third parties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88"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219"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14"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231F20"/>
        </w:rPr>
        <w:t>Additionally, our licenses may be subject to certain rights of third parties, and, as a result, our current and future licenses may not provide us with exclusive rights to use the licensed intellectual property and technology.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ind w:right="320" w:firstLine="510"/>
        <w:spacing w:after="0" w:line="275" w:lineRule="auto"/>
        <w:rPr>
          <w:sz w:val="20"/>
          <w:szCs w:val="20"/>
          <w:color w:val="auto"/>
        </w:rPr>
      </w:pPr>
      <w:r>
        <w:rPr>
          <w:rFonts w:ascii="Arial" w:cs="Arial" w:eastAsia="Arial" w:hAnsi="Arial"/>
          <w:sz w:val="17"/>
          <w:szCs w:val="17"/>
          <w:color w:val="231F20"/>
        </w:rPr>
        <w:t>For example, the intellectual property we license from UTSW is subject to certain non-commercial rights reserved by UTSW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203"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9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w:t>
      </w:r>
    </w:p>
    <w:p>
      <w:pPr>
        <w:spacing w:after="0" w:line="212"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231F20"/>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310" w:lineRule="exact"/>
        <w:rPr>
          <w:sz w:val="20"/>
          <w:szCs w:val="20"/>
          <w:color w:val="auto"/>
        </w:rPr>
      </w:pPr>
    </w:p>
    <w:p>
      <w:pPr>
        <w:ind w:right="760"/>
        <w:spacing w:after="0" w:line="375" w:lineRule="auto"/>
        <w:rPr>
          <w:sz w:val="20"/>
          <w:szCs w:val="20"/>
          <w:color w:val="auto"/>
        </w:rPr>
      </w:pPr>
      <w:r>
        <w:rPr>
          <w:rFonts w:ascii="Arial" w:cs="Arial" w:eastAsia="Arial" w:hAnsi="Arial"/>
          <w:sz w:val="15"/>
          <w:szCs w:val="15"/>
          <w:b w:val="1"/>
          <w:bCs w:val="1"/>
          <w:i w:val="1"/>
          <w:iCs w:val="1"/>
          <w:color w:val="231F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Disputes may arise between us and our current or future licensors regarding intellectual property subject to a license agreement, including:</w:t>
      </w:r>
    </w:p>
    <w:p>
      <w:pPr>
        <w:spacing w:after="0" w:line="71"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the scope of rights granted under the license agreement and other interpretation-related issues;</w:t>
      </w:r>
    </w:p>
    <w:p>
      <w:pPr>
        <w:spacing w:after="0" w:line="107" w:lineRule="exact"/>
        <w:rPr>
          <w:rFonts w:ascii="Arial" w:cs="Arial" w:eastAsia="Arial" w:hAnsi="Arial"/>
          <w:sz w:val="25"/>
          <w:szCs w:val="25"/>
          <w:color w:val="auto"/>
          <w:vertAlign w:val="superscript"/>
        </w:rPr>
      </w:pPr>
    </w:p>
    <w:p>
      <w:pPr>
        <w:ind w:left="880" w:hanging="373"/>
        <w:spacing w:after="0" w:line="216" w:lineRule="auto"/>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our right to sublicense patents and other rights to third parties;</w:t>
      </w:r>
    </w:p>
    <w:p>
      <w:pPr>
        <w:spacing w:after="0" w:line="107" w:lineRule="exact"/>
        <w:rPr>
          <w:rFonts w:ascii="Arial" w:cs="Arial" w:eastAsia="Arial" w:hAnsi="Arial"/>
          <w:sz w:val="25"/>
          <w:szCs w:val="25"/>
          <w:color w:val="auto"/>
          <w:vertAlign w:val="superscript"/>
        </w:rPr>
      </w:pPr>
    </w:p>
    <w:p>
      <w:pPr>
        <w:ind w:left="880" w:right="560" w:hanging="373"/>
        <w:spacing w:after="0" w:line="216" w:lineRule="auto"/>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whether third parties are entitled to compensation or equitable relief, such as an injunction, for our use of the intellectual property rights without their authorization;</w:t>
      </w:r>
    </w:p>
    <w:p>
      <w:pPr>
        <w:spacing w:after="0" w:line="94" w:lineRule="exact"/>
        <w:rPr>
          <w:rFonts w:ascii="Arial" w:cs="Arial" w:eastAsia="Arial" w:hAnsi="Arial"/>
          <w:sz w:val="25"/>
          <w:szCs w:val="25"/>
          <w:color w:val="auto"/>
          <w:vertAlign w:val="superscript"/>
        </w:rPr>
      </w:pPr>
    </w:p>
    <w:p>
      <w:pPr>
        <w:ind w:left="880" w:right="460" w:hanging="373"/>
        <w:spacing w:after="0" w:line="216" w:lineRule="auto"/>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our involvement or lack of involvement in the prosecution, defense, and enforcement of licensed patents and our licensors’ overall patent enforcement strategy;</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our diligence obligations under the license agreement and what activities satisfy those diligence obligations;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the amounts of royalties, milestones or other payments due under the license agreement;</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231F20"/>
        </w:rPr>
        <w:t>our right to transfer or assign the license;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79" w:name="page80"/>
    <w:bookmarkEnd w:id="79"/>
    <w:p>
      <w:pPr>
        <w:ind w:left="880" w:right="260" w:hanging="373"/>
        <w:spacing w:after="0" w:line="216" w:lineRule="auto"/>
        <w:tabs>
          <w:tab w:leader="none" w:pos="88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231F20"/>
        </w:rPr>
        <w:t>the priority of invention of patented technology.</w:t>
      </w:r>
    </w:p>
    <w:p>
      <w:pPr>
        <w:spacing w:after="0" w:line="242" w:lineRule="exact"/>
        <w:rPr>
          <w:sz w:val="20"/>
          <w:szCs w:val="20"/>
          <w:color w:val="auto"/>
        </w:rPr>
      </w:pPr>
    </w:p>
    <w:p>
      <w:pPr>
        <w:ind w:right="240" w:firstLine="510"/>
        <w:spacing w:after="0" w:line="271" w:lineRule="auto"/>
        <w:rPr>
          <w:sz w:val="20"/>
          <w:szCs w:val="20"/>
          <w:color w:val="auto"/>
        </w:rPr>
      </w:pPr>
      <w:r>
        <w:rPr>
          <w:rFonts w:ascii="Arial" w:cs="Arial" w:eastAsia="Arial" w:hAnsi="Arial"/>
          <w:sz w:val="17"/>
          <w:szCs w:val="17"/>
          <w:color w:val="231F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205"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231F20"/>
        </w:rPr>
        <w:t>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patent protection and patent prosecution for some of our product candidates may be dependent on third parties.</w:t>
      </w:r>
    </w:p>
    <w:p>
      <w:pPr>
        <w:spacing w:after="0" w:line="131"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231F20"/>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31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89"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231F20"/>
        </w:rPr>
        <w:t>We have in-licensed certain patents and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80" w:name="page81"/>
    <w:bookmarkEnd w:id="80"/>
    <w:p>
      <w:pPr>
        <w:spacing w:after="0" w:line="259" w:lineRule="auto"/>
        <w:rPr>
          <w:sz w:val="20"/>
          <w:szCs w:val="20"/>
          <w:color w:val="auto"/>
        </w:rPr>
      </w:pPr>
      <w:r>
        <w:rPr>
          <w:rFonts w:ascii="Arial" w:cs="Arial" w:eastAsia="Arial" w:hAnsi="Arial"/>
          <w:sz w:val="18"/>
          <w:szCs w:val="18"/>
          <w:color w:val="231F20"/>
        </w:rPr>
        <w:t>United States or that under the circumstances domestic manufacture is not commercially feasible. This preference for U.S. industry may limit our ability to contract with non-U.S. product manufacturers for products covered by such intellectual property.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Dependence on Third Parties</w:t>
      </w:r>
    </w:p>
    <w:p>
      <w:pPr>
        <w:spacing w:after="0" w:line="13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231F20"/>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89"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231F20"/>
        </w:rPr>
        <w:t>We utilize and depend upon independent investigators and collaborators, such as medical institutions, CROs and strategic partners to conduct and support our preclinical studies and plan to continue to do so for our future clinical trials. These third parties have had and will continue to have a significant role in the conduct of our preclinical studies and planned clinical trials and the subsequent collection and analysis of data.</w:t>
      </w:r>
    </w:p>
    <w:p>
      <w:pPr>
        <w:spacing w:after="0" w:line="192"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231F20"/>
        </w:rPr>
        <w:t>These third parties are not our employees, and except for remedies available to us under our agreements with such third parties, we have limited ability to control the amount or timing of resources that any such third party will devote to our preclinical studies or our planned clinical trials. Furthermore, the competition for third parties has increased as a result of COVID-19.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208"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231F20"/>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current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03"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231F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1" w:name="page82"/>
    <w:bookmarkEnd w:id="81"/>
    <w:p>
      <w:pPr>
        <w:ind w:right="240"/>
        <w:spacing w:after="0" w:line="259" w:lineRule="auto"/>
        <w:rPr>
          <w:sz w:val="20"/>
          <w:szCs w:val="20"/>
          <w:color w:val="auto"/>
        </w:rPr>
      </w:pPr>
      <w:r>
        <w:rPr>
          <w:rFonts w:ascii="Arial" w:cs="Arial" w:eastAsia="Arial" w:hAnsi="Arial"/>
          <w:sz w:val="18"/>
          <w:szCs w:val="18"/>
          <w:b w:val="1"/>
          <w:bCs w:val="1"/>
          <w:i w:val="1"/>
          <w:iCs w:val="1"/>
          <w:color w:val="231F20"/>
        </w:rPr>
        <w:t>We contract with third parties for the production of our product candidates for preclinical studies and expect to continue to do so for additional preclinical studies, clinical trials and ultimately for commercialization for certain of our product candidates.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7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231F20"/>
        </w:rPr>
        <w:t>We do not currently have the infrastructure or internal capability to manufacture supplies of our product candidates for use in development and commercialization. We plan to fully integrate and internalize AAV manufacturing capabilities to support our Gene Therapy and Cellular Regeneration platforms, and have initiated construction of a cGMP manufacturing facility. Until our manufacturing facility is complete and operational, we will continue to rely on third-party manufacturers for our Gene Therapy and Cellular Regeneration platforms. Moreover, to optimize our use of resources and utilize extensive third-party experience in small molecule manufacturing, we intend to continue to rely on third-party manufacturers for our small molecule programs.</w:t>
      </w:r>
    </w:p>
    <w:p>
      <w:pPr>
        <w:spacing w:after="0" w:line="219"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231F20"/>
        </w:rPr>
        <w:t>Competition for third-party manufacturers and supplies has increased as a result of COVID-19. Changing third-party manufacturers could result in delays in our manufacturing supply chain which could delay or otherwise impact development of our programs and result in increased costs.</w:t>
      </w:r>
    </w:p>
    <w:p>
      <w:pPr>
        <w:spacing w:after="0" w:line="15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231F20"/>
        </w:rPr>
        <w:t>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w:t>
      </w:r>
    </w:p>
    <w:p>
      <w:pPr>
        <w:spacing w:after="0" w:line="215"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231F20"/>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880" w:hanging="373"/>
        <w:spacing w:after="0" w:line="226" w:lineRule="auto"/>
        <w:tabs>
          <w:tab w:leader="none" w:pos="8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49"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3"/>
        </w:numPr>
        <w:rPr>
          <w:rFonts w:ascii="Arial" w:cs="Arial" w:eastAsia="Arial" w:hAnsi="Arial"/>
          <w:sz w:val="24"/>
          <w:szCs w:val="24"/>
          <w:color w:val="auto"/>
          <w:vertAlign w:val="superscript"/>
        </w:rPr>
      </w:pPr>
      <w:r>
        <w:rPr>
          <w:rFonts w:ascii="Arial" w:cs="Arial" w:eastAsia="Arial" w:hAnsi="Arial"/>
          <w:sz w:val="17"/>
          <w:szCs w:val="17"/>
          <w:color w:val="231F20"/>
        </w:rPr>
        <w:t>the termination or nonrenewal of arrangements or agreements by our third-party contractors at a time that is costly or inconvenient for us;</w:t>
      </w:r>
    </w:p>
    <w:p>
      <w:pPr>
        <w:spacing w:after="0" w:line="98" w:lineRule="exact"/>
        <w:rPr>
          <w:rFonts w:ascii="Arial" w:cs="Arial" w:eastAsia="Arial" w:hAnsi="Arial"/>
          <w:sz w:val="24"/>
          <w:szCs w:val="24"/>
          <w:color w:val="auto"/>
          <w:vertAlign w:val="superscript"/>
        </w:rPr>
      </w:pPr>
    </w:p>
    <w:p>
      <w:pPr>
        <w:ind w:left="880" w:hanging="373"/>
        <w:spacing w:after="0" w:line="199" w:lineRule="auto"/>
        <w:tabs>
          <w:tab w:leader="none" w:pos="8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231F20"/>
        </w:rPr>
        <w:t>the breach by the third-party contractors of our agreements with them;</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231F20"/>
        </w:rPr>
        <w:t>the failure of third-party contractors to comply with applicable regulatory requirements, including cGMPs;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231F20"/>
        </w:rPr>
        <w:t>the failure of the third party to manufacture our product candidates according to our specifications;</w:t>
      </w:r>
    </w:p>
    <w:p>
      <w:pPr>
        <w:spacing w:after="0" w:line="107" w:lineRule="exact"/>
        <w:rPr>
          <w:rFonts w:ascii="Arial" w:cs="Arial" w:eastAsia="Arial" w:hAnsi="Arial"/>
          <w:sz w:val="25"/>
          <w:szCs w:val="25"/>
          <w:color w:val="auto"/>
          <w:vertAlign w:val="superscript"/>
        </w:rPr>
      </w:pPr>
    </w:p>
    <w:p>
      <w:pPr>
        <w:ind w:left="880" w:hanging="373"/>
        <w:spacing w:after="0" w:line="216" w:lineRule="auto"/>
        <w:tabs>
          <w:tab w:leader="none" w:pos="8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94" w:lineRule="exact"/>
        <w:rPr>
          <w:rFonts w:ascii="Arial" w:cs="Arial" w:eastAsia="Arial" w:hAnsi="Arial"/>
          <w:sz w:val="25"/>
          <w:szCs w:val="25"/>
          <w:color w:val="auto"/>
          <w:vertAlign w:val="superscript"/>
        </w:rPr>
      </w:pPr>
    </w:p>
    <w:p>
      <w:pPr>
        <w:ind w:left="880" w:right="180" w:hanging="373"/>
        <w:spacing w:after="0" w:line="216" w:lineRule="auto"/>
        <w:tabs>
          <w:tab w:leader="none" w:pos="8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94" w:lineRule="exact"/>
        <w:rPr>
          <w:rFonts w:ascii="Arial" w:cs="Arial" w:eastAsia="Arial" w:hAnsi="Arial"/>
          <w:sz w:val="25"/>
          <w:szCs w:val="25"/>
          <w:color w:val="auto"/>
          <w:vertAlign w:val="superscript"/>
        </w:rPr>
      </w:pPr>
    </w:p>
    <w:p>
      <w:pPr>
        <w:ind w:left="880" w:right="320" w:hanging="373"/>
        <w:spacing w:after="0" w:line="216" w:lineRule="auto"/>
        <w:tabs>
          <w:tab w:leader="none" w:pos="8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231F20"/>
        </w:rPr>
        <w:t>the infringement, misappropriation or other violation of our intellectual property or proprietary information, including our trade secrets and know-how.</w:t>
      </w:r>
    </w:p>
    <w:p>
      <w:pPr>
        <w:spacing w:after="0" w:line="230"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231F20"/>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generally provide us with necessary quantities of API, drug substance and drug product on a project-by-project basis based on our development needs. As we advance our product candidates through development, we will consider our lack of redundant supply for the API, drug substance and drug product for each of our product candidates to protect against any potential supply disruptions. However, we may be unsuccessful in putting in place such framework agreements or protecting against potential supply disruptions.</w:t>
      </w:r>
    </w:p>
    <w:p>
      <w:pPr>
        <w:spacing w:after="0" w:line="20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231F20"/>
        </w:rPr>
        <w:t>Third-party manufacturers may not be able to comply with cGMP regulations or similar regulatory requirements outside of the United States. If our CDMOs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CDMOs to maintain adequate QC, QA, facilities, equipment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82" w:name="page83"/>
    <w:bookmarkEnd w:id="82"/>
    <w:p>
      <w:pPr>
        <w:spacing w:after="0" w:line="291" w:lineRule="auto"/>
        <w:rPr>
          <w:sz w:val="20"/>
          <w:szCs w:val="20"/>
          <w:color w:val="auto"/>
        </w:rPr>
      </w:pPr>
      <w:r>
        <w:rPr>
          <w:rFonts w:ascii="Arial" w:cs="Arial" w:eastAsia="Arial" w:hAnsi="Arial"/>
          <w:sz w:val="16"/>
          <w:szCs w:val="16"/>
          <w:color w:val="231F20"/>
        </w:rPr>
        <w:t>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9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We rely on third-party suppliers for the raw materials required for the production of our product candidates for all of our programs. Our reliance on third-party supplies will continue even after we operationalize our cGMP manufacturing facility to support our Gene Therapy and Cellular Regeneration platforms.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212" w:lineRule="exact"/>
        <w:rPr>
          <w:sz w:val="20"/>
          <w:szCs w:val="20"/>
          <w:color w:val="auto"/>
        </w:rPr>
      </w:pPr>
    </w:p>
    <w:p>
      <w:pPr>
        <w:ind w:right="400" w:firstLine="510"/>
        <w:spacing w:after="0" w:line="308" w:lineRule="auto"/>
        <w:rPr>
          <w:sz w:val="20"/>
          <w:szCs w:val="20"/>
          <w:color w:val="auto"/>
        </w:rPr>
      </w:pPr>
      <w:r>
        <w:rPr>
          <w:rFonts w:ascii="Arial" w:cs="Arial" w:eastAsia="Arial" w:hAnsi="Arial"/>
          <w:sz w:val="17"/>
          <w:szCs w:val="17"/>
          <w:color w:val="231F20"/>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231F20"/>
        </w:rPr>
        <w:t>Our reliance on third parties may require us to share our trade secrets, which increases the possibility that our competitors will discover them or that our trade secrets will be misappropriated or disclosed.</w:t>
      </w:r>
    </w:p>
    <w:p>
      <w:pPr>
        <w:spacing w:after="0" w:line="7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231F20"/>
        </w:rPr>
        <w:t>Because we currently rely on third parties in the course of our business, we may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invention assignment or other similar agreements with our collaborators, advisors, employees, consultants and other third parties prior to beginning research or disclosing trade secrets or proprietary information. These agreements typically limit the rights of the third parties to use or disclose our trade secrets and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3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76"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ind w:left="880" w:hanging="373"/>
        <w:spacing w:after="0" w:line="205" w:lineRule="auto"/>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increased operating expenses and cash requirements;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the assumption of additional indebtedness or contingent liabilities;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the issuance of our equity securities;</w:t>
      </w:r>
    </w:p>
    <w:p>
      <w:pPr>
        <w:spacing w:after="0" w:line="107" w:lineRule="exact"/>
        <w:rPr>
          <w:rFonts w:ascii="Arial" w:cs="Arial" w:eastAsia="Arial" w:hAnsi="Arial"/>
          <w:sz w:val="25"/>
          <w:szCs w:val="25"/>
          <w:color w:val="auto"/>
          <w:vertAlign w:val="superscript"/>
        </w:rPr>
      </w:pPr>
    </w:p>
    <w:p>
      <w:pPr>
        <w:ind w:left="880" w:right="300" w:hanging="373"/>
        <w:spacing w:after="0" w:line="216" w:lineRule="auto"/>
        <w:tabs>
          <w:tab w:leader="none" w:pos="8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ind w:left="880" w:hanging="373"/>
        <w:spacing w:after="0"/>
        <w:tabs>
          <w:tab w:leader="none" w:pos="88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231F20"/>
        </w:rPr>
        <w:t>the diversion of our management’s attention from our existing programs and initiatives in pursuing such a strategic merger or acquisition;</w:t>
      </w:r>
    </w:p>
    <w:p>
      <w:pPr>
        <w:spacing w:after="0" w:line="98" w:lineRule="exact"/>
        <w:rPr>
          <w:rFonts w:ascii="Arial" w:cs="Arial" w:eastAsia="Arial" w:hAnsi="Arial"/>
          <w:sz w:val="24"/>
          <w:szCs w:val="24"/>
          <w:color w:val="auto"/>
          <w:vertAlign w:val="superscript"/>
        </w:rPr>
      </w:pPr>
    </w:p>
    <w:p>
      <w:pPr>
        <w:ind w:left="880" w:hanging="373"/>
        <w:spacing w:after="0" w:line="199" w:lineRule="auto"/>
        <w:tabs>
          <w:tab w:leader="none" w:pos="88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07" w:lineRule="exact"/>
        <w:rPr>
          <w:rFonts w:ascii="Arial" w:cs="Arial" w:eastAsia="Arial" w:hAnsi="Arial"/>
          <w:sz w:val="25"/>
          <w:szCs w:val="25"/>
          <w:color w:val="auto"/>
          <w:vertAlign w:val="superscript"/>
        </w:rPr>
      </w:pPr>
    </w:p>
    <w:p>
      <w:pPr>
        <w:ind w:left="880" w:right="120" w:hanging="373"/>
        <w:spacing w:after="0" w:line="216" w:lineRule="auto"/>
        <w:tabs>
          <w:tab w:leader="none" w:pos="88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94" w:lineRule="exact"/>
        <w:rPr>
          <w:rFonts w:ascii="Arial" w:cs="Arial" w:eastAsia="Arial" w:hAnsi="Arial"/>
          <w:sz w:val="25"/>
          <w:szCs w:val="25"/>
          <w:color w:val="auto"/>
          <w:vertAlign w:val="superscript"/>
        </w:rPr>
      </w:pPr>
    </w:p>
    <w:p>
      <w:pPr>
        <w:ind w:left="880" w:right="180" w:hanging="373"/>
        <w:spacing w:after="0" w:line="216" w:lineRule="auto"/>
        <w:tabs>
          <w:tab w:leader="none" w:pos="88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203"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If we decide to establish collaborations, but are not able to establish those collaborations on commercially reasonable terms, we may have to alter our development and commercialization plans.</w:t>
      </w:r>
    </w:p>
    <w:p>
      <w:pPr>
        <w:spacing w:after="0" w:line="76" w:lineRule="exact"/>
        <w:rPr>
          <w:sz w:val="20"/>
          <w:szCs w:val="20"/>
          <w:color w:val="auto"/>
        </w:rPr>
      </w:pPr>
    </w:p>
    <w:p>
      <w:pPr>
        <w:ind w:right="380" w:firstLine="510"/>
        <w:spacing w:after="0" w:line="275" w:lineRule="auto"/>
        <w:rPr>
          <w:sz w:val="20"/>
          <w:szCs w:val="20"/>
          <w:color w:val="auto"/>
        </w:rPr>
      </w:pPr>
      <w:r>
        <w:rPr>
          <w:rFonts w:ascii="Arial" w:cs="Arial" w:eastAsia="Arial" w:hAnsi="Arial"/>
          <w:sz w:val="17"/>
          <w:szCs w:val="17"/>
          <w:color w:val="231F20"/>
        </w:rPr>
        <w:t>Our drug development programs and the potential commercialization of our product candidates will require substantial additional cash to fund expenses. We strategically evaluate collaborations and partnerships with biopharmaceutical companies that may have more robust and complementary capabilities and resources to accelerate the development and maximize the availability and potential of our product candidates, particularly for more prevalent indications. The relationships may require us to incur non-recurring and other charges, increase our near- and long-term expenditures, issue securities that dilute our existing stockholders, or disrupt our management and business.</w:t>
      </w:r>
    </w:p>
    <w:p>
      <w:pPr>
        <w:spacing w:after="0" w:line="203"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9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21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231F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84" w:name="page85"/>
    <w:bookmarkEnd w:id="84"/>
    <w:p>
      <w:pPr>
        <w:ind w:right="220"/>
        <w:spacing w:after="0" w:line="277" w:lineRule="auto"/>
        <w:rPr>
          <w:sz w:val="20"/>
          <w:szCs w:val="20"/>
          <w:color w:val="auto"/>
        </w:rPr>
      </w:pPr>
      <w:r>
        <w:rPr>
          <w:rFonts w:ascii="Arial" w:cs="Arial" w:eastAsia="Arial" w:hAnsi="Arial"/>
          <w:sz w:val="18"/>
          <w:szCs w:val="18"/>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76"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9" w:lineRule="exact"/>
        <w:rPr>
          <w:sz w:val="20"/>
          <w:szCs w:val="20"/>
          <w:color w:val="auto"/>
        </w:rPr>
      </w:pPr>
    </w:p>
    <w:p>
      <w:pPr>
        <w:ind w:left="880" w:right="100" w:hanging="373"/>
        <w:spacing w:after="0" w:line="216"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collaborators have significant discretion in determining the efforts and resources that they will apply to, and the manner in which they perform their obligations under, these collaborations and may not</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perform their obligations as expected;</w:t>
      </w:r>
    </w:p>
    <w:p>
      <w:pPr>
        <w:spacing w:after="0" w:line="107" w:lineRule="exact"/>
        <w:rPr>
          <w:rFonts w:ascii="Arial" w:cs="Arial" w:eastAsia="Arial" w:hAnsi="Arial"/>
          <w:sz w:val="25"/>
          <w:szCs w:val="25"/>
          <w:color w:val="auto"/>
          <w:vertAlign w:val="superscript"/>
        </w:rPr>
      </w:pPr>
    </w:p>
    <w:p>
      <w:pPr>
        <w:ind w:left="880" w:right="100" w:hanging="373"/>
        <w:spacing w:after="0" w:line="232"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93" w:lineRule="exact"/>
        <w:rPr>
          <w:rFonts w:ascii="Arial" w:cs="Arial" w:eastAsia="Arial" w:hAnsi="Arial"/>
          <w:sz w:val="25"/>
          <w:szCs w:val="25"/>
          <w:color w:val="auto"/>
          <w:vertAlign w:val="superscript"/>
        </w:rPr>
      </w:pPr>
    </w:p>
    <w:p>
      <w:pPr>
        <w:ind w:left="880" w:right="600" w:hanging="373"/>
        <w:spacing w:after="0" w:line="227" w:lineRule="auto"/>
        <w:tabs>
          <w:tab w:leader="none" w:pos="88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4" w:lineRule="exact"/>
        <w:rPr>
          <w:rFonts w:ascii="Arial" w:cs="Arial" w:eastAsia="Arial" w:hAnsi="Arial"/>
          <w:sz w:val="24"/>
          <w:szCs w:val="24"/>
          <w:color w:val="auto"/>
          <w:vertAlign w:val="superscript"/>
        </w:rPr>
      </w:pPr>
    </w:p>
    <w:p>
      <w:pPr>
        <w:ind w:left="880" w:right="160" w:hanging="373"/>
        <w:spacing w:after="0" w:line="226"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5" w:lineRule="exact"/>
        <w:rPr>
          <w:rFonts w:ascii="Arial" w:cs="Arial" w:eastAsia="Arial" w:hAnsi="Arial"/>
          <w:sz w:val="25"/>
          <w:szCs w:val="25"/>
          <w:color w:val="auto"/>
          <w:vertAlign w:val="superscript"/>
        </w:rPr>
      </w:pPr>
    </w:p>
    <w:p>
      <w:pPr>
        <w:ind w:left="880" w:right="20" w:hanging="373"/>
        <w:spacing w:after="0" w:line="216"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we may grant exclusive rights to our collaborators that would prevent us from collaborating with others;</w:t>
      </w:r>
    </w:p>
    <w:p>
      <w:pPr>
        <w:spacing w:after="0" w:line="107" w:lineRule="exact"/>
        <w:rPr>
          <w:rFonts w:ascii="Arial" w:cs="Arial" w:eastAsia="Arial" w:hAnsi="Arial"/>
          <w:sz w:val="25"/>
          <w:szCs w:val="25"/>
          <w:color w:val="auto"/>
          <w:vertAlign w:val="superscript"/>
        </w:rPr>
      </w:pPr>
    </w:p>
    <w:p>
      <w:pPr>
        <w:ind w:left="880" w:right="20" w:hanging="373"/>
        <w:spacing w:after="0" w:line="232"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93" w:lineRule="exact"/>
        <w:rPr>
          <w:rFonts w:ascii="Arial" w:cs="Arial" w:eastAsia="Arial" w:hAnsi="Arial"/>
          <w:sz w:val="25"/>
          <w:szCs w:val="25"/>
          <w:color w:val="auto"/>
          <w:vertAlign w:val="superscript"/>
        </w:rPr>
      </w:pPr>
    </w:p>
    <w:p>
      <w:pPr>
        <w:ind w:left="880" w:hanging="373"/>
        <w:spacing w:after="0" w:line="252" w:lineRule="auto"/>
        <w:tabs>
          <w:tab w:leader="none" w:pos="88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1" w:lineRule="exact"/>
        <w:rPr>
          <w:rFonts w:ascii="Arial" w:cs="Arial" w:eastAsia="Arial" w:hAnsi="Arial"/>
          <w:sz w:val="22"/>
          <w:szCs w:val="22"/>
          <w:color w:val="auto"/>
          <w:vertAlign w:val="superscript"/>
        </w:rPr>
      </w:pPr>
    </w:p>
    <w:p>
      <w:pPr>
        <w:ind w:left="880" w:right="1140" w:hanging="373"/>
        <w:spacing w:after="0" w:line="216" w:lineRule="auto"/>
        <w:tabs>
          <w:tab w:leader="none" w:pos="880" w:val="left"/>
        </w:tabs>
        <w:numPr>
          <w:ilvl w:val="0"/>
          <w:numId w:val="46"/>
        </w:numPr>
        <w:rPr>
          <w:rFonts w:ascii="Arial" w:cs="Arial" w:eastAsia="Arial" w:hAnsi="Arial"/>
          <w:sz w:val="25"/>
          <w:szCs w:val="25"/>
          <w:color w:val="231F20"/>
          <w:vertAlign w:val="superscript"/>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49" w:lineRule="exact"/>
        <w:rPr>
          <w:rFonts w:ascii="Arial" w:cs="Arial" w:eastAsia="Arial" w:hAnsi="Arial"/>
          <w:sz w:val="25"/>
          <w:szCs w:val="25"/>
          <w:color w:val="231F20"/>
          <w:vertAlign w:val="superscript"/>
        </w:rPr>
      </w:pPr>
    </w:p>
    <w:p>
      <w:pPr>
        <w:ind w:left="880" w:hanging="373"/>
        <w:spacing w:after="0"/>
        <w:tabs>
          <w:tab w:leader="none" w:pos="880" w:val="left"/>
        </w:tabs>
        <w:numPr>
          <w:ilvl w:val="0"/>
          <w:numId w:val="46"/>
        </w:numPr>
        <w:rPr>
          <w:rFonts w:ascii="Arial" w:cs="Arial" w:eastAsia="Arial" w:hAnsi="Arial"/>
          <w:sz w:val="24"/>
          <w:szCs w:val="24"/>
          <w:color w:val="231F20"/>
          <w:vertAlign w:val="superscript"/>
        </w:rPr>
      </w:pPr>
      <w:r>
        <w:rPr>
          <w:rFonts w:ascii="Arial" w:cs="Arial" w:eastAsia="Arial" w:hAnsi="Arial"/>
          <w:sz w:val="17"/>
          <w:szCs w:val="17"/>
          <w:color w:val="231F20"/>
        </w:rPr>
        <w:t>collaboration agreements may not lead to development or commercialization of product candidates in the most efficient manner or at all;</w:t>
      </w:r>
    </w:p>
    <w:p>
      <w:pPr>
        <w:spacing w:after="0" w:line="107" w:lineRule="exact"/>
        <w:rPr>
          <w:rFonts w:ascii="Arial" w:cs="Arial" w:eastAsia="Arial" w:hAnsi="Arial"/>
          <w:sz w:val="24"/>
          <w:szCs w:val="24"/>
          <w:color w:val="231F20"/>
          <w:vertAlign w:val="superscript"/>
        </w:rPr>
      </w:pPr>
    </w:p>
    <w:p>
      <w:pPr>
        <w:jc w:val="both"/>
        <w:ind w:left="880" w:right="200" w:hanging="373"/>
        <w:spacing w:after="0" w:line="226"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95" w:lineRule="exact"/>
        <w:rPr>
          <w:rFonts w:ascii="Arial" w:cs="Arial" w:eastAsia="Arial" w:hAnsi="Arial"/>
          <w:sz w:val="25"/>
          <w:szCs w:val="25"/>
          <w:color w:val="auto"/>
          <w:vertAlign w:val="superscript"/>
        </w:rPr>
      </w:pPr>
    </w:p>
    <w:p>
      <w:pPr>
        <w:ind w:left="880" w:right="160" w:hanging="373"/>
        <w:spacing w:after="0" w:line="216"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94" w:lineRule="exact"/>
        <w:rPr>
          <w:rFonts w:ascii="Arial" w:cs="Arial" w:eastAsia="Arial" w:hAnsi="Arial"/>
          <w:sz w:val="25"/>
          <w:szCs w:val="25"/>
          <w:color w:val="auto"/>
          <w:vertAlign w:val="superscript"/>
        </w:rPr>
      </w:pPr>
    </w:p>
    <w:p>
      <w:pPr>
        <w:ind w:left="880" w:right="160" w:hanging="373"/>
        <w:spacing w:after="0" w:line="216" w:lineRule="auto"/>
        <w:tabs>
          <w:tab w:leader="none" w:pos="8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231F20"/>
        </w:rPr>
        <w:t>a collaborator’s sales and marketing activities or other operations may not be in compliance with applicable laws resulting in civil or criminal proceedings.</w:t>
      </w:r>
    </w:p>
    <w:p>
      <w:pPr>
        <w:spacing w:after="0" w:line="230" w:lineRule="exact"/>
        <w:rPr>
          <w:sz w:val="20"/>
          <w:szCs w:val="20"/>
          <w:color w:val="auto"/>
        </w:rPr>
      </w:pPr>
    </w:p>
    <w:p>
      <w:pPr>
        <w:ind w:right="240" w:firstLine="510"/>
        <w:spacing w:after="0" w:line="291" w:lineRule="auto"/>
        <w:rPr>
          <w:sz w:val="20"/>
          <w:szCs w:val="20"/>
          <w:color w:val="auto"/>
        </w:rPr>
      </w:pPr>
      <w:r>
        <w:rPr>
          <w:rFonts w:ascii="Arial" w:cs="Arial" w:eastAsia="Arial" w:hAnsi="Arial"/>
          <w:sz w:val="16"/>
          <w:szCs w:val="16"/>
          <w:color w:val="231F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85" w:name="page86"/>
    <w:bookmarkEnd w:id="85"/>
    <w:p>
      <w:pPr>
        <w:ind w:right="160"/>
        <w:spacing w:after="0" w:line="277" w:lineRule="auto"/>
        <w:rPr>
          <w:sz w:val="20"/>
          <w:szCs w:val="20"/>
          <w:color w:val="auto"/>
        </w:rPr>
      </w:pPr>
      <w:r>
        <w:rPr>
          <w:rFonts w:ascii="Arial" w:cs="Arial" w:eastAsia="Arial" w:hAnsi="Arial"/>
          <w:sz w:val="18"/>
          <w:szCs w:val="18"/>
          <w:color w:val="231F20"/>
        </w:rPr>
        <w:t>also be subject to many of the risks relating to product development, regulatory approval, and commercialization described in this “Risk Factors” section, and any negative impact on our collaborators may adversely affect us.</w:t>
      </w:r>
    </w:p>
    <w:p>
      <w:pPr>
        <w:spacing w:after="0" w:line="31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29" w:lineRule="exact"/>
        <w:rPr>
          <w:sz w:val="20"/>
          <w:szCs w:val="20"/>
          <w:color w:val="auto"/>
        </w:rPr>
      </w:pPr>
    </w:p>
    <w:p>
      <w:pPr>
        <w:ind w:right="400" w:firstLine="510"/>
        <w:spacing w:after="0" w:line="301" w:lineRule="auto"/>
        <w:rPr>
          <w:sz w:val="20"/>
          <w:szCs w:val="20"/>
          <w:color w:val="auto"/>
        </w:rPr>
      </w:pPr>
      <w:r>
        <w:rPr>
          <w:rFonts w:ascii="Arial" w:cs="Arial" w:eastAsia="Arial" w:hAnsi="Arial"/>
          <w:sz w:val="16"/>
          <w:szCs w:val="16"/>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w:t>
      </w:r>
    </w:p>
    <w:p>
      <w:pPr>
        <w:spacing w:after="0" w:line="18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31F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Factors that may inhibit our efforts to commercialize any approved product on our own include:</w:t>
      </w:r>
    </w:p>
    <w:p>
      <w:pPr>
        <w:spacing w:after="0" w:line="117" w:lineRule="exact"/>
        <w:rPr>
          <w:sz w:val="20"/>
          <w:szCs w:val="20"/>
          <w:color w:val="auto"/>
        </w:rPr>
      </w:pPr>
    </w:p>
    <w:p>
      <w:pPr>
        <w:ind w:left="880" w:right="20" w:hanging="373"/>
        <w:spacing w:after="0" w:line="216"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our inability to recruit and retain adequate numbers of effective sales, marketing, reimbursement, compliance, customer service, medical affairs and other support personnel;</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our inability to recruit and build a commercial infrastructure due to the impacts of COVID-19;</w:t>
      </w:r>
    </w:p>
    <w:p>
      <w:pPr>
        <w:spacing w:after="0" w:line="107" w:lineRule="exact"/>
        <w:rPr>
          <w:rFonts w:ascii="Arial" w:cs="Arial" w:eastAsia="Arial" w:hAnsi="Arial"/>
          <w:sz w:val="25"/>
          <w:szCs w:val="25"/>
          <w:color w:val="auto"/>
          <w:vertAlign w:val="superscript"/>
        </w:rPr>
      </w:pPr>
    </w:p>
    <w:p>
      <w:pPr>
        <w:ind w:left="880" w:right="380" w:hanging="373"/>
        <w:spacing w:after="0" w:line="216"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the inability of sales personnel to obtain access to physicians or persuade adequate numbers of physicians to prescribe any future approved products;</w:t>
      </w:r>
    </w:p>
    <w:p>
      <w:pPr>
        <w:spacing w:after="0" w:line="72"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231F20"/>
        </w:rPr>
        <w:t>the inability of reimbursement professionals to negotiate arrangements for formulary access, reimbursement, and other acceptance by payors;</w:t>
      </w:r>
    </w:p>
    <w:p>
      <w:pPr>
        <w:spacing w:after="0" w:line="98" w:lineRule="exact"/>
        <w:rPr>
          <w:rFonts w:ascii="Arial" w:cs="Arial" w:eastAsia="Arial" w:hAnsi="Arial"/>
          <w:sz w:val="22"/>
          <w:szCs w:val="22"/>
          <w:color w:val="auto"/>
          <w:vertAlign w:val="superscript"/>
        </w:rPr>
      </w:pPr>
    </w:p>
    <w:p>
      <w:pPr>
        <w:ind w:left="880" w:hanging="373"/>
        <w:spacing w:after="0" w:line="199"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the inability to price our products at a sufficient price point to ensure an adequate and attractive level of profitability;</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restricted or closed distribution channels that make it difficult to distribute our products to segments of the patient population;</w:t>
      </w:r>
    </w:p>
    <w:p>
      <w:pPr>
        <w:spacing w:after="0" w:line="107" w:lineRule="exact"/>
        <w:rPr>
          <w:rFonts w:ascii="Arial" w:cs="Arial" w:eastAsia="Arial" w:hAnsi="Arial"/>
          <w:sz w:val="25"/>
          <w:szCs w:val="25"/>
          <w:color w:val="auto"/>
          <w:vertAlign w:val="superscript"/>
        </w:rPr>
      </w:pPr>
    </w:p>
    <w:p>
      <w:pPr>
        <w:ind w:left="880" w:right="320" w:hanging="373"/>
        <w:spacing w:after="0" w:line="216" w:lineRule="auto"/>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the lack of complementary products to be offered by sales personnel, which may put us at a competitive disadvantage relative to companies with more extensive product lines;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231F20"/>
        </w:rPr>
        <w:t>unforeseen costs and expenses associated with creating an independent commercialization organization.</w:t>
      </w:r>
    </w:p>
    <w:p>
      <w:pPr>
        <w:spacing w:after="0" w:line="24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Securities Market and Ownership of Our Common Stock</w:t>
      </w:r>
    </w:p>
    <w:p>
      <w:pPr>
        <w:spacing w:after="0" w:line="1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An active, liquid and orderly trading market may not continue to be developed or sustained for our common stock and as a result it may be difficult for you to sell your shares of our common stock.</w:t>
      </w:r>
    </w:p>
    <w:p>
      <w:pPr>
        <w:spacing w:after="0" w:line="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 xml:space="preserve">Prior to our initial public offering, no market for shares of our common stock existed. </w:t>
      </w:r>
      <w:r>
        <w:rPr>
          <w:rFonts w:ascii="Arial" w:cs="Arial" w:eastAsia="Arial" w:hAnsi="Arial"/>
          <w:sz w:val="18"/>
          <w:szCs w:val="18"/>
          <w:color w:val="000000"/>
        </w:rPr>
        <w:t>The trading market for our common stock on the Nasdaq</w:t>
      </w:r>
      <w:r>
        <w:rPr>
          <w:rFonts w:ascii="Arial" w:cs="Arial" w:eastAsia="Arial" w:hAnsi="Arial"/>
          <w:sz w:val="18"/>
          <w:szCs w:val="18"/>
          <w:color w:val="231F20"/>
        </w:rPr>
        <w:t xml:space="preserve"> </w:t>
      </w:r>
      <w:r>
        <w:rPr>
          <w:rFonts w:ascii="Arial" w:cs="Arial" w:eastAsia="Arial" w:hAnsi="Arial"/>
          <w:sz w:val="18"/>
          <w:szCs w:val="18"/>
          <w:color w:val="000000"/>
        </w:rPr>
        <w:t xml:space="preserve">Global Select Market has been limited </w:t>
      </w:r>
      <w:r>
        <w:rPr>
          <w:rFonts w:ascii="Arial" w:cs="Arial" w:eastAsia="Arial" w:hAnsi="Arial"/>
          <w:sz w:val="18"/>
          <w:szCs w:val="18"/>
          <w:color w:val="231F20"/>
        </w:rPr>
        <w:t>and an active trading market for our shares may not be sustained. The lack of an active market may also reduce the</w:t>
      </w:r>
      <w:r>
        <w:rPr>
          <w:rFonts w:ascii="Arial" w:cs="Arial" w:eastAsia="Arial" w:hAnsi="Arial"/>
          <w:sz w:val="18"/>
          <w:szCs w:val="18"/>
          <w:color w:val="000000"/>
        </w:rPr>
        <w:t xml:space="preserve"> </w:t>
      </w:r>
      <w:r>
        <w:rPr>
          <w:rFonts w:ascii="Arial" w:cs="Arial" w:eastAsia="Arial" w:hAnsi="Arial"/>
          <w:sz w:val="18"/>
          <w:szCs w:val="18"/>
          <w:color w:val="231F20"/>
        </w:rPr>
        <w:t>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231F20"/>
        </w:rPr>
        <w:t>The price of our stock may be volatile, and you could lose all or part of your investment.</w:t>
      </w:r>
    </w:p>
    <w:p>
      <w:pPr>
        <w:spacing w:after="0" w:line="131"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231F20"/>
        </w:rPr>
        <w:t>The trading price of our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9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231F20"/>
        </w:rPr>
        <w:t>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62" w:lineRule="exact"/>
        <w:rPr>
          <w:sz w:val="20"/>
          <w:szCs w:val="20"/>
          <w:color w:val="auto"/>
        </w:rPr>
      </w:pPr>
    </w:p>
    <w:p>
      <w:pPr>
        <w:ind w:left="880" w:right="580" w:hanging="373"/>
        <w:spacing w:after="0" w:line="216" w:lineRule="auto"/>
        <w:tabs>
          <w:tab w:leader="none" w:pos="880" w:val="left"/>
        </w:tabs>
        <w:numPr>
          <w:ilvl w:val="0"/>
          <w:numId w:val="48"/>
        </w:numPr>
        <w:rPr>
          <w:rFonts w:ascii="Arial" w:cs="Arial" w:eastAsia="Arial" w:hAnsi="Arial"/>
          <w:sz w:val="25"/>
          <w:szCs w:val="25"/>
          <w:color w:val="231F20"/>
          <w:vertAlign w:val="superscript"/>
        </w:rPr>
      </w:pPr>
      <w:r>
        <w:rPr>
          <w:rFonts w:ascii="Arial" w:cs="Arial" w:eastAsia="Arial" w:hAnsi="Arial"/>
          <w:sz w:val="18"/>
          <w:szCs w:val="18"/>
          <w:color w:val="231F20"/>
        </w:rPr>
        <w:t>the timing and results of preclinical studies and clinical trials of our product candidates, those conducted by third parties or those of our competitors;</w:t>
      </w:r>
    </w:p>
    <w:p>
      <w:pPr>
        <w:spacing w:after="0" w:line="37" w:lineRule="exact"/>
        <w:rPr>
          <w:rFonts w:ascii="Arial" w:cs="Arial" w:eastAsia="Arial" w:hAnsi="Arial"/>
          <w:sz w:val="25"/>
          <w:szCs w:val="25"/>
          <w:color w:val="231F20"/>
          <w:vertAlign w:val="superscript"/>
        </w:rPr>
      </w:pPr>
    </w:p>
    <w:p>
      <w:pPr>
        <w:ind w:left="880" w:hanging="373"/>
        <w:spacing w:after="0"/>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the success of competitive products or announcements by potential competitors of their product development efforts;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regulatory actions with respect to our products or our competitors’ products;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actual or anticipated changes in our growth rate relative to our competitors;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regulatory or legal developments in the United States and other countries;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developments or disputes concerning patent applications, issued patents or other intellectual property or proprietary rights;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the recruitment or departure of key personnel;</w:t>
      </w:r>
    </w:p>
    <w:p>
      <w:pPr>
        <w:spacing w:after="0" w:line="107" w:lineRule="exact"/>
        <w:rPr>
          <w:rFonts w:ascii="Arial" w:cs="Arial" w:eastAsia="Arial" w:hAnsi="Arial"/>
          <w:sz w:val="25"/>
          <w:szCs w:val="25"/>
          <w:color w:val="auto"/>
          <w:vertAlign w:val="superscript"/>
        </w:rPr>
      </w:pPr>
    </w:p>
    <w:p>
      <w:pPr>
        <w:ind w:left="880" w:right="840" w:hanging="373"/>
        <w:spacing w:after="0" w:line="216"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49"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231F20"/>
        </w:rPr>
        <w:t>actual or anticipated changes in estimates as to financial results, development timelines or recommendations by securities analysts;</w:t>
      </w:r>
    </w:p>
    <w:p>
      <w:pPr>
        <w:spacing w:after="0" w:line="98" w:lineRule="exact"/>
        <w:rPr>
          <w:rFonts w:ascii="Arial" w:cs="Arial" w:eastAsia="Arial" w:hAnsi="Arial"/>
          <w:sz w:val="24"/>
          <w:szCs w:val="24"/>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fluctuations in the valuation of companies perceived by investors to be comparable to us;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market conditions in the pharmaceutical and biotechnology sector;</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changes in the structure of healthcare payment systems;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share price and volume fluctuations attributable to inconsistent trading volume levels of our shares;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announcement or expectation of additional financing efforts;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sales of our common stock by us, our insiders or our other stockholders;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expiration of market stand-off or lock-up agreements;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the impact of any natural disasters or public health emergencies, such as the COVID-19 pandemic;</w:t>
      </w:r>
    </w:p>
    <w:p>
      <w:pPr>
        <w:spacing w:after="0" w:line="107" w:lineRule="exact"/>
        <w:rPr>
          <w:rFonts w:ascii="Arial" w:cs="Arial" w:eastAsia="Arial" w:hAnsi="Arial"/>
          <w:sz w:val="25"/>
          <w:szCs w:val="25"/>
          <w:color w:val="auto"/>
          <w:vertAlign w:val="superscript"/>
        </w:rPr>
      </w:pPr>
    </w:p>
    <w:p>
      <w:pPr>
        <w:ind w:left="880" w:right="60" w:hanging="373"/>
        <w:spacing w:after="0" w:line="216" w:lineRule="auto"/>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the availability of fiscal and monetary stimulus measures to counteract the impact of natural disasters or public health emergencies, such as the COVID-19 pandemic;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231F20"/>
        </w:rPr>
        <w:t>general economic, political, industry and market conditions.</w:t>
      </w:r>
    </w:p>
    <w:p>
      <w:pPr>
        <w:spacing w:after="0" w:line="24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7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231F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215"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231F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87" w:name="page88"/>
    <w:bookmarkEnd w:id="87"/>
    <w:p>
      <w:pPr>
        <w:ind w:right="200" w:firstLine="510"/>
        <w:spacing w:after="0" w:line="277" w:lineRule="auto"/>
        <w:rPr>
          <w:sz w:val="20"/>
          <w:szCs w:val="20"/>
          <w:color w:val="auto"/>
        </w:rPr>
      </w:pPr>
      <w:r>
        <w:rPr>
          <w:rFonts w:ascii="Arial" w:cs="Arial" w:eastAsia="Arial" w:hAnsi="Arial"/>
          <w:sz w:val="18"/>
          <w:szCs w:val="18"/>
          <w:color w:val="231F20"/>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880" w:right="320" w:hanging="373"/>
        <w:spacing w:after="0" w:line="216"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the timing and cost of, and level of investment in, research and development activities relating to our programs, product candidates and any future programs and product candidates, which will change from time to time;</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our ability to enroll patients in clinical trials and the timing of enrollment;</w:t>
      </w:r>
    </w:p>
    <w:p>
      <w:pPr>
        <w:spacing w:after="0" w:line="107" w:lineRule="exact"/>
        <w:rPr>
          <w:rFonts w:ascii="Arial" w:cs="Arial" w:eastAsia="Arial" w:hAnsi="Arial"/>
          <w:sz w:val="25"/>
          <w:szCs w:val="25"/>
          <w:color w:val="auto"/>
          <w:vertAlign w:val="superscript"/>
        </w:rPr>
      </w:pPr>
    </w:p>
    <w:p>
      <w:pPr>
        <w:ind w:left="880" w:right="280" w:hanging="373"/>
        <w:spacing w:after="0" w:line="226"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the cost of establishing and operating a manufacturing facility and manufacturing our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expenditures that we will or may incur to acquire or develop additional product candidates and technologies or other assets;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the timing and outcomes of clinical trials for our product candidates, or competing product candidates;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the need to conduct unanticipated clinical trials or trials that are larger or more complex than anticipated;</w:t>
      </w:r>
    </w:p>
    <w:p>
      <w:pPr>
        <w:spacing w:after="0" w:line="107" w:lineRule="exact"/>
        <w:rPr>
          <w:rFonts w:ascii="Arial" w:cs="Arial" w:eastAsia="Arial" w:hAnsi="Arial"/>
          <w:sz w:val="25"/>
          <w:szCs w:val="25"/>
          <w:color w:val="auto"/>
          <w:vertAlign w:val="superscript"/>
        </w:rPr>
      </w:pPr>
    </w:p>
    <w:p>
      <w:pPr>
        <w:ind w:left="880" w:right="900" w:hanging="373"/>
        <w:spacing w:after="0" w:line="216"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competition from existing and potential future products that compete with our programs and product candidates, and changes in the competitive landscape of our industry, including consolidation among our competitors or partners;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any delays in regulatory review or approval of our product candidates;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the level of demand for our product candidates, if approved, which may fluctuate significantly and be difficult to predict;</w:t>
      </w:r>
    </w:p>
    <w:p>
      <w:pPr>
        <w:spacing w:after="0" w:line="107" w:lineRule="exact"/>
        <w:rPr>
          <w:rFonts w:ascii="Arial" w:cs="Arial" w:eastAsia="Arial" w:hAnsi="Arial"/>
          <w:sz w:val="25"/>
          <w:szCs w:val="25"/>
          <w:color w:val="auto"/>
          <w:vertAlign w:val="superscript"/>
        </w:rPr>
      </w:pPr>
    </w:p>
    <w:p>
      <w:pPr>
        <w:ind w:left="880" w:right="200" w:hanging="373"/>
        <w:spacing w:after="0" w:line="216"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the risk/benefit profile, cost and reimbursement policies with respect to our product candidates, if approved, and existing and potential future products that compete with any of our product candidates;</w:t>
      </w:r>
    </w:p>
    <w:p>
      <w:pPr>
        <w:spacing w:after="0" w:line="94" w:lineRule="exact"/>
        <w:rPr>
          <w:rFonts w:ascii="Arial" w:cs="Arial" w:eastAsia="Arial" w:hAnsi="Arial"/>
          <w:sz w:val="25"/>
          <w:szCs w:val="25"/>
          <w:color w:val="auto"/>
          <w:vertAlign w:val="superscript"/>
        </w:rPr>
      </w:pPr>
    </w:p>
    <w:p>
      <w:pPr>
        <w:ind w:left="880" w:right="600" w:hanging="373"/>
        <w:spacing w:after="0" w:line="216"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our ability to commercialize any of our product candidates, if approved, inside and outside of the United States, either independently or working with third parties;</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our ability to establish and maintain collaborations, licensing or other arrangements;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our ability to adequately support future growth;</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potential unforeseen business disruptions that increase our costs or expenses;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future accounting pronouncements or changes in our accounting policies;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231F20"/>
        </w:rPr>
        <w:t>the changing and volatile global economic and political environment; and</w:t>
      </w:r>
    </w:p>
    <w:p>
      <w:pPr>
        <w:spacing w:after="0" w:line="99" w:lineRule="exact"/>
        <w:rPr>
          <w:rFonts w:ascii="Arial" w:cs="Arial" w:eastAsia="Arial" w:hAnsi="Arial"/>
          <w:sz w:val="25"/>
          <w:szCs w:val="25"/>
          <w:color w:val="auto"/>
          <w:vertAlign w:val="superscript"/>
        </w:rPr>
      </w:pPr>
    </w:p>
    <w:p>
      <w:pPr>
        <w:ind w:left="880" w:hanging="373"/>
        <w:spacing w:after="0" w:line="226" w:lineRule="auto"/>
        <w:tabs>
          <w:tab w:leader="none" w:pos="88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231F20"/>
        </w:rPr>
        <w:t>increased impact from COVID-19 on the costs and timing associated with the conduct of our clinical trial and other related business activities.</w:t>
      </w:r>
    </w:p>
    <w:p>
      <w:pPr>
        <w:spacing w:after="0" w:line="243"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231F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3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76" w:lineRule="exact"/>
        <w:rPr>
          <w:sz w:val="20"/>
          <w:szCs w:val="20"/>
          <w:color w:val="auto"/>
        </w:rPr>
      </w:pPr>
    </w:p>
    <w:p>
      <w:pPr>
        <w:ind w:firstLine="510"/>
        <w:spacing w:after="0" w:line="310" w:lineRule="auto"/>
        <w:rPr>
          <w:sz w:val="20"/>
          <w:szCs w:val="20"/>
          <w:color w:val="auto"/>
        </w:rPr>
      </w:pPr>
      <w:r>
        <w:rPr>
          <w:rFonts w:ascii="Arial" w:cs="Arial" w:eastAsia="Arial" w:hAnsi="Arial"/>
          <w:sz w:val="15"/>
          <w:szCs w:val="15"/>
          <w:color w:val="231F20"/>
        </w:rPr>
        <w:t>As of June 30, 2021, our executive officers, directors, holders of 5% or more of our capital stock and their respective affiliates beneficially owned approximately 66.3% of our common stock. and, upon the closing of our initial public offering, that same group then beneficially owned approximately 46.5% of our outstanding common stock.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231F20"/>
        </w:rPr>
        <w:t>Sales of a substantial number of shares of our common stock in the public market could cause our stock price to fall.</w:t>
      </w:r>
    </w:p>
    <w:p>
      <w:pPr>
        <w:spacing w:after="0" w:line="131"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231F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3" w:lineRule="exact"/>
        <w:rPr>
          <w:sz w:val="20"/>
          <w:szCs w:val="20"/>
          <w:color w:val="auto"/>
        </w:rPr>
      </w:pPr>
    </w:p>
    <w:p>
      <w:pPr>
        <w:jc w:val="both"/>
        <w:ind w:right="140" w:firstLine="510"/>
        <w:spacing w:after="0" w:line="257" w:lineRule="auto"/>
        <w:rPr>
          <w:sz w:val="20"/>
          <w:szCs w:val="20"/>
          <w:color w:val="auto"/>
        </w:rPr>
      </w:pPr>
      <w:r>
        <w:rPr>
          <w:rFonts w:ascii="Arial" w:cs="Arial" w:eastAsia="Arial" w:hAnsi="Arial"/>
          <w:sz w:val="18"/>
          <w:szCs w:val="18"/>
          <w:color w:val="auto"/>
        </w:rPr>
        <w:t>As of June 30, 2021, we had 27,324,920 outstanding shares of common stock on an as converted basis. All of these shares will be available for sale in the public market beginning in January 2022 following the scheduled expiration of lock-up agreements that certain of our stockholders and the underwriters entered into in connection with our initial public offering. Morgan Stanley &amp; Co. LLC, Piper Sandler &amp; Co. and Cowen and Company, LLC may release these stockholders from their lock-up agreements with the underwriters at any time and without notice, which would allow for earlier sales of shares in the public market.</w:t>
      </w:r>
    </w:p>
    <w:p>
      <w:pPr>
        <w:spacing w:after="0" w:line="188"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In addition, we have filed a registration statement on Form S-8 under the Securities Act registering the issuance of 7,177,883 shares of common stock subject to options or other equity awards issued or reserved for future issuance under our equity incentive plans. Shares registered under the registration statement on Form S-8 can be freely sold in the public market upon issuance, subject to volume limitations applicable to affiliates and the lock-up agreements described above.</w:t>
      </w:r>
    </w:p>
    <w:p>
      <w:pPr>
        <w:spacing w:after="0" w:line="214"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231F20"/>
        </w:rPr>
        <w:t>Moreover, as of June 30, 2021, holders of an aggregate of 26,102,278 shares of our common stock had rights, subject to certain conditions, to require us to file registration statements covering their shares or to include their shares in registration statements that we may file for ourselves or other stockholders. If we were to register the resale of these shares, they could be freely sold in the public market beginning in February 2022 following the scheduled expiration of lock-up agreements that certain of our stockholders and the underwriters entered into in connection with our initial public offering.</w:t>
      </w:r>
    </w:p>
    <w:p>
      <w:pPr>
        <w:spacing w:after="0" w:line="184"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231F20"/>
        </w:rPr>
        <w:t>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332"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231F20"/>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29"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231F20"/>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89" w:lineRule="exact"/>
        <w:rPr>
          <w:sz w:val="20"/>
          <w:szCs w:val="20"/>
          <w:color w:val="auto"/>
        </w:rPr>
      </w:pPr>
    </w:p>
    <w:p>
      <w:pPr>
        <w:jc w:val="both"/>
        <w:ind w:left="880" w:right="180" w:hanging="373"/>
        <w:spacing w:after="0" w:line="226" w:lineRule="auto"/>
        <w:tabs>
          <w:tab w:leader="none" w:pos="88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231F20"/>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95" w:lineRule="exact"/>
        <w:rPr>
          <w:rFonts w:ascii="Arial" w:cs="Arial" w:eastAsia="Arial" w:hAnsi="Arial"/>
          <w:sz w:val="25"/>
          <w:szCs w:val="25"/>
          <w:color w:val="auto"/>
          <w:vertAlign w:val="superscript"/>
        </w:rPr>
      </w:pPr>
    </w:p>
    <w:p>
      <w:pPr>
        <w:ind w:left="880" w:right="620" w:hanging="373"/>
        <w:spacing w:after="0" w:line="216" w:lineRule="auto"/>
        <w:tabs>
          <w:tab w:leader="none" w:pos="88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231F20"/>
        </w:rPr>
        <w:t>not being required to comply with the auditor attestation requirements of Section 404 of the Sarbanes- Oxley Act of 2002, as amended (Sarbanes-Oxley Act);</w:t>
      </w:r>
    </w:p>
    <w:p>
      <w:pPr>
        <w:spacing w:after="0" w:line="94" w:lineRule="exact"/>
        <w:rPr>
          <w:rFonts w:ascii="Arial" w:cs="Arial" w:eastAsia="Arial" w:hAnsi="Arial"/>
          <w:sz w:val="25"/>
          <w:szCs w:val="25"/>
          <w:color w:val="auto"/>
          <w:vertAlign w:val="superscript"/>
        </w:rPr>
      </w:pPr>
    </w:p>
    <w:p>
      <w:pPr>
        <w:ind w:left="880" w:right="520" w:hanging="373"/>
        <w:spacing w:after="0" w:line="226" w:lineRule="auto"/>
        <w:tabs>
          <w:tab w:leader="none" w:pos="88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231F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38"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231F20"/>
        </w:rPr>
        <w:t>reduced disclosure obligations regarding executive compensation in our periodic reports and proxy statements; and</w:t>
      </w:r>
    </w:p>
    <w:p>
      <w:pPr>
        <w:spacing w:after="0" w:line="107" w:lineRule="exact"/>
        <w:rPr>
          <w:rFonts w:ascii="Arial" w:cs="Arial" w:eastAsia="Arial" w:hAnsi="Arial"/>
          <w:sz w:val="25"/>
          <w:szCs w:val="25"/>
          <w:color w:val="auto"/>
          <w:vertAlign w:val="superscript"/>
        </w:rPr>
      </w:pPr>
    </w:p>
    <w:p>
      <w:pPr>
        <w:ind w:left="880" w:right="140" w:hanging="373"/>
        <w:spacing w:after="0" w:line="216" w:lineRule="auto"/>
        <w:tabs>
          <w:tab w:leader="none" w:pos="88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231F20"/>
        </w:rPr>
        <w:t>exemptions from the requirements of holding nonbinding advisory stockholder votes on executive compensation and stockholder approval of any golden parachute payments not previously approved.</w:t>
      </w:r>
    </w:p>
    <w:p>
      <w:pPr>
        <w:spacing w:after="0" w:line="230"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231F20"/>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46" w:right="399" w:bottom="1440" w:gutter="0" w:footer="0" w:header="0"/>
        </w:sectPr>
      </w:pPr>
    </w:p>
    <w:bookmarkStart w:id="89" w:name="page90"/>
    <w:bookmarkEnd w:id="89"/>
    <w:p>
      <w:pPr>
        <w:ind w:right="240" w:firstLine="510"/>
        <w:spacing w:after="0" w:line="259" w:lineRule="auto"/>
        <w:rPr>
          <w:sz w:val="20"/>
          <w:szCs w:val="20"/>
          <w:color w:val="auto"/>
        </w:rPr>
      </w:pPr>
      <w:r>
        <w:rPr>
          <w:rFonts w:ascii="Arial" w:cs="Arial" w:eastAsia="Arial" w:hAnsi="Arial"/>
          <w:sz w:val="18"/>
          <w:szCs w:val="18"/>
          <w:color w:val="231F20"/>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21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231F20"/>
        </w:rPr>
        <w:t>Even after we no longer qualify as an emerging growth company, we may still qualify as a “smaller reporting company,” as defined in the Securities Exchange Act of 1934, as amended (Exchange Act), which would allow us to continue to take advantage of many of the same exemptions from disclosure requirements, including not being required to comply with the auditor attestation requirements of Section 404 of the Sarbanes- Oxley Act and reduced disclosure obligations regarding executive compensation in our periodic reports and proxy statements.</w:t>
      </w:r>
    </w:p>
    <w:p>
      <w:pPr>
        <w:spacing w:after="0" w:line="214" w:lineRule="exact"/>
        <w:rPr>
          <w:sz w:val="20"/>
          <w:szCs w:val="20"/>
          <w:color w:val="auto"/>
        </w:rPr>
      </w:pPr>
    </w:p>
    <w:p>
      <w:pPr>
        <w:ind w:right="440" w:firstLine="510"/>
        <w:spacing w:after="0" w:line="342" w:lineRule="auto"/>
        <w:rPr>
          <w:sz w:val="20"/>
          <w:szCs w:val="20"/>
          <w:color w:val="auto"/>
        </w:rPr>
      </w:pPr>
      <w:r>
        <w:rPr>
          <w:rFonts w:ascii="Arial" w:cs="Arial" w:eastAsia="Arial" w:hAnsi="Arial"/>
          <w:sz w:val="16"/>
          <w:szCs w:val="16"/>
          <w:color w:val="231F20"/>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7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reports, or if they publish adverse or misleading research or reports, regarding us, our business or our market, our stock price and trading volume could decline.</w:t>
      </w:r>
    </w:p>
    <w:p>
      <w:pPr>
        <w:spacing w:after="0" w:line="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231F20"/>
        </w:rPr>
        <w:t>The trading market for our common stock is influenced by the research and reports that securities or industry analysts publish about us, our business or our market. We currently have research coverage from a limited number of securities or industry analysts. If no or few new securities or industry analysts commence coverage of us, the stock price may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1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231F20"/>
        </w:rPr>
        <w:t>We will incur increased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89" w:lineRule="exact"/>
        <w:rPr>
          <w:sz w:val="20"/>
          <w:szCs w:val="20"/>
          <w:color w:val="auto"/>
        </w:rPr>
      </w:pPr>
    </w:p>
    <w:p>
      <w:pPr>
        <w:ind w:right="80" w:firstLine="510"/>
        <w:spacing w:after="0" w:line="310" w:lineRule="auto"/>
        <w:rPr>
          <w:sz w:val="20"/>
          <w:szCs w:val="20"/>
          <w:color w:val="auto"/>
        </w:rPr>
      </w:pPr>
      <w:r>
        <w:rPr>
          <w:rFonts w:ascii="Arial" w:cs="Arial" w:eastAsia="Arial" w:hAnsi="Arial"/>
          <w:sz w:val="15"/>
          <w:szCs w:val="15"/>
          <w:color w:val="231F20"/>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Stock Market LLC (Nasdaq). Our management and other personnel need to devote a substantial amount of time to these compliance initiatives. Moreover, these rules, regulations and standards substantially increase our legal and financial compliance costs and to make some activities more time-consuming and costly, which will increase our operating expenses. For example, we expect these rules, regulations and standards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2"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231F20"/>
        </w:rPr>
        <w:t>In addition, as a public company we are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93"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90" w:name="page91"/>
    <w:bookmarkEnd w:id="90"/>
    <w:p>
      <w:pPr>
        <w:jc w:val="both"/>
        <w:ind w:right="240" w:firstLine="510"/>
        <w:spacing w:after="0" w:line="259" w:lineRule="auto"/>
        <w:rPr>
          <w:sz w:val="20"/>
          <w:szCs w:val="20"/>
          <w:color w:val="auto"/>
        </w:rPr>
      </w:pPr>
      <w:r>
        <w:rPr>
          <w:rFonts w:ascii="Arial" w:cs="Arial" w:eastAsia="Arial" w:hAnsi="Arial"/>
          <w:sz w:val="18"/>
          <w:szCs w:val="18"/>
          <w:color w:val="231F20"/>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disclosure controls and procedures may not prevent or detect all errors or acts of fraud.</w:t>
      </w:r>
    </w:p>
    <w:p>
      <w:pPr>
        <w:spacing w:after="0" w:line="13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231F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15"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231F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subject to securities litigation, which is expensive and could divert management attention.</w:t>
      </w:r>
    </w:p>
    <w:p>
      <w:pPr>
        <w:spacing w:after="0" w:line="13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231F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do not intend to pay dividends on our common stock in the foreseeable future, so any returns will be limited to the value of our common stock.</w:t>
      </w:r>
    </w:p>
    <w:p>
      <w:pPr>
        <w:spacing w:after="0" w:line="154"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231F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332"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231F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29"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231F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24" w:lineRule="exact"/>
        <w:rPr>
          <w:sz w:val="20"/>
          <w:szCs w:val="20"/>
          <w:color w:val="auto"/>
        </w:rPr>
      </w:pPr>
    </w:p>
    <w:p>
      <w:pPr>
        <w:ind w:left="880" w:hanging="373"/>
        <w:spacing w:after="0"/>
        <w:tabs>
          <w:tab w:leader="none" w:pos="88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231F20"/>
        </w:rPr>
        <w:t>establish a classified board of directors so that not all members of our board are elected at one time;</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231F20"/>
        </w:rPr>
        <w:t>permit only the board of directors to establish the number of directors and fill vacancies on the board;</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231F20"/>
        </w:rPr>
        <w:t>provide that directors may only be removed “for cause” and only with the approval of two-thirds of our stockholders;</w:t>
      </w:r>
    </w:p>
    <w:p>
      <w:pPr>
        <w:spacing w:after="0" w:line="107" w:lineRule="exact"/>
        <w:rPr>
          <w:rFonts w:ascii="Arial" w:cs="Arial" w:eastAsia="Arial" w:hAnsi="Arial"/>
          <w:sz w:val="25"/>
          <w:szCs w:val="25"/>
          <w:color w:val="auto"/>
          <w:vertAlign w:val="superscript"/>
        </w:rPr>
      </w:pPr>
    </w:p>
    <w:p>
      <w:pPr>
        <w:ind w:left="880" w:right="520" w:hanging="373"/>
        <w:spacing w:after="0" w:line="216" w:lineRule="auto"/>
        <w:tabs>
          <w:tab w:leader="none" w:pos="88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231F20"/>
        </w:rPr>
        <w:t>authorize the issuance of “blank check” preferred stock that our board could use to implement a stockholder rights plan (also known as a poison pill);</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1" w:name="page92"/>
    <w:bookmarkEnd w:id="91"/>
    <w:p>
      <w:pPr>
        <w:ind w:left="880" w:hanging="373"/>
        <w:spacing w:after="0"/>
        <w:tabs>
          <w:tab w:leader="none" w:pos="88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231F20"/>
        </w:rPr>
        <w:t>eliminate the ability of our stockholders to call special meetings of stockholders;</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231F20"/>
        </w:rPr>
        <w:t>prohibit stockholder action by written consent, which requires all stockholder actions to be taken at a meeting of our stockholders;</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231F20"/>
        </w:rPr>
        <w:t>prohibit cumulative voting;</w:t>
      </w:r>
    </w:p>
    <w:p>
      <w:pPr>
        <w:spacing w:after="0" w:line="99"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231F20"/>
        </w:rPr>
        <w:t>authorize our board of directors to amend the bylaws;</w:t>
      </w:r>
    </w:p>
    <w:p>
      <w:pPr>
        <w:spacing w:after="0" w:line="107" w:lineRule="exact"/>
        <w:rPr>
          <w:rFonts w:ascii="Arial" w:cs="Arial" w:eastAsia="Arial" w:hAnsi="Arial"/>
          <w:sz w:val="25"/>
          <w:szCs w:val="25"/>
          <w:color w:val="auto"/>
          <w:vertAlign w:val="superscript"/>
        </w:rPr>
      </w:pPr>
    </w:p>
    <w:p>
      <w:pPr>
        <w:ind w:left="880" w:right="20" w:hanging="373"/>
        <w:spacing w:after="0" w:line="216" w:lineRule="auto"/>
        <w:tabs>
          <w:tab w:leader="none" w:pos="88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231F20"/>
        </w:rPr>
        <w:t>establish advance notice requirements for nominations for election to our board or for proposing matters that can be acted upon by stockholders at annual stockholder meetings; and</w:t>
      </w:r>
    </w:p>
    <w:p>
      <w:pPr>
        <w:spacing w:after="0" w:line="94" w:lineRule="exact"/>
        <w:rPr>
          <w:rFonts w:ascii="Arial" w:cs="Arial" w:eastAsia="Arial" w:hAnsi="Arial"/>
          <w:sz w:val="25"/>
          <w:szCs w:val="25"/>
          <w:color w:val="auto"/>
          <w:vertAlign w:val="superscript"/>
        </w:rPr>
      </w:pPr>
    </w:p>
    <w:p>
      <w:pPr>
        <w:ind w:left="880" w:right="180" w:hanging="373"/>
        <w:spacing w:after="0" w:line="216" w:lineRule="auto"/>
        <w:tabs>
          <w:tab w:leader="none" w:pos="88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231F20"/>
        </w:rPr>
        <w:t>require a super-majority vote of stockholders to amend or repeal specified provisions of our amended and restated certificate of incorporation and amended and restated bylaws.</w:t>
      </w:r>
    </w:p>
    <w:p>
      <w:pPr>
        <w:spacing w:after="0" w:line="230"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1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231F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33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231F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231F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24" w:lineRule="exact"/>
        <w:rPr>
          <w:sz w:val="20"/>
          <w:szCs w:val="20"/>
          <w:color w:val="auto"/>
        </w:rPr>
      </w:pPr>
    </w:p>
    <w:p>
      <w:pPr>
        <w:ind w:left="880" w:hanging="373"/>
        <w:spacing w:after="0"/>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any derivative action or proceeding brought on our behalf;</w:t>
      </w:r>
    </w:p>
    <w:p>
      <w:pPr>
        <w:spacing w:after="0" w:line="98" w:lineRule="exact"/>
        <w:rPr>
          <w:rFonts w:ascii="Arial" w:cs="Arial" w:eastAsia="Arial" w:hAnsi="Arial"/>
          <w:sz w:val="25"/>
          <w:szCs w:val="25"/>
          <w:color w:val="auto"/>
          <w:vertAlign w:val="superscript"/>
        </w:rPr>
      </w:pPr>
    </w:p>
    <w:p>
      <w:pPr>
        <w:ind w:left="880" w:hanging="373"/>
        <w:spacing w:after="0" w:line="199" w:lineRule="auto"/>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any action asserting a claim of breach of fiduciary duty;</w:t>
      </w:r>
    </w:p>
    <w:p>
      <w:pPr>
        <w:spacing w:after="0" w:line="107" w:lineRule="exact"/>
        <w:rPr>
          <w:rFonts w:ascii="Arial" w:cs="Arial" w:eastAsia="Arial" w:hAnsi="Arial"/>
          <w:sz w:val="25"/>
          <w:szCs w:val="25"/>
          <w:color w:val="auto"/>
          <w:vertAlign w:val="superscript"/>
        </w:rPr>
      </w:pPr>
    </w:p>
    <w:p>
      <w:pPr>
        <w:ind w:left="880" w:right="420" w:hanging="373"/>
        <w:spacing w:after="0" w:line="216" w:lineRule="auto"/>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37" w:lineRule="exact"/>
        <w:rPr>
          <w:rFonts w:ascii="Arial" w:cs="Arial" w:eastAsia="Arial" w:hAnsi="Arial"/>
          <w:sz w:val="25"/>
          <w:szCs w:val="25"/>
          <w:color w:val="auto"/>
          <w:vertAlign w:val="superscript"/>
        </w:rPr>
      </w:pPr>
    </w:p>
    <w:p>
      <w:pPr>
        <w:ind w:left="880" w:hanging="373"/>
        <w:spacing w:after="0"/>
        <w:tabs>
          <w:tab w:leader="none" w:pos="8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231F20"/>
        </w:rPr>
        <w:t>any action asserting a claim against us that is governed by the internal-affairs doctrine.</w:t>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This provision would not apply to suits brought to enforce a duty or liability created by the Exchange Act or any other claim for which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federal courts have exclusive jurisdiction.</w:t>
      </w:r>
    </w:p>
    <w:p>
      <w:pPr>
        <w:spacing w:after="0" w:line="238"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231F20"/>
        </w:rPr>
        <w:t>Our amended and restated bylaws further provide that the federal district courts of the United States of America will be the exclusive forum for resolving any complaint asserting a cause of action arising under the Securities Act.</w:t>
      </w:r>
    </w:p>
    <w:p>
      <w:pPr>
        <w:spacing w:after="0" w:line="197"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19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From April 1, 2021 through July 30, 2021 (the date of the filing of our registration statement on Form S-8, File No. 333-258337), we granted to our employees stock options to purchase an aggregate of 388,475 shares of our common stock under the 2016 Plan at an exercise price of $9.36 per share, and an aggregate of 446,998 shares of our common stock under the 2016 Plan at an exercise price of $10.56 per share.</w:t>
      </w:r>
    </w:p>
    <w:p>
      <w:pPr>
        <w:spacing w:after="0" w:line="16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April 1, 2021 through July 30, 2021 (the date of the filing of our registration statement on Form S-8, File No. 333-258337), we issued and sold to our employees an aggregate of 171,494 shares of common stock upon the exercise of stock options issued under the 2016 Plan at exercise prices ranging from $0.42 to $9.36 per share, for an aggregate exercise price of $309,530.</w:t>
      </w:r>
    </w:p>
    <w:p>
      <w:pPr>
        <w:spacing w:after="0" w:line="184"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sales of the above securities were deemed to be exempt from registration under the Securities Act in reliance upon Section 4 (a)(2)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265"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Public Offering of Common Stock</w:t>
      </w:r>
    </w:p>
    <w:p>
      <w:pPr>
        <w:spacing w:after="0" w:line="121"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On August 3, 2021, we completed our IPO and issued an aggregate of 13,800,000 shares of its common stock (inclusive of 1,800,000 shares pursuant to the underwriters’ overallotment option) at a price of $15.00 per share. The gross proceeds from the offering for shares sold in our IPO was $207.0 million. We received net proceeds from the IPO of approximately $188.8 million, after deducting underwriting discounts and commissions of approximately $14.5 million and offering expenses of approximately $3.7 million. None of the expenses associated with the IPO were paid to directors, officers, persons owning 10% or more of any class of equity securities, or to their associates. Morgan Stanley &amp; Co. LLC, Piper Sandler &amp; Co. and Cowen and Company, LLC acted as book-running managers for the IPO. Shares of our common stock began trading on the Nasdaq Global Select Market on July 30, 2021. The offer and sale of the shares were registered under the Securities Act on a registration statement on Form S-1 (Registration No. 333-257820), which was declared effective on July 29, 2021. There has been no material change in the planned use of proceeds from our IPO as described in the registration statement on Form S-1.</w:t>
      </w:r>
    </w:p>
    <w:p>
      <w:pPr>
        <w:spacing w:after="0" w:line="285" w:lineRule="exact"/>
        <w:rPr>
          <w:sz w:val="20"/>
          <w:szCs w:val="20"/>
          <w:color w:val="auto"/>
        </w:rPr>
      </w:pPr>
    </w:p>
    <w:p>
      <w:pPr>
        <w:ind w:left="520" w:right="7880" w:hanging="512"/>
        <w:spacing w:after="0" w:line="407" w:lineRule="auto"/>
        <w:tabs>
          <w:tab w:leader="none" w:pos="51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3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w:t>
            </w:r>
          </w:p>
        </w:tc>
        <w:tc>
          <w:tcPr>
            <w:tcW w:w="3460" w:type="dxa"/>
            <w:vAlign w:val="bottom"/>
          </w:tcPr>
          <w:p>
            <w:pPr>
              <w:spacing w:after="0"/>
              <w:rPr>
                <w:sz w:val="20"/>
                <w:szCs w:val="20"/>
                <w:color w:val="auto"/>
              </w:rPr>
            </w:pPr>
          </w:p>
        </w:tc>
        <w:tc>
          <w:tcPr>
            <w:tcW w:w="6740" w:type="dxa"/>
            <w:vAlign w:val="bottom"/>
            <w:gridSpan w:val="5"/>
          </w:tcPr>
          <w:p>
            <w:pPr>
              <w:ind w:left="1180"/>
              <w:spacing w:after="0"/>
              <w:rPr>
                <w:sz w:val="20"/>
                <w:szCs w:val="20"/>
                <w:color w:val="auto"/>
              </w:rPr>
            </w:pPr>
            <w:r>
              <w:rPr>
                <w:rFonts w:ascii="Arial" w:cs="Arial" w:eastAsia="Arial" w:hAnsi="Arial"/>
                <w:sz w:val="18"/>
                <w:szCs w:val="18"/>
                <w:b w:val="1"/>
                <w:bCs w:val="1"/>
                <w:color w:val="auto"/>
              </w:rPr>
              <w:t>Description</w:t>
            </w:r>
          </w:p>
        </w:tc>
      </w:tr>
      <w:tr>
        <w:trPr>
          <w:trHeight w:val="277"/>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00" w:type="dxa"/>
            <w:vAlign w:val="bottom"/>
            <w:tcBorders>
              <w:top w:val="single" w:sz="8" w:color="auto"/>
            </w:tcBorders>
            <w:gridSpan w:val="6"/>
          </w:tcPr>
          <w:p>
            <w:pPr>
              <w:spacing w:after="0"/>
              <w:rPr>
                <w:rFonts w:ascii="Arial" w:cs="Arial" w:eastAsia="Arial" w:hAnsi="Arial"/>
                <w:sz w:val="18"/>
                <w:szCs w:val="18"/>
                <w:color w:val="0000EE"/>
                <w:w w:val="96"/>
              </w:rPr>
            </w:pPr>
            <w:hyperlink w:anchor="page96">
              <w:r>
                <w:rPr>
                  <w:rFonts w:ascii="Arial" w:cs="Arial" w:eastAsia="Arial" w:hAnsi="Arial"/>
                  <w:sz w:val="18"/>
                  <w:szCs w:val="18"/>
                  <w:color w:val="0000EE"/>
                  <w:w w:val="96"/>
                </w:rPr>
                <w:t>Certification of Principal Executive Officer Pursuant to Rules 13a-14(a) and 15d-14(a) under the Securities Exchange Act of 1934, as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2"/>
          </w:tcPr>
          <w:p>
            <w:pPr>
              <w:spacing w:after="0"/>
              <w:rPr>
                <w:sz w:val="17"/>
                <w:szCs w:val="17"/>
                <w:color w:val="auto"/>
              </w:rPr>
            </w:pPr>
          </w:p>
        </w:tc>
        <w:tc>
          <w:tcPr>
            <w:tcW w:w="600" w:type="dxa"/>
            <w:vAlign w:val="bottom"/>
            <w:gridSpan w:val="2"/>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5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6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Adopted Pursuant to Section 302 of the Sarbanes-Oxley Act of 2002.</w:t>
              </w:r>
            </w:hyperlink>
          </w:p>
        </w:tc>
        <w:tc>
          <w:tcPr>
            <w:tcW w:w="5220" w:type="dxa"/>
            <w:vAlign w:val="bottom"/>
            <w:gridSpan w:val="4"/>
          </w:tcPr>
          <w:p>
            <w:pPr>
              <w:spacing w:after="0"/>
              <w:rPr>
                <w:sz w:val="17"/>
                <w:szCs w:val="17"/>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32.1†</w:t>
            </w:r>
          </w:p>
        </w:tc>
        <w:tc>
          <w:tcPr>
            <w:tcW w:w="10200" w:type="dxa"/>
            <w:vAlign w:val="bottom"/>
            <w:gridSpan w:val="6"/>
          </w:tcPr>
          <w:p>
            <w:pPr>
              <w:spacing w:after="0"/>
              <w:rPr>
                <w:rFonts w:ascii="Arial" w:cs="Arial" w:eastAsia="Arial" w:hAnsi="Arial"/>
                <w:sz w:val="18"/>
                <w:szCs w:val="18"/>
                <w:color w:val="0000EE"/>
                <w:w w:val="95"/>
              </w:rPr>
            </w:pPr>
            <w:hyperlink w:anchor="page98">
              <w:r>
                <w:rPr>
                  <w:rFonts w:ascii="Arial" w:cs="Arial" w:eastAsia="Arial" w:hAnsi="Arial"/>
                  <w:sz w:val="18"/>
                  <w:szCs w:val="18"/>
                  <w:color w:val="0000EE"/>
                  <w:w w:val="95"/>
                </w:rPr>
                <w:t>Certification of Principal Executive Officer and Principal Financial Officer Pursuant to 18 U.S.C. Section 1350, as Adopted Pursuant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Section 906 of the Sarbanes-Oxley Act of 2002.</w:t>
              </w:r>
            </w:hyperlink>
          </w:p>
        </w:tc>
        <w:tc>
          <w:tcPr>
            <w:tcW w:w="6300" w:type="dxa"/>
            <w:vAlign w:val="bottom"/>
            <w:tcBorders>
              <w:top w:val="single" w:sz="8" w:color="0000EE"/>
            </w:tcBorders>
            <w:gridSpan w:val="4"/>
          </w:tcPr>
          <w:p>
            <w:pPr>
              <w:spacing w:after="0"/>
              <w:rPr>
                <w:sz w:val="17"/>
                <w:szCs w:val="17"/>
                <w:color w:val="auto"/>
              </w:rPr>
            </w:pPr>
          </w:p>
        </w:tc>
        <w:tc>
          <w:tcPr>
            <w:tcW w:w="440" w:type="dxa"/>
            <w:vAlign w:val="bottom"/>
          </w:tcPr>
          <w:p>
            <w:pPr>
              <w:spacing w:after="0"/>
              <w:rPr>
                <w:sz w:val="17"/>
                <w:szCs w:val="17"/>
                <w:color w:val="auto"/>
              </w:rPr>
            </w:pPr>
          </w:p>
        </w:tc>
      </w:tr>
      <w:tr>
        <w:trPr>
          <w:trHeight w:val="330"/>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6"/>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XBRL tags are embedded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 w:right="1540" w:hanging="32"/>
        <w:spacing w:after="0" w:line="273" w:lineRule="auto"/>
        <w:tabs>
          <w:tab w:leader="none" w:pos="51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Tenaya Therapeutics, Inc.</w:t>
      </w:r>
    </w:p>
    <w:p>
      <w:pPr>
        <w:spacing w:after="0" w:line="252" w:lineRule="exact"/>
        <w:rPr>
          <w:sz w:val="20"/>
          <w:szCs w:val="20"/>
          <w:color w:val="auto"/>
        </w:rPr>
      </w:pPr>
    </w:p>
    <w:p>
      <w:pPr>
        <w:spacing w:after="0"/>
        <w:tabs>
          <w:tab w:leader="none" w:pos="5620" w:val="left"/>
          <w:tab w:leader="none" w:pos="7820" w:val="left"/>
        </w:tabs>
        <w:rPr>
          <w:sz w:val="20"/>
          <w:szCs w:val="20"/>
          <w:color w:val="auto"/>
        </w:rPr>
      </w:pPr>
      <w:r>
        <w:rPr>
          <w:rFonts w:ascii="Arial" w:cs="Arial" w:eastAsia="Arial" w:hAnsi="Arial"/>
          <w:sz w:val="18"/>
          <w:szCs w:val="18"/>
          <w:color w:val="auto"/>
        </w:rPr>
        <w:t>Date: September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Faraz Ali, M.B.A.</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5620" w:val="left"/>
          <w:tab w:leader="none" w:pos="7460" w:val="left"/>
        </w:tabs>
        <w:rPr>
          <w:sz w:val="20"/>
          <w:szCs w:val="20"/>
          <w:color w:val="auto"/>
        </w:rPr>
      </w:pPr>
      <w:r>
        <w:rPr>
          <w:rFonts w:ascii="Arial" w:cs="Arial" w:eastAsia="Arial" w:hAnsi="Arial"/>
          <w:sz w:val="18"/>
          <w:szCs w:val="18"/>
          <w:color w:val="auto"/>
        </w:rPr>
        <w:t>Date: September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Leone D. Patterson, M.B.A.</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00"/>
          </w:cols>
          <w:pgMar w:left="320" w:top="337" w:right="7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Faraz Ali, M.B.A., certify that:</w:t>
      </w:r>
    </w:p>
    <w:p>
      <w:pPr>
        <w:spacing w:after="0" w:line="225"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Tenaya Therapeutics, Inc.;</w:t>
      </w:r>
    </w:p>
    <w:p>
      <w:pPr>
        <w:spacing w:after="0" w:line="225"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360" w:hanging="412"/>
        <w:spacing w:after="0" w:line="277" w:lineRule="auto"/>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20" w:right="220" w:hanging="407"/>
        <w:spacing w:after="0" w:line="263" w:lineRule="auto"/>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20" w:right="700" w:hanging="407"/>
        <w:spacing w:after="0" w:line="342" w:lineRule="auto"/>
        <w:tabs>
          <w:tab w:leader="none" w:pos="8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200" w:hanging="407"/>
        <w:spacing w:after="0" w:line="263" w:lineRule="auto"/>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right="60" w:hanging="412"/>
        <w:spacing w:after="0" w:line="308" w:lineRule="auto"/>
        <w:tabs>
          <w:tab w:leader="none" w:pos="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120" w:hanging="407"/>
        <w:spacing w:after="0" w:line="277" w:lineRule="auto"/>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80" w:hanging="407"/>
        <w:spacing w:after="0" w:line="277" w:lineRule="auto"/>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2021</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TENAYA THERAPEUTICS, INC.</w:t>
      </w:r>
    </w:p>
    <w:p>
      <w:pPr>
        <w:spacing w:after="0" w:line="26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Faraz Ali, M.B.A.</w:t>
            </w: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spacing w:after="0"/>
              <w:rPr>
                <w:sz w:val="20"/>
                <w:szCs w:val="20"/>
                <w:color w:val="auto"/>
              </w:rPr>
            </w:pPr>
            <w:r>
              <w:rPr>
                <w:rFonts w:ascii="Arial" w:cs="Arial" w:eastAsia="Arial" w:hAnsi="Arial"/>
                <w:sz w:val="18"/>
                <w:szCs w:val="18"/>
                <w:color w:val="auto"/>
              </w:rPr>
              <w:t>Faraz Ali, M.B.A.</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w w:val="98"/>
              </w:rPr>
              <w:t xml:space="preserve">Chief Executive Officer and Director </w:t>
            </w:r>
            <w:r>
              <w:rPr>
                <w:rFonts w:ascii="Arial" w:cs="Arial" w:eastAsia="Arial" w:hAnsi="Arial"/>
                <w:sz w:val="18"/>
                <w:szCs w:val="18"/>
                <w:i w:val="1"/>
                <w:iCs w:val="1"/>
                <w:color w:val="auto"/>
                <w:w w:val="98"/>
              </w:rPr>
              <w:t>(Principal Executive</w:t>
            </w:r>
          </w:p>
        </w:tc>
      </w:tr>
      <w:tr>
        <w:trPr>
          <w:trHeight w:val="230"/>
        </w:trPr>
        <w:tc>
          <w:tcPr>
            <w:tcW w:w="8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Officer)</w:t>
            </w:r>
          </w:p>
        </w:tc>
      </w:tr>
    </w:tbl>
    <w:p>
      <w:pPr>
        <w:sectPr>
          <w:pgSz w:w="11900" w:h="16838" w:orient="portrait"/>
          <w:cols w:equalWidth="0" w:num="1">
            <w:col w:w="11240"/>
          </w:cols>
          <w:pgMar w:left="320" w:top="35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Leone D. Patterson, M.B.A., certify that:</w:t>
      </w:r>
    </w:p>
    <w:p>
      <w:pPr>
        <w:spacing w:after="0" w:line="225"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Tenaya Therapeutics, Inc.;</w:t>
      </w:r>
    </w:p>
    <w:p>
      <w:pPr>
        <w:spacing w:after="0" w:line="225"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360" w:hanging="412"/>
        <w:spacing w:after="0" w:line="277"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20" w:right="220" w:hanging="407"/>
        <w:spacing w:after="0" w:line="263" w:lineRule="auto"/>
        <w:tabs>
          <w:tab w:leader="none" w:pos="8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20" w:right="700" w:hanging="407"/>
        <w:spacing w:after="0" w:line="342" w:lineRule="auto"/>
        <w:tabs>
          <w:tab w:leader="none" w:pos="8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200" w:hanging="407"/>
        <w:spacing w:after="0" w:line="263" w:lineRule="auto"/>
        <w:tabs>
          <w:tab w:leader="none" w:pos="8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right="60" w:hanging="412"/>
        <w:spacing w:after="0" w:line="308" w:lineRule="auto"/>
        <w:tabs>
          <w:tab w:leader="none" w:pos="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120" w:hanging="407"/>
        <w:spacing w:after="0" w:line="277" w:lineRule="auto"/>
        <w:tabs>
          <w:tab w:leader="none" w:pos="8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80" w:hanging="407"/>
        <w:spacing w:after="0" w:line="277" w:lineRule="auto"/>
        <w:tabs>
          <w:tab w:leader="none" w:pos="8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2021</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TENAYA THERAPEUTICS, INC.</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Leone D. Patterson, M.B.A.</w:t>
            </w:r>
          </w:p>
        </w:tc>
      </w:tr>
      <w:tr>
        <w:trPr>
          <w:trHeight w:val="209"/>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Leone D. Patterson, M.B.A.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Chief Financial and Business Officer</w:t>
            </w:r>
          </w:p>
        </w:tc>
      </w:tr>
      <w:tr>
        <w:trPr>
          <w:trHeight w:val="230"/>
        </w:trPr>
        <w:tc>
          <w:tcPr>
            <w:tcW w:w="8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40"/>
          </w:cols>
          <w:pgMar w:left="320" w:top="35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Faraz Ali, M.B.A., certify, pursuant to 18 U.S.C. Section 1350 as adopted pursuant to Section 906 of the Sarbanes-Oxley Act of 2002, that, (1) the Quarterly Report on Form 10-Q of Tenaya Therapeutics, Inc. for the quarterly period ended June 30, 2021,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31750</wp:posOffset>
            </wp:positionV>
            <wp:extent cx="27686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Faraz Ali, M.B.A.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Executive Officer)</w:t>
      </w:r>
    </w:p>
    <w:p>
      <w:pPr>
        <w:spacing w:after="0" w:line="4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September 8,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 Leone D. Patterson, M.B.A., certify, pursuant to 18 U.S.C. Section 1350 as adopted pursuant to Section 906 of the Sarbanes-Oxley Act of 2002, that, (1) the Quarterly Report on Form 10-Q of Tenaya Therapeutics, Inc. for the quarterly period ended June 30, 2021,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31750</wp:posOffset>
            </wp:positionV>
            <wp:extent cx="27686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Leone D. Patterson, M.B.A.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and Business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4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September 8, 2021</w:t>
      </w:r>
    </w:p>
    <w:sectPr>
      <w:pgSz w:w="11900" w:h="16838" w:orient="portrait"/>
      <w:cols w:equalWidth="0" w:num="1">
        <w:col w:w="11240"/>
      </w:cols>
      <w:pgMar w:left="320" w:top="5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2"/>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1."/>
      <w:numFmt w:val="decimal"/>
      <w:start w:val="6"/>
    </w:lvl>
  </w:abstractNum>
  <w:abstractNum w:abstractNumId="7">
    <w:nsid w:val="614FD4A1"/>
    <w:multiLevelType w:val="hybridMultilevel"/>
    <w:lvl w:ilvl="0">
      <w:lvlJc w:val="left"/>
      <w:lvlText w:val="%1."/>
      <w:numFmt w:val="decimal"/>
      <w:start w:val="7"/>
    </w:lvl>
  </w:abstractNum>
  <w:abstractNum w:abstractNumId="8">
    <w:nsid w:val="419AC241"/>
    <w:multiLevelType w:val="hybridMultilevel"/>
    <w:lvl w:ilvl="0">
      <w:lvlJc w:val="left"/>
      <w:lvlText w:val="%1."/>
      <w:numFmt w:val="decimal"/>
      <w:start w:val="8"/>
    </w:lvl>
  </w:abstractNum>
  <w:abstractNum w:abstractNumId="9">
    <w:nsid w:val="5577F8E1"/>
    <w:multiLevelType w:val="hybridMultilevel"/>
    <w:lvl w:ilvl="0">
      <w:lvlJc w:val="left"/>
      <w:lvlText w:val="%1."/>
      <w:numFmt w:val="decimal"/>
      <w:start w:val="9"/>
    </w:lvl>
  </w:abstractNum>
  <w:abstractNum w:abstractNumId="10">
    <w:nsid w:val="440BADFC"/>
    <w:multiLevelType w:val="hybridMultilevel"/>
    <w:lvl w:ilvl="0">
      <w:lvlJc w:val="left"/>
      <w:lvlText w:val="%1."/>
      <w:numFmt w:val="decimal"/>
      <w:start w:val="12"/>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2"/>
    </w:lvl>
  </w:abstractNum>
  <w:abstractNum w:abstractNumId="55">
    <w:nsid w:val="235BA861"/>
    <w:multiLevelType w:val="hybridMultilevel"/>
    <w:lvl w:ilvl="0">
      <w:lvlJc w:val="left"/>
      <w:lvlText w:val="(%1)"/>
      <w:numFmt w:val="lowerLetter"/>
      <w:start w:val="3"/>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2021-09-08T15:42:01Z</dcterms:created>
  <dcterms:modified xsi:type="dcterms:W3CDTF">2021-09-08T15:42:01Z</dcterms:modified>
</cp:coreProperties>
</file>