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2745740</wp:posOffset>
            </wp:positionH>
            <wp:positionV relativeFrom="page">
              <wp:posOffset>157480</wp:posOffset>
            </wp:positionV>
            <wp:extent cx="205740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73723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6"/>
          <w:szCs w:val="16"/>
          <w:color w:val="auto"/>
        </w:rPr>
        <w:t>July 27, 2021</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0900"/>
          </w:cols>
          <w:pgMar w:left="440" w:top="1440" w:right="55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Tracey Houser</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Brian Cascio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Tom Kluck</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Suzanne Hayes</w:t>
      </w:r>
    </w:p>
    <w:p>
      <w:pPr>
        <w:spacing w:after="0" w:line="200" w:lineRule="exact"/>
        <w:rPr>
          <w:sz w:val="24"/>
          <w:szCs w:val="24"/>
          <w:color w:val="auto"/>
        </w:rPr>
      </w:pPr>
    </w:p>
    <w:p>
      <w:pPr>
        <w:sectPr>
          <w:pgSz w:w="11900" w:h="16838" w:orient="portrait"/>
          <w:cols w:equalWidth="0" w:num="2">
            <w:col w:w="740" w:space="680"/>
            <w:col w:w="9480"/>
          </w:cols>
          <w:pgMar w:left="440" w:top="1440" w:right="559" w:bottom="1440" w:gutter="0" w:footer="0" w:header="0"/>
          <w:type w:val="continuous"/>
        </w:sectPr>
      </w:pPr>
    </w:p>
    <w:p>
      <w:pPr>
        <w:spacing w:after="0" w:line="41" w:lineRule="exact"/>
        <w:rPr>
          <w:sz w:val="24"/>
          <w:szCs w:val="24"/>
          <w:color w:val="auto"/>
        </w:rPr>
      </w:pPr>
    </w:p>
    <w:p>
      <w:pPr>
        <w:ind w:left="74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Tenaya Therapeutics,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333-257820)</w:t>
      </w:r>
    </w:p>
    <w:p>
      <w:pPr>
        <w:spacing w:after="0" w:line="99" w:lineRule="exact"/>
        <w:rPr>
          <w:sz w:val="24"/>
          <w:szCs w:val="24"/>
          <w:color w:val="auto"/>
        </w:rPr>
      </w:pPr>
    </w:p>
    <w:p>
      <w:pPr>
        <w:sectPr>
          <w:pgSz w:w="11900" w:h="16838" w:orient="portrait"/>
          <w:cols w:equalWidth="0" w:num="2">
            <w:col w:w="1000" w:space="420"/>
            <w:col w:w="9480"/>
          </w:cols>
          <w:pgMar w:left="440" w:top="1440" w:right="559" w:bottom="1440" w:gutter="0" w:footer="0" w:header="0"/>
          <w:type w:val="continuous"/>
        </w:sectPr>
      </w:pPr>
    </w:p>
    <w:p>
      <w:pPr>
        <w:ind w:left="1420"/>
        <w:spacing w:after="0"/>
        <w:rPr>
          <w:sz w:val="20"/>
          <w:szCs w:val="20"/>
          <w:color w:val="auto"/>
        </w:rPr>
      </w:pPr>
      <w:r>
        <w:rPr>
          <w:rFonts w:ascii="Arial" w:cs="Arial" w:eastAsia="Arial" w:hAnsi="Arial"/>
          <w:sz w:val="16"/>
          <w:szCs w:val="16"/>
          <w:b w:val="1"/>
          <w:bCs w:val="1"/>
          <w:color w:val="auto"/>
        </w:rPr>
        <w:t>Acceleration Request</w:t>
      </w:r>
    </w:p>
    <w:p>
      <w:pPr>
        <w:spacing w:after="0" w:line="50"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Requested Date:</w:t>
      </w:r>
    </w:p>
    <w:p>
      <w:pPr>
        <w:spacing w:after="0" w:line="9"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Requested Time: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Thursday, July 29, 2021</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4:00 P.M. Eastern Daylight Time</w:t>
      </w:r>
    </w:p>
    <w:p>
      <w:pPr>
        <w:spacing w:after="0" w:line="222" w:lineRule="exact"/>
        <w:rPr>
          <w:sz w:val="24"/>
          <w:szCs w:val="24"/>
          <w:color w:val="auto"/>
        </w:rPr>
      </w:pPr>
    </w:p>
    <w:p>
      <w:pPr>
        <w:sectPr>
          <w:pgSz w:w="11900" w:h="16838" w:orient="portrait"/>
          <w:cols w:equalWidth="0" w:num="2">
            <w:col w:w="3060" w:space="20"/>
            <w:col w:w="7820"/>
          </w:cols>
          <w:pgMar w:left="440" w:top="1440" w:right="55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firstLine="440"/>
        <w:spacing w:after="0" w:line="286" w:lineRule="auto"/>
        <w:rPr>
          <w:sz w:val="20"/>
          <w:szCs w:val="20"/>
          <w:color w:val="auto"/>
        </w:rPr>
      </w:pPr>
      <w:r>
        <w:rPr>
          <w:rFonts w:ascii="Arial" w:cs="Arial" w:eastAsia="Arial" w:hAnsi="Arial"/>
          <w:sz w:val="16"/>
          <w:szCs w:val="16"/>
          <w:color w:val="auto"/>
        </w:rPr>
        <w:t>Pursuant to Rule 461 under the Securities Act of 1933, as amended, Tenaya Therapeutics, Inc. (the “</w:t>
      </w:r>
      <w:r>
        <w:rPr>
          <w:rFonts w:ascii="Arial" w:cs="Arial" w:eastAsia="Arial" w:hAnsi="Arial"/>
          <w:sz w:val="16"/>
          <w:szCs w:val="16"/>
          <w:b w:val="1"/>
          <w:bCs w:val="1"/>
          <w:color w:val="auto"/>
        </w:rPr>
        <w:t>Company</w:t>
      </w:r>
      <w:r>
        <w:rPr>
          <w:rFonts w:ascii="Arial" w:cs="Arial" w:eastAsia="Arial" w:hAnsi="Arial"/>
          <w:sz w:val="16"/>
          <w:szCs w:val="16"/>
          <w:color w:val="auto"/>
        </w:rPr>
        <w:t>”) hereby requests that the above-referenced Registration Statement on Form S-l (File No. 333-257820)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be declared effective at the “Requested Date” and “Requested Time” set forth above or at such later time as the Company or its counsel may orally request via telephone call to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 Division of Corporation Finance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Once the Registration Statement has been declared effective, please orally confirm that event with our counsel, Wilson Sonsini Goodrich &amp; Rosati, P.C., by calling Jennifer Knapp at (650)</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849-3041.</w:t>
      </w:r>
    </w:p>
    <w:p>
      <w:pPr>
        <w:spacing w:after="0" w:line="211" w:lineRule="exact"/>
        <w:rPr>
          <w:sz w:val="24"/>
          <w:szCs w:val="24"/>
          <w:color w:val="auto"/>
        </w:rPr>
      </w:pPr>
    </w:p>
    <w:p>
      <w:pPr>
        <w:ind w:right="120" w:firstLine="440"/>
        <w:spacing w:after="0" w:line="277" w:lineRule="auto"/>
        <w:rPr>
          <w:sz w:val="20"/>
          <w:szCs w:val="20"/>
          <w:color w:val="auto"/>
        </w:rPr>
      </w:pPr>
      <w:r>
        <w:rPr>
          <w:rFonts w:ascii="Arial" w:cs="Arial" w:eastAsia="Arial" w:hAnsi="Arial"/>
          <w:sz w:val="18"/>
          <w:szCs w:val="18"/>
          <w:color w:val="auto"/>
        </w:rPr>
        <w:t>The Company understands that the Staff will consider this request as confirmation by the Company of its awareness of its responsibilities under the federal securities laws as they relate to the offering of the securities covered by the Registration Statement.</w:t>
      </w:r>
    </w:p>
    <w:p>
      <w:pPr>
        <w:spacing w:after="0" w:line="170"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0900"/>
          </w:cols>
          <w:pgMar w:left="440" w:top="1440" w:right="559" w:bottom="1440" w:gutter="0" w:footer="0" w:header="0"/>
          <w:type w:val="continuous"/>
        </w:sectPr>
      </w:pPr>
    </w:p>
    <w:bookmarkStart w:id="1" w:name="page2"/>
    <w:bookmarkEnd w:id="1"/>
    <w:p>
      <w:pPr>
        <w:ind w:left="6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TENAYA THERAPEUTICS, INC.</w:t>
      </w:r>
    </w:p>
    <w:p>
      <w:pPr>
        <w:spacing w:after="0" w:line="23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Faraz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Faraz Ali, M.B.A.</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i w:val="1"/>
          <w:iCs w:val="1"/>
          <w:color w:val="auto"/>
        </w:rPr>
        <w:t>Chief Executive Officer</w:t>
      </w:r>
    </w:p>
    <w:p>
      <w:pPr>
        <w:spacing w:after="0" w:line="238" w:lineRule="exact"/>
        <w:rPr>
          <w:sz w:val="20"/>
          <w:szCs w:val="20"/>
          <w:color w:val="auto"/>
        </w:rPr>
      </w:pPr>
    </w:p>
    <w:p>
      <w:pPr>
        <w:ind w:left="344" w:hanging="344"/>
        <w:spacing w:after="0"/>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Faraz Ali, M.B.A., Tenaya Therapeutics, Inc.</w:t>
      </w:r>
    </w:p>
    <w:p>
      <w:pPr>
        <w:spacing w:after="0" w:line="23" w:lineRule="exact"/>
        <w:rPr>
          <w:rFonts w:ascii="Arial" w:cs="Arial" w:eastAsia="Arial" w:hAnsi="Arial"/>
          <w:sz w:val="18"/>
          <w:szCs w:val="18"/>
          <w:color w:val="auto"/>
        </w:rPr>
      </w:pPr>
    </w:p>
    <w:p>
      <w:pPr>
        <w:ind w:left="344"/>
        <w:spacing w:after="0"/>
        <w:rPr>
          <w:rFonts w:ascii="Arial" w:cs="Arial" w:eastAsia="Arial" w:hAnsi="Arial"/>
          <w:sz w:val="18"/>
          <w:szCs w:val="18"/>
          <w:color w:val="auto"/>
        </w:rPr>
      </w:pPr>
      <w:r>
        <w:rPr>
          <w:rFonts w:ascii="Arial" w:cs="Arial" w:eastAsia="Arial" w:hAnsi="Arial"/>
          <w:sz w:val="18"/>
          <w:szCs w:val="18"/>
          <w:color w:val="auto"/>
        </w:rPr>
        <w:t>Leone D. Patterson, M.B.A., Tenaya Therapeutics, Inc.</w:t>
      </w:r>
    </w:p>
    <w:p>
      <w:pPr>
        <w:spacing w:after="0" w:line="210" w:lineRule="exact"/>
        <w:rPr>
          <w:rFonts w:ascii="Arial" w:cs="Arial" w:eastAsia="Arial" w:hAnsi="Arial"/>
          <w:sz w:val="18"/>
          <w:szCs w:val="18"/>
          <w:color w:val="auto"/>
        </w:rPr>
      </w:pPr>
    </w:p>
    <w:p>
      <w:pPr>
        <w:ind w:left="344" w:right="5439"/>
        <w:spacing w:after="0" w:line="311" w:lineRule="auto"/>
        <w:rPr>
          <w:rFonts w:ascii="Arial" w:cs="Arial" w:eastAsia="Arial" w:hAnsi="Arial"/>
          <w:sz w:val="18"/>
          <w:szCs w:val="18"/>
          <w:color w:val="auto"/>
        </w:rPr>
      </w:pPr>
      <w:r>
        <w:rPr>
          <w:rFonts w:ascii="Arial" w:cs="Arial" w:eastAsia="Arial" w:hAnsi="Arial"/>
          <w:sz w:val="16"/>
          <w:szCs w:val="16"/>
          <w:color w:val="auto"/>
        </w:rPr>
        <w:t>Kenneth A. Clark, Wilson Sonsini Goodrich &amp; Rosati, P.C. Jennifer Knapp, Wilson Sonsini Goodrich &amp; Rosati, P.C. Jennifer Fang, Wilson Sonsini Goodrich &amp; Rosati, P.C.</w:t>
      </w:r>
    </w:p>
    <w:p>
      <w:pPr>
        <w:spacing w:after="0" w:line="148" w:lineRule="exact"/>
        <w:rPr>
          <w:rFonts w:ascii="Arial" w:cs="Arial" w:eastAsia="Arial" w:hAnsi="Arial"/>
          <w:sz w:val="18"/>
          <w:szCs w:val="18"/>
          <w:color w:val="auto"/>
        </w:rPr>
      </w:pPr>
    </w:p>
    <w:p>
      <w:pPr>
        <w:ind w:left="344" w:right="6159"/>
        <w:spacing w:after="0" w:line="342" w:lineRule="auto"/>
        <w:rPr>
          <w:rFonts w:ascii="Arial" w:cs="Arial" w:eastAsia="Arial" w:hAnsi="Arial"/>
          <w:sz w:val="18"/>
          <w:szCs w:val="18"/>
          <w:color w:val="auto"/>
        </w:rPr>
      </w:pPr>
      <w:r>
        <w:rPr>
          <w:rFonts w:ascii="Arial" w:cs="Arial" w:eastAsia="Arial" w:hAnsi="Arial"/>
          <w:sz w:val="16"/>
          <w:szCs w:val="16"/>
          <w:color w:val="auto"/>
        </w:rPr>
        <w:t>Alan F. Denenberg, Davis Polk &amp; Wardwell LLP Stephen Salmon, Davis Polk &amp; Wardwell LLP</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2021-08-26T23:05:32Z</dcterms:created>
  <dcterms:modified xsi:type="dcterms:W3CDTF">2021-08-26T23:05:32Z</dcterms:modified>
</cp:coreProperties>
</file>