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4"/>
          <w:szCs w:val="24"/>
          <w:color w:val="auto"/>
        </w:rPr>
      </w:pPr>
    </w:p>
    <w:p>
      <w:pPr>
        <w:jc w:val="center"/>
        <w:ind w:left="1140" w:right="40"/>
        <w:spacing w:after="0" w:line="234" w:lineRule="auto"/>
        <w:rPr>
          <w:sz w:val="20"/>
          <w:szCs w:val="20"/>
          <w:color w:val="auto"/>
        </w:rPr>
      </w:pPr>
      <w:r>
        <w:rPr>
          <w:rFonts w:ascii="Arial" w:cs="Arial" w:eastAsia="Arial" w:hAnsi="Arial"/>
          <w:sz w:val="13"/>
          <w:szCs w:val="13"/>
          <w:b w:val="1"/>
          <w:bCs w:val="1"/>
          <w:color w:val="auto"/>
        </w:rPr>
        <w:t>Amendment No. 1 to Draft Registration Statement, as confidentially submitted to the Securities and Exchange Commission on June 15, 2021. This draft registration statement has not been publicly filed with the Securities and Exchange Commission and all information herein remains strictly confidential.</w:t>
      </w:r>
    </w:p>
    <w:p>
      <w:pPr>
        <w:spacing w:after="0" w:line="62" w:lineRule="exact"/>
        <w:rPr>
          <w:sz w:val="24"/>
          <w:szCs w:val="24"/>
          <w:color w:val="auto"/>
        </w:rPr>
      </w:pPr>
    </w:p>
    <w:p>
      <w:pPr>
        <w:ind w:left="8920"/>
        <w:spacing w:after="0"/>
        <w:rPr>
          <w:sz w:val="20"/>
          <w:szCs w:val="20"/>
          <w:color w:val="auto"/>
        </w:rPr>
      </w:pPr>
      <w:r>
        <w:rPr>
          <w:rFonts w:ascii="Arial" w:cs="Arial" w:eastAsia="Arial" w:hAnsi="Arial"/>
          <w:sz w:val="13"/>
          <w:szCs w:val="13"/>
          <w:b w:val="1"/>
          <w:bCs w:val="1"/>
          <w:color w:val="auto"/>
        </w:rPr>
        <w:t>Registration No. 333-</w:t>
      </w:r>
    </w:p>
    <w:p>
      <w:pPr>
        <w:spacing w:after="0" w:line="78"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0" w:lineRule="exact"/>
        <w:rPr>
          <w:sz w:val="24"/>
          <w:szCs w:val="24"/>
          <w:color w:val="auto"/>
        </w:rPr>
      </w:pPr>
    </w:p>
    <w:p>
      <w:pPr>
        <w:jc w:val="center"/>
        <w:ind w:right="-799"/>
        <w:spacing w:after="0"/>
        <w:rPr>
          <w:sz w:val="20"/>
          <w:szCs w:val="20"/>
          <w:color w:val="auto"/>
        </w:rPr>
      </w:pPr>
      <w:r>
        <w:rPr>
          <w:rFonts w:ascii="Arial" w:cs="Arial" w:eastAsia="Arial" w:hAnsi="Arial"/>
          <w:sz w:val="14"/>
          <w:szCs w:val="14"/>
          <w:b w:val="1"/>
          <w:bCs w:val="1"/>
          <w:color w:val="auto"/>
        </w:rPr>
        <w:t>Washington, D.C. 20549</w:t>
      </w:r>
    </w:p>
    <w:p>
      <w:pPr>
        <w:spacing w:after="0" w:line="95"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FORM S-1</w:t>
      </w:r>
    </w:p>
    <w:p>
      <w:pPr>
        <w:spacing w:after="0" w:line="20"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Under the Securities Act of 1933</w:t>
      </w:r>
    </w:p>
    <w:p>
      <w:pPr>
        <w:spacing w:after="0" w:line="17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TENAYA THERAPEUTICS, INC.</w:t>
      </w:r>
    </w:p>
    <w:p>
      <w:pPr>
        <w:spacing w:after="0" w:line="28"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(Exact name of Registrant as specified in its charter)</w:t>
      </w:r>
    </w:p>
    <w:p>
      <w:pPr>
        <w:spacing w:after="0" w:line="58"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2420" w:type="dxa"/>
            <w:vAlign w:val="bottom"/>
          </w:tcPr>
          <w:p>
            <w:pPr>
              <w:jc w:val="center"/>
              <w:ind w:right="817"/>
              <w:spacing w:after="0"/>
              <w:rPr>
                <w:sz w:val="20"/>
                <w:szCs w:val="20"/>
                <w:color w:val="auto"/>
              </w:rPr>
            </w:pPr>
            <w:r>
              <w:rPr>
                <w:rFonts w:ascii="Arial" w:cs="Arial" w:eastAsia="Arial" w:hAnsi="Arial"/>
                <w:sz w:val="13"/>
                <w:szCs w:val="13"/>
                <w:b w:val="1"/>
                <w:bCs w:val="1"/>
                <w:color w:val="auto"/>
                <w:w w:val="87"/>
              </w:rPr>
              <w:t>Delaware</w:t>
            </w:r>
          </w:p>
        </w:tc>
        <w:tc>
          <w:tcPr>
            <w:tcW w:w="3300" w:type="dxa"/>
            <w:vAlign w:val="bottom"/>
          </w:tcPr>
          <w:p>
            <w:pPr>
              <w:jc w:val="center"/>
              <w:spacing w:after="0"/>
              <w:rPr>
                <w:sz w:val="20"/>
                <w:szCs w:val="20"/>
                <w:color w:val="auto"/>
              </w:rPr>
            </w:pPr>
            <w:r>
              <w:rPr>
                <w:rFonts w:ascii="Arial" w:cs="Arial" w:eastAsia="Arial" w:hAnsi="Arial"/>
                <w:sz w:val="13"/>
                <w:szCs w:val="13"/>
                <w:b w:val="1"/>
                <w:bCs w:val="1"/>
                <w:color w:val="auto"/>
                <w:w w:val="82"/>
              </w:rPr>
              <w:t>2836</w:t>
            </w:r>
          </w:p>
        </w:tc>
        <w:tc>
          <w:tcPr>
            <w:tcW w:w="2120" w:type="dxa"/>
            <w:vAlign w:val="bottom"/>
          </w:tcPr>
          <w:p>
            <w:pPr>
              <w:jc w:val="center"/>
              <w:ind w:left="897"/>
              <w:spacing w:after="0"/>
              <w:rPr>
                <w:sz w:val="20"/>
                <w:szCs w:val="20"/>
                <w:color w:val="auto"/>
              </w:rPr>
            </w:pPr>
            <w:r>
              <w:rPr>
                <w:rFonts w:ascii="Arial" w:cs="Arial" w:eastAsia="Arial" w:hAnsi="Arial"/>
                <w:sz w:val="13"/>
                <w:szCs w:val="13"/>
                <w:b w:val="1"/>
                <w:bCs w:val="1"/>
                <w:color w:val="auto"/>
                <w:w w:val="86"/>
              </w:rPr>
              <w:t>81-3789973</w:t>
            </w:r>
          </w:p>
        </w:tc>
      </w:tr>
      <w:tr>
        <w:trPr>
          <w:trHeight w:val="130"/>
        </w:trPr>
        <w:tc>
          <w:tcPr>
            <w:tcW w:w="2420" w:type="dxa"/>
            <w:vAlign w:val="bottom"/>
          </w:tcPr>
          <w:p>
            <w:pPr>
              <w:jc w:val="center"/>
              <w:ind w:right="817"/>
              <w:spacing w:after="0" w:line="130" w:lineRule="exact"/>
              <w:rPr>
                <w:sz w:val="20"/>
                <w:szCs w:val="20"/>
                <w:color w:val="auto"/>
              </w:rPr>
            </w:pPr>
            <w:r>
              <w:rPr>
                <w:rFonts w:ascii="Arial" w:cs="Arial" w:eastAsia="Arial" w:hAnsi="Arial"/>
                <w:sz w:val="13"/>
                <w:szCs w:val="13"/>
                <w:color w:val="auto"/>
                <w:w w:val="89"/>
              </w:rPr>
              <w:t>(State or other jurisdiction of</w:t>
            </w:r>
          </w:p>
        </w:tc>
        <w:tc>
          <w:tcPr>
            <w:tcW w:w="3300" w:type="dxa"/>
            <w:vAlign w:val="bottom"/>
          </w:tcPr>
          <w:p>
            <w:pPr>
              <w:jc w:val="center"/>
              <w:spacing w:after="0" w:line="130" w:lineRule="exact"/>
              <w:rPr>
                <w:sz w:val="20"/>
                <w:szCs w:val="20"/>
                <w:color w:val="auto"/>
              </w:rPr>
            </w:pPr>
            <w:r>
              <w:rPr>
                <w:rFonts w:ascii="Arial" w:cs="Arial" w:eastAsia="Arial" w:hAnsi="Arial"/>
                <w:sz w:val="13"/>
                <w:szCs w:val="13"/>
                <w:color w:val="auto"/>
                <w:w w:val="88"/>
              </w:rPr>
              <w:t>(Primary Standard Industrial</w:t>
            </w:r>
          </w:p>
        </w:tc>
        <w:tc>
          <w:tcPr>
            <w:tcW w:w="2120" w:type="dxa"/>
            <w:vAlign w:val="bottom"/>
          </w:tcPr>
          <w:p>
            <w:pPr>
              <w:jc w:val="center"/>
              <w:ind w:left="877"/>
              <w:spacing w:after="0" w:line="130" w:lineRule="exact"/>
              <w:rPr>
                <w:sz w:val="20"/>
                <w:szCs w:val="20"/>
                <w:color w:val="auto"/>
              </w:rPr>
            </w:pPr>
            <w:r>
              <w:rPr>
                <w:rFonts w:ascii="Arial" w:cs="Arial" w:eastAsia="Arial" w:hAnsi="Arial"/>
                <w:sz w:val="13"/>
                <w:szCs w:val="13"/>
                <w:color w:val="auto"/>
                <w:w w:val="90"/>
              </w:rPr>
              <w:t>(I.R.S. Employer</w:t>
            </w:r>
          </w:p>
        </w:tc>
      </w:tr>
      <w:tr>
        <w:trPr>
          <w:trHeight w:val="158"/>
        </w:trPr>
        <w:tc>
          <w:tcPr>
            <w:tcW w:w="2420" w:type="dxa"/>
            <w:vAlign w:val="bottom"/>
          </w:tcPr>
          <w:p>
            <w:pPr>
              <w:jc w:val="center"/>
              <w:ind w:right="837"/>
              <w:spacing w:after="0"/>
              <w:rPr>
                <w:sz w:val="20"/>
                <w:szCs w:val="20"/>
                <w:color w:val="auto"/>
              </w:rPr>
            </w:pPr>
            <w:r>
              <w:rPr>
                <w:rFonts w:ascii="Arial" w:cs="Arial" w:eastAsia="Arial" w:hAnsi="Arial"/>
                <w:sz w:val="13"/>
                <w:szCs w:val="13"/>
                <w:color w:val="auto"/>
                <w:w w:val="89"/>
              </w:rPr>
              <w:t>incorporation or organization)</w:t>
            </w:r>
          </w:p>
        </w:tc>
        <w:tc>
          <w:tcPr>
            <w:tcW w:w="3300" w:type="dxa"/>
            <w:vAlign w:val="bottom"/>
          </w:tcPr>
          <w:p>
            <w:pPr>
              <w:jc w:val="center"/>
              <w:spacing w:after="0"/>
              <w:rPr>
                <w:sz w:val="20"/>
                <w:szCs w:val="20"/>
                <w:color w:val="auto"/>
              </w:rPr>
            </w:pPr>
            <w:r>
              <w:rPr>
                <w:rFonts w:ascii="Arial" w:cs="Arial" w:eastAsia="Arial" w:hAnsi="Arial"/>
                <w:sz w:val="13"/>
                <w:szCs w:val="13"/>
                <w:color w:val="auto"/>
                <w:w w:val="89"/>
              </w:rPr>
              <w:t>Classification Code Number)</w:t>
            </w:r>
          </w:p>
        </w:tc>
        <w:tc>
          <w:tcPr>
            <w:tcW w:w="2120" w:type="dxa"/>
            <w:vAlign w:val="bottom"/>
          </w:tcPr>
          <w:p>
            <w:pPr>
              <w:jc w:val="center"/>
              <w:ind w:left="897"/>
              <w:spacing w:after="0"/>
              <w:rPr>
                <w:sz w:val="20"/>
                <w:szCs w:val="20"/>
                <w:color w:val="auto"/>
              </w:rPr>
            </w:pPr>
            <w:r>
              <w:rPr>
                <w:rFonts w:ascii="Arial" w:cs="Arial" w:eastAsia="Arial" w:hAnsi="Arial"/>
                <w:sz w:val="13"/>
                <w:szCs w:val="13"/>
                <w:color w:val="auto"/>
                <w:w w:val="91"/>
              </w:rPr>
              <w:t>Identification Number)</w:t>
            </w:r>
          </w:p>
        </w:tc>
      </w:tr>
    </w:tbl>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171 Oyster Point Boulevard, 5th Floor</w:t>
      </w:r>
    </w:p>
    <w:p>
      <w:pPr>
        <w:jc w:val="center"/>
        <w:ind w:right="-799"/>
        <w:spacing w:after="0" w:line="208" w:lineRule="auto"/>
        <w:rPr>
          <w:sz w:val="20"/>
          <w:szCs w:val="20"/>
          <w:color w:val="auto"/>
        </w:rPr>
      </w:pPr>
      <w:r>
        <w:rPr>
          <w:rFonts w:ascii="Arial" w:cs="Arial" w:eastAsia="Arial" w:hAnsi="Arial"/>
          <w:sz w:val="13"/>
          <w:szCs w:val="13"/>
          <w:b w:val="1"/>
          <w:bCs w:val="1"/>
          <w:color w:val="auto"/>
        </w:rPr>
        <w:t>South San Francisco, CA 94080</w:t>
      </w:r>
    </w:p>
    <w:p>
      <w:pPr>
        <w:jc w:val="center"/>
        <w:ind w:right="-799"/>
        <w:spacing w:after="0" w:line="208" w:lineRule="auto"/>
        <w:rPr>
          <w:sz w:val="20"/>
          <w:szCs w:val="20"/>
          <w:color w:val="auto"/>
        </w:rPr>
      </w:pPr>
      <w:r>
        <w:rPr>
          <w:rFonts w:ascii="Arial" w:cs="Arial" w:eastAsia="Arial" w:hAnsi="Arial"/>
          <w:sz w:val="13"/>
          <w:szCs w:val="13"/>
          <w:b w:val="1"/>
          <w:bCs w:val="1"/>
          <w:color w:val="auto"/>
        </w:rPr>
        <w:t>(650) 825-6990</w:t>
      </w:r>
    </w:p>
    <w:p>
      <w:pPr>
        <w:jc w:val="center"/>
        <w:ind w:right="-799"/>
        <w:spacing w:after="0" w:line="237" w:lineRule="auto"/>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57"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Faraz Ali</w:t>
      </w:r>
    </w:p>
    <w:p>
      <w:pPr>
        <w:jc w:val="center"/>
        <w:ind w:right="-799"/>
        <w:spacing w:after="0" w:line="208" w:lineRule="auto"/>
        <w:rPr>
          <w:sz w:val="20"/>
          <w:szCs w:val="20"/>
          <w:color w:val="auto"/>
        </w:rPr>
      </w:pPr>
      <w:r>
        <w:rPr>
          <w:rFonts w:ascii="Arial" w:cs="Arial" w:eastAsia="Arial" w:hAnsi="Arial"/>
          <w:sz w:val="13"/>
          <w:szCs w:val="13"/>
          <w:b w:val="1"/>
          <w:bCs w:val="1"/>
          <w:color w:val="auto"/>
        </w:rPr>
        <w:t>Chief Executive Officer</w:t>
      </w:r>
    </w:p>
    <w:p>
      <w:pPr>
        <w:jc w:val="center"/>
        <w:ind w:right="-799"/>
        <w:spacing w:after="0" w:line="208" w:lineRule="auto"/>
        <w:rPr>
          <w:sz w:val="20"/>
          <w:szCs w:val="20"/>
          <w:color w:val="auto"/>
        </w:rPr>
      </w:pPr>
      <w:r>
        <w:rPr>
          <w:rFonts w:ascii="Arial" w:cs="Arial" w:eastAsia="Arial" w:hAnsi="Arial"/>
          <w:sz w:val="13"/>
          <w:szCs w:val="13"/>
          <w:b w:val="1"/>
          <w:bCs w:val="1"/>
          <w:color w:val="auto"/>
        </w:rPr>
        <w:t>Tenaya Therapeutics, Inc.</w:t>
      </w:r>
    </w:p>
    <w:p>
      <w:pPr>
        <w:jc w:val="center"/>
        <w:ind w:right="-799"/>
        <w:spacing w:after="0" w:line="208" w:lineRule="auto"/>
        <w:rPr>
          <w:sz w:val="20"/>
          <w:szCs w:val="20"/>
          <w:color w:val="auto"/>
        </w:rPr>
      </w:pPr>
      <w:r>
        <w:rPr>
          <w:rFonts w:ascii="Arial" w:cs="Arial" w:eastAsia="Arial" w:hAnsi="Arial"/>
          <w:sz w:val="13"/>
          <w:szCs w:val="13"/>
          <w:b w:val="1"/>
          <w:bCs w:val="1"/>
          <w:color w:val="auto"/>
        </w:rPr>
        <w:t>171 Oyster Point Boulevard, 5th Floor</w:t>
      </w:r>
    </w:p>
    <w:p>
      <w:pPr>
        <w:jc w:val="center"/>
        <w:ind w:right="-799"/>
        <w:spacing w:after="0" w:line="208" w:lineRule="auto"/>
        <w:rPr>
          <w:sz w:val="20"/>
          <w:szCs w:val="20"/>
          <w:color w:val="auto"/>
        </w:rPr>
      </w:pPr>
      <w:r>
        <w:rPr>
          <w:rFonts w:ascii="Arial" w:cs="Arial" w:eastAsia="Arial" w:hAnsi="Arial"/>
          <w:sz w:val="13"/>
          <w:szCs w:val="13"/>
          <w:b w:val="1"/>
          <w:bCs w:val="1"/>
          <w:color w:val="auto"/>
        </w:rPr>
        <w:t>South San Francisco, CA 94080</w:t>
      </w:r>
    </w:p>
    <w:p>
      <w:pPr>
        <w:jc w:val="center"/>
        <w:ind w:right="-799"/>
        <w:spacing w:after="0" w:line="209" w:lineRule="auto"/>
        <w:rPr>
          <w:sz w:val="20"/>
          <w:szCs w:val="20"/>
          <w:color w:val="auto"/>
        </w:rPr>
      </w:pPr>
      <w:r>
        <w:rPr>
          <w:rFonts w:ascii="Arial" w:cs="Arial" w:eastAsia="Arial" w:hAnsi="Arial"/>
          <w:sz w:val="13"/>
          <w:szCs w:val="13"/>
          <w:b w:val="1"/>
          <w:bCs w:val="1"/>
          <w:color w:val="auto"/>
        </w:rPr>
        <w:t>(650) 825-6990</w:t>
      </w:r>
    </w:p>
    <w:p>
      <w:pPr>
        <w:jc w:val="center"/>
        <w:ind w:right="-799"/>
        <w:spacing w:after="0" w:line="237" w:lineRule="auto"/>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66" w:lineRule="exact"/>
        <w:rPr>
          <w:sz w:val="24"/>
          <w:szCs w:val="24"/>
          <w:color w:val="auto"/>
        </w:rPr>
      </w:pPr>
    </w:p>
    <w:tbl>
      <w:tblPr>
        <w:tblLayout w:type="fixed"/>
        <w:tblInd w:w="2340" w:type="dxa"/>
        <w:tblCellMar>
          <w:top w:w="0" w:type="dxa"/>
          <w:left w:w="0" w:type="dxa"/>
          <w:bottom w:w="0" w:type="dxa"/>
          <w:right w:w="0" w:type="dxa"/>
        </w:tblCellMar>
      </w:tblPr>
      <w:tr>
        <w:trPr>
          <w:trHeight w:val="158"/>
        </w:trPr>
        <w:tc>
          <w:tcPr>
            <w:tcW w:w="2400" w:type="dxa"/>
            <w:vAlign w:val="bottom"/>
          </w:tcPr>
          <w:p>
            <w:pPr>
              <w:spacing w:after="0"/>
              <w:rPr>
                <w:sz w:val="13"/>
                <w:szCs w:val="13"/>
                <w:color w:val="auto"/>
              </w:rPr>
            </w:pPr>
          </w:p>
        </w:tc>
        <w:tc>
          <w:tcPr>
            <w:tcW w:w="4060" w:type="dxa"/>
            <w:vAlign w:val="bottom"/>
          </w:tcPr>
          <w:p>
            <w:pPr>
              <w:ind w:left="620"/>
              <w:spacing w:after="0"/>
              <w:rPr>
                <w:sz w:val="20"/>
                <w:szCs w:val="20"/>
                <w:color w:val="auto"/>
              </w:rPr>
            </w:pPr>
            <w:r>
              <w:rPr>
                <w:rFonts w:ascii="Arial" w:cs="Arial" w:eastAsia="Arial" w:hAnsi="Arial"/>
                <w:sz w:val="13"/>
                <w:szCs w:val="13"/>
                <w:i w:val="1"/>
                <w:iCs w:val="1"/>
                <w:color w:val="auto"/>
              </w:rPr>
              <w:t>Copies to:</w:t>
            </w:r>
          </w:p>
        </w:tc>
      </w:tr>
      <w:tr>
        <w:trPr>
          <w:trHeight w:val="208"/>
        </w:trPr>
        <w:tc>
          <w:tcPr>
            <w:tcW w:w="2400" w:type="dxa"/>
            <w:vAlign w:val="bottom"/>
          </w:tcPr>
          <w:p>
            <w:pPr>
              <w:jc w:val="center"/>
              <w:ind w:right="577"/>
              <w:spacing w:after="0"/>
              <w:rPr>
                <w:sz w:val="20"/>
                <w:szCs w:val="20"/>
                <w:color w:val="auto"/>
              </w:rPr>
            </w:pPr>
            <w:r>
              <w:rPr>
                <w:rFonts w:ascii="Arial" w:cs="Arial" w:eastAsia="Arial" w:hAnsi="Arial"/>
                <w:sz w:val="13"/>
                <w:szCs w:val="13"/>
                <w:color w:val="auto"/>
                <w:w w:val="89"/>
              </w:rPr>
              <w:t>Kenneth A. Clark</w:t>
            </w:r>
          </w:p>
        </w:tc>
        <w:tc>
          <w:tcPr>
            <w:tcW w:w="4060" w:type="dxa"/>
            <w:vAlign w:val="bottom"/>
          </w:tcPr>
          <w:p>
            <w:pPr>
              <w:jc w:val="center"/>
              <w:ind w:left="2557"/>
              <w:spacing w:after="0"/>
              <w:rPr>
                <w:sz w:val="20"/>
                <w:szCs w:val="20"/>
                <w:color w:val="auto"/>
              </w:rPr>
            </w:pPr>
            <w:r>
              <w:rPr>
                <w:rFonts w:ascii="Arial" w:cs="Arial" w:eastAsia="Arial" w:hAnsi="Arial"/>
                <w:sz w:val="13"/>
                <w:szCs w:val="13"/>
                <w:color w:val="auto"/>
                <w:w w:val="87"/>
              </w:rPr>
              <w:t>Alan F. Denenberg</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89"/>
              </w:rPr>
              <w:t>Jennifer Knapp</w:t>
            </w:r>
          </w:p>
        </w:tc>
        <w:tc>
          <w:tcPr>
            <w:tcW w:w="4060" w:type="dxa"/>
            <w:vAlign w:val="bottom"/>
          </w:tcPr>
          <w:p>
            <w:pPr>
              <w:jc w:val="center"/>
              <w:ind w:left="2577"/>
              <w:spacing w:after="0" w:line="130" w:lineRule="exact"/>
              <w:rPr>
                <w:sz w:val="20"/>
                <w:szCs w:val="20"/>
                <w:color w:val="auto"/>
              </w:rPr>
            </w:pPr>
            <w:r>
              <w:rPr>
                <w:rFonts w:ascii="Arial" w:cs="Arial" w:eastAsia="Arial" w:hAnsi="Arial"/>
                <w:sz w:val="13"/>
                <w:szCs w:val="13"/>
                <w:color w:val="auto"/>
                <w:w w:val="85"/>
              </w:rPr>
              <w:t>Stephen Salmon</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85"/>
              </w:rPr>
              <w:t>Jennifer Fang</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91"/>
              </w:rPr>
              <w:t>Davis Polk &amp; Wardwell LLP</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90"/>
              </w:rPr>
              <w:t>Wilson Sonsini Goodrich &amp; Rosati</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7"/>
              </w:rPr>
              <w:t>1600 El Camino Real</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88"/>
              </w:rPr>
              <w:t>Professional Corporation</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8"/>
              </w:rPr>
              <w:t>Menlo Park, CA 94025</w:t>
            </w:r>
          </w:p>
        </w:tc>
      </w:tr>
      <w:tr>
        <w:trPr>
          <w:trHeight w:val="130"/>
        </w:trPr>
        <w:tc>
          <w:tcPr>
            <w:tcW w:w="2400" w:type="dxa"/>
            <w:vAlign w:val="bottom"/>
          </w:tcPr>
          <w:p>
            <w:pPr>
              <w:jc w:val="center"/>
              <w:ind w:right="577"/>
              <w:spacing w:after="0" w:line="130" w:lineRule="exact"/>
              <w:rPr>
                <w:sz w:val="20"/>
                <w:szCs w:val="20"/>
                <w:color w:val="auto"/>
              </w:rPr>
            </w:pPr>
            <w:r>
              <w:rPr>
                <w:rFonts w:ascii="Arial" w:cs="Arial" w:eastAsia="Arial" w:hAnsi="Arial"/>
                <w:sz w:val="13"/>
                <w:szCs w:val="13"/>
                <w:color w:val="auto"/>
                <w:w w:val="88"/>
              </w:rPr>
              <w:t>650 Page Mill Road</w:t>
            </w:r>
          </w:p>
        </w:tc>
        <w:tc>
          <w:tcPr>
            <w:tcW w:w="4060" w:type="dxa"/>
            <w:vAlign w:val="bottom"/>
          </w:tcPr>
          <w:p>
            <w:pPr>
              <w:jc w:val="center"/>
              <w:ind w:left="2557"/>
              <w:spacing w:after="0" w:line="130" w:lineRule="exact"/>
              <w:rPr>
                <w:sz w:val="20"/>
                <w:szCs w:val="20"/>
                <w:color w:val="auto"/>
              </w:rPr>
            </w:pPr>
            <w:r>
              <w:rPr>
                <w:rFonts w:ascii="Arial" w:cs="Arial" w:eastAsia="Arial" w:hAnsi="Arial"/>
                <w:sz w:val="13"/>
                <w:szCs w:val="13"/>
                <w:color w:val="auto"/>
                <w:w w:val="89"/>
              </w:rPr>
              <w:t>(650) 752-2000</w:t>
            </w:r>
          </w:p>
        </w:tc>
      </w:tr>
      <w:tr>
        <w:trPr>
          <w:trHeight w:val="130"/>
        </w:trPr>
        <w:tc>
          <w:tcPr>
            <w:tcW w:w="2400" w:type="dxa"/>
            <w:vAlign w:val="bottom"/>
          </w:tcPr>
          <w:p>
            <w:pPr>
              <w:jc w:val="center"/>
              <w:ind w:right="557"/>
              <w:spacing w:after="0" w:line="130" w:lineRule="exact"/>
              <w:rPr>
                <w:sz w:val="20"/>
                <w:szCs w:val="20"/>
                <w:color w:val="auto"/>
              </w:rPr>
            </w:pPr>
            <w:r>
              <w:rPr>
                <w:rFonts w:ascii="Arial" w:cs="Arial" w:eastAsia="Arial" w:hAnsi="Arial"/>
                <w:sz w:val="13"/>
                <w:szCs w:val="13"/>
                <w:color w:val="auto"/>
                <w:w w:val="90"/>
              </w:rPr>
              <w:t>Palo Alto, CA 94304</w:t>
            </w:r>
          </w:p>
        </w:tc>
        <w:tc>
          <w:tcPr>
            <w:tcW w:w="4060" w:type="dxa"/>
            <w:vAlign w:val="bottom"/>
          </w:tcPr>
          <w:p>
            <w:pPr>
              <w:spacing w:after="0"/>
              <w:rPr>
                <w:sz w:val="11"/>
                <w:szCs w:val="11"/>
                <w:color w:val="auto"/>
              </w:rPr>
            </w:pPr>
          </w:p>
        </w:tc>
      </w:tr>
      <w:tr>
        <w:trPr>
          <w:trHeight w:val="158"/>
        </w:trPr>
        <w:tc>
          <w:tcPr>
            <w:tcW w:w="2400" w:type="dxa"/>
            <w:vAlign w:val="bottom"/>
          </w:tcPr>
          <w:p>
            <w:pPr>
              <w:jc w:val="center"/>
              <w:ind w:right="557"/>
              <w:spacing w:after="0"/>
              <w:rPr>
                <w:sz w:val="20"/>
                <w:szCs w:val="20"/>
                <w:color w:val="auto"/>
              </w:rPr>
            </w:pPr>
            <w:r>
              <w:rPr>
                <w:rFonts w:ascii="Arial" w:cs="Arial" w:eastAsia="Arial" w:hAnsi="Arial"/>
                <w:sz w:val="13"/>
                <w:szCs w:val="13"/>
                <w:color w:val="auto"/>
                <w:w w:val="87"/>
              </w:rPr>
              <w:t>(650) 493-9300</w:t>
            </w:r>
          </w:p>
        </w:tc>
        <w:tc>
          <w:tcPr>
            <w:tcW w:w="4060" w:type="dxa"/>
            <w:vAlign w:val="bottom"/>
          </w:tcPr>
          <w:p>
            <w:pPr>
              <w:spacing w:after="0"/>
              <w:rPr>
                <w:sz w:val="13"/>
                <w:szCs w:val="13"/>
                <w:color w:val="auto"/>
              </w:rPr>
            </w:pPr>
          </w:p>
        </w:tc>
      </w:tr>
    </w:tbl>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799"/>
        <w:spacing w:after="0" w:line="237" w:lineRule="auto"/>
        <w:rPr>
          <w:sz w:val="20"/>
          <w:szCs w:val="20"/>
          <w:color w:val="auto"/>
        </w:rPr>
      </w:pPr>
      <w:r>
        <w:rPr>
          <w:rFonts w:ascii="Arial" w:cs="Arial" w:eastAsia="Arial" w:hAnsi="Arial"/>
          <w:sz w:val="13"/>
          <w:szCs w:val="13"/>
          <w:color w:val="auto"/>
        </w:rPr>
        <w:t>As soon as practicable after the effective date of this Registration Statement.</w:t>
      </w:r>
    </w:p>
    <w:p>
      <w:pPr>
        <w:spacing w:after="0" w:line="66" w:lineRule="exact"/>
        <w:rPr>
          <w:sz w:val="24"/>
          <w:szCs w:val="24"/>
          <w:color w:val="auto"/>
        </w:rPr>
      </w:pPr>
    </w:p>
    <w:p>
      <w:pPr>
        <w:ind w:left="820" w:right="300" w:firstLine="385"/>
        <w:spacing w:after="0" w:line="158"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540" w:firstLine="385"/>
        <w:spacing w:after="0" w:line="158"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140" w:firstLine="385"/>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120" w:firstLine="385"/>
        <w:spacing w:after="0" w:line="158"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2" w:lineRule="exact"/>
        <w:rPr>
          <w:sz w:val="24"/>
          <w:szCs w:val="24"/>
          <w:color w:val="auto"/>
        </w:rPr>
      </w:pPr>
    </w:p>
    <w:p>
      <w:pPr>
        <w:ind w:left="820" w:right="80" w:firstLine="385"/>
        <w:spacing w:after="0" w:line="26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820" w:type="dxa"/>
        <w:tblCellMar>
          <w:top w:w="0" w:type="dxa"/>
          <w:left w:w="0" w:type="dxa"/>
          <w:bottom w:w="0" w:type="dxa"/>
          <w:right w:w="0" w:type="dxa"/>
        </w:tblCellMar>
      </w:tblPr>
      <w:tr>
        <w:trPr>
          <w:trHeight w:val="199"/>
        </w:trPr>
        <w:tc>
          <w:tcPr>
            <w:tcW w:w="13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960"/>
              <w:spacing w:after="0"/>
              <w:rPr>
                <w:sz w:val="20"/>
                <w:szCs w:val="20"/>
                <w:color w:val="auto"/>
              </w:rPr>
            </w:pPr>
            <w:r>
              <w:rPr>
                <w:rFonts w:ascii="Arial" w:cs="Arial" w:eastAsia="Arial" w:hAnsi="Arial"/>
                <w:sz w:val="13"/>
                <w:szCs w:val="13"/>
                <w:color w:val="auto"/>
              </w:rPr>
              <w:t>Accelerated filer</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60" w:type="dxa"/>
            <w:vAlign w:val="bottom"/>
          </w:tcPr>
          <w:p>
            <w:pPr>
              <w:spacing w:after="0"/>
              <w:rPr>
                <w:sz w:val="20"/>
                <w:szCs w:val="20"/>
                <w:color w:val="auto"/>
              </w:rPr>
            </w:pPr>
            <w:r>
              <w:rPr>
                <w:rFonts w:ascii="Arial" w:cs="Arial" w:eastAsia="Arial" w:hAnsi="Arial"/>
                <w:sz w:val="13"/>
                <w:szCs w:val="13"/>
                <w:color w:val="auto"/>
              </w:rPr>
              <w:t>Non-accelerated filer</w:t>
            </w:r>
          </w:p>
        </w:tc>
        <w:tc>
          <w:tcPr>
            <w:tcW w:w="3300" w:type="dxa"/>
            <w:vAlign w:val="bottom"/>
          </w:tcPr>
          <w:p>
            <w:pPr>
              <w:ind w:left="260"/>
              <w:spacing w:after="0" w:line="131" w:lineRule="exact"/>
              <w:rPr>
                <w:sz w:val="20"/>
                <w:szCs w:val="20"/>
                <w:color w:val="auto"/>
              </w:rPr>
            </w:pPr>
            <w:r>
              <w:rPr>
                <w:rFonts w:ascii="MS PGothic" w:cs="MS PGothic" w:eastAsia="MS PGothic" w:hAnsi="MS PGothic"/>
                <w:sz w:val="13"/>
                <w:szCs w:val="13"/>
                <w:color w:val="auto"/>
              </w:rPr>
              <w:t>☒</w:t>
            </w:r>
          </w:p>
        </w:tc>
        <w:tc>
          <w:tcPr>
            <w:tcW w:w="4580" w:type="dxa"/>
            <w:vAlign w:val="bottom"/>
          </w:tcPr>
          <w:p>
            <w:pPr>
              <w:ind w:left="2960"/>
              <w:spacing w:after="0"/>
              <w:rPr>
                <w:sz w:val="20"/>
                <w:szCs w:val="20"/>
                <w:color w:val="auto"/>
              </w:rPr>
            </w:pPr>
            <w:r>
              <w:rPr>
                <w:rFonts w:ascii="Arial" w:cs="Arial" w:eastAsia="Arial" w:hAnsi="Arial"/>
                <w:sz w:val="13"/>
                <w:szCs w:val="13"/>
                <w:color w:val="auto"/>
              </w:rPr>
              <w:t>Smaller reporting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3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580" w:type="dxa"/>
            <w:vAlign w:val="bottom"/>
          </w:tcPr>
          <w:p>
            <w:pPr>
              <w:ind w:left="2960"/>
              <w:spacing w:after="0"/>
              <w:rPr>
                <w:sz w:val="20"/>
                <w:szCs w:val="20"/>
                <w:color w:val="auto"/>
              </w:rPr>
            </w:pPr>
            <w:r>
              <w:rPr>
                <w:rFonts w:ascii="Arial" w:cs="Arial" w:eastAsia="Arial" w:hAnsi="Arial"/>
                <w:sz w:val="13"/>
                <w:szCs w:val="13"/>
                <w:color w:val="auto"/>
              </w:rPr>
              <w:t>Emerging growth company</w:t>
            </w:r>
          </w:p>
        </w:tc>
        <w:tc>
          <w:tcPr>
            <w:tcW w:w="360" w:type="dxa"/>
            <w:vAlign w:val="bottom"/>
          </w:tcPr>
          <w:p>
            <w:pPr>
              <w:ind w:left="2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62" w:lineRule="exact"/>
        <w:rPr>
          <w:sz w:val="24"/>
          <w:szCs w:val="24"/>
          <w:color w:val="auto"/>
        </w:rPr>
      </w:pPr>
    </w:p>
    <w:p>
      <w:pPr>
        <w:ind w:left="820" w:right="520" w:firstLine="385"/>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58" w:lineRule="exact"/>
        <w:rPr>
          <w:sz w:val="24"/>
          <w:szCs w:val="24"/>
          <w:color w:val="auto"/>
        </w:rPr>
      </w:pPr>
    </w:p>
    <w:p>
      <w:pPr>
        <w:ind w:left="4420"/>
        <w:spacing w:after="0"/>
        <w:rPr>
          <w:sz w:val="20"/>
          <w:szCs w:val="20"/>
          <w:color w:val="auto"/>
        </w:rPr>
      </w:pPr>
      <w:r>
        <w:rPr>
          <w:rFonts w:ascii="Arial" w:cs="Arial" w:eastAsia="Arial" w:hAnsi="Arial"/>
          <w:sz w:val="13"/>
          <w:szCs w:val="13"/>
          <w:b w:val="1"/>
          <w:bCs w:val="1"/>
          <w:color w:val="auto"/>
        </w:rPr>
        <w:t>CALCULATION OF REGISTRATION FEE</w:t>
      </w:r>
    </w:p>
    <w:p>
      <w:pPr>
        <w:spacing w:after="0" w:line="86" w:lineRule="exact"/>
        <w:rPr>
          <w:sz w:val="24"/>
          <w:szCs w:val="24"/>
          <w:color w:val="auto"/>
        </w:rPr>
      </w:pPr>
    </w:p>
    <w:tbl>
      <w:tblPr>
        <w:tblLayout w:type="fixed"/>
        <w:tblInd w:w="82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36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85"/>
        </w:trPr>
        <w:tc>
          <w:tcPr>
            <w:tcW w:w="20" w:type="dxa"/>
            <w:vAlign w:val="bottom"/>
          </w:tcPr>
          <w:p>
            <w:pPr>
              <w:spacing w:after="0"/>
              <w:rPr>
                <w:sz w:val="7"/>
                <w:szCs w:val="7"/>
                <w:color w:val="auto"/>
              </w:rPr>
            </w:pPr>
          </w:p>
        </w:tc>
        <w:tc>
          <w:tcPr>
            <w:tcW w:w="6360" w:type="dxa"/>
            <w:vAlign w:val="bottom"/>
            <w:tcBorders>
              <w:right w:val="single" w:sz="8" w:color="auto"/>
            </w:tcBorders>
          </w:tcPr>
          <w:p>
            <w:pPr>
              <w:spacing w:after="0"/>
              <w:rPr>
                <w:sz w:val="7"/>
                <w:szCs w:val="7"/>
                <w:color w:val="auto"/>
              </w:rPr>
            </w:pPr>
          </w:p>
        </w:tc>
        <w:tc>
          <w:tcPr>
            <w:tcW w:w="1720" w:type="dxa"/>
            <w:vAlign w:val="bottom"/>
            <w:tcBorders>
              <w:right w:val="single" w:sz="8" w:color="auto"/>
            </w:tcBorders>
          </w:tcPr>
          <w:p>
            <w:pPr>
              <w:jc w:val="center"/>
              <w:ind w:left="1"/>
              <w:spacing w:after="0" w:line="85" w:lineRule="exact"/>
              <w:rPr>
                <w:sz w:val="20"/>
                <w:szCs w:val="20"/>
                <w:color w:val="auto"/>
              </w:rPr>
            </w:pPr>
            <w:r>
              <w:rPr>
                <w:rFonts w:ascii="Arial" w:cs="Arial" w:eastAsia="Arial" w:hAnsi="Arial"/>
                <w:sz w:val="9"/>
                <w:szCs w:val="9"/>
                <w:b w:val="1"/>
                <w:bCs w:val="1"/>
                <w:color w:val="auto"/>
              </w:rPr>
              <w:t>Proposed Maximum</w:t>
            </w:r>
          </w:p>
        </w:tc>
        <w:tc>
          <w:tcPr>
            <w:tcW w:w="1520" w:type="dxa"/>
            <w:vAlign w:val="bottom"/>
          </w:tcPr>
          <w:p>
            <w:pPr>
              <w:spacing w:after="0"/>
              <w:rPr>
                <w:sz w:val="7"/>
                <w:szCs w:val="7"/>
                <w:color w:val="auto"/>
              </w:rPr>
            </w:pPr>
          </w:p>
        </w:tc>
      </w:tr>
      <w:tr>
        <w:trPr>
          <w:trHeight w:val="130"/>
        </w:trPr>
        <w:tc>
          <w:tcPr>
            <w:tcW w:w="20" w:type="dxa"/>
            <w:vAlign w:val="bottom"/>
          </w:tcPr>
          <w:p>
            <w:pPr>
              <w:spacing w:after="0"/>
              <w:rPr>
                <w:sz w:val="11"/>
                <w:szCs w:val="11"/>
                <w:color w:val="auto"/>
              </w:rPr>
            </w:pPr>
          </w:p>
        </w:tc>
        <w:tc>
          <w:tcPr>
            <w:tcW w:w="636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3"/>
                <w:szCs w:val="13"/>
                <w:b w:val="1"/>
                <w:bCs w:val="1"/>
                <w:color w:val="auto"/>
                <w:w w:val="86"/>
              </w:rPr>
              <w:t>Title of Each Class of</w:t>
            </w:r>
          </w:p>
        </w:tc>
        <w:tc>
          <w:tcPr>
            <w:tcW w:w="1720" w:type="dxa"/>
            <w:vAlign w:val="bottom"/>
            <w:tcBorders>
              <w:right w:val="single" w:sz="8" w:color="auto"/>
            </w:tcBorders>
          </w:tcPr>
          <w:p>
            <w:pPr>
              <w:jc w:val="center"/>
              <w:ind w:left="1"/>
              <w:spacing w:after="0" w:line="130" w:lineRule="exact"/>
              <w:rPr>
                <w:sz w:val="20"/>
                <w:szCs w:val="20"/>
                <w:color w:val="auto"/>
              </w:rPr>
            </w:pPr>
            <w:r>
              <w:rPr>
                <w:rFonts w:ascii="Arial" w:cs="Arial" w:eastAsia="Arial" w:hAnsi="Arial"/>
                <w:sz w:val="13"/>
                <w:szCs w:val="13"/>
                <w:b w:val="1"/>
                <w:bCs w:val="1"/>
                <w:color w:val="auto"/>
                <w:w w:val="83"/>
              </w:rPr>
              <w:t>Aggregate</w:t>
            </w:r>
          </w:p>
        </w:tc>
        <w:tc>
          <w:tcPr>
            <w:tcW w:w="15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Amount of</w:t>
            </w:r>
          </w:p>
        </w:tc>
      </w:tr>
      <w:tr>
        <w:trPr>
          <w:trHeight w:val="161"/>
        </w:trPr>
        <w:tc>
          <w:tcPr>
            <w:tcW w:w="20" w:type="dxa"/>
            <w:vAlign w:val="bottom"/>
          </w:tcPr>
          <w:p>
            <w:pPr>
              <w:spacing w:after="0"/>
              <w:rPr>
                <w:sz w:val="14"/>
                <w:szCs w:val="14"/>
                <w:color w:val="auto"/>
              </w:rPr>
            </w:pPr>
          </w:p>
        </w:tc>
        <w:tc>
          <w:tcPr>
            <w:tcW w:w="6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3"/>
                <w:szCs w:val="13"/>
                <w:b w:val="1"/>
                <w:bCs w:val="1"/>
                <w:color w:val="auto"/>
                <w:w w:val="89"/>
              </w:rPr>
              <w:t>Offering Price(1)(2)</w:t>
            </w:r>
          </w:p>
        </w:tc>
        <w:tc>
          <w:tcPr>
            <w:tcW w:w="152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6"/>
              </w:rPr>
              <w:t>Registration Fee</w:t>
            </w:r>
          </w:p>
        </w:tc>
      </w:tr>
      <w:tr>
        <w:trPr>
          <w:trHeight w:val="121"/>
        </w:trPr>
        <w:tc>
          <w:tcPr>
            <w:tcW w:w="20" w:type="dxa"/>
            <w:vAlign w:val="bottom"/>
            <w:tcBorders>
              <w:bottom w:val="single" w:sz="8" w:color="auto"/>
            </w:tcBorders>
          </w:tcPr>
          <w:p>
            <w:pPr>
              <w:spacing w:after="0"/>
              <w:rPr>
                <w:sz w:val="10"/>
                <w:szCs w:val="10"/>
                <w:color w:val="auto"/>
              </w:rPr>
            </w:pPr>
          </w:p>
        </w:tc>
        <w:tc>
          <w:tcPr>
            <w:tcW w:w="6360" w:type="dxa"/>
            <w:vAlign w:val="bottom"/>
            <w:tcBorders>
              <w:bottom w:val="single" w:sz="8" w:color="auto"/>
              <w:right w:val="single" w:sz="8" w:color="auto"/>
            </w:tcBorders>
          </w:tcPr>
          <w:p>
            <w:pPr>
              <w:spacing w:after="0" w:line="122" w:lineRule="exact"/>
              <w:rPr>
                <w:sz w:val="20"/>
                <w:szCs w:val="20"/>
                <w:color w:val="auto"/>
              </w:rPr>
            </w:pPr>
            <w:r>
              <w:rPr>
                <w:rFonts w:ascii="Arial" w:cs="Arial" w:eastAsia="Arial" w:hAnsi="Arial"/>
                <w:sz w:val="13"/>
                <w:szCs w:val="13"/>
                <w:color w:val="auto"/>
              </w:rPr>
              <w:t>Common Stock $0.0001 par value per share</w:t>
            </w:r>
          </w:p>
        </w:tc>
        <w:tc>
          <w:tcPr>
            <w:tcW w:w="1720" w:type="dxa"/>
            <w:vAlign w:val="bottom"/>
            <w:tcBorders>
              <w:bottom w:val="single" w:sz="8" w:color="auto"/>
              <w:right w:val="single" w:sz="8" w:color="auto"/>
            </w:tcBorders>
          </w:tcPr>
          <w:p>
            <w:pPr>
              <w:jc w:val="right"/>
              <w:ind w:right="921"/>
              <w:spacing w:after="0" w:line="122" w:lineRule="exact"/>
              <w:rPr>
                <w:sz w:val="20"/>
                <w:szCs w:val="20"/>
                <w:color w:val="auto"/>
              </w:rPr>
            </w:pPr>
            <w:r>
              <w:rPr>
                <w:rFonts w:ascii="Arial" w:cs="Arial" w:eastAsia="Arial" w:hAnsi="Arial"/>
                <w:sz w:val="13"/>
                <w:szCs w:val="13"/>
                <w:color w:val="auto"/>
              </w:rPr>
              <w:t>$</w:t>
            </w:r>
          </w:p>
        </w:tc>
        <w:tc>
          <w:tcPr>
            <w:tcW w:w="1520" w:type="dxa"/>
            <w:vAlign w:val="bottom"/>
            <w:tcBorders>
              <w:bottom w:val="single" w:sz="8" w:color="auto"/>
            </w:tcBorders>
          </w:tcPr>
          <w:p>
            <w:pPr>
              <w:jc w:val="right"/>
              <w:ind w:right="817"/>
              <w:spacing w:after="0" w:line="122" w:lineRule="exact"/>
              <w:rPr>
                <w:sz w:val="20"/>
                <w:szCs w:val="20"/>
                <w:color w:val="auto"/>
              </w:rPr>
            </w:pPr>
            <w:r>
              <w:rPr>
                <w:rFonts w:ascii="Arial" w:cs="Arial" w:eastAsia="Arial" w:hAnsi="Arial"/>
                <w:sz w:val="13"/>
                <w:szCs w:val="13"/>
                <w:color w:val="auto"/>
              </w:rPr>
              <w:t>$</w:t>
            </w: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1200" w:hanging="386"/>
        <w:spacing w:after="0" w:line="217" w:lineRule="auto"/>
        <w:tabs>
          <w:tab w:leader="none" w:pos="120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ind w:left="1200" w:hanging="386"/>
        <w:spacing w:after="0" w:line="237" w:lineRule="auto"/>
        <w:tabs>
          <w:tab w:leader="none" w:pos="120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the aggregate offering price of additional shares that the underwriters have the option to purchase, if any.</w:t>
      </w:r>
    </w:p>
    <w:p>
      <w:pPr>
        <w:spacing w:after="0" w:line="62" w:lineRule="exact"/>
        <w:rPr>
          <w:sz w:val="24"/>
          <w:szCs w:val="24"/>
          <w:color w:val="auto"/>
        </w:rPr>
      </w:pPr>
    </w:p>
    <w:p>
      <w:pPr>
        <w:ind w:left="820" w:right="60" w:firstLine="385"/>
        <w:spacing w:after="0" w:line="24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0440"/>
          </w:cols>
          <w:pgMar w:left="320" w:top="218" w:right="11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5" w:lineRule="exact"/>
        <w:rPr>
          <w:sz w:val="20"/>
          <w:szCs w:val="20"/>
          <w:color w:val="auto"/>
        </w:rPr>
      </w:pPr>
    </w:p>
    <w:p>
      <w:pPr>
        <w:ind w:left="820" w:right="40"/>
        <w:spacing w:after="0" w:line="246" w:lineRule="auto"/>
        <w:rPr>
          <w:sz w:val="20"/>
          <w:szCs w:val="20"/>
          <w:color w:val="auto"/>
        </w:rPr>
      </w:pPr>
      <w:r>
        <w:rPr>
          <w:rFonts w:ascii="Arial" w:cs="Arial" w:eastAsia="Arial" w:hAnsi="Arial"/>
          <w:sz w:val="13"/>
          <w:szCs w:val="13"/>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ind w:left="820"/>
        <w:spacing w:after="0"/>
        <w:rPr>
          <w:sz w:val="20"/>
          <w:szCs w:val="20"/>
          <w:color w:val="auto"/>
        </w:rPr>
      </w:pPr>
      <w:r>
        <w:rPr>
          <w:rFonts w:ascii="Arial" w:cs="Arial" w:eastAsia="Arial" w:hAnsi="Arial"/>
          <w:sz w:val="19"/>
          <w:szCs w:val="19"/>
          <w:i w:val="1"/>
          <w:iCs w:val="1"/>
          <w:color w:val="DE1A1E"/>
        </w:rPr>
        <w:t>PROSPECTUS (Subject to Completion)</w:t>
      </w:r>
    </w:p>
    <w:p>
      <w:pPr>
        <w:spacing w:after="0" w:line="10" w:lineRule="exact"/>
        <w:rPr>
          <w:sz w:val="20"/>
          <w:szCs w:val="20"/>
          <w:color w:val="auto"/>
        </w:rPr>
      </w:pPr>
    </w:p>
    <w:p>
      <w:pPr>
        <w:ind w:left="820"/>
        <w:spacing w:after="0"/>
        <w:tabs>
          <w:tab w:leader="none" w:pos="2080" w:val="left"/>
        </w:tabs>
        <w:rPr>
          <w:sz w:val="20"/>
          <w:szCs w:val="20"/>
          <w:color w:val="auto"/>
        </w:rPr>
      </w:pPr>
      <w:r>
        <w:rPr>
          <w:rFonts w:ascii="Arial" w:cs="Arial" w:eastAsia="Arial" w:hAnsi="Arial"/>
          <w:sz w:val="19"/>
          <w:szCs w:val="19"/>
          <w:i w:val="1"/>
          <w:iCs w:val="1"/>
          <w:color w:val="DE1A1E"/>
        </w:rPr>
        <w:t>Issued</w:t>
      </w:r>
      <w:r>
        <w:rPr>
          <w:sz w:val="20"/>
          <w:szCs w:val="20"/>
          <w:color w:val="auto"/>
        </w:rPr>
        <w:tab/>
      </w:r>
      <w:r>
        <w:rPr>
          <w:rFonts w:ascii="Arial" w:cs="Arial" w:eastAsia="Arial" w:hAnsi="Arial"/>
          <w:sz w:val="19"/>
          <w:szCs w:val="19"/>
          <w:i w:val="1"/>
          <w:iCs w:val="1"/>
          <w:color w:val="DE1A1E"/>
        </w:rPr>
        <w:t>, 2021</w:t>
      </w:r>
    </w:p>
    <w:p>
      <w:pPr>
        <w:spacing w:after="0" w:line="192" w:lineRule="exact"/>
        <w:rPr>
          <w:sz w:val="20"/>
          <w:szCs w:val="20"/>
          <w:color w:val="auto"/>
        </w:rPr>
      </w:pPr>
    </w:p>
    <w:p>
      <w:pPr>
        <w:ind w:left="5700"/>
        <w:spacing w:after="0"/>
        <w:rPr>
          <w:sz w:val="20"/>
          <w:szCs w:val="20"/>
          <w:color w:val="auto"/>
        </w:rPr>
      </w:pPr>
      <w:r>
        <w:rPr>
          <w:rFonts w:ascii="Arial" w:cs="Arial" w:eastAsia="Arial" w:hAnsi="Arial"/>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60960</wp:posOffset>
            </wp:positionV>
            <wp:extent cx="2036445" cy="726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644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60"/>
        <w:spacing w:after="0"/>
        <w:rPr>
          <w:sz w:val="20"/>
          <w:szCs w:val="20"/>
          <w:color w:val="auto"/>
        </w:rPr>
      </w:pPr>
      <w:r>
        <w:rPr>
          <w:rFonts w:ascii="Arial" w:cs="Arial" w:eastAsia="Arial" w:hAnsi="Arial"/>
          <w:sz w:val="19"/>
          <w:szCs w:val="19"/>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194945</wp:posOffset>
            </wp:positionV>
            <wp:extent cx="12801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820" w:right="200"/>
        <w:spacing w:after="0" w:line="300" w:lineRule="auto"/>
        <w:rPr>
          <w:sz w:val="20"/>
          <w:szCs w:val="20"/>
          <w:color w:val="auto"/>
        </w:rPr>
      </w:pPr>
      <w:r>
        <w:rPr>
          <w:rFonts w:ascii="Arial" w:cs="Arial" w:eastAsia="Arial" w:hAnsi="Arial"/>
          <w:sz w:val="15"/>
          <w:szCs w:val="15"/>
          <w:b w:val="1"/>
          <w:bCs w:val="1"/>
          <w:i w:val="1"/>
          <w:iCs w:val="1"/>
          <w:color w:val="auto"/>
        </w:rPr>
        <w:t>Tenaya Therapeutics, Inc. is offering shares of our common stock. This is the initial public offering, and no public market currently exists for our shares of common stock. We anticipate that the initial public offering price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153670</wp:posOffset>
            </wp:positionV>
            <wp:extent cx="12801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We have applied to list the common stock on the Nasdaq Stock Market under the symbol “TNYA”.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190500</wp:posOffset>
            </wp:positionV>
            <wp:extent cx="12801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820" w:right="620"/>
        <w:spacing w:after="0" w:line="256" w:lineRule="auto"/>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We are an “emerging growth company” as defined under the federal securities laws. Investing in our common stock involves risks. See the section titled “</w:t>
      </w:r>
      <w:hyperlink w:anchor="page18">
        <w:r>
          <w:rPr>
            <w:rFonts w:ascii="Arial" w:cs="Arial" w:eastAsia="Arial" w:hAnsi="Arial"/>
            <w:sz w:val="19"/>
            <w:szCs w:val="19"/>
            <w:b w:val="1"/>
            <w:bCs w:val="1"/>
            <w:i w:val="1"/>
            <w:iCs w:val="1"/>
            <w:u w:val="single" w:color="auto"/>
            <w:color w:val="0000EE"/>
          </w:rPr>
          <w:t>Risk Factors</w:t>
        </w:r>
      </w:hyperlink>
      <w:r>
        <w:rPr>
          <w:rFonts w:ascii="Arial" w:cs="Arial" w:eastAsia="Arial" w:hAnsi="Arial"/>
          <w:sz w:val="19"/>
          <w:szCs w:val="19"/>
          <w:b w:val="1"/>
          <w:bCs w:val="1"/>
          <w:i w:val="1"/>
          <w:iCs w:val="1"/>
          <w:color w:val="auto"/>
        </w:rPr>
        <w:t>” beginning on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172720</wp:posOffset>
            </wp:positionV>
            <wp:extent cx="12801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369"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3800" w:type="dxa"/>
            <w:vAlign w:val="bottom"/>
          </w:tcPr>
          <w:p>
            <w:pPr>
              <w:spacing w:after="0"/>
              <w:rPr>
                <w:sz w:val="17"/>
                <w:szCs w:val="17"/>
                <w:color w:val="auto"/>
              </w:rPr>
            </w:pPr>
          </w:p>
        </w:tc>
        <w:tc>
          <w:tcPr>
            <w:tcW w:w="980" w:type="dxa"/>
            <w:vAlign w:val="bottom"/>
          </w:tcPr>
          <w:p>
            <w:pPr>
              <w:ind w:left="160"/>
              <w:spacing w:after="0"/>
              <w:rPr>
                <w:sz w:val="20"/>
                <w:szCs w:val="20"/>
                <w:color w:val="auto"/>
              </w:rPr>
            </w:pPr>
            <w:r>
              <w:rPr>
                <w:rFonts w:ascii="Arial" w:cs="Arial" w:eastAsia="Arial" w:hAnsi="Arial"/>
                <w:sz w:val="16"/>
                <w:szCs w:val="16"/>
                <w:i w:val="1"/>
                <w:iCs w:val="1"/>
                <w:color w:val="auto"/>
              </w:rPr>
              <w:t>PRICE $</w:t>
            </w:r>
          </w:p>
        </w:tc>
        <w:tc>
          <w:tcPr>
            <w:tcW w:w="3240" w:type="dxa"/>
            <w:vAlign w:val="bottom"/>
            <w:gridSpan w:val="4"/>
          </w:tcPr>
          <w:p>
            <w:pPr>
              <w:ind w:left="260"/>
              <w:spacing w:after="0"/>
              <w:rPr>
                <w:sz w:val="20"/>
                <w:szCs w:val="20"/>
                <w:color w:val="auto"/>
              </w:rPr>
            </w:pPr>
            <w:r>
              <w:rPr>
                <w:rFonts w:ascii="Arial" w:cs="Arial" w:eastAsia="Arial" w:hAnsi="Arial"/>
                <w:sz w:val="16"/>
                <w:szCs w:val="16"/>
                <w:i w:val="1"/>
                <w:iCs w:val="1"/>
                <w:color w:val="auto"/>
              </w:rPr>
              <w:t>A SHARE</w:t>
            </w: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8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i w:val="1"/>
                <w:iCs w:val="1"/>
                <w:color w:val="auto"/>
                <w:w w:val="87"/>
              </w:rPr>
              <w:t>Underwriting</w:t>
            </w:r>
          </w:p>
        </w:tc>
        <w:tc>
          <w:tcPr>
            <w:tcW w:w="0" w:type="dxa"/>
            <w:vAlign w:val="bottom"/>
          </w:tcPr>
          <w:p>
            <w:pPr>
              <w:spacing w:after="0"/>
              <w:rPr>
                <w:sz w:val="1"/>
                <w:szCs w:val="1"/>
                <w:color w:val="auto"/>
              </w:rPr>
            </w:pPr>
          </w:p>
        </w:tc>
      </w:tr>
      <w:tr>
        <w:trPr>
          <w:trHeight w:val="318"/>
        </w:trPr>
        <w:tc>
          <w:tcPr>
            <w:tcW w:w="3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i w:val="1"/>
                <w:iCs w:val="1"/>
                <w:color w:val="auto"/>
                <w:w w:val="79"/>
              </w:rPr>
              <w:t>Discounts</w:t>
            </w:r>
          </w:p>
        </w:tc>
        <w:tc>
          <w:tcPr>
            <w:tcW w:w="0" w:type="dxa"/>
            <w:vAlign w:val="bottom"/>
          </w:tcPr>
          <w:p>
            <w:pPr>
              <w:spacing w:after="0"/>
              <w:rPr>
                <w:sz w:val="1"/>
                <w:szCs w:val="1"/>
                <w:color w:val="auto"/>
              </w:rPr>
            </w:pPr>
          </w:p>
        </w:tc>
      </w:tr>
      <w:tr>
        <w:trPr>
          <w:trHeight w:val="130"/>
        </w:trPr>
        <w:tc>
          <w:tcPr>
            <w:tcW w:w="3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0" w:type="dxa"/>
            <w:vAlign w:val="bottom"/>
            <w:gridSpan w:val="3"/>
          </w:tcPr>
          <w:p>
            <w:pPr>
              <w:jc w:val="center"/>
              <w:ind w:left="617"/>
              <w:spacing w:after="0" w:line="130" w:lineRule="exact"/>
              <w:rPr>
                <w:sz w:val="20"/>
                <w:szCs w:val="20"/>
                <w:color w:val="auto"/>
              </w:rPr>
            </w:pPr>
            <w:r>
              <w:rPr>
                <w:rFonts w:ascii="Arial" w:cs="Arial" w:eastAsia="Arial" w:hAnsi="Arial"/>
                <w:sz w:val="13"/>
                <w:szCs w:val="13"/>
                <w:b w:val="1"/>
                <w:bCs w:val="1"/>
                <w:i w:val="1"/>
                <w:iCs w:val="1"/>
                <w:color w:val="auto"/>
                <w:w w:val="83"/>
              </w:rPr>
              <w:t>Price to</w:t>
            </w:r>
          </w:p>
        </w:tc>
        <w:tc>
          <w:tcPr>
            <w:tcW w:w="560" w:type="dxa"/>
            <w:vAlign w:val="bottom"/>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3"/>
                <w:szCs w:val="13"/>
                <w:b w:val="1"/>
                <w:bCs w:val="1"/>
                <w:i w:val="1"/>
                <w:iCs w:val="1"/>
                <w:color w:val="auto"/>
                <w:w w:val="77"/>
              </w:rPr>
              <w:t>and</w:t>
            </w:r>
          </w:p>
        </w:tc>
        <w:tc>
          <w:tcPr>
            <w:tcW w:w="0" w:type="dxa"/>
            <w:vAlign w:val="bottom"/>
          </w:tcPr>
          <w:p>
            <w:pPr>
              <w:spacing w:after="0"/>
              <w:rPr>
                <w:sz w:val="1"/>
                <w:szCs w:val="1"/>
                <w:color w:val="auto"/>
              </w:rPr>
            </w:pPr>
          </w:p>
        </w:tc>
      </w:tr>
      <w:tr>
        <w:trPr>
          <w:trHeight w:val="146"/>
        </w:trPr>
        <w:tc>
          <w:tcPr>
            <w:tcW w:w="4780" w:type="dxa"/>
            <w:vAlign w:val="bottom"/>
            <w:gridSpan w:val="2"/>
            <w:vMerge w:val="restart"/>
          </w:tcPr>
          <w:p>
            <w:pPr>
              <w:spacing w:after="0"/>
              <w:rPr>
                <w:sz w:val="20"/>
                <w:szCs w:val="20"/>
                <w:color w:val="auto"/>
              </w:rPr>
            </w:pPr>
            <w:r>
              <w:rPr>
                <w:rFonts w:ascii="Arial" w:cs="Arial" w:eastAsia="Arial" w:hAnsi="Arial"/>
                <w:sz w:val="16"/>
                <w:szCs w:val="16"/>
                <w:i w:val="1"/>
                <w:iCs w:val="1"/>
                <w:color w:val="auto"/>
              </w:rPr>
              <w:t>Per Share</w:t>
            </w:r>
          </w:p>
        </w:tc>
        <w:tc>
          <w:tcPr>
            <w:tcW w:w="1040" w:type="dxa"/>
            <w:vAlign w:val="bottom"/>
          </w:tcPr>
          <w:p>
            <w:pPr>
              <w:spacing w:after="0"/>
              <w:rPr>
                <w:sz w:val="12"/>
                <w:szCs w:val="12"/>
                <w:color w:val="auto"/>
              </w:rPr>
            </w:pPr>
          </w:p>
        </w:tc>
        <w:tc>
          <w:tcPr>
            <w:tcW w:w="2200" w:type="dxa"/>
            <w:vAlign w:val="bottom"/>
            <w:gridSpan w:val="3"/>
          </w:tcPr>
          <w:p>
            <w:pPr>
              <w:jc w:val="center"/>
              <w:ind w:left="617"/>
              <w:spacing w:after="0" w:line="146" w:lineRule="exact"/>
              <w:rPr>
                <w:sz w:val="20"/>
                <w:szCs w:val="20"/>
                <w:color w:val="auto"/>
              </w:rPr>
            </w:pPr>
            <w:r>
              <w:rPr>
                <w:rFonts w:ascii="Arial" w:cs="Arial" w:eastAsia="Arial" w:hAnsi="Arial"/>
                <w:sz w:val="13"/>
                <w:szCs w:val="13"/>
                <w:b w:val="1"/>
                <w:bCs w:val="1"/>
                <w:i w:val="1"/>
                <w:iCs w:val="1"/>
                <w:color w:val="auto"/>
                <w:w w:val="81"/>
              </w:rPr>
              <w:t>Public</w:t>
            </w:r>
          </w:p>
        </w:tc>
        <w:tc>
          <w:tcPr>
            <w:tcW w:w="1380" w:type="dxa"/>
            <w:vAlign w:val="bottom"/>
            <w:gridSpan w:val="2"/>
          </w:tcPr>
          <w:p>
            <w:pPr>
              <w:jc w:val="center"/>
              <w:ind w:left="489"/>
              <w:spacing w:after="0" w:line="146" w:lineRule="exact"/>
              <w:rPr>
                <w:sz w:val="20"/>
                <w:szCs w:val="20"/>
                <w:color w:val="auto"/>
              </w:rPr>
            </w:pPr>
            <w:r>
              <w:rPr>
                <w:rFonts w:ascii="Arial" w:cs="Arial" w:eastAsia="Arial" w:hAnsi="Arial"/>
                <w:sz w:val="13"/>
                <w:szCs w:val="13"/>
                <w:b w:val="1"/>
                <w:bCs w:val="1"/>
                <w:i w:val="1"/>
                <w:iCs w:val="1"/>
                <w:color w:val="auto"/>
                <w:w w:val="84"/>
              </w:rPr>
              <w:t>Commissions</w:t>
            </w:r>
            <w:r>
              <w:rPr>
                <w:rFonts w:ascii="Arial" w:cs="Arial" w:eastAsia="Arial" w:hAnsi="Arial"/>
                <w:sz w:val="10"/>
                <w:szCs w:val="10"/>
                <w:b w:val="1"/>
                <w:bCs w:val="1"/>
                <w:i w:val="1"/>
                <w:iCs w:val="1"/>
                <w:color w:val="auto"/>
                <w:w w:val="84"/>
              </w:rPr>
              <w:t>(1)</w:t>
            </w:r>
          </w:p>
        </w:tc>
        <w:tc>
          <w:tcPr>
            <w:tcW w:w="0" w:type="dxa"/>
            <w:vAlign w:val="bottom"/>
          </w:tcPr>
          <w:p>
            <w:pPr>
              <w:spacing w:after="0"/>
              <w:rPr>
                <w:sz w:val="1"/>
                <w:szCs w:val="1"/>
                <w:color w:val="auto"/>
              </w:rPr>
            </w:pPr>
          </w:p>
        </w:tc>
      </w:tr>
      <w:tr>
        <w:trPr>
          <w:trHeight w:val="168"/>
        </w:trPr>
        <w:tc>
          <w:tcPr>
            <w:tcW w:w="4780" w:type="dxa"/>
            <w:vAlign w:val="bottom"/>
            <w:gridSpan w:val="2"/>
            <w:vMerge w:val="continue"/>
          </w:tcPr>
          <w:p>
            <w:pPr>
              <w:spacing w:after="0"/>
              <w:rPr>
                <w:sz w:val="14"/>
                <w:szCs w:val="14"/>
                <w:color w:val="auto"/>
              </w:rPr>
            </w:pPr>
          </w:p>
        </w:tc>
        <w:tc>
          <w:tcPr>
            <w:tcW w:w="2320" w:type="dxa"/>
            <w:vAlign w:val="bottom"/>
            <w:gridSpan w:val="2"/>
          </w:tcPr>
          <w:p>
            <w:pPr>
              <w:spacing w:after="0"/>
              <w:rPr>
                <w:sz w:val="14"/>
                <w:szCs w:val="14"/>
                <w:color w:val="auto"/>
              </w:rPr>
            </w:pPr>
          </w:p>
        </w:tc>
        <w:tc>
          <w:tcPr>
            <w:tcW w:w="3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i w:val="1"/>
                <w:iCs w:val="1"/>
                <w:color w:val="auto"/>
              </w:rPr>
              <w:t>$</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top w:val="single" w:sz="8" w:color="auto"/>
            </w:tcBorders>
          </w:tcPr>
          <w:p>
            <w:pPr>
              <w:jc w:val="right"/>
              <w:ind w:right="133"/>
              <w:spacing w:after="0" w:line="168"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0"/>
        </w:trPr>
        <w:tc>
          <w:tcPr>
            <w:tcW w:w="4780" w:type="dxa"/>
            <w:vAlign w:val="bottom"/>
            <w:gridSpan w:val="2"/>
          </w:tcPr>
          <w:p>
            <w:pPr>
              <w:spacing w:after="0"/>
              <w:rPr>
                <w:sz w:val="20"/>
                <w:szCs w:val="20"/>
                <w:color w:val="auto"/>
              </w:rPr>
            </w:pPr>
            <w:r>
              <w:rPr>
                <w:rFonts w:ascii="Arial" w:cs="Arial" w:eastAsia="Arial" w:hAnsi="Arial"/>
                <w:sz w:val="16"/>
                <w:szCs w:val="16"/>
                <w:i w:val="1"/>
                <w:iCs w:val="1"/>
                <w:color w:val="auto"/>
              </w:rPr>
              <w:t>Total</w:t>
            </w:r>
          </w:p>
        </w:tc>
        <w:tc>
          <w:tcPr>
            <w:tcW w:w="2320" w:type="dxa"/>
            <w:vAlign w:val="bottom"/>
            <w:gridSpan w:val="2"/>
          </w:tcPr>
          <w:p>
            <w:pPr>
              <w:jc w:val="right"/>
              <w:ind w:right="17"/>
              <w:spacing w:after="0"/>
              <w:rPr>
                <w:sz w:val="20"/>
                <w:szCs w:val="20"/>
                <w:color w:val="auto"/>
              </w:rPr>
            </w:pPr>
            <w:r>
              <w:rPr>
                <w:rFonts w:ascii="Arial" w:cs="Arial" w:eastAsia="Arial" w:hAnsi="Arial"/>
                <w:sz w:val="16"/>
                <w:szCs w:val="16"/>
                <w:i w:val="1"/>
                <w:iCs w:val="1"/>
                <w:color w:val="auto"/>
              </w:rPr>
              <w:t>$</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gridSpan w:val="2"/>
          </w:tcPr>
          <w:p>
            <w:pPr>
              <w:jc w:val="right"/>
              <w:ind w:right="573"/>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75565</wp:posOffset>
            </wp:positionV>
            <wp:extent cx="666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4" w:lineRule="exact"/>
        <w:rPr>
          <w:sz w:val="20"/>
          <w:szCs w:val="20"/>
          <w:color w:val="auto"/>
        </w:rPr>
      </w:pPr>
    </w:p>
    <w:p>
      <w:pPr>
        <w:ind w:left="1200" w:hanging="386"/>
        <w:spacing w:after="0"/>
        <w:tabs>
          <w:tab w:leader="none" w:pos="120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See the section titled “Underwriters” for a description of the compensation payable to the underwriters.</w:t>
      </w:r>
    </w:p>
    <w:p>
      <w:pPr>
        <w:spacing w:after="0" w:line="134" w:lineRule="exact"/>
        <w:rPr>
          <w:sz w:val="20"/>
          <w:szCs w:val="20"/>
          <w:color w:val="auto"/>
        </w:rPr>
      </w:pPr>
    </w:p>
    <w:p>
      <w:pPr>
        <w:ind w:left="820"/>
        <w:spacing w:after="0"/>
        <w:tabs>
          <w:tab w:leader="none" w:pos="5300" w:val="left"/>
        </w:tabs>
        <w:rPr>
          <w:sz w:val="20"/>
          <w:szCs w:val="20"/>
          <w:color w:val="auto"/>
        </w:rPr>
      </w:pPr>
      <w:r>
        <w:rPr>
          <w:rFonts w:ascii="Arial" w:cs="Arial" w:eastAsia="Arial" w:hAnsi="Arial"/>
          <w:sz w:val="16"/>
          <w:szCs w:val="16"/>
          <w:i w:val="1"/>
          <w:iCs w:val="1"/>
          <w:color w:val="auto"/>
        </w:rPr>
        <w:t>We have granted the underwriters the right to purchase up to</w:t>
      </w:r>
      <w:r>
        <w:rPr>
          <w:sz w:val="20"/>
          <w:szCs w:val="20"/>
          <w:color w:val="auto"/>
        </w:rPr>
        <w:tab/>
      </w:r>
      <w:r>
        <w:rPr>
          <w:rFonts w:ascii="Arial" w:cs="Arial" w:eastAsia="Arial" w:hAnsi="Arial"/>
          <w:sz w:val="13"/>
          <w:szCs w:val="13"/>
          <w:i w:val="1"/>
          <w:iCs w:val="1"/>
          <w:color w:val="auto"/>
        </w:rPr>
        <w:t>additional shares of our common stock to cover over-allotments, if any.</w:t>
      </w:r>
    </w:p>
    <w:p>
      <w:pPr>
        <w:spacing w:after="0" w:line="123" w:lineRule="exact"/>
        <w:rPr>
          <w:sz w:val="20"/>
          <w:szCs w:val="20"/>
          <w:color w:val="auto"/>
        </w:rPr>
      </w:pPr>
    </w:p>
    <w:p>
      <w:pPr>
        <w:ind w:left="820" w:right="300"/>
        <w:spacing w:after="0" w:line="266" w:lineRule="auto"/>
        <w:rPr>
          <w:sz w:val="20"/>
          <w:szCs w:val="20"/>
          <w:color w:val="auto"/>
        </w:rPr>
      </w:pPr>
      <w:r>
        <w:rPr>
          <w:rFonts w:ascii="Arial" w:cs="Arial" w:eastAsia="Arial" w:hAnsi="Arial"/>
          <w:sz w:val="16"/>
          <w:szCs w:val="16"/>
          <w:i w:val="1"/>
          <w:i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99"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6620" w:type="dxa"/>
            <w:vAlign w:val="bottom"/>
          </w:tcPr>
          <w:p>
            <w:pPr>
              <w:spacing w:after="0"/>
              <w:rPr>
                <w:sz w:val="20"/>
                <w:szCs w:val="20"/>
                <w:color w:val="auto"/>
              </w:rPr>
            </w:pPr>
            <w:r>
              <w:rPr>
                <w:rFonts w:ascii="Arial" w:cs="Arial" w:eastAsia="Arial" w:hAnsi="Arial"/>
                <w:sz w:val="16"/>
                <w:szCs w:val="16"/>
                <w:i w:val="1"/>
                <w:iCs w:val="1"/>
                <w:color w:val="auto"/>
                <w:w w:val="94"/>
              </w:rPr>
              <w:t>The underwriters expect to deliver the shares against payment in New York, New York, on or about</w:t>
            </w: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180340</wp:posOffset>
            </wp:positionV>
            <wp:extent cx="12801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ectPr>
          <w:pgSz w:w="11900" w:h="16838" w:orient="portrait"/>
          <w:cols w:equalWidth="0" w:num="1">
            <w:col w:w="10440"/>
          </w:cols>
          <w:pgMar w:left="320" w:top="418" w:right="113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820"/>
        <w:spacing w:after="0"/>
        <w:rPr>
          <w:sz w:val="20"/>
          <w:szCs w:val="20"/>
          <w:color w:val="auto"/>
        </w:rPr>
      </w:pPr>
      <w:r>
        <w:rPr>
          <w:rFonts w:ascii="Arial" w:cs="Arial" w:eastAsia="Arial" w:hAnsi="Arial"/>
          <w:sz w:val="25"/>
          <w:szCs w:val="25"/>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ind w:right="1960"/>
        <w:spacing w:after="0"/>
        <w:rPr>
          <w:sz w:val="20"/>
          <w:szCs w:val="20"/>
          <w:color w:val="auto"/>
        </w:rPr>
      </w:pPr>
      <w:r>
        <w:rPr>
          <w:rFonts w:ascii="Arial" w:cs="Arial" w:eastAsia="Arial" w:hAnsi="Arial"/>
          <w:sz w:val="25"/>
          <w:szCs w:val="25"/>
          <w:i w:val="1"/>
          <w:iCs w:val="1"/>
          <w:color w:val="auto"/>
        </w:rPr>
        <w:t>Cowen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6"/>
          <w:szCs w:val="26"/>
          <w:i w:val="1"/>
          <w:iCs w:val="1"/>
          <w:color w:val="auto"/>
        </w:rPr>
        <w:t>Piper Sandler</w:t>
      </w:r>
    </w:p>
    <w:p>
      <w:pPr>
        <w:spacing w:after="0" w:line="85" w:lineRule="exact"/>
        <w:rPr>
          <w:sz w:val="20"/>
          <w:szCs w:val="20"/>
          <w:color w:val="auto"/>
        </w:rPr>
      </w:pPr>
    </w:p>
    <w:p>
      <w:pPr>
        <w:sectPr>
          <w:pgSz w:w="11900" w:h="16838" w:orient="portrait"/>
          <w:cols w:equalWidth="0" w:num="3">
            <w:col w:w="4660" w:space="720"/>
            <w:col w:w="2760" w:space="720"/>
            <w:col w:w="1580"/>
          </w:cols>
          <w:pgMar w:left="320" w:top="418" w:right="1139" w:bottom="1440" w:gutter="0" w:footer="0" w:header="0"/>
          <w:type w:val="continuous"/>
        </w:sectPr>
      </w:pPr>
    </w:p>
    <w:p>
      <w:pPr>
        <w:ind w:left="5340"/>
        <w:spacing w:after="0"/>
        <w:rPr>
          <w:sz w:val="20"/>
          <w:szCs w:val="20"/>
          <w:color w:val="auto"/>
        </w:rPr>
      </w:pPr>
      <w:r>
        <w:rPr>
          <w:rFonts w:ascii="Arial" w:cs="Arial" w:eastAsia="Arial" w:hAnsi="Arial"/>
          <w:sz w:val="22"/>
          <w:szCs w:val="22"/>
          <w:i w:val="1"/>
          <w:iCs w:val="1"/>
          <w:color w:val="auto"/>
        </w:rPr>
        <w:t>Chardan</w:t>
      </w:r>
    </w:p>
    <w:p>
      <w:pPr>
        <w:spacing w:after="0" w:line="205"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auto"/>
        </w:rPr>
        <w:t>, 2021</w:t>
      </w:r>
    </w:p>
    <w:p>
      <w:pPr>
        <w:sectPr>
          <w:pgSz w:w="11900" w:h="16838" w:orient="portrait"/>
          <w:cols w:equalWidth="0" w:num="1">
            <w:col w:w="10440"/>
          </w:cols>
          <w:pgMar w:left="320" w:top="418" w:right="1139" w:bottom="1440" w:gutter="0" w:footer="0" w:header="0"/>
          <w:type w:val="continuous"/>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780"/>
        <w:spacing w:after="0"/>
        <w:rPr>
          <w:sz w:val="20"/>
          <w:szCs w:val="20"/>
          <w:color w:val="auto"/>
        </w:rPr>
      </w:pPr>
      <w:r>
        <w:rPr>
          <w:rFonts w:ascii="Arial" w:cs="Arial" w:eastAsia="Arial" w:hAnsi="Arial"/>
          <w:sz w:val="16"/>
          <w:szCs w:val="16"/>
          <w:b w:val="1"/>
          <w:bCs w:val="1"/>
          <w:color w:val="auto"/>
        </w:rPr>
        <w:t>TABLE OF CONTENTS</w:t>
      </w:r>
    </w:p>
    <w:p>
      <w:pPr>
        <w:spacing w:after="0" w:line="261"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820" w:type="dxa"/>
            <w:vAlign w:val="bottom"/>
            <w:gridSpan w:val="7"/>
            <w:vMerge w:val="restart"/>
          </w:tcPr>
          <w:p>
            <w:pPr>
              <w:spacing w:after="0"/>
              <w:rPr>
                <w:rFonts w:ascii="Arial" w:cs="Arial" w:eastAsia="Arial" w:hAnsi="Arial"/>
                <w:sz w:val="16"/>
                <w:szCs w:val="16"/>
                <w:color w:val="0000EE"/>
                <w:w w:val="91"/>
              </w:rPr>
            </w:pPr>
            <w:hyperlink w:anchor="page4">
              <w:r>
                <w:rPr>
                  <w:rFonts w:ascii="Arial" w:cs="Arial" w:eastAsia="Arial" w:hAnsi="Arial"/>
                  <w:sz w:val="16"/>
                  <w:szCs w:val="16"/>
                  <w:color w:val="0000EE"/>
                  <w:w w:val="91"/>
                </w:rPr>
                <w:t>PROSPECTUS SUMMARY</w:t>
              </w:r>
            </w:hyperlink>
          </w:p>
        </w:tc>
        <w:tc>
          <w:tcPr>
            <w:tcW w:w="2420" w:type="dxa"/>
            <w:vAlign w:val="bottom"/>
            <w:gridSpan w:val="6"/>
            <w:vMerge w:val="restart"/>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3"/>
              </w:rPr>
              <w:t>Page</w:t>
            </w:r>
          </w:p>
        </w:tc>
        <w:tc>
          <w:tcPr>
            <w:tcW w:w="340" w:type="dxa"/>
            <w:vAlign w:val="bottom"/>
          </w:tcPr>
          <w:p>
            <w:pPr>
              <w:spacing w:after="0"/>
              <w:rPr>
                <w:sz w:val="13"/>
                <w:szCs w:val="13"/>
                <w:color w:val="auto"/>
              </w:rPr>
            </w:pPr>
          </w:p>
        </w:tc>
        <w:tc>
          <w:tcPr>
            <w:tcW w:w="2140" w:type="dxa"/>
            <w:vAlign w:val="bottom"/>
            <w:gridSpan w:val="7"/>
            <w:vMerge w:val="restart"/>
          </w:tcPr>
          <w:p>
            <w:pPr>
              <w:spacing w:after="0"/>
              <w:rPr>
                <w:rFonts w:ascii="Arial" w:cs="Arial" w:eastAsia="Arial" w:hAnsi="Arial"/>
                <w:sz w:val="16"/>
                <w:szCs w:val="16"/>
                <w:color w:val="0000EE"/>
                <w:w w:val="94"/>
              </w:rPr>
            </w:pPr>
            <w:hyperlink w:anchor="page212">
              <w:r>
                <w:rPr>
                  <w:rFonts w:ascii="Arial" w:cs="Arial" w:eastAsia="Arial" w:hAnsi="Arial"/>
                  <w:sz w:val="16"/>
                  <w:szCs w:val="16"/>
                  <w:color w:val="0000EE"/>
                  <w:w w:val="94"/>
                </w:rPr>
                <w:t>EXECUTIVE COMPENSATION</w:t>
              </w:r>
            </w:hyperlink>
          </w:p>
        </w:tc>
        <w:tc>
          <w:tcPr>
            <w:tcW w:w="2220" w:type="dxa"/>
            <w:vAlign w:val="bottom"/>
            <w:gridSpan w:val="8"/>
            <w:vMerge w:val="restart"/>
          </w:tcPr>
          <w:p>
            <w:pPr>
              <w:spacing w:after="0"/>
              <w:rPr>
                <w:sz w:val="13"/>
                <w:szCs w:val="13"/>
                <w:color w:val="auto"/>
              </w:rPr>
            </w:pPr>
          </w:p>
        </w:tc>
        <w:tc>
          <w:tcPr>
            <w:tcW w:w="30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Page</w:t>
            </w:r>
          </w:p>
        </w:tc>
        <w:tc>
          <w:tcPr>
            <w:tcW w:w="0" w:type="dxa"/>
            <w:vAlign w:val="bottom"/>
          </w:tcPr>
          <w:p>
            <w:pPr>
              <w:spacing w:after="0"/>
              <w:rPr>
                <w:sz w:val="1"/>
                <w:szCs w:val="1"/>
                <w:color w:val="auto"/>
              </w:rPr>
            </w:pPr>
          </w:p>
        </w:tc>
      </w:tr>
      <w:tr>
        <w:trPr>
          <w:trHeight w:val="150"/>
        </w:trPr>
        <w:tc>
          <w:tcPr>
            <w:tcW w:w="1820" w:type="dxa"/>
            <w:vAlign w:val="bottom"/>
            <w:tcBorders>
              <w:bottom w:val="single" w:sz="8" w:color="0000EE"/>
            </w:tcBorders>
            <w:gridSpan w:val="7"/>
            <w:vMerge w:val="continue"/>
          </w:tcPr>
          <w:p>
            <w:pPr>
              <w:spacing w:after="0"/>
              <w:rPr>
                <w:sz w:val="12"/>
                <w:szCs w:val="12"/>
                <w:color w:val="auto"/>
              </w:rPr>
            </w:pPr>
          </w:p>
        </w:tc>
        <w:tc>
          <w:tcPr>
            <w:tcW w:w="2420" w:type="dxa"/>
            <w:vAlign w:val="bottom"/>
            <w:gridSpan w:val="6"/>
            <w:vMerge w:val="continue"/>
          </w:tcPr>
          <w:p>
            <w:pPr>
              <w:spacing w:after="0"/>
              <w:rPr>
                <w:sz w:val="12"/>
                <w:szCs w:val="12"/>
                <w:color w:val="auto"/>
              </w:rPr>
            </w:pPr>
          </w:p>
        </w:tc>
        <w:tc>
          <w:tcPr>
            <w:tcW w:w="3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6"/>
                <w:szCs w:val="16"/>
                <w:color w:val="auto"/>
              </w:rPr>
              <w:t>1</w:t>
            </w:r>
          </w:p>
        </w:tc>
        <w:tc>
          <w:tcPr>
            <w:tcW w:w="340" w:type="dxa"/>
            <w:vAlign w:val="bottom"/>
          </w:tcPr>
          <w:p>
            <w:pPr>
              <w:spacing w:after="0"/>
              <w:rPr>
                <w:sz w:val="12"/>
                <w:szCs w:val="12"/>
                <w:color w:val="auto"/>
              </w:rPr>
            </w:pPr>
          </w:p>
        </w:tc>
        <w:tc>
          <w:tcPr>
            <w:tcW w:w="2140" w:type="dxa"/>
            <w:vAlign w:val="bottom"/>
            <w:tcBorders>
              <w:bottom w:val="single" w:sz="8" w:color="0000EE"/>
            </w:tcBorders>
            <w:gridSpan w:val="7"/>
            <w:vMerge w:val="continue"/>
          </w:tcPr>
          <w:p>
            <w:pPr>
              <w:spacing w:after="0"/>
              <w:rPr>
                <w:sz w:val="12"/>
                <w:szCs w:val="12"/>
                <w:color w:val="auto"/>
              </w:rPr>
            </w:pPr>
          </w:p>
        </w:tc>
        <w:tc>
          <w:tcPr>
            <w:tcW w:w="2220" w:type="dxa"/>
            <w:vAlign w:val="bottom"/>
            <w:gridSpan w:val="8"/>
            <w:vMerge w:val="continue"/>
          </w:tcPr>
          <w:p>
            <w:pPr>
              <w:spacing w:after="0"/>
              <w:rPr>
                <w:sz w:val="12"/>
                <w:szCs w:val="12"/>
                <w:color w:val="auto"/>
              </w:rPr>
            </w:pPr>
          </w:p>
        </w:tc>
        <w:tc>
          <w:tcPr>
            <w:tcW w:w="280" w:type="dxa"/>
            <w:vAlign w:val="bottom"/>
            <w:tcBorders>
              <w:top w:val="single" w:sz="8" w:color="auto"/>
            </w:tcBorders>
          </w:tcPr>
          <w:p>
            <w:pPr>
              <w:ind w:left="60"/>
              <w:spacing w:after="0" w:line="145" w:lineRule="exact"/>
              <w:rPr>
                <w:sz w:val="20"/>
                <w:szCs w:val="20"/>
                <w:color w:val="auto"/>
              </w:rPr>
            </w:pPr>
            <w:r>
              <w:rPr>
                <w:rFonts w:ascii="Arial" w:cs="Arial" w:eastAsia="Arial" w:hAnsi="Arial"/>
                <w:sz w:val="16"/>
                <w:szCs w:val="16"/>
                <w:color w:val="auto"/>
                <w:w w:val="74"/>
              </w:rPr>
              <w:t>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18">
              <w:r>
                <w:rPr>
                  <w:rFonts w:ascii="Arial" w:cs="Arial" w:eastAsia="Arial" w:hAnsi="Arial"/>
                  <w:sz w:val="16"/>
                  <w:szCs w:val="16"/>
                  <w:color w:val="0000EE"/>
                </w:rPr>
                <w:t>RISK FACTORS</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15</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23">
              <w:r>
                <w:rPr>
                  <w:rFonts w:ascii="Arial" w:cs="Arial" w:eastAsia="Arial" w:hAnsi="Arial"/>
                  <w:sz w:val="16"/>
                  <w:szCs w:val="16"/>
                  <w:color w:val="0000EE"/>
                </w:rPr>
                <w:t>CERTAIN RELATIONSHIPS AND RELATED PARTY</w:t>
              </w:r>
            </w:hyperlink>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80" w:type="dxa"/>
            <w:vAlign w:val="bottom"/>
            <w:tcBorders>
              <w:bottom w:val="single" w:sz="8" w:color="0000EE"/>
            </w:tcBorders>
            <w:gridSpan w:val="12"/>
          </w:tcPr>
          <w:p>
            <w:pPr>
              <w:spacing w:after="0" w:line="168" w:lineRule="exact"/>
              <w:rPr>
                <w:rFonts w:ascii="Arial" w:cs="Arial" w:eastAsia="Arial" w:hAnsi="Arial"/>
                <w:sz w:val="16"/>
                <w:szCs w:val="16"/>
                <w:color w:val="0000EE"/>
                <w:w w:val="94"/>
              </w:rPr>
            </w:pPr>
            <w:hyperlink w:anchor="page95">
              <w:r>
                <w:rPr>
                  <w:rFonts w:ascii="Arial" w:cs="Arial" w:eastAsia="Arial" w:hAnsi="Arial"/>
                  <w:sz w:val="16"/>
                  <w:szCs w:val="16"/>
                  <w:color w:val="0000EE"/>
                  <w:w w:val="94"/>
                </w:rPr>
                <w:t>SPECIAL NOTE REGARDING FORWARD- LOOKING</w:t>
              </w:r>
            </w:hyperlink>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Borders>
              <w:bottom w:val="single" w:sz="8" w:color="0000EE"/>
            </w:tcBorders>
            <w:gridSpan w:val="4"/>
          </w:tcPr>
          <w:p>
            <w:pPr>
              <w:spacing w:after="0" w:line="168" w:lineRule="exact"/>
              <w:rPr>
                <w:rFonts w:ascii="Arial" w:cs="Arial" w:eastAsia="Arial" w:hAnsi="Arial"/>
                <w:sz w:val="16"/>
                <w:szCs w:val="16"/>
                <w:color w:val="0000EE"/>
                <w:w w:val="94"/>
              </w:rPr>
            </w:pPr>
            <w:hyperlink w:anchor="page223">
              <w:r>
                <w:rPr>
                  <w:rFonts w:ascii="Arial" w:cs="Arial" w:eastAsia="Arial" w:hAnsi="Arial"/>
                  <w:sz w:val="16"/>
                  <w:szCs w:val="16"/>
                  <w:color w:val="0000EE"/>
                  <w:w w:val="94"/>
                </w:rPr>
                <w:t>TRANSACTIONS</w:t>
              </w:r>
            </w:hyperlink>
          </w:p>
        </w:tc>
        <w:tc>
          <w:tcPr>
            <w:tcW w:w="3000" w:type="dxa"/>
            <w:vAlign w:val="bottom"/>
            <w:gridSpan w:val="10"/>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220</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4080" w:type="dxa"/>
            <w:vAlign w:val="bottom"/>
            <w:gridSpan w:val="12"/>
          </w:tcPr>
          <w:p>
            <w:pPr>
              <w:spacing w:after="0" w:line="168" w:lineRule="exact"/>
              <w:rPr>
                <w:rFonts w:ascii="Arial" w:cs="Arial" w:eastAsia="Arial" w:hAnsi="Arial"/>
                <w:sz w:val="16"/>
                <w:szCs w:val="16"/>
                <w:color w:val="0000EE"/>
              </w:rPr>
            </w:pPr>
            <w:hyperlink w:anchor="page95">
              <w:r>
                <w:rPr>
                  <w:rFonts w:ascii="Arial" w:cs="Arial" w:eastAsia="Arial" w:hAnsi="Arial"/>
                  <w:sz w:val="16"/>
                  <w:szCs w:val="16"/>
                  <w:color w:val="0000EE"/>
                </w:rPr>
                <w:t>STATEMENTS</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92</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26">
              <w:r>
                <w:rPr>
                  <w:rFonts w:ascii="Arial" w:cs="Arial" w:eastAsia="Arial" w:hAnsi="Arial"/>
                  <w:sz w:val="16"/>
                  <w:szCs w:val="16"/>
                  <w:color w:val="0000EE"/>
                </w:rPr>
                <w:t>PRINCIPAL STOCKHOLDERS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223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97">
              <w:r>
                <w:rPr>
                  <w:rFonts w:ascii="Arial" w:cs="Arial" w:eastAsia="Arial" w:hAnsi="Arial"/>
                  <w:sz w:val="16"/>
                  <w:szCs w:val="16"/>
                  <w:color w:val="0000EE"/>
                </w:rPr>
                <w:t>MARKET, INDUSTRY AND OTHER DATA</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94</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29">
              <w:r>
                <w:rPr>
                  <w:rFonts w:ascii="Arial" w:cs="Arial" w:eastAsia="Arial" w:hAnsi="Arial"/>
                  <w:sz w:val="16"/>
                  <w:szCs w:val="16"/>
                  <w:color w:val="0000EE"/>
                </w:rPr>
                <w:t>DESCRIPTION OF CAPITAL STOCK</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226</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gridSpan w:val="6"/>
          </w:tcPr>
          <w:p>
            <w:pPr>
              <w:spacing w:after="0" w:line="168" w:lineRule="exact"/>
              <w:rPr>
                <w:rFonts w:ascii="Arial" w:cs="Arial" w:eastAsia="Arial" w:hAnsi="Arial"/>
                <w:sz w:val="16"/>
                <w:szCs w:val="16"/>
                <w:color w:val="0000EE"/>
                <w:w w:val="88"/>
              </w:rPr>
            </w:pPr>
            <w:hyperlink w:anchor="page98">
              <w:r>
                <w:rPr>
                  <w:rFonts w:ascii="Arial" w:cs="Arial" w:eastAsia="Arial" w:hAnsi="Arial"/>
                  <w:sz w:val="16"/>
                  <w:szCs w:val="16"/>
                  <w:color w:val="0000EE"/>
                  <w:w w:val="88"/>
                </w:rPr>
                <w:t>USE OF PROCEEDS</w:t>
              </w:r>
            </w:hyperlink>
          </w:p>
        </w:tc>
        <w:tc>
          <w:tcPr>
            <w:tcW w:w="1500" w:type="dxa"/>
            <w:vAlign w:val="bottom"/>
            <w:gridSpan w:val="3"/>
          </w:tcPr>
          <w:p>
            <w:pPr>
              <w:spacing w:after="0"/>
              <w:rPr>
                <w:sz w:val="14"/>
                <w:szCs w:val="14"/>
                <w:color w:val="auto"/>
              </w:rPr>
            </w:pPr>
          </w:p>
        </w:tc>
        <w:tc>
          <w:tcPr>
            <w:tcW w:w="1340" w:type="dxa"/>
            <w:vAlign w:val="bottom"/>
            <w:gridSpan w:val="4"/>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95</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35">
              <w:r>
                <w:rPr>
                  <w:rFonts w:ascii="Arial" w:cs="Arial" w:eastAsia="Arial" w:hAnsi="Arial"/>
                  <w:sz w:val="16"/>
                  <w:szCs w:val="16"/>
                  <w:color w:val="0000EE"/>
                </w:rPr>
                <w:t>SHARES ELIGIBLE FOR FUTURE SALE</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232</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00" w:type="dxa"/>
            <w:vAlign w:val="bottom"/>
            <w:tcBorders>
              <w:bottom w:val="single" w:sz="8" w:color="0000EE"/>
            </w:tcBorders>
            <w:gridSpan w:val="6"/>
          </w:tcPr>
          <w:p>
            <w:pPr>
              <w:spacing w:after="0" w:line="168" w:lineRule="exact"/>
              <w:rPr>
                <w:rFonts w:ascii="Arial" w:cs="Arial" w:eastAsia="Arial" w:hAnsi="Arial"/>
                <w:sz w:val="16"/>
                <w:szCs w:val="16"/>
                <w:color w:val="0000EE"/>
                <w:w w:val="97"/>
              </w:rPr>
            </w:pPr>
            <w:hyperlink w:anchor="page100">
              <w:r>
                <w:rPr>
                  <w:rFonts w:ascii="Arial" w:cs="Arial" w:eastAsia="Arial" w:hAnsi="Arial"/>
                  <w:sz w:val="16"/>
                  <w:szCs w:val="16"/>
                  <w:color w:val="0000EE"/>
                  <w:w w:val="97"/>
                </w:rPr>
                <w:t>DIVIDEND POLICY</w:t>
              </w:r>
            </w:hyperlink>
          </w:p>
        </w:tc>
        <w:tc>
          <w:tcPr>
            <w:tcW w:w="2840" w:type="dxa"/>
            <w:vAlign w:val="bottom"/>
            <w:gridSpan w:val="7"/>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97</w:t>
            </w:r>
          </w:p>
        </w:tc>
        <w:tc>
          <w:tcPr>
            <w:tcW w:w="340" w:type="dxa"/>
            <w:vAlign w:val="bottom"/>
          </w:tcPr>
          <w:p>
            <w:pPr>
              <w:spacing w:after="0"/>
              <w:rPr>
                <w:sz w:val="14"/>
                <w:szCs w:val="14"/>
                <w:color w:val="auto"/>
              </w:rPr>
            </w:pPr>
          </w:p>
        </w:tc>
        <w:tc>
          <w:tcPr>
            <w:tcW w:w="2880" w:type="dxa"/>
            <w:vAlign w:val="bottom"/>
            <w:tcBorders>
              <w:bottom w:val="single" w:sz="8" w:color="0000EE"/>
            </w:tcBorders>
            <w:gridSpan w:val="11"/>
          </w:tcPr>
          <w:p>
            <w:pPr>
              <w:spacing w:after="0" w:line="168" w:lineRule="exact"/>
              <w:rPr>
                <w:rFonts w:ascii="Arial" w:cs="Arial" w:eastAsia="Arial" w:hAnsi="Arial"/>
                <w:sz w:val="16"/>
                <w:szCs w:val="16"/>
                <w:color w:val="0000EE"/>
                <w:w w:val="96"/>
              </w:rPr>
            </w:pPr>
            <w:hyperlink w:anchor="page237">
              <w:r>
                <w:rPr>
                  <w:rFonts w:ascii="Arial" w:cs="Arial" w:eastAsia="Arial" w:hAnsi="Arial"/>
                  <w:sz w:val="16"/>
                  <w:szCs w:val="16"/>
                  <w:color w:val="0000EE"/>
                  <w:w w:val="96"/>
                </w:rPr>
                <w:t>MATERIAL U.S. FEDERAL INCOME TAX</w:t>
              </w:r>
            </w:hyperlink>
          </w:p>
        </w:tc>
        <w:tc>
          <w:tcPr>
            <w:tcW w:w="1480" w:type="dxa"/>
            <w:vAlign w:val="bottom"/>
            <w:gridSpan w:val="4"/>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gridSpan w:val="13"/>
          </w:tcPr>
          <w:p>
            <w:pPr>
              <w:spacing w:after="0" w:line="168" w:lineRule="exact"/>
              <w:rPr>
                <w:rFonts w:ascii="Arial" w:cs="Arial" w:eastAsia="Arial" w:hAnsi="Arial"/>
                <w:sz w:val="16"/>
                <w:szCs w:val="16"/>
                <w:color w:val="0000EE"/>
              </w:rPr>
            </w:pPr>
            <w:hyperlink w:anchor="page101">
              <w:r>
                <w:rPr>
                  <w:rFonts w:ascii="Arial" w:cs="Arial" w:eastAsia="Arial" w:hAnsi="Arial"/>
                  <w:sz w:val="16"/>
                  <w:szCs w:val="16"/>
                  <w:color w:val="0000EE"/>
                </w:rPr>
                <w:t>CAPITALIZATION</w:t>
              </w:r>
            </w:hyperlink>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98</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0" w:type="dxa"/>
            <w:vAlign w:val="bottom"/>
            <w:gridSpan w:val="14"/>
          </w:tcPr>
          <w:p>
            <w:pPr>
              <w:spacing w:after="0" w:line="168" w:lineRule="exact"/>
              <w:rPr>
                <w:rFonts w:ascii="Arial" w:cs="Arial" w:eastAsia="Arial" w:hAnsi="Arial"/>
                <w:sz w:val="16"/>
                <w:szCs w:val="16"/>
                <w:color w:val="0000EE"/>
              </w:rPr>
            </w:pPr>
            <w:hyperlink w:anchor="page237">
              <w:r>
                <w:rPr>
                  <w:rFonts w:ascii="Arial" w:cs="Arial" w:eastAsia="Arial" w:hAnsi="Arial"/>
                  <w:sz w:val="16"/>
                  <w:szCs w:val="16"/>
                  <w:color w:val="0000EE"/>
                </w:rPr>
                <w:t>CONSIDERATIONS FOR NON-U.S. HOLDERS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234</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gridSpan w:val="2"/>
          </w:tcPr>
          <w:p>
            <w:pPr>
              <w:spacing w:after="0" w:line="168" w:lineRule="exact"/>
              <w:rPr>
                <w:rFonts w:ascii="Arial" w:cs="Arial" w:eastAsia="Arial" w:hAnsi="Arial"/>
                <w:sz w:val="16"/>
                <w:szCs w:val="16"/>
                <w:color w:val="0000EE"/>
                <w:w w:val="96"/>
              </w:rPr>
            </w:pPr>
            <w:hyperlink w:anchor="page103">
              <w:r>
                <w:rPr>
                  <w:rFonts w:ascii="Arial" w:cs="Arial" w:eastAsia="Arial" w:hAnsi="Arial"/>
                  <w:sz w:val="16"/>
                  <w:szCs w:val="16"/>
                  <w:color w:val="0000EE"/>
                  <w:w w:val="96"/>
                </w:rPr>
                <w:t>DILUTION</w:t>
              </w:r>
            </w:hyperlink>
          </w:p>
        </w:tc>
        <w:tc>
          <w:tcPr>
            <w:tcW w:w="500" w:type="dxa"/>
            <w:vAlign w:val="bottom"/>
            <w:gridSpan w:val="3"/>
          </w:tcPr>
          <w:p>
            <w:pPr>
              <w:spacing w:after="0"/>
              <w:rPr>
                <w:sz w:val="14"/>
                <w:szCs w:val="14"/>
                <w:color w:val="auto"/>
              </w:rPr>
            </w:pPr>
          </w:p>
        </w:tc>
        <w:tc>
          <w:tcPr>
            <w:tcW w:w="2980" w:type="dxa"/>
            <w:vAlign w:val="bottom"/>
            <w:gridSpan w:val="8"/>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100</w:t>
            </w:r>
          </w:p>
        </w:tc>
        <w:tc>
          <w:tcPr>
            <w:tcW w:w="340" w:type="dxa"/>
            <w:vAlign w:val="bottom"/>
          </w:tcPr>
          <w:p>
            <w:pPr>
              <w:spacing w:after="0"/>
              <w:rPr>
                <w:sz w:val="14"/>
                <w:szCs w:val="14"/>
                <w:color w:val="auto"/>
              </w:rPr>
            </w:pPr>
          </w:p>
        </w:tc>
        <w:tc>
          <w:tcPr>
            <w:tcW w:w="4360" w:type="dxa"/>
            <w:vAlign w:val="bottom"/>
            <w:gridSpan w:val="15"/>
          </w:tcPr>
          <w:p>
            <w:pPr>
              <w:spacing w:after="0" w:line="168" w:lineRule="exact"/>
              <w:rPr>
                <w:rFonts w:ascii="Arial" w:cs="Arial" w:eastAsia="Arial" w:hAnsi="Arial"/>
                <w:sz w:val="16"/>
                <w:szCs w:val="16"/>
                <w:color w:val="0000EE"/>
              </w:rPr>
            </w:pPr>
            <w:hyperlink w:anchor="page241">
              <w:r>
                <w:rPr>
                  <w:rFonts w:ascii="Arial" w:cs="Arial" w:eastAsia="Arial" w:hAnsi="Arial"/>
                  <w:sz w:val="16"/>
                  <w:szCs w:val="16"/>
                  <w:color w:val="0000EE"/>
                </w:rPr>
                <w:t>UNDERWRITERS</w:t>
              </w:r>
            </w:hyperlink>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238</w:t>
            </w:r>
          </w:p>
        </w:tc>
        <w:tc>
          <w:tcPr>
            <w:tcW w:w="0" w:type="dxa"/>
            <w:vAlign w:val="bottom"/>
          </w:tcPr>
          <w:p>
            <w:pPr>
              <w:spacing w:after="0"/>
              <w:rPr>
                <w:sz w:val="1"/>
                <w:szCs w:val="1"/>
                <w:color w:val="auto"/>
              </w:rPr>
            </w:pPr>
          </w:p>
        </w:tc>
      </w:tr>
      <w:tr>
        <w:trPr>
          <w:trHeight w:val="20"/>
        </w:trPr>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120" w:type="dxa"/>
            <w:vAlign w:val="bottom"/>
            <w:tcBorders>
              <w:bottom w:val="single" w:sz="8" w:color="0000EE"/>
            </w:tcBorders>
            <w:gridSpan w:val="8"/>
          </w:tcPr>
          <w:p>
            <w:pPr>
              <w:spacing w:after="0" w:line="168" w:lineRule="exact"/>
              <w:rPr>
                <w:rFonts w:ascii="Arial" w:cs="Arial" w:eastAsia="Arial" w:hAnsi="Arial"/>
                <w:sz w:val="16"/>
                <w:szCs w:val="16"/>
                <w:color w:val="0000EE"/>
                <w:w w:val="95"/>
              </w:rPr>
            </w:pPr>
            <w:hyperlink w:anchor="page106">
              <w:r>
                <w:rPr>
                  <w:rFonts w:ascii="Arial" w:cs="Arial" w:eastAsia="Arial" w:hAnsi="Arial"/>
                  <w:sz w:val="16"/>
                  <w:szCs w:val="16"/>
                  <w:color w:val="0000EE"/>
                  <w:w w:val="95"/>
                </w:rPr>
                <w:t>SELECTED FINANCIAL DATA</w:t>
              </w:r>
            </w:hyperlink>
          </w:p>
        </w:tc>
        <w:tc>
          <w:tcPr>
            <w:tcW w:w="2120" w:type="dxa"/>
            <w:vAlign w:val="bottom"/>
            <w:gridSpan w:val="5"/>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103</w:t>
            </w:r>
          </w:p>
        </w:tc>
        <w:tc>
          <w:tcPr>
            <w:tcW w:w="340" w:type="dxa"/>
            <w:vAlign w:val="bottom"/>
          </w:tcPr>
          <w:p>
            <w:pPr>
              <w:spacing w:after="0"/>
              <w:rPr>
                <w:sz w:val="14"/>
                <w:szCs w:val="14"/>
                <w:color w:val="auto"/>
              </w:rPr>
            </w:pPr>
          </w:p>
        </w:tc>
        <w:tc>
          <w:tcPr>
            <w:tcW w:w="1280" w:type="dxa"/>
            <w:vAlign w:val="bottom"/>
            <w:tcBorders>
              <w:bottom w:val="single" w:sz="8" w:color="0000EE"/>
            </w:tcBorders>
            <w:gridSpan w:val="4"/>
          </w:tcPr>
          <w:p>
            <w:pPr>
              <w:spacing w:after="0" w:line="168" w:lineRule="exact"/>
              <w:rPr>
                <w:rFonts w:ascii="Arial" w:cs="Arial" w:eastAsia="Arial" w:hAnsi="Arial"/>
                <w:sz w:val="16"/>
                <w:szCs w:val="16"/>
                <w:color w:val="0000EE"/>
                <w:w w:val="95"/>
              </w:rPr>
            </w:pPr>
            <w:hyperlink w:anchor="page252">
              <w:r>
                <w:rPr>
                  <w:rFonts w:ascii="Arial" w:cs="Arial" w:eastAsia="Arial" w:hAnsi="Arial"/>
                  <w:sz w:val="16"/>
                  <w:szCs w:val="16"/>
                  <w:color w:val="0000EE"/>
                  <w:w w:val="95"/>
                </w:rPr>
                <w:t>LEGAL MATTERS</w:t>
              </w:r>
            </w:hyperlink>
          </w:p>
        </w:tc>
        <w:tc>
          <w:tcPr>
            <w:tcW w:w="3080" w:type="dxa"/>
            <w:vAlign w:val="bottom"/>
            <w:gridSpan w:val="11"/>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249</w:t>
            </w:r>
          </w:p>
        </w:tc>
        <w:tc>
          <w:tcPr>
            <w:tcW w:w="0" w:type="dxa"/>
            <w:vAlign w:val="bottom"/>
          </w:tcPr>
          <w:p>
            <w:pPr>
              <w:spacing w:after="0"/>
              <w:rPr>
                <w:sz w:val="1"/>
                <w:szCs w:val="1"/>
                <w:color w:val="auto"/>
              </w:rPr>
            </w:pPr>
          </w:p>
        </w:tc>
      </w:tr>
      <w:tr>
        <w:trPr>
          <w:trHeight w:val="169"/>
        </w:trPr>
        <w:tc>
          <w:tcPr>
            <w:tcW w:w="3660" w:type="dxa"/>
            <w:vAlign w:val="bottom"/>
            <w:tcBorders>
              <w:bottom w:val="single" w:sz="8" w:color="0000EE"/>
            </w:tcBorders>
            <w:gridSpan w:val="11"/>
          </w:tcPr>
          <w:p>
            <w:pPr>
              <w:spacing w:after="0" w:line="168" w:lineRule="exact"/>
              <w:rPr>
                <w:rFonts w:ascii="Arial" w:cs="Arial" w:eastAsia="Arial" w:hAnsi="Arial"/>
                <w:sz w:val="16"/>
                <w:szCs w:val="16"/>
                <w:color w:val="0000EE"/>
                <w:w w:val="95"/>
              </w:rPr>
            </w:pPr>
            <w:hyperlink w:anchor="page108">
              <w:r>
                <w:rPr>
                  <w:rFonts w:ascii="Arial" w:cs="Arial" w:eastAsia="Arial" w:hAnsi="Arial"/>
                  <w:sz w:val="16"/>
                  <w:szCs w:val="16"/>
                  <w:color w:val="0000EE"/>
                  <w:w w:val="95"/>
                </w:rPr>
                <w:t>MANAGEMENT’S DISCUSSION AND ANALYSIS OF</w:t>
              </w:r>
            </w:hyperlink>
          </w:p>
        </w:tc>
        <w:tc>
          <w:tcPr>
            <w:tcW w:w="58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0000EE"/>
            </w:tcBorders>
            <w:gridSpan w:val="2"/>
          </w:tcPr>
          <w:p>
            <w:pPr>
              <w:spacing w:after="0" w:line="168" w:lineRule="exact"/>
              <w:rPr>
                <w:rFonts w:ascii="Arial" w:cs="Arial" w:eastAsia="Arial" w:hAnsi="Arial"/>
                <w:sz w:val="16"/>
                <w:szCs w:val="16"/>
                <w:color w:val="0000EE"/>
                <w:w w:val="88"/>
              </w:rPr>
            </w:pPr>
            <w:hyperlink w:anchor="page252">
              <w:r>
                <w:rPr>
                  <w:rFonts w:ascii="Arial" w:cs="Arial" w:eastAsia="Arial" w:hAnsi="Arial"/>
                  <w:sz w:val="16"/>
                  <w:szCs w:val="16"/>
                  <w:color w:val="0000EE"/>
                  <w:w w:val="88"/>
                </w:rPr>
                <w:t>EXPERTS</w:t>
              </w:r>
            </w:hyperlink>
          </w:p>
        </w:tc>
        <w:tc>
          <w:tcPr>
            <w:tcW w:w="3680" w:type="dxa"/>
            <w:vAlign w:val="bottom"/>
            <w:gridSpan w:val="13"/>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249</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3080" w:type="dxa"/>
            <w:vAlign w:val="bottom"/>
            <w:tcBorders>
              <w:bottom w:val="single" w:sz="8" w:color="0000EE"/>
            </w:tcBorders>
            <w:gridSpan w:val="9"/>
          </w:tcPr>
          <w:p>
            <w:pPr>
              <w:spacing w:after="0" w:line="168" w:lineRule="exact"/>
              <w:rPr>
                <w:rFonts w:ascii="Arial" w:cs="Arial" w:eastAsia="Arial" w:hAnsi="Arial"/>
                <w:sz w:val="16"/>
                <w:szCs w:val="16"/>
                <w:color w:val="0000EE"/>
                <w:w w:val="95"/>
              </w:rPr>
            </w:pPr>
            <w:hyperlink w:anchor="page108">
              <w:r>
                <w:rPr>
                  <w:rFonts w:ascii="Arial" w:cs="Arial" w:eastAsia="Arial" w:hAnsi="Arial"/>
                  <w:sz w:val="16"/>
                  <w:szCs w:val="16"/>
                  <w:color w:val="0000EE"/>
                  <w:w w:val="95"/>
                </w:rPr>
                <w:t>FINANCIAL CONDITION AND RESULTS OF</w:t>
              </w:r>
            </w:hyperlink>
          </w:p>
        </w:tc>
        <w:tc>
          <w:tcPr>
            <w:tcW w:w="1000" w:type="dxa"/>
            <w:vAlign w:val="bottom"/>
            <w:gridSpan w:val="3"/>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40" w:type="dxa"/>
            <w:vAlign w:val="bottom"/>
            <w:tcBorders>
              <w:bottom w:val="single" w:sz="8" w:color="0000EE"/>
            </w:tcBorders>
            <w:gridSpan w:val="13"/>
          </w:tcPr>
          <w:p>
            <w:pPr>
              <w:spacing w:after="0" w:line="168" w:lineRule="exact"/>
              <w:rPr>
                <w:rFonts w:ascii="Arial" w:cs="Arial" w:eastAsia="Arial" w:hAnsi="Arial"/>
                <w:sz w:val="16"/>
                <w:szCs w:val="16"/>
                <w:color w:val="0000EE"/>
                <w:w w:val="95"/>
              </w:rPr>
            </w:pPr>
            <w:hyperlink w:anchor="page252">
              <w:r>
                <w:rPr>
                  <w:rFonts w:ascii="Arial" w:cs="Arial" w:eastAsia="Arial" w:hAnsi="Arial"/>
                  <w:sz w:val="16"/>
                  <w:szCs w:val="16"/>
                  <w:color w:val="0000EE"/>
                  <w:w w:val="95"/>
                </w:rPr>
                <w:t>WHERE YOU CAN FIND MORE INFORMATION</w:t>
              </w:r>
            </w:hyperlink>
          </w:p>
        </w:tc>
        <w:tc>
          <w:tcPr>
            <w:tcW w:w="1020" w:type="dxa"/>
            <w:vAlign w:val="bottom"/>
            <w:gridSpan w:val="2"/>
          </w:tcPr>
          <w:p>
            <w:pPr>
              <w:spacing w:after="0"/>
              <w:rPr>
                <w:sz w:val="14"/>
                <w:szCs w:val="14"/>
                <w:color w:val="auto"/>
              </w:rPr>
            </w:pPr>
          </w:p>
        </w:tc>
        <w:tc>
          <w:tcPr>
            <w:tcW w:w="300" w:type="dxa"/>
            <w:vAlign w:val="bottom"/>
            <w:gridSpan w:val="2"/>
          </w:tcPr>
          <w:p>
            <w:pPr>
              <w:ind w:left="60"/>
              <w:spacing w:after="0" w:line="168" w:lineRule="exact"/>
              <w:rPr>
                <w:sz w:val="20"/>
                <w:szCs w:val="20"/>
                <w:color w:val="auto"/>
              </w:rPr>
            </w:pPr>
            <w:r>
              <w:rPr>
                <w:rFonts w:ascii="Arial" w:cs="Arial" w:eastAsia="Arial" w:hAnsi="Arial"/>
                <w:sz w:val="16"/>
                <w:szCs w:val="16"/>
                <w:color w:val="auto"/>
                <w:w w:val="82"/>
              </w:rPr>
              <w:t>249</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980" w:type="dxa"/>
            <w:vAlign w:val="bottom"/>
            <w:tcBorders>
              <w:bottom w:val="single" w:sz="8" w:color="0000EE"/>
            </w:tcBorders>
            <w:gridSpan w:val="3"/>
          </w:tcPr>
          <w:p>
            <w:pPr>
              <w:spacing w:after="0" w:line="168" w:lineRule="exact"/>
              <w:rPr>
                <w:rFonts w:ascii="Arial" w:cs="Arial" w:eastAsia="Arial" w:hAnsi="Arial"/>
                <w:sz w:val="16"/>
                <w:szCs w:val="16"/>
                <w:color w:val="0000EE"/>
                <w:w w:val="89"/>
              </w:rPr>
            </w:pPr>
            <w:hyperlink w:anchor="page108">
              <w:r>
                <w:rPr>
                  <w:rFonts w:ascii="Arial" w:cs="Arial" w:eastAsia="Arial" w:hAnsi="Arial"/>
                  <w:sz w:val="16"/>
                  <w:szCs w:val="16"/>
                  <w:color w:val="0000EE"/>
                  <w:w w:val="89"/>
                </w:rPr>
                <w:t>OPERATIONS</w:t>
              </w:r>
            </w:hyperlink>
          </w:p>
        </w:tc>
        <w:tc>
          <w:tcPr>
            <w:tcW w:w="3100" w:type="dxa"/>
            <w:vAlign w:val="bottom"/>
            <w:gridSpan w:val="9"/>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105</w:t>
            </w:r>
          </w:p>
        </w:tc>
        <w:tc>
          <w:tcPr>
            <w:tcW w:w="340" w:type="dxa"/>
            <w:vAlign w:val="bottom"/>
          </w:tcPr>
          <w:p>
            <w:pPr>
              <w:spacing w:after="0"/>
              <w:rPr>
                <w:sz w:val="14"/>
                <w:szCs w:val="14"/>
                <w:color w:val="auto"/>
              </w:rPr>
            </w:pPr>
          </w:p>
        </w:tc>
        <w:tc>
          <w:tcPr>
            <w:tcW w:w="2660" w:type="dxa"/>
            <w:vAlign w:val="bottom"/>
            <w:tcBorders>
              <w:bottom w:val="single" w:sz="8" w:color="0000EE"/>
            </w:tcBorders>
            <w:gridSpan w:val="9"/>
          </w:tcPr>
          <w:p>
            <w:pPr>
              <w:spacing w:after="0" w:line="168" w:lineRule="exact"/>
              <w:rPr>
                <w:rFonts w:ascii="Arial" w:cs="Arial" w:eastAsia="Arial" w:hAnsi="Arial"/>
                <w:sz w:val="16"/>
                <w:szCs w:val="16"/>
                <w:color w:val="0000EE"/>
                <w:w w:val="95"/>
              </w:rPr>
            </w:pPr>
            <w:hyperlink w:anchor="page253">
              <w:r>
                <w:rPr>
                  <w:rFonts w:ascii="Arial" w:cs="Arial" w:eastAsia="Arial" w:hAnsi="Arial"/>
                  <w:sz w:val="16"/>
                  <w:szCs w:val="16"/>
                  <w:color w:val="0000EE"/>
                  <w:w w:val="95"/>
                </w:rPr>
                <w:t>INDEX TO FINANCIAL STATEMENTS</w:t>
              </w:r>
            </w:hyperlink>
          </w:p>
        </w:tc>
        <w:tc>
          <w:tcPr>
            <w:tcW w:w="1700" w:type="dxa"/>
            <w:vAlign w:val="bottom"/>
            <w:gridSpan w:val="6"/>
          </w:tcPr>
          <w:p>
            <w:pPr>
              <w:spacing w:after="0"/>
              <w:rPr>
                <w:sz w:val="14"/>
                <w:szCs w:val="14"/>
                <w:color w:val="auto"/>
              </w:rPr>
            </w:pPr>
          </w:p>
        </w:tc>
        <w:tc>
          <w:tcPr>
            <w:tcW w:w="300" w:type="dxa"/>
            <w:vAlign w:val="bottom"/>
            <w:gridSpan w:val="2"/>
          </w:tcPr>
          <w:p>
            <w:pPr>
              <w:ind w:left="80"/>
              <w:spacing w:after="0" w:line="168" w:lineRule="exact"/>
              <w:rPr>
                <w:sz w:val="20"/>
                <w:szCs w:val="20"/>
                <w:color w:val="auto"/>
              </w:rPr>
            </w:pPr>
            <w:r>
              <w:rPr>
                <w:rFonts w:ascii="Arial" w:cs="Arial" w:eastAsia="Arial" w:hAnsi="Arial"/>
                <w:sz w:val="16"/>
                <w:szCs w:val="16"/>
                <w:color w:val="auto"/>
                <w:w w:val="83"/>
              </w:rPr>
              <w:t>F-1</w:t>
            </w:r>
          </w:p>
        </w:tc>
        <w:tc>
          <w:tcPr>
            <w:tcW w:w="0" w:type="dxa"/>
            <w:vAlign w:val="bottom"/>
          </w:tcPr>
          <w:p>
            <w:pPr>
              <w:spacing w:after="0"/>
              <w:rPr>
                <w:sz w:val="1"/>
                <w:szCs w:val="1"/>
                <w:color w:val="auto"/>
              </w:rPr>
            </w:pPr>
          </w:p>
        </w:tc>
      </w:tr>
      <w:tr>
        <w:trPr>
          <w:trHeight w:val="169"/>
        </w:trPr>
        <w:tc>
          <w:tcPr>
            <w:tcW w:w="760" w:type="dxa"/>
            <w:vAlign w:val="bottom"/>
            <w:tcBorders>
              <w:bottom w:val="single" w:sz="8" w:color="0000EE"/>
            </w:tcBorders>
            <w:gridSpan w:val="2"/>
          </w:tcPr>
          <w:p>
            <w:pPr>
              <w:spacing w:after="0" w:line="168" w:lineRule="exact"/>
              <w:rPr>
                <w:rFonts w:ascii="Arial" w:cs="Arial" w:eastAsia="Arial" w:hAnsi="Arial"/>
                <w:sz w:val="16"/>
                <w:szCs w:val="16"/>
                <w:color w:val="0000EE"/>
                <w:w w:val="88"/>
              </w:rPr>
            </w:pPr>
            <w:hyperlink w:anchor="page122">
              <w:r>
                <w:rPr>
                  <w:rFonts w:ascii="Arial" w:cs="Arial" w:eastAsia="Arial" w:hAnsi="Arial"/>
                  <w:sz w:val="16"/>
                  <w:szCs w:val="16"/>
                  <w:color w:val="0000EE"/>
                  <w:w w:val="88"/>
                </w:rPr>
                <w:t>BUSINESS</w:t>
              </w:r>
            </w:hyperlink>
          </w:p>
        </w:tc>
        <w:tc>
          <w:tcPr>
            <w:tcW w:w="3480" w:type="dxa"/>
            <w:vAlign w:val="bottom"/>
            <w:gridSpan w:val="11"/>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119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Borders>
              <w:bottom w:val="single" w:sz="8" w:color="0000EE"/>
            </w:tcBorders>
            <w:gridSpan w:val="4"/>
          </w:tcPr>
          <w:p>
            <w:pPr>
              <w:spacing w:after="0" w:line="168" w:lineRule="exact"/>
              <w:rPr>
                <w:rFonts w:ascii="Arial" w:cs="Arial" w:eastAsia="Arial" w:hAnsi="Arial"/>
                <w:sz w:val="16"/>
                <w:szCs w:val="16"/>
                <w:color w:val="0000EE"/>
                <w:w w:val="95"/>
              </w:rPr>
            </w:pPr>
            <w:hyperlink w:anchor="page203">
              <w:r>
                <w:rPr>
                  <w:rFonts w:ascii="Arial" w:cs="Arial" w:eastAsia="Arial" w:hAnsi="Arial"/>
                  <w:sz w:val="16"/>
                  <w:szCs w:val="16"/>
                  <w:color w:val="0000EE"/>
                  <w:w w:val="95"/>
                </w:rPr>
                <w:t>MANAGEMENT</w:t>
              </w:r>
            </w:hyperlink>
          </w:p>
        </w:tc>
        <w:tc>
          <w:tcPr>
            <w:tcW w:w="3100" w:type="dxa"/>
            <w:vAlign w:val="bottom"/>
            <w:gridSpan w:val="9"/>
          </w:tcPr>
          <w:p>
            <w:pPr>
              <w:spacing w:after="0"/>
              <w:rPr>
                <w:sz w:val="14"/>
                <w:szCs w:val="14"/>
                <w:color w:val="auto"/>
              </w:rPr>
            </w:pPr>
          </w:p>
        </w:tc>
        <w:tc>
          <w:tcPr>
            <w:tcW w:w="320" w:type="dxa"/>
            <w:vAlign w:val="bottom"/>
          </w:tcPr>
          <w:p>
            <w:pPr>
              <w:jc w:val="right"/>
              <w:spacing w:after="0" w:line="168" w:lineRule="exact"/>
              <w:rPr>
                <w:sz w:val="20"/>
                <w:szCs w:val="20"/>
                <w:color w:val="auto"/>
              </w:rPr>
            </w:pPr>
            <w:r>
              <w:rPr>
                <w:rFonts w:ascii="Arial" w:cs="Arial" w:eastAsia="Arial" w:hAnsi="Arial"/>
                <w:sz w:val="16"/>
                <w:szCs w:val="16"/>
                <w:color w:val="auto"/>
              </w:rPr>
              <w:t>200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292100</wp:posOffset>
            </wp:positionV>
            <wp:extent cx="12801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80" w:firstLine="385"/>
        <w:spacing w:after="0" w:line="250" w:lineRule="auto"/>
        <w:rPr>
          <w:sz w:val="20"/>
          <w:szCs w:val="20"/>
          <w:color w:val="auto"/>
        </w:rPr>
      </w:pPr>
      <w:r>
        <w:rPr>
          <w:rFonts w:ascii="Arial" w:cs="Arial" w:eastAsia="Arial" w:hAnsi="Arial"/>
          <w:sz w:val="16"/>
          <w:szCs w:val="16"/>
          <w:color w:val="auto"/>
        </w:rPr>
        <w:t>Neither we nor the underwriters have authorized anyone to provide you any information or make any representations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2931160</wp:posOffset>
            </wp:positionH>
            <wp:positionV relativeFrom="paragraph">
              <wp:posOffset>198755</wp:posOffset>
            </wp:positionV>
            <wp:extent cx="12801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20" w:firstLine="385"/>
        <w:spacing w:after="0" w:line="284" w:lineRule="auto"/>
        <w:rPr>
          <w:sz w:val="20"/>
          <w:szCs w:val="20"/>
          <w:color w:val="auto"/>
        </w:rPr>
      </w:pPr>
      <w:r>
        <w:rPr>
          <w:rFonts w:ascii="Arial" w:cs="Arial" w:eastAsia="Arial" w:hAnsi="Arial"/>
          <w:sz w:val="15"/>
          <w:szCs w:val="15"/>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6"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94"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0440"/>
          </w:cols>
          <w:pgMar w:left="320" w:top="418" w:right="113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642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64261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999"/>
        <w:spacing w:after="0"/>
        <w:rPr>
          <w:sz w:val="20"/>
          <w:szCs w:val="20"/>
          <w:color w:val="auto"/>
        </w:rPr>
      </w:pPr>
      <w:r>
        <w:rPr>
          <w:rFonts w:ascii="Arial" w:cs="Arial" w:eastAsia="Arial" w:hAnsi="Arial"/>
          <w:sz w:val="16"/>
          <w:szCs w:val="16"/>
          <w:b w:val="1"/>
          <w:bCs w:val="1"/>
          <w:color w:val="auto"/>
        </w:rPr>
        <w:t>PROSPECTUS SUMMARY</w:t>
      </w:r>
    </w:p>
    <w:p>
      <w:pPr>
        <w:spacing w:after="0" w:line="197" w:lineRule="exact"/>
        <w:rPr>
          <w:sz w:val="20"/>
          <w:szCs w:val="20"/>
          <w:color w:val="auto"/>
        </w:rPr>
      </w:pPr>
    </w:p>
    <w:p>
      <w:pPr>
        <w:ind w:left="980" w:right="20" w:firstLine="372"/>
        <w:spacing w:after="0" w:line="25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titled “Risk Factors” and our financial statements and the related notes appearing elsewhere in this prospectus, before making an investment decision. As used in this prospectus, unless the context otherwise requires, references to “we,” “us,” “our,” “our company,” and “Tenaya” refer to Tenaya Therapeutics, Inc.</w:t>
      </w:r>
    </w:p>
    <w:p>
      <w:pPr>
        <w:spacing w:after="0" w:line="26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ind w:left="980" w:firstLine="372"/>
        <w:spacing w:after="0" w:line="251" w:lineRule="auto"/>
        <w:rPr>
          <w:sz w:val="20"/>
          <w:szCs w:val="20"/>
          <w:color w:val="auto"/>
        </w:rPr>
      </w:pPr>
      <w:r>
        <w:rPr>
          <w:rFonts w:ascii="Arial" w:cs="Arial" w:eastAsia="Arial" w:hAnsi="Arial"/>
          <w:sz w:val="16"/>
          <w:szCs w:val="16"/>
          <w:color w:val="auto"/>
        </w:rPr>
        <w:t>We are a biotechnology company committed to a bold mission: to discover, develop and deliver curative therapies that address the underlying drivers of heart disease. Our vision is to change the treatment paradigm for heart disease, the leading cause of death in the world, and in doing so improve and extend the lives of millions of individuals and families fighting this debilitating disease. We are advancing a pipeline of disease-modifying therapies developed using our product platforms and core internal capabilities to target defined sub-populations of patients with rare or highly prevalent forms of heart disease.</w:t>
      </w:r>
    </w:p>
    <w:p>
      <w:pPr>
        <w:spacing w:after="0" w:line="170" w:lineRule="exact"/>
        <w:rPr>
          <w:sz w:val="20"/>
          <w:szCs w:val="20"/>
          <w:color w:val="auto"/>
        </w:rPr>
      </w:pPr>
    </w:p>
    <w:p>
      <w:pPr>
        <w:ind w:left="980" w:right="60" w:firstLine="372"/>
        <w:spacing w:after="0" w:line="251" w:lineRule="auto"/>
        <w:rPr>
          <w:sz w:val="20"/>
          <w:szCs w:val="20"/>
          <w:color w:val="auto"/>
        </w:rPr>
      </w:pPr>
      <w:r>
        <w:rPr>
          <w:rFonts w:ascii="Arial" w:cs="Arial" w:eastAsia="Arial" w:hAnsi="Arial"/>
          <w:sz w:val="16"/>
          <w:szCs w:val="16"/>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70" w:lineRule="exact"/>
        <w:rPr>
          <w:sz w:val="20"/>
          <w:szCs w:val="20"/>
          <w:color w:val="auto"/>
        </w:rPr>
      </w:pPr>
    </w:p>
    <w:p>
      <w:pPr>
        <w:ind w:left="980" w:right="20" w:firstLine="372"/>
        <w:spacing w:after="0" w:line="308" w:lineRule="auto"/>
        <w:rPr>
          <w:sz w:val="20"/>
          <w:szCs w:val="20"/>
          <w:color w:val="auto"/>
        </w:rPr>
      </w:pPr>
      <w:r>
        <w:rPr>
          <w:rFonts w:ascii="Arial" w:cs="Arial" w:eastAsia="Arial" w:hAnsi="Arial"/>
          <w:sz w:val="13"/>
          <w:szCs w:val="13"/>
          <w:color w:val="auto"/>
        </w:rPr>
        <w:t>We are advancing a deep and diverse pipeline including both gene therapies and small molecules. In 2022, we intend to submit an investigational new drug application (IND) or a clinical trial application (CTA) to the U.S. Food and Drug Administration (FDA) or European Medicines Agency (EMA), respectively, for our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TN-201, currently in IND-enabling studies, is designed to deliver a fully functional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driven by our proprietary heart-specific promoter to restore normal levels of MYBPC3 protein. We also intend to submit an IND to the FDA in 2022 for our most advanced product candidate from our Precision Medicine platform, TYA-11631, an HDAC6-specific small molecule inhibitor (HDAC6i). TYA-11631, currently in IND-enabling studies, has potentially broad utility in both heart failure (HF) where the ejection fraction (EF) is greater than or equal to 50%, called preserved EF (HFpEF), and genetic dilated cardiomyopathy (gDCM). Our PKP2 program involves an AAV-based gene therapy to address genetic arrhythmogenic right ventricular cardiomyopathy (gARVC) caused by plakophilin 2 (PKP2) gene mutations, and is currently at the candidate selection stage. Our DWORF program, an AAV-based gene therapy designed to express the Dwarf Open Reading Frame (</w:t>
      </w:r>
      <w:r>
        <w:rPr>
          <w:rFonts w:ascii="Arial" w:cs="Arial" w:eastAsia="Arial" w:hAnsi="Arial"/>
          <w:sz w:val="13"/>
          <w:szCs w:val="13"/>
          <w:i w:val="1"/>
          <w:iCs w:val="1"/>
          <w:color w:val="auto"/>
        </w:rPr>
        <w:t>DWORF)</w:t>
      </w:r>
      <w:r>
        <w:rPr>
          <w:rFonts w:ascii="Arial" w:cs="Arial" w:eastAsia="Arial" w:hAnsi="Arial"/>
          <w:sz w:val="13"/>
          <w:szCs w:val="13"/>
          <w:color w:val="auto"/>
        </w:rPr>
        <w:t xml:space="preserve"> gene in the heart, has potentially broad utility in dilated cardiomyopathy (DCM) and HF where the EF is below 40%, called reduced EF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00" w:lineRule="exact"/>
        <w:rPr>
          <w:sz w:val="20"/>
          <w:szCs w:val="20"/>
          <w:color w:val="auto"/>
        </w:rPr>
      </w:pPr>
    </w:p>
    <w:p>
      <w:pPr>
        <w:spacing w:after="0" w:line="227"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Product Platforms</w:t>
      </w:r>
    </w:p>
    <w:p>
      <w:pPr>
        <w:spacing w:after="0" w:line="99" w:lineRule="exact"/>
        <w:rPr>
          <w:sz w:val="20"/>
          <w:szCs w:val="20"/>
          <w:color w:val="auto"/>
        </w:rPr>
      </w:pPr>
    </w:p>
    <w:p>
      <w:pPr>
        <w:ind w:left="980" w:right="40" w:firstLine="372"/>
        <w:spacing w:after="0" w:line="272" w:lineRule="auto"/>
        <w:rPr>
          <w:sz w:val="20"/>
          <w:szCs w:val="20"/>
          <w:color w:val="auto"/>
        </w:rPr>
      </w:pPr>
      <w:r>
        <w:rPr>
          <w:rFonts w:ascii="Arial" w:cs="Arial" w:eastAsia="Arial" w:hAnsi="Arial"/>
          <w:sz w:val="15"/>
          <w:szCs w:val="15"/>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novel therapies for heart disease. We believe these three product platforms together yield better insight into disease processes, create more opportunities for successful drug development, mitigate scientific risks, and differentiate our efforts relative to competitors.</w:t>
      </w:r>
    </w:p>
    <w:p>
      <w:pPr>
        <w:spacing w:after="0" w:line="200" w:lineRule="exact"/>
        <w:rPr>
          <w:sz w:val="20"/>
          <w:szCs w:val="20"/>
          <w:color w:val="auto"/>
        </w:rPr>
      </w:pP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240"/>
          </w:cols>
          <w:pgMar w:left="320" w:top="418" w:right="13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38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3803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780" w:right="60" w:hanging="288"/>
        <w:spacing w:after="0" w:line="270"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b w:val="1"/>
          <w:bCs w:val="1"/>
          <w:i w:val="1"/>
          <w:iCs w:val="1"/>
          <w:color w:val="auto"/>
        </w:rPr>
        <w:t>Gene Therapy</w:t>
      </w:r>
      <w:r>
        <w:rPr>
          <w:rFonts w:ascii="Arial" w:cs="Arial" w:eastAsia="Arial" w:hAnsi="Arial"/>
          <w:sz w:val="15"/>
          <w:szCs w:val="15"/>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to target cardiomyocytes (CMs), cardiac fibroblasts (CFs) or other cells important to the proper functioning of the heart.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73" w:lineRule="exact"/>
        <w:rPr>
          <w:rFonts w:ascii="Arial" w:cs="Arial" w:eastAsia="Arial" w:hAnsi="Arial"/>
          <w:sz w:val="15"/>
          <w:szCs w:val="15"/>
          <w:color w:val="auto"/>
        </w:rPr>
      </w:pPr>
    </w:p>
    <w:p>
      <w:pPr>
        <w:ind w:left="1780" w:right="60" w:hanging="288"/>
        <w:spacing w:after="0" w:line="253" w:lineRule="auto"/>
        <w:tabs>
          <w:tab w:leader="none" w:pos="1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b w:val="1"/>
          <w:bCs w:val="1"/>
          <w:i w:val="1"/>
          <w:iCs w:val="1"/>
          <w:color w:val="auto"/>
        </w:rPr>
        <w:t>Cellular Regeneration</w:t>
      </w:r>
      <w:r>
        <w:rPr>
          <w:rFonts w:ascii="Arial" w:cs="Arial" w:eastAsia="Arial" w:hAnsi="Arial"/>
          <w:sz w:val="16"/>
          <w:szCs w:val="16"/>
          <w:color w:val="auto"/>
        </w:rPr>
        <w:t xml:space="preserve"> platform uses viral vectors to deliver genes to specific cells in the heart to regenerate CMs </w:t>
      </w:r>
      <w:r>
        <w:rPr>
          <w:rFonts w:ascii="Arial" w:cs="Arial" w:eastAsia="Arial" w:hAnsi="Arial"/>
          <w:sz w:val="16"/>
          <w:szCs w:val="16"/>
          <w:i w:val="1"/>
          <w:iCs w:val="1"/>
          <w:color w:val="auto"/>
        </w:rPr>
        <w:t>in vivo</w:t>
      </w:r>
      <w:r>
        <w:rPr>
          <w:rFonts w:ascii="Arial" w:cs="Arial" w:eastAsia="Arial" w:hAnsi="Arial"/>
          <w:sz w:val="16"/>
          <w:szCs w:val="16"/>
          <w:color w:val="auto"/>
        </w:rPr>
        <w:t>. The product candidates arising from this platform are intended to overcome the shortcomings of traditional therapies that are not able to address the loss of CMs. We believe this platform has potentially broad utility across a range of heart conditions that result in the loss of CMs, including MI, chemotherapy-related toxicity, and viral infection.</w:t>
      </w:r>
    </w:p>
    <w:p>
      <w:pPr>
        <w:spacing w:after="0" w:line="84" w:lineRule="exact"/>
        <w:rPr>
          <w:rFonts w:ascii="Arial" w:cs="Arial" w:eastAsia="Arial" w:hAnsi="Arial"/>
          <w:sz w:val="16"/>
          <w:szCs w:val="16"/>
          <w:color w:val="auto"/>
        </w:rPr>
      </w:pPr>
    </w:p>
    <w:p>
      <w:pPr>
        <w:ind w:left="1780" w:hanging="288"/>
        <w:spacing w:after="0" w:line="270" w:lineRule="auto"/>
        <w:tabs>
          <w:tab w:leader="none" w:pos="1780"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b w:val="1"/>
          <w:bCs w:val="1"/>
          <w:i w:val="1"/>
          <w:iCs w:val="1"/>
          <w:color w:val="auto"/>
        </w:rPr>
        <w:t>Precision Medicine</w:t>
      </w:r>
      <w:r>
        <w:rPr>
          <w:rFonts w:ascii="Arial" w:cs="Arial" w:eastAsia="Arial" w:hAnsi="Arial"/>
          <w:sz w:val="15"/>
          <w:szCs w:val="15"/>
          <w:color w:val="auto"/>
        </w:rPr>
        <w:t xml:space="preserve"> platform uses human induced pluripotent stem cell-derived CMs (hiPSC-CMs) as proprietary disease models and analysis of human genetics for the identification of new targets, validation of known targets, and high-throughput screening for drug discovery. This platform is intended to overcome the shortcomings of traditional drug development efforts that rely more heavily on efficacy in animal models to develop therapies intended for human heart disease. We believe this platform has potentially broad utility for the identification of targets and therapies in a modality-agnostic manner—including gene therapy, small molecules, and biologics—for both genetic and non-genetic forms of heart disease.</w:t>
      </w:r>
    </w:p>
    <w:p>
      <w:pPr>
        <w:spacing w:after="0" w:line="251"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Approach and Capabilities</w:t>
      </w:r>
    </w:p>
    <w:p>
      <w:pPr>
        <w:spacing w:after="0" w:line="99" w:lineRule="exact"/>
        <w:rPr>
          <w:sz w:val="20"/>
          <w:szCs w:val="20"/>
          <w:color w:val="auto"/>
        </w:rPr>
      </w:pPr>
    </w:p>
    <w:p>
      <w:pPr>
        <w:ind w:left="980" w:right="240" w:firstLine="372"/>
        <w:spacing w:after="0" w:line="329" w:lineRule="auto"/>
        <w:rPr>
          <w:sz w:val="20"/>
          <w:szCs w:val="20"/>
          <w:color w:val="auto"/>
        </w:rPr>
      </w:pPr>
      <w:r>
        <w:rPr>
          <w:rFonts w:ascii="Arial" w:cs="Arial" w:eastAsia="Arial" w:hAnsi="Arial"/>
          <w:sz w:val="13"/>
          <w:szCs w:val="13"/>
          <w:color w:val="auto"/>
        </w:rPr>
        <w:t>We have five core internal capabilities, as displayed below, to support our product platforms and our pipeline programs. We believe these integrated capabilities provide us with several advantages and differentiate our efforts relative to competitors, particularly for our AAV-based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220"/>
          </w:cols>
          <w:pgMar w:left="320" w:top="418" w:right="135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6502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6502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Our Core Capabilities Supporting Our Differentiated Product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Our internalized and integrated capabilities to support our product platforms include:</w:t>
      </w:r>
    </w:p>
    <w:p>
      <w:pPr>
        <w:spacing w:after="0" w:line="111" w:lineRule="exact"/>
        <w:rPr>
          <w:sz w:val="20"/>
          <w:szCs w:val="20"/>
          <w:color w:val="auto"/>
        </w:rPr>
      </w:pPr>
    </w:p>
    <w:p>
      <w:pPr>
        <w:ind w:left="1780" w:hanging="288"/>
        <w:spacing w:after="0" w:line="270" w:lineRule="auto"/>
        <w:tabs>
          <w:tab w:leader="none" w:pos="17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Disease Models</w:t>
      </w:r>
      <w:r>
        <w:rPr>
          <w:rFonts w:ascii="Arial" w:cs="Arial" w:eastAsia="Arial" w:hAnsi="Arial"/>
          <w:sz w:val="15"/>
          <w:szCs w:val="15"/>
          <w:color w:val="auto"/>
        </w:rPr>
        <w:t>. We have internalized the ability to create and integrate proprietary</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 vitro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in vivo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models within our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organization. For our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disease models, we have a dedicated onsite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73" w:lineRule="exact"/>
        <w:rPr>
          <w:rFonts w:ascii="Arial" w:cs="Arial" w:eastAsia="Arial" w:hAnsi="Arial"/>
          <w:sz w:val="15"/>
          <w:szCs w:val="15"/>
          <w:color w:val="auto"/>
        </w:rPr>
      </w:pPr>
    </w:p>
    <w:p>
      <w:pPr>
        <w:ind w:left="1780" w:right="140" w:hanging="288"/>
        <w:spacing w:after="0" w:line="250" w:lineRule="auto"/>
        <w:tabs>
          <w:tab w:leader="none" w:pos="1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Capsid Engineering</w:t>
      </w:r>
      <w:r>
        <w:rPr>
          <w:rFonts w:ascii="Arial" w:cs="Arial" w:eastAsia="Arial" w:hAnsi="Arial"/>
          <w:sz w:val="16"/>
          <w:szCs w:val="16"/>
          <w:color w:val="auto"/>
        </w:rPr>
        <w:t>. We have established in-house AAV capsid engineering capabilities and have screened over one billion variants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diverse, proprietary libraries to discover novel AAV capsids with desirable therapeutic properties to support our programs. Our capsids have improved tropism for the heart compared to other organs and for specific cells within the heart; improved transduction and expression within the heart cells; and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88" w:lineRule="exact"/>
        <w:rPr>
          <w:rFonts w:ascii="Arial" w:cs="Arial" w:eastAsia="Arial" w:hAnsi="Arial"/>
          <w:sz w:val="16"/>
          <w:szCs w:val="16"/>
          <w:color w:val="auto"/>
        </w:rPr>
      </w:pPr>
    </w:p>
    <w:p>
      <w:pPr>
        <w:ind w:left="1780" w:right="220" w:hanging="288"/>
        <w:spacing w:after="0" w:line="253" w:lineRule="auto"/>
        <w:tabs>
          <w:tab w:leader="none" w:pos="1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Promoters and Regulatory Elements</w:t>
      </w:r>
      <w:r>
        <w:rPr>
          <w:rFonts w:ascii="Arial" w:cs="Arial" w:eastAsia="Arial" w:hAnsi="Arial"/>
          <w:sz w:val="16"/>
          <w:szCs w:val="16"/>
          <w:color w:val="auto"/>
        </w:rPr>
        <w:t>. We have created novel promoters and regulatory elements to support our gene therapy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cellular regeneration programs. We use these elements to help ensure a more precise expression of therapeutic payloads in different cell types in the heart. We believe our innovations in promoters and regulatory elements can support the successful clinical development of our product candidates.</w:t>
      </w:r>
    </w:p>
    <w:p>
      <w:pPr>
        <w:spacing w:after="0" w:line="84" w:lineRule="exact"/>
        <w:rPr>
          <w:rFonts w:ascii="Arial" w:cs="Arial" w:eastAsia="Arial" w:hAnsi="Arial"/>
          <w:sz w:val="16"/>
          <w:szCs w:val="16"/>
          <w:color w:val="auto"/>
        </w:rPr>
      </w:pPr>
    </w:p>
    <w:p>
      <w:pPr>
        <w:ind w:left="1780" w:right="280" w:hanging="288"/>
        <w:spacing w:after="0" w:line="319" w:lineRule="auto"/>
        <w:tabs>
          <w:tab w:leader="none" w:pos="1780" w:val="left"/>
        </w:tabs>
        <w:numPr>
          <w:ilvl w:val="0"/>
          <w:numId w:val="4"/>
        </w:numPr>
        <w:rPr>
          <w:rFonts w:ascii="Arial" w:cs="Arial" w:eastAsia="Arial" w:hAnsi="Arial"/>
          <w:sz w:val="13"/>
          <w:szCs w:val="13"/>
          <w:color w:val="auto"/>
        </w:rPr>
      </w:pPr>
      <w:r>
        <w:rPr>
          <w:rFonts w:ascii="Arial" w:cs="Arial" w:eastAsia="Arial" w:hAnsi="Arial"/>
          <w:sz w:val="13"/>
          <w:szCs w:val="13"/>
          <w:b w:val="1"/>
          <w:bCs w:val="1"/>
          <w:i w:val="1"/>
          <w:iCs w:val="1"/>
          <w:color w:val="auto"/>
        </w:rPr>
        <w:t>Drug Delivery</w:t>
      </w:r>
      <w:r>
        <w:rPr>
          <w:rFonts w:ascii="Arial" w:cs="Arial" w:eastAsia="Arial" w:hAnsi="Arial"/>
          <w:sz w:val="13"/>
          <w:szCs w:val="13"/>
          <w:color w:val="auto"/>
        </w:rPr>
        <w:t>. Gene delivery is considered one of the biggest challenges to successful translation of cardiac gene therapy into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approved products. We believe it is important to explore different routes of administration (ROAs) as well as different infusion- or injection-based catheters to support more targeted delivery and more efficient uptake of gene therapies for the heart. We prioritize head-to-head comparison of different ROAs in large animal models. We are also developing a novel transendocardial injection catheter for precise delivery of therapeutic payloads around the scar area of an infarcted heart. We believe our discoveries in drug delivery can help widen the therapeutic index of our product candidates by reducing the dose required for a therapeutic benefit.</w:t>
      </w:r>
    </w:p>
    <w:p>
      <w:pPr>
        <w:spacing w:after="0" w:line="200" w:lineRule="exact"/>
        <w:rPr>
          <w:sz w:val="20"/>
          <w:szCs w:val="20"/>
          <w:color w:val="auto"/>
        </w:rPr>
      </w:pPr>
    </w:p>
    <w:p>
      <w:pPr>
        <w:spacing w:after="0" w:line="306"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260"/>
          </w:cols>
          <w:pgMar w:left="320" w:top="418" w:right="131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4254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42544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right="80" w:hanging="288"/>
        <w:spacing w:after="0" w:line="249" w:lineRule="auto"/>
        <w:tabs>
          <w:tab w:leader="none" w:pos="1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Manufacturing</w:t>
      </w:r>
      <w:r>
        <w:rPr>
          <w:rFonts w:ascii="Arial" w:cs="Arial" w:eastAsia="Arial" w:hAnsi="Arial"/>
          <w:sz w:val="16"/>
          <w:szCs w:val="16"/>
          <w:color w:val="auto"/>
        </w:rPr>
        <w:t>. We have taken important steps towards internalizing AAV manufacturing capabilities, expertise and intellectual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to support our emerging portfolio of gene therapy product candidates and to have greater control over our product development. We have produced non-clinical material involving both parental and novel AAV capsids at the 50L and 200L scales to support early research and IND-enabling studies in small and large animal models. We have initiated construction of a 94,000 square-foot current Good Manufacturing Practices (cGMP) facility in the San Francisco Bay Area near our research labs to enable smooth scale-up of production to support first-in-human (FIH) studies, initially at the 1000L scale. We expect this facility will be operational by the end of 2021.</w:t>
      </w:r>
    </w:p>
    <w:p>
      <w:pPr>
        <w:spacing w:after="0" w:line="267"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Pipeline</w:t>
      </w:r>
    </w:p>
    <w:p>
      <w:pPr>
        <w:spacing w:after="0" w:line="99" w:lineRule="exact"/>
        <w:rPr>
          <w:sz w:val="20"/>
          <w:szCs w:val="20"/>
          <w:color w:val="auto"/>
        </w:rPr>
      </w:pPr>
    </w:p>
    <w:p>
      <w:pPr>
        <w:ind w:left="980" w:right="80" w:firstLine="372"/>
        <w:spacing w:after="0" w:line="256" w:lineRule="auto"/>
        <w:rPr>
          <w:sz w:val="20"/>
          <w:szCs w:val="20"/>
          <w:color w:val="auto"/>
        </w:rPr>
      </w:pPr>
      <w:r>
        <w:rPr>
          <w:rFonts w:ascii="Arial" w:cs="Arial" w:eastAsia="Arial" w:hAnsi="Arial"/>
          <w:sz w:val="16"/>
          <w:szCs w:val="16"/>
          <w:color w:val="auto"/>
        </w:rPr>
        <w:t>We are advancing a deep and diverse pipeline with therapeutic programs intended for rare or orphan diseases, such as genetic cardiomyopathies, as well as programs intended for larger indications, such as HFpEF. We have exclusive worldwide rights to all of our programs. Our current pipeline is summarized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80" w:right="40" w:hanging="441"/>
        <w:spacing w:after="0" w:line="320" w:lineRule="auto"/>
        <w:tabs>
          <w:tab w:leader="none" w:pos="178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MYBPC3 Program for gHCM</w:t>
      </w:r>
      <w:r>
        <w:rPr>
          <w:rFonts w:ascii="Arial" w:cs="Arial" w:eastAsia="Arial" w:hAnsi="Arial"/>
          <w:sz w:val="13"/>
          <w:szCs w:val="13"/>
          <w:color w:val="auto"/>
        </w:rPr>
        <w:t>. We are developing an AAV-based gene therapy designed to deliver a functional</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MYBPC3</w:t>
      </w:r>
      <w:r>
        <w:rPr>
          <w:rFonts w:ascii="Arial" w:cs="Arial" w:eastAsia="Arial" w:hAnsi="Arial"/>
          <w:sz w:val="13"/>
          <w:szCs w:val="13"/>
          <w:b w:val="1"/>
          <w:bCs w:val="1"/>
          <w:color w:val="auto"/>
        </w:rPr>
        <w:t xml:space="preserve"> </w:t>
      </w:r>
      <w:r>
        <w:rPr>
          <w:rFonts w:ascii="Arial" w:cs="Arial" w:eastAsia="Arial" w:hAnsi="Arial"/>
          <w:sz w:val="13"/>
          <w:szCs w:val="13"/>
          <w:color w:val="auto"/>
        </w:rPr>
        <w:t>gene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adults and children with gHCM due to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We have demonstrated significant and durable disease reversal and survival benefit in a relevant murine model, as well as tolerability in mice and non-human primates (NHPs). Our product candidate, TN-201, uses a differentiated approach designed to enable robust expression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in the heart. The program is currently in IND-enabling studies, and we have obtained feedback from multiple regulatory agencies, including the FDA, to guide our path to clinical development. We intend to submit an IND or CTA to the FDA or EMA, respectively, in 2022.</w:t>
      </w:r>
    </w:p>
    <w:p>
      <w:pPr>
        <w:spacing w:after="0" w:line="41" w:lineRule="exact"/>
        <w:rPr>
          <w:rFonts w:ascii="Arial" w:cs="Arial" w:eastAsia="Arial" w:hAnsi="Arial"/>
          <w:sz w:val="13"/>
          <w:szCs w:val="13"/>
          <w:color w:val="auto"/>
        </w:rPr>
      </w:pPr>
    </w:p>
    <w:p>
      <w:pPr>
        <w:ind w:left="1780" w:hanging="441"/>
        <w:spacing w:after="0" w:line="319" w:lineRule="auto"/>
        <w:tabs>
          <w:tab w:leader="none" w:pos="1780" w:val="left"/>
        </w:tabs>
        <w:numPr>
          <w:ilvl w:val="0"/>
          <w:numId w:val="6"/>
        </w:numPr>
        <w:rPr>
          <w:rFonts w:ascii="Arial" w:cs="Arial" w:eastAsia="Arial" w:hAnsi="Arial"/>
          <w:sz w:val="13"/>
          <w:szCs w:val="13"/>
          <w:color w:val="auto"/>
        </w:rPr>
      </w:pPr>
      <w:r>
        <w:rPr>
          <w:rFonts w:ascii="Arial" w:cs="Arial" w:eastAsia="Arial" w:hAnsi="Arial"/>
          <w:sz w:val="13"/>
          <w:szCs w:val="13"/>
          <w:b w:val="1"/>
          <w:bCs w:val="1"/>
          <w:color w:val="auto"/>
        </w:rPr>
        <w:t>HDAC6i Program for HFpEF and gDCM</w:t>
      </w:r>
      <w:r>
        <w:rPr>
          <w:rFonts w:ascii="Arial" w:cs="Arial" w:eastAsia="Arial" w:hAnsi="Arial"/>
          <w:sz w:val="13"/>
          <w:szCs w:val="13"/>
          <w:color w:val="auto"/>
        </w:rPr>
        <w:t>. Inhibitors of histone deacetylases (HDACs) have long been considered promising targets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for many indications in a range of therapeutic areas. Several partially selective HDAC6i are already in clinical development, but none, to our knowledge, for a heart disease indication. We have discovered a highly specific and potent HDAC6i for which medicinal chemistry has been completed and we have filed patent applications for two chemical series. We have also demonstrated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activity of these molecules in multiple animal models, including in two different models of HFpEF as well as in a model of gDCM. Our product candidate, TYA-11631, has not demonstrated evidence of toxicity at levels dosed to date in small and large animal species. We have initiated IND-enabling activities and intend to submit an IND to the FDA in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260"/>
          </w:cols>
          <w:pgMar w:left="320" w:top="418" w:right="13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4939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493903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780" w:right="80" w:hanging="441"/>
        <w:spacing w:after="0" w:line="252" w:lineRule="auto"/>
        <w:tabs>
          <w:tab w:leader="none" w:pos="1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PKP2 Program for gARVC</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PKP2</w:t>
      </w:r>
      <w:r>
        <w:rPr>
          <w:rFonts w:ascii="Arial" w:cs="Arial" w:eastAsia="Arial" w:hAnsi="Arial"/>
          <w:sz w:val="16"/>
          <w:szCs w:val="16"/>
          <w:b w:val="1"/>
          <w:bCs w:val="1"/>
          <w:color w:val="auto"/>
        </w:rPr>
        <w:t xml:space="preserve"> </w:t>
      </w:r>
      <w:r>
        <w:rPr>
          <w:rFonts w:ascii="Arial" w:cs="Arial" w:eastAsia="Arial" w:hAnsi="Arial"/>
          <w:sz w:val="16"/>
          <w:szCs w:val="16"/>
          <w:color w:val="auto"/>
        </w:rPr>
        <w:t>gene in adults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We have demonstrated prevention of disease progression and survival benefit in a murine model.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83" w:lineRule="exact"/>
        <w:rPr>
          <w:rFonts w:ascii="Arial" w:cs="Arial" w:eastAsia="Arial" w:hAnsi="Arial"/>
          <w:sz w:val="16"/>
          <w:szCs w:val="16"/>
          <w:color w:val="auto"/>
        </w:rPr>
      </w:pPr>
    </w:p>
    <w:p>
      <w:pPr>
        <w:ind w:left="1780" w:right="40" w:hanging="441"/>
        <w:spacing w:after="0" w:line="249" w:lineRule="auto"/>
        <w:tabs>
          <w:tab w:leader="none" w:pos="1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DWORF Program for DCM and HFrEF</w:t>
      </w:r>
      <w:r>
        <w:rPr>
          <w:rFonts w:ascii="Arial" w:cs="Arial" w:eastAsia="Arial" w:hAnsi="Arial"/>
          <w:sz w:val="16"/>
          <w:szCs w:val="16"/>
          <w:color w:val="auto"/>
        </w:rPr>
        <w:t>. We are developing an AAV-based gene therapy designed to deliver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DWORF</w:t>
      </w:r>
      <w:r>
        <w:rPr>
          <w:rFonts w:ascii="Arial" w:cs="Arial" w:eastAsia="Arial" w:hAnsi="Arial"/>
          <w:sz w:val="16"/>
          <w:szCs w:val="16"/>
          <w:b w:val="1"/>
          <w:bCs w:val="1"/>
          <w:color w:val="auto"/>
        </w:rPr>
        <w:t xml:space="preserve"> </w:t>
      </w:r>
      <w:r>
        <w:rPr>
          <w:rFonts w:ascii="Arial" w:cs="Arial" w:eastAsia="Arial" w:hAnsi="Arial"/>
          <w:sz w:val="16"/>
          <w:szCs w:val="16"/>
          <w:color w:val="auto"/>
        </w:rPr>
        <w:t>gene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patients with DCM and HFrEF. DWORF is a muscle-specific micro-peptide first discovered by our co-founder Eric Olson, Ph.D., that acts on the sarcoplasmic/endoplasmic reticulum Ca2+ ATPase 2a (SERCA2a) pathway, widely considered to be a promising target in HF. We and our academic collaborators have accumulated significant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proof-of-concept evidence for the therapeutic benefit of over-expression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in multiple murine models, including models of DCM and HFrEF, as well as tolerability in murine models. These findings in animal models support the advancement of this program in patients with genetic cardiomyopathies due to specific mutations as well as more prevalent HF populations. This program is currently at the candidate selection stage.</w:t>
      </w:r>
    </w:p>
    <w:p>
      <w:pPr>
        <w:spacing w:after="0" w:line="88" w:lineRule="exact"/>
        <w:rPr>
          <w:rFonts w:ascii="Arial" w:cs="Arial" w:eastAsia="Arial" w:hAnsi="Arial"/>
          <w:sz w:val="16"/>
          <w:szCs w:val="16"/>
          <w:color w:val="auto"/>
        </w:rPr>
      </w:pPr>
    </w:p>
    <w:p>
      <w:pPr>
        <w:ind w:left="1780" w:right="40" w:hanging="441"/>
        <w:spacing w:after="0" w:line="268" w:lineRule="auto"/>
        <w:tabs>
          <w:tab w:leader="none" w:pos="17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Reprogramming Program for HF due to prior MI</w:t>
      </w:r>
      <w:r>
        <w:rPr>
          <w:rFonts w:ascii="Arial" w:cs="Arial" w:eastAsia="Arial" w:hAnsi="Arial"/>
          <w:sz w:val="15"/>
          <w:szCs w:val="15"/>
          <w:color w:val="auto"/>
        </w:rPr>
        <w:t>. We have made significant advances in our unique approach to cellular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regeneration using viral vectors to deliver genes that drive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reprogramming of resident CFs to create new CMs. This approach was first demonstrated by our co-founder Deepak Srivastava, M.D. We have discovered a proprietary combination of three genes that can drive robust reprogramming when delivered together in a single AAV capsid. We have demonstrated significant and durable disease reversal as well as tolerability in multiple small and large animal models. Results of this approach in a pig model of HF due to prior MI were presented at the American Society of Gene &amp; Cell Therapy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255"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Overview of Heart Disease</w:t>
      </w:r>
    </w:p>
    <w:p>
      <w:pPr>
        <w:spacing w:after="0" w:line="99" w:lineRule="exact"/>
        <w:rPr>
          <w:sz w:val="20"/>
          <w:szCs w:val="20"/>
          <w:color w:val="auto"/>
        </w:rPr>
      </w:pPr>
    </w:p>
    <w:p>
      <w:pPr>
        <w:ind w:left="980" w:firstLine="372"/>
        <w:spacing w:after="0" w:line="315" w:lineRule="auto"/>
        <w:rPr>
          <w:sz w:val="20"/>
          <w:szCs w:val="20"/>
          <w:color w:val="auto"/>
        </w:rPr>
      </w:pPr>
      <w:r>
        <w:rPr>
          <w:rFonts w:ascii="Arial" w:cs="Arial" w:eastAsia="Arial" w:hAnsi="Arial"/>
          <w:sz w:val="13"/>
          <w:szCs w:val="13"/>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congenital heart disease (CHD), and CHD is the leading cause of birth defect-related morbidity and mortality. There are over 250 known genetically defined disorders where the primary source of morbidity and mortality involves the heart. There are few approved products that target the underlying cause of such diseases. Recent analysis has shown that after decades of reduction in the mortality rate due to HF, these rates are once again rising over the last decade, highlighting the need for improved treatments.</w:t>
      </w:r>
    </w:p>
    <w:p>
      <w:pPr>
        <w:spacing w:after="0" w:line="324" w:lineRule="exact"/>
        <w:rPr>
          <w:sz w:val="20"/>
          <w:szCs w:val="20"/>
          <w:color w:val="auto"/>
        </w:rPr>
      </w:pPr>
    </w:p>
    <w:p>
      <w:pPr>
        <w:ind w:left="980" w:right="80" w:firstLine="372"/>
        <w:spacing w:after="0" w:line="323" w:lineRule="auto"/>
        <w:rPr>
          <w:sz w:val="20"/>
          <w:szCs w:val="20"/>
          <w:color w:val="auto"/>
        </w:rPr>
      </w:pPr>
      <w:r>
        <w:rPr>
          <w:rFonts w:ascii="Arial" w:cs="Arial" w:eastAsia="Arial" w:hAnsi="Arial"/>
          <w:sz w:val="13"/>
          <w:szCs w:val="13"/>
          <w:color w:val="auto"/>
        </w:rPr>
        <w:t>The heart is a complex organ due to its biological structure as well as its tightly regulated and coordinated electrophysiological and biomechanical properties. Heart disease comes in many forms, affects individuals at 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due to normal aging or due to environmental factors.</w:t>
      </w: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260"/>
          </w:cols>
          <w:pgMar w:left="320" w:top="418" w:right="131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6174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61741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table below illustrates four broad categories of heart disease:</w:t>
      </w:r>
    </w:p>
    <w:p>
      <w:pPr>
        <w:spacing w:after="0" w:line="210" w:lineRule="exact"/>
        <w:rPr>
          <w:sz w:val="20"/>
          <w:szCs w:val="20"/>
          <w:color w:val="auto"/>
        </w:rPr>
      </w:pPr>
    </w:p>
    <w:p>
      <w:pPr>
        <w:ind w:left="2200"/>
        <w:spacing w:after="0"/>
        <w:tabs>
          <w:tab w:leader="none" w:pos="6880" w:val="left"/>
        </w:tabs>
        <w:rPr>
          <w:sz w:val="20"/>
          <w:szCs w:val="20"/>
          <w:color w:val="auto"/>
        </w:rPr>
      </w:pPr>
      <w:r>
        <w:rPr>
          <w:rFonts w:ascii="Arial" w:cs="Arial" w:eastAsia="Arial" w:hAnsi="Arial"/>
          <w:sz w:val="13"/>
          <w:szCs w:val="13"/>
          <w:b w:val="1"/>
          <w:bCs w:val="1"/>
          <w:u w:val="single" w:color="auto"/>
          <w:color w:val="auto"/>
        </w:rPr>
        <w:t>CATEGORIES</w:t>
      </w:r>
      <w:r>
        <w:rPr>
          <w:sz w:val="20"/>
          <w:szCs w:val="20"/>
          <w:color w:val="auto"/>
        </w:rPr>
        <w:tab/>
      </w:r>
      <w:r>
        <w:rPr>
          <w:rFonts w:ascii="Arial" w:cs="Arial" w:eastAsia="Arial" w:hAnsi="Arial"/>
          <w:sz w:val="13"/>
          <w:szCs w:val="13"/>
          <w:b w:val="1"/>
          <w:bCs w:val="1"/>
          <w:color w:val="auto"/>
        </w:rPr>
        <w:t>DESCRIPTION</w:t>
      </w:r>
    </w:p>
    <w:p>
      <w:pPr>
        <w:spacing w:after="0" w:line="200" w:lineRule="exact"/>
        <w:rPr>
          <w:sz w:val="20"/>
          <w:szCs w:val="20"/>
          <w:color w:val="auto"/>
        </w:rPr>
      </w:pPr>
    </w:p>
    <w:p>
      <w:pPr>
        <w:ind w:left="4420" w:right="200"/>
        <w:spacing w:after="0" w:line="238" w:lineRule="auto"/>
        <w:rPr>
          <w:sz w:val="20"/>
          <w:szCs w:val="20"/>
          <w:color w:val="auto"/>
        </w:rPr>
      </w:pPr>
      <w:r>
        <w:rPr>
          <w:rFonts w:ascii="Arial" w:cs="Arial" w:eastAsia="Arial" w:hAnsi="Arial"/>
          <w:sz w:val="16"/>
          <w:szCs w:val="16"/>
          <w:color w:val="auto"/>
        </w:rPr>
        <w:t>HF is a heart condition in which the heart’s pumping capacity is not adequate to meet the demands for blood and oxygen required by the rest of the body. HF can be the result of a range of conditions that lead to weakening of the heart muscle. Conditions that can be associated with the development of HF include a heart attack, uncontrolled high blood pressure, congenital heart disease (heart defects present at birth), and genetic cardiomyopathies.</w:t>
      </w:r>
    </w:p>
    <w:p>
      <w:pPr>
        <w:spacing w:after="0" w:line="4"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Heart Failure (HF)</w:t>
      </w:r>
    </w:p>
    <w:p>
      <w:pPr>
        <w:spacing w:after="0" w:line="200" w:lineRule="exact"/>
        <w:rPr>
          <w:sz w:val="20"/>
          <w:szCs w:val="20"/>
          <w:color w:val="auto"/>
        </w:rPr>
      </w:pPr>
    </w:p>
    <w:p>
      <w:pPr>
        <w:spacing w:after="0" w:line="239" w:lineRule="exact"/>
        <w:rPr>
          <w:sz w:val="20"/>
          <w:szCs w:val="20"/>
          <w:color w:val="auto"/>
        </w:rPr>
      </w:pPr>
    </w:p>
    <w:p>
      <w:pPr>
        <w:ind w:left="4420"/>
        <w:spacing w:after="0" w:line="251" w:lineRule="auto"/>
        <w:rPr>
          <w:sz w:val="20"/>
          <w:szCs w:val="20"/>
          <w:color w:val="auto"/>
        </w:rPr>
      </w:pPr>
      <w:r>
        <w:rPr>
          <w:rFonts w:ascii="Arial" w:cs="Arial" w:eastAsia="Arial" w:hAnsi="Arial"/>
          <w:sz w:val="16"/>
          <w:szCs w:val="16"/>
          <w:color w:val="auto"/>
        </w:rPr>
        <w:t>Arrhythmia is one of the most common heart conditions and is described as any change in the heart’s normal electrical impulses. Electrical impulses from within the heart initiate each heartbeat and ensure its normal pumping function. Arrhythmias can cause the heart to beat too quickly, too slowly or irregularly, resulting in a broad range of symptoms as well as sudden death and stroke.</w:t>
      </w:r>
    </w:p>
    <w:p>
      <w:pPr>
        <w:spacing w:after="0" w:line="28"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Arrhythmia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4420" w:right="40"/>
        <w:spacing w:after="0" w:line="256" w:lineRule="auto"/>
        <w:rPr>
          <w:sz w:val="20"/>
          <w:szCs w:val="20"/>
          <w:color w:val="auto"/>
        </w:rPr>
      </w:pPr>
      <w:r>
        <w:rPr>
          <w:rFonts w:ascii="Arial" w:cs="Arial" w:eastAsia="Arial" w:hAnsi="Arial"/>
          <w:sz w:val="16"/>
          <w:szCs w:val="16"/>
          <w:color w:val="auto"/>
        </w:rPr>
        <w:t>Heart value disease occurs when there is a problem with one or more of the four valves that normally work in unison to make sure that blood is pumped in the proper direction through the four chambers of the heart.</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Heart Valve Disease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20"/>
        <w:spacing w:after="0" w:line="256" w:lineRule="auto"/>
        <w:rPr>
          <w:sz w:val="20"/>
          <w:szCs w:val="20"/>
          <w:color w:val="auto"/>
        </w:rPr>
      </w:pPr>
      <w:r>
        <w:rPr>
          <w:rFonts w:ascii="Arial" w:cs="Arial" w:eastAsia="Arial" w:hAnsi="Arial"/>
          <w:sz w:val="16"/>
          <w:szCs w:val="16"/>
          <w:color w:val="auto"/>
        </w:rPr>
        <w:t>CAD is among the most common type of heart disease and occurs when plaque grows in the walls of the coronary arteries, limiting the blood flow to the heart’s muscle. CAD can ultimately lead to a heart attack.</w:t>
      </w:r>
    </w:p>
    <w:p>
      <w:pPr>
        <w:spacing w:after="0" w:line="213"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Coronary Artery Disease (CAD)</w:t>
      </w:r>
    </w:p>
    <w:p>
      <w:pPr>
        <w:spacing w:after="0" w:line="299"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Current Challenges in the Development of Novel Therapies for Heart Disease</w:t>
      </w:r>
    </w:p>
    <w:p>
      <w:pPr>
        <w:spacing w:after="0" w:line="99" w:lineRule="exact"/>
        <w:rPr>
          <w:sz w:val="20"/>
          <w:szCs w:val="20"/>
          <w:color w:val="auto"/>
        </w:rPr>
      </w:pPr>
    </w:p>
    <w:p>
      <w:pPr>
        <w:ind w:left="980" w:right="160" w:firstLine="372"/>
        <w:spacing w:after="0" w:line="266" w:lineRule="auto"/>
        <w:rPr>
          <w:sz w:val="20"/>
          <w:szCs w:val="20"/>
          <w:color w:val="auto"/>
        </w:rPr>
      </w:pPr>
      <w:r>
        <w:rPr>
          <w:rFonts w:ascii="Arial" w:cs="Arial" w:eastAsia="Arial" w:hAnsi="Arial"/>
          <w:sz w:val="16"/>
          <w:szCs w:val="16"/>
          <w:color w:val="auto"/>
        </w:rPr>
        <w:t>While there is significant unmet need in the field of heart disease, historically there have been challenges in developing novel therapies for the different forms of heart disease. These challenges include, but are not limited to:</w:t>
      </w:r>
    </w:p>
    <w:p>
      <w:pPr>
        <w:spacing w:after="0" w:line="76" w:lineRule="exact"/>
        <w:rPr>
          <w:sz w:val="20"/>
          <w:szCs w:val="20"/>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Most development efforts focus on treating symptoms rather than targeting the underlying causes of diseases;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Identifying new disease-modifying targets is challenging;</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Genetic diagnosis and genetic counseling are limited;</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Regenerative therapy science is still in its early stages;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Gene therapy science for the heart is still maturing;</w:t>
      </w: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220"/>
          </w:cols>
          <w:pgMar w:left="320" w:top="418" w:right="135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972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721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Regulatory requirements are stringent;</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Costs of development are high; and</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Patient access barriers are challenging.</w:t>
      </w:r>
    </w:p>
    <w:p>
      <w:pPr>
        <w:spacing w:after="0" w:line="193" w:lineRule="exact"/>
        <w:rPr>
          <w:sz w:val="20"/>
          <w:szCs w:val="20"/>
          <w:color w:val="auto"/>
        </w:rPr>
      </w:pPr>
    </w:p>
    <w:p>
      <w:pPr>
        <w:ind w:left="980" w:firstLine="372"/>
        <w:spacing w:after="0" w:line="250" w:lineRule="auto"/>
        <w:rPr>
          <w:sz w:val="20"/>
          <w:szCs w:val="20"/>
          <w:color w:val="auto"/>
        </w:rPr>
      </w:pPr>
      <w:r>
        <w:rPr>
          <w:rFonts w:ascii="Arial" w:cs="Arial" w:eastAsia="Arial" w:hAnsi="Arial"/>
          <w:sz w:val="16"/>
          <w:szCs w:val="16"/>
          <w:color w:val="auto"/>
        </w:rPr>
        <w:t>These factors have contributed to a decline in successful heart disease drug development. However, there are recent signs of improvement, notably due to the improving rate of genetic testing, potentially from more education by physicians and patient advocacy groups, as well as increased availability of accessible genetic testing covering more than 150 relevant genes associated with inherited arrhythmia and cardiomyopathy conditions. 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67"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The Evolving Landscape of Heart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Strategy</w:t>
      </w:r>
    </w:p>
    <w:p>
      <w:pPr>
        <w:spacing w:after="0" w:line="99" w:lineRule="exact"/>
        <w:rPr>
          <w:sz w:val="20"/>
          <w:szCs w:val="20"/>
          <w:color w:val="auto"/>
        </w:rPr>
      </w:pPr>
    </w:p>
    <w:p>
      <w:pPr>
        <w:ind w:left="980" w:right="200" w:firstLine="372"/>
        <w:spacing w:after="0" w:line="253" w:lineRule="auto"/>
        <w:rPr>
          <w:sz w:val="20"/>
          <w:szCs w:val="20"/>
          <w:color w:val="auto"/>
        </w:rPr>
      </w:pPr>
      <w:r>
        <w:rPr>
          <w:rFonts w:ascii="Arial" w:cs="Arial" w:eastAsia="Arial" w:hAnsi="Arial"/>
          <w:sz w:val="16"/>
          <w:szCs w:val="16"/>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scientific advancements to discover, develop, manufacture and ultimately commercialize a deep and diverse pipeline of novel therapies. The key components of our strategy to achieve these goals are:</w:t>
      </w:r>
    </w:p>
    <w:p>
      <w:pPr>
        <w:spacing w:after="0" w:line="85" w:lineRule="exact"/>
        <w:rPr>
          <w:sz w:val="20"/>
          <w:szCs w:val="20"/>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 disease-modifying therapies;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Focus exclusively on heart disease;</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Discover novel therapies using three product platforms in parallel;</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Target defined sub-populations of patients most likely to respond to our therapies;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Advance a deep and diverse pipeline of therapies;</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Internalize and integrate core capabilities to support our innovation; and</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Become a fully integrated biopharmaceutical company with commercial capabilities.</w:t>
      </w:r>
    </w:p>
    <w:p>
      <w:pPr>
        <w:spacing w:after="0" w:line="200" w:lineRule="exact"/>
        <w:rPr>
          <w:sz w:val="20"/>
          <w:szCs w:val="20"/>
          <w:color w:val="auto"/>
        </w:rPr>
      </w:pPr>
    </w:p>
    <w:p>
      <w:pPr>
        <w:spacing w:after="0" w:line="37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240"/>
          </w:cols>
          <w:pgMar w:left="320" w:top="418" w:right="1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335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4415" cy="533590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340"/>
        <w:spacing w:after="0"/>
        <w:rPr>
          <w:sz w:val="20"/>
          <w:szCs w:val="20"/>
          <w:color w:val="auto"/>
        </w:rPr>
      </w:pPr>
      <w:r>
        <w:rPr>
          <w:rFonts w:ascii="Arial" w:cs="Arial" w:eastAsia="Arial" w:hAnsi="Arial"/>
          <w:sz w:val="16"/>
          <w:szCs w:val="16"/>
          <w:b w:val="1"/>
          <w:bCs w:val="1"/>
          <w:i w:val="1"/>
          <w:iCs w:val="1"/>
          <w:color w:val="auto"/>
        </w:rPr>
        <w:t>Our History and Team</w:t>
      </w:r>
    </w:p>
    <w:p>
      <w:pPr>
        <w:spacing w:after="0" w:line="99" w:lineRule="exact"/>
        <w:rPr>
          <w:sz w:val="20"/>
          <w:szCs w:val="20"/>
          <w:color w:val="auto"/>
        </w:rPr>
      </w:pPr>
    </w:p>
    <w:p>
      <w:pPr>
        <w:ind w:left="980" w:right="40" w:firstLine="372"/>
        <w:spacing w:after="0" w:line="256" w:lineRule="auto"/>
        <w:rPr>
          <w:sz w:val="20"/>
          <w:szCs w:val="20"/>
          <w:color w:val="auto"/>
        </w:rPr>
      </w:pPr>
      <w:r>
        <w:rPr>
          <w:rFonts w:ascii="Arial" w:cs="Arial" w:eastAsia="Arial" w:hAnsi="Arial"/>
          <w:sz w:val="16"/>
          <w:szCs w:val="16"/>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of over 75 employees.</w:t>
      </w:r>
    </w:p>
    <w:p>
      <w:pPr>
        <w:spacing w:after="0" w:line="166" w:lineRule="exact"/>
        <w:rPr>
          <w:sz w:val="20"/>
          <w:szCs w:val="20"/>
          <w:color w:val="auto"/>
        </w:rPr>
      </w:pPr>
    </w:p>
    <w:p>
      <w:pPr>
        <w:ind w:left="980" w:right="20" w:firstLine="372"/>
        <w:spacing w:after="0" w:line="329" w:lineRule="auto"/>
        <w:rPr>
          <w:sz w:val="20"/>
          <w:szCs w:val="20"/>
          <w:color w:val="auto"/>
        </w:rPr>
      </w:pPr>
      <w:r>
        <w:rPr>
          <w:rFonts w:ascii="Arial" w:cs="Arial" w:eastAsia="Arial" w:hAnsi="Arial"/>
          <w:sz w:val="13"/>
          <w:szCs w:val="13"/>
          <w:color w:val="auto"/>
        </w:rPr>
        <w:t>We are led by a team of executives and directors with significant experience in the discovery, development, manufacture, and commercialization of novel therapeutics, specifically in the fields of rare diseases, gene therapies, and heart disease. Faraz Ali,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23" w:lineRule="exact"/>
        <w:rPr>
          <w:sz w:val="20"/>
          <w:szCs w:val="20"/>
          <w:color w:val="auto"/>
        </w:rPr>
      </w:pPr>
    </w:p>
    <w:p>
      <w:pPr>
        <w:ind w:left="980" w:firstLine="372"/>
        <w:spacing w:after="0" w:line="275" w:lineRule="auto"/>
        <w:rPr>
          <w:sz w:val="20"/>
          <w:szCs w:val="20"/>
          <w:color w:val="auto"/>
        </w:rPr>
      </w:pPr>
      <w:r>
        <w:rPr>
          <w:rFonts w:ascii="Arial" w:cs="Arial" w:eastAsia="Arial" w:hAnsi="Arial"/>
          <w:sz w:val="15"/>
          <w:szCs w:val="15"/>
          <w:color w:val="auto"/>
        </w:rPr>
        <w:t>Since inception, we have raised approximately $248 million in equity financing from leading venture, strategic and public investors, including The Column Group, Casdin Capital, SymBiosis II, LLC, Fidelity Management &amp; Research Company, RTW Investments, RA Capital Management, funds and accounts advised by T. Rowe Price Associates, GV and others who share our vision to build a highly innovative, integrated biotechnology company delivering next-generation therapies that address the underlying causes of heart disease.</w:t>
      </w:r>
    </w:p>
    <w:p>
      <w:pPr>
        <w:spacing w:after="0" w:line="243"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Risks Associated with Our Business</w:t>
      </w:r>
    </w:p>
    <w:p>
      <w:pPr>
        <w:spacing w:after="0" w:line="103" w:lineRule="exact"/>
        <w:rPr>
          <w:sz w:val="20"/>
          <w:szCs w:val="20"/>
          <w:color w:val="auto"/>
        </w:rPr>
      </w:pPr>
    </w:p>
    <w:p>
      <w:pPr>
        <w:jc w:val="both"/>
        <w:ind w:left="980" w:right="360" w:firstLine="372"/>
        <w:spacing w:after="0" w:line="256" w:lineRule="auto"/>
        <w:rPr>
          <w:sz w:val="20"/>
          <w:szCs w:val="20"/>
          <w:color w:val="auto"/>
        </w:rPr>
      </w:pPr>
      <w:r>
        <w:rPr>
          <w:rFonts w:ascii="Arial" w:cs="Arial" w:eastAsia="Arial" w:hAnsi="Arial"/>
          <w:sz w:val="16"/>
          <w:szCs w:val="16"/>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83" w:lineRule="exact"/>
        <w:rPr>
          <w:sz w:val="20"/>
          <w:szCs w:val="20"/>
          <w:color w:val="auto"/>
        </w:rPr>
      </w:pPr>
    </w:p>
    <w:p>
      <w:pPr>
        <w:ind w:left="1780" w:right="120" w:hanging="441"/>
        <w:spacing w:after="0" w:line="256" w:lineRule="auto"/>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83" w:lineRule="exact"/>
        <w:rPr>
          <w:rFonts w:ascii="Arial" w:cs="Arial" w:eastAsia="Arial" w:hAnsi="Arial"/>
          <w:sz w:val="16"/>
          <w:szCs w:val="16"/>
          <w:color w:val="auto"/>
        </w:rPr>
      </w:pPr>
    </w:p>
    <w:p>
      <w:pPr>
        <w:ind w:left="1780" w:right="80" w:hanging="441"/>
        <w:spacing w:after="0" w:line="266" w:lineRule="auto"/>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not generated any product revenue to date, have incurred significant net losses since our inception, and expect to continue to incur significant net losses for the foreseeable future.</w:t>
      </w:r>
    </w:p>
    <w:p>
      <w:pPr>
        <w:spacing w:after="0" w:line="75" w:lineRule="exact"/>
        <w:rPr>
          <w:rFonts w:ascii="Arial" w:cs="Arial" w:eastAsia="Arial" w:hAnsi="Arial"/>
          <w:sz w:val="16"/>
          <w:szCs w:val="16"/>
          <w:color w:val="auto"/>
        </w:rPr>
      </w:pPr>
    </w:p>
    <w:p>
      <w:pPr>
        <w:ind w:left="1780" w:right="160" w:hanging="441"/>
        <w:spacing w:after="0" w:line="266" w:lineRule="auto"/>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75" w:lineRule="exact"/>
        <w:rPr>
          <w:rFonts w:ascii="Arial" w:cs="Arial" w:eastAsia="Arial" w:hAnsi="Arial"/>
          <w:sz w:val="16"/>
          <w:szCs w:val="16"/>
          <w:color w:val="auto"/>
        </w:rPr>
      </w:pPr>
    </w:p>
    <w:p>
      <w:pPr>
        <w:ind w:left="1780" w:right="20" w:hanging="441"/>
        <w:spacing w:after="0" w:line="256" w:lineRule="auto"/>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83" w:lineRule="exact"/>
        <w:rPr>
          <w:rFonts w:ascii="Arial" w:cs="Arial" w:eastAsia="Arial" w:hAnsi="Arial"/>
          <w:sz w:val="16"/>
          <w:szCs w:val="16"/>
          <w:color w:val="auto"/>
        </w:rPr>
      </w:pPr>
    </w:p>
    <w:p>
      <w:pPr>
        <w:ind w:left="1780" w:right="140" w:hanging="441"/>
        <w:spacing w:after="0" w:line="266" w:lineRule="auto"/>
        <w:tabs>
          <w:tab w:leader="none" w:pos="1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operations and financial results could be adversely impacted by the COVID-19 pandemic in the United States and the rest of the world.</w:t>
      </w:r>
    </w:p>
    <w:p>
      <w:pPr>
        <w:spacing w:after="0" w:line="75" w:lineRule="exact"/>
        <w:rPr>
          <w:rFonts w:ascii="Arial" w:cs="Arial" w:eastAsia="Arial" w:hAnsi="Arial"/>
          <w:sz w:val="16"/>
          <w:szCs w:val="16"/>
          <w:color w:val="auto"/>
        </w:rPr>
      </w:pPr>
    </w:p>
    <w:p>
      <w:pPr>
        <w:ind w:left="1780" w:right="440" w:hanging="441"/>
        <w:spacing w:after="0" w:line="343" w:lineRule="auto"/>
        <w:tabs>
          <w:tab w:leader="none" w:pos="1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31" w:lineRule="exact"/>
        <w:rPr>
          <w:rFonts w:ascii="Arial" w:cs="Arial" w:eastAsia="Arial" w:hAnsi="Arial"/>
          <w:sz w:val="13"/>
          <w:szCs w:val="13"/>
          <w:color w:val="auto"/>
        </w:rPr>
      </w:pPr>
    </w:p>
    <w:p>
      <w:pPr>
        <w:ind w:left="1780" w:right="20" w:hanging="441"/>
        <w:spacing w:after="0" w:line="343" w:lineRule="auto"/>
        <w:tabs>
          <w:tab w:leader="none" w:pos="17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200" w:lineRule="exact"/>
        <w:rPr>
          <w:sz w:val="20"/>
          <w:szCs w:val="20"/>
          <w:color w:val="auto"/>
        </w:rPr>
      </w:pPr>
    </w:p>
    <w:p>
      <w:pPr>
        <w:spacing w:after="0" w:line="29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260"/>
          </w:cols>
          <w:pgMar w:left="320" w:top="418" w:right="131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10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1034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right="140" w:hanging="441"/>
        <w:spacing w:after="0" w:line="26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mechanisms of action of our product candidates are unproven, and we do not know whether we will be able to develop any drug of commercial value.</w:t>
      </w:r>
    </w:p>
    <w:p>
      <w:pPr>
        <w:spacing w:after="0" w:line="75" w:lineRule="exact"/>
        <w:rPr>
          <w:rFonts w:ascii="Arial" w:cs="Arial" w:eastAsia="Arial" w:hAnsi="Arial"/>
          <w:sz w:val="16"/>
          <w:szCs w:val="16"/>
          <w:color w:val="auto"/>
        </w:rPr>
      </w:pPr>
    </w:p>
    <w:p>
      <w:pPr>
        <w:ind w:left="1780" w:right="20" w:hanging="441"/>
        <w:spacing w:after="0" w:line="272"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1" w:lineRule="exact"/>
        <w:rPr>
          <w:rFonts w:ascii="Arial" w:cs="Arial" w:eastAsia="Arial" w:hAnsi="Arial"/>
          <w:sz w:val="15"/>
          <w:szCs w:val="15"/>
          <w:color w:val="auto"/>
        </w:rPr>
      </w:pPr>
    </w:p>
    <w:p>
      <w:pPr>
        <w:ind w:left="1780" w:hanging="441"/>
        <w:spacing w:after="0" w:line="281" w:lineRule="auto"/>
        <w:tabs>
          <w:tab w:leader="none" w:pos="17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6" w:lineRule="exact"/>
        <w:rPr>
          <w:rFonts w:ascii="Arial" w:cs="Arial" w:eastAsia="Arial" w:hAnsi="Arial"/>
          <w:sz w:val="15"/>
          <w:szCs w:val="15"/>
          <w:color w:val="auto"/>
        </w:rPr>
      </w:pPr>
    </w:p>
    <w:p>
      <w:pPr>
        <w:ind w:left="1780" w:right="20" w:hanging="441"/>
        <w:spacing w:after="0" w:line="253"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4" w:lineRule="exact"/>
        <w:rPr>
          <w:rFonts w:ascii="Arial" w:cs="Arial" w:eastAsia="Arial" w:hAnsi="Arial"/>
          <w:sz w:val="16"/>
          <w:szCs w:val="16"/>
          <w:color w:val="auto"/>
        </w:rPr>
      </w:pPr>
    </w:p>
    <w:p>
      <w:pPr>
        <w:ind w:left="1780" w:right="120" w:hanging="441"/>
        <w:spacing w:after="0" w:line="25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83" w:lineRule="exact"/>
        <w:rPr>
          <w:rFonts w:ascii="Arial" w:cs="Arial" w:eastAsia="Arial" w:hAnsi="Arial"/>
          <w:sz w:val="16"/>
          <w:szCs w:val="16"/>
          <w:color w:val="auto"/>
        </w:rPr>
      </w:pPr>
    </w:p>
    <w:p>
      <w:pPr>
        <w:jc w:val="both"/>
        <w:ind w:left="1780" w:right="40" w:hanging="441"/>
        <w:spacing w:after="0" w:line="25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83" w:lineRule="exact"/>
        <w:rPr>
          <w:rFonts w:ascii="Arial" w:cs="Arial" w:eastAsia="Arial" w:hAnsi="Arial"/>
          <w:sz w:val="16"/>
          <w:szCs w:val="16"/>
          <w:color w:val="auto"/>
        </w:rPr>
      </w:pPr>
    </w:p>
    <w:p>
      <w:pPr>
        <w:ind w:left="1780" w:right="200" w:hanging="441"/>
        <w:spacing w:after="0" w:line="329" w:lineRule="auto"/>
        <w:tabs>
          <w:tab w:leader="none" w:pos="1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We have in-licensed one issued patent, but we do not currently own any issued patents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40" w:lineRule="exact"/>
        <w:rPr>
          <w:rFonts w:ascii="Arial" w:cs="Arial" w:eastAsia="Arial" w:hAnsi="Arial"/>
          <w:sz w:val="13"/>
          <w:szCs w:val="13"/>
          <w:color w:val="auto"/>
        </w:rPr>
      </w:pPr>
    </w:p>
    <w:p>
      <w:pPr>
        <w:ind w:left="1780" w:right="20" w:hanging="441"/>
        <w:spacing w:after="0" w:line="329" w:lineRule="auto"/>
        <w:tabs>
          <w:tab w:leader="none" w:pos="17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40" w:lineRule="exact"/>
        <w:rPr>
          <w:rFonts w:ascii="Arial" w:cs="Arial" w:eastAsia="Arial" w:hAnsi="Arial"/>
          <w:sz w:val="13"/>
          <w:szCs w:val="13"/>
          <w:color w:val="auto"/>
        </w:rPr>
      </w:pPr>
    </w:p>
    <w:p>
      <w:pPr>
        <w:ind w:left="1780" w:right="140" w:hanging="441"/>
        <w:spacing w:after="0" w:line="256" w:lineRule="auto"/>
        <w:tabs>
          <w:tab w:leader="none" w:pos="1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Corporate Information</w:t>
      </w:r>
    </w:p>
    <w:p>
      <w:pPr>
        <w:spacing w:after="0" w:line="103" w:lineRule="exact"/>
        <w:rPr>
          <w:sz w:val="20"/>
          <w:szCs w:val="20"/>
          <w:color w:val="auto"/>
        </w:rPr>
      </w:pPr>
    </w:p>
    <w:p>
      <w:pPr>
        <w:ind w:left="980" w:right="320" w:firstLine="372"/>
        <w:spacing w:after="0" w:line="266" w:lineRule="auto"/>
        <w:rPr>
          <w:sz w:val="20"/>
          <w:szCs w:val="20"/>
          <w:color w:val="auto"/>
        </w:rPr>
      </w:pPr>
      <w:r>
        <w:rPr>
          <w:rFonts w:ascii="Arial" w:cs="Arial" w:eastAsia="Arial" w:hAnsi="Arial"/>
          <w:sz w:val="16"/>
          <w:szCs w:val="16"/>
          <w:color w:val="auto"/>
        </w:rPr>
        <w:t>We were incorporated in Delaware in August 2016. Our principal executive offices are located at 171 Oyster Point Boulevard, 5th Floor, South San Francisco, CA 94080. Our telephone number is (650) 825-6990.</w:t>
      </w: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60"/>
          </w:cols>
          <w:pgMar w:left="320" w:top="418" w:right="131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4923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49237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left="980" w:right="20"/>
        <w:spacing w:after="0" w:line="256" w:lineRule="auto"/>
        <w:rPr>
          <w:sz w:val="20"/>
          <w:szCs w:val="20"/>
          <w:color w:val="auto"/>
        </w:rPr>
      </w:pPr>
      <w:r>
        <w:rPr>
          <w:rFonts w:ascii="Arial" w:cs="Arial" w:eastAsia="Arial" w:hAnsi="Arial"/>
          <w:sz w:val="16"/>
          <w:szCs w:val="16"/>
          <w:color w:val="auto"/>
        </w:rPr>
        <w:t>Our website address is www.tenayatherapeutics.com. Information contained on, or accessible through, our website is not incorporated by reference into this prospectus and should not be considered to be part of this prospectus. The inclusion of our website address in this prospectus is an inactive textual reference only.</w:t>
      </w:r>
    </w:p>
    <w:p>
      <w:pPr>
        <w:spacing w:after="0" w:line="25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Trademarks</w:t>
      </w:r>
    </w:p>
    <w:p>
      <w:pPr>
        <w:spacing w:after="0" w:line="103" w:lineRule="exact"/>
        <w:rPr>
          <w:sz w:val="20"/>
          <w:szCs w:val="20"/>
          <w:color w:val="auto"/>
        </w:rPr>
      </w:pPr>
    </w:p>
    <w:p>
      <w:pPr>
        <w:ind w:left="980" w:right="20" w:firstLine="372"/>
        <w:spacing w:after="0" w:line="250" w:lineRule="auto"/>
        <w:rPr>
          <w:sz w:val="20"/>
          <w:szCs w:val="20"/>
          <w:color w:val="auto"/>
        </w:rPr>
      </w:pPr>
      <w:r>
        <w:rPr>
          <w:rFonts w:ascii="Arial" w:cs="Arial" w:eastAsia="Arial" w:hAnsi="Arial"/>
          <w:sz w:val="16"/>
          <w:szCs w:val="16"/>
          <w:color w:val="auto"/>
        </w:rPr>
        <w:t>We use the Tenaya logo and other marks as unregistered trademarks in the United States and certain other countries. This prospectus contains references to our trademarks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owner of these trademarks and trade names. We do not intend our use or display of other entities’ trade names or trademarks to imply a relationship with, or endorsement or sponsorship of us by, any other entity.</w:t>
      </w:r>
    </w:p>
    <w:p>
      <w:pPr>
        <w:spacing w:after="0" w:line="261"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Implications of Being an Emerging Growth Company and a Smaller Reporting Company</w:t>
      </w:r>
    </w:p>
    <w:p>
      <w:pPr>
        <w:spacing w:after="0" w:line="103" w:lineRule="exact"/>
        <w:rPr>
          <w:sz w:val="20"/>
          <w:szCs w:val="20"/>
          <w:color w:val="auto"/>
        </w:rPr>
      </w:pPr>
    </w:p>
    <w:p>
      <w:pPr>
        <w:ind w:left="980" w:firstLine="372"/>
        <w:spacing w:after="0" w:line="309" w:lineRule="auto"/>
        <w:rPr>
          <w:sz w:val="20"/>
          <w:szCs w:val="20"/>
          <w:color w:val="auto"/>
        </w:rPr>
      </w:pPr>
      <w:r>
        <w:rPr>
          <w:rFonts w:ascii="Arial" w:cs="Arial" w:eastAsia="Arial" w:hAnsi="Arial"/>
          <w:sz w:val="13"/>
          <w:szCs w:val="13"/>
          <w:color w:val="auto"/>
        </w:rPr>
        <w:t>We are an “emerging growth company” as defined in the Jumpstart Our Business Startups Act of 2012, as amended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U.S. Securities and Exchange Commission. In particular, in this prospectus, we have provided only two years of audited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(1) are no longer an emerging growth company and (2)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327" w:lineRule="exact"/>
        <w:rPr>
          <w:sz w:val="20"/>
          <w:szCs w:val="20"/>
          <w:color w:val="auto"/>
        </w:rPr>
      </w:pPr>
    </w:p>
    <w:p>
      <w:pPr>
        <w:ind w:left="980" w:firstLine="372"/>
        <w:spacing w:after="0" w:line="267"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33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260"/>
          </w:cols>
          <w:pgMar w:left="320" w:top="418" w:right="131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020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0209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980" w:type="dxa"/>
        <w:tblCellMar>
          <w:top w:w="0" w:type="dxa"/>
          <w:left w:w="0" w:type="dxa"/>
          <w:bottom w:w="0" w:type="dxa"/>
          <w:right w:w="0" w:type="dxa"/>
        </w:tblCellMar>
      </w:tblPr>
      <w:tr>
        <w:trPr>
          <w:trHeight w:val="204"/>
        </w:trPr>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40" w:type="dxa"/>
            <w:vAlign w:val="bottom"/>
            <w:gridSpan w:val="2"/>
          </w:tcPr>
          <w:p>
            <w:pPr>
              <w:ind w:left="200"/>
              <w:spacing w:after="0"/>
              <w:rPr>
                <w:sz w:val="20"/>
                <w:szCs w:val="20"/>
                <w:color w:val="auto"/>
              </w:rPr>
            </w:pPr>
            <w:r>
              <w:rPr>
                <w:rFonts w:ascii="Arial" w:cs="Arial" w:eastAsia="Arial" w:hAnsi="Arial"/>
                <w:sz w:val="16"/>
                <w:szCs w:val="16"/>
                <w:b w:val="1"/>
                <w:bCs w:val="1"/>
                <w:color w:val="auto"/>
              </w:rPr>
              <w:t>THE OFFERING</w:t>
            </w:r>
          </w:p>
        </w:tc>
      </w:tr>
      <w:tr>
        <w:trPr>
          <w:trHeight w:val="401"/>
        </w:trPr>
        <w:tc>
          <w:tcPr>
            <w:tcW w:w="3500" w:type="dxa"/>
            <w:vAlign w:val="bottom"/>
          </w:tcPr>
          <w:p>
            <w:pPr>
              <w:spacing w:after="0"/>
              <w:rPr>
                <w:sz w:val="20"/>
                <w:szCs w:val="20"/>
                <w:color w:val="auto"/>
              </w:rPr>
            </w:pPr>
            <w:r>
              <w:rPr>
                <w:rFonts w:ascii="Arial" w:cs="Arial" w:eastAsia="Arial" w:hAnsi="Arial"/>
                <w:sz w:val="16"/>
                <w:szCs w:val="16"/>
                <w:color w:val="auto"/>
              </w:rPr>
              <w:t>Common stock offered by us</w:t>
            </w:r>
          </w:p>
        </w:tc>
        <w:tc>
          <w:tcPr>
            <w:tcW w:w="34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16"/>
                <w:szCs w:val="16"/>
                <w:color w:val="auto"/>
              </w:rPr>
              <w:t>shares.</w:t>
            </w:r>
          </w:p>
        </w:tc>
        <w:tc>
          <w:tcPr>
            <w:tcW w:w="4480" w:type="dxa"/>
            <w:vAlign w:val="bottom"/>
          </w:tcPr>
          <w:p>
            <w:pPr>
              <w:spacing w:after="0"/>
              <w:rPr>
                <w:sz w:val="24"/>
                <w:szCs w:val="24"/>
                <w:color w:val="auto"/>
              </w:rPr>
            </w:pPr>
          </w:p>
        </w:tc>
      </w:tr>
      <w:tr>
        <w:trPr>
          <w:trHeight w:val="260"/>
        </w:trPr>
        <w:tc>
          <w:tcPr>
            <w:tcW w:w="3500" w:type="dxa"/>
            <w:vAlign w:val="bottom"/>
          </w:tcPr>
          <w:p>
            <w:pPr>
              <w:spacing w:after="0"/>
              <w:rPr>
                <w:sz w:val="20"/>
                <w:szCs w:val="20"/>
                <w:color w:val="auto"/>
              </w:rPr>
            </w:pPr>
            <w:r>
              <w:rPr>
                <w:rFonts w:ascii="Arial" w:cs="Arial" w:eastAsia="Arial" w:hAnsi="Arial"/>
                <w:sz w:val="16"/>
                <w:szCs w:val="16"/>
                <w:color w:val="auto"/>
              </w:rPr>
              <w:t>Option to purchase additional shares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8"/>
              </w:rPr>
              <w:t>We have granted the underwriters an option for a period of 30 days to purchase up</w:t>
            </w:r>
          </w:p>
        </w:tc>
      </w:tr>
      <w:tr>
        <w:trPr>
          <w:trHeight w:val="200"/>
        </w:trPr>
        <w:tc>
          <w:tcPr>
            <w:tcW w:w="350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Arial" w:cs="Arial" w:eastAsia="Arial" w:hAnsi="Arial"/>
                <w:sz w:val="16"/>
                <w:szCs w:val="16"/>
                <w:color w:val="auto"/>
              </w:rPr>
              <w:t>to</w:t>
            </w:r>
          </w:p>
        </w:tc>
        <w:tc>
          <w:tcPr>
            <w:tcW w:w="5440" w:type="dxa"/>
            <w:vAlign w:val="bottom"/>
            <w:gridSpan w:val="2"/>
          </w:tcPr>
          <w:p>
            <w:pPr>
              <w:ind w:left="320"/>
              <w:spacing w:after="0"/>
              <w:rPr>
                <w:sz w:val="20"/>
                <w:szCs w:val="20"/>
                <w:color w:val="auto"/>
              </w:rPr>
            </w:pPr>
            <w:r>
              <w:rPr>
                <w:rFonts w:ascii="Arial" w:cs="Arial" w:eastAsia="Arial" w:hAnsi="Arial"/>
                <w:sz w:val="16"/>
                <w:szCs w:val="16"/>
                <w:color w:val="auto"/>
              </w:rPr>
              <w:t>additional shares of our common stock.</w:t>
            </w:r>
          </w:p>
        </w:tc>
      </w:tr>
      <w:tr>
        <w:trPr>
          <w:trHeight w:val="248"/>
        </w:trPr>
        <w:tc>
          <w:tcPr>
            <w:tcW w:w="3500" w:type="dxa"/>
            <w:vAlign w:val="bottom"/>
          </w:tcPr>
          <w:p>
            <w:pPr>
              <w:spacing w:after="0"/>
              <w:rPr>
                <w:sz w:val="20"/>
                <w:szCs w:val="20"/>
                <w:color w:val="auto"/>
              </w:rPr>
            </w:pPr>
            <w:r>
              <w:rPr>
                <w:rFonts w:ascii="Arial" w:cs="Arial" w:eastAsia="Arial" w:hAnsi="Arial"/>
                <w:sz w:val="16"/>
                <w:szCs w:val="16"/>
                <w:color w:val="auto"/>
                <w:w w:val="89"/>
              </w:rPr>
              <w:t>Common stock to be outstanding immediately after this</w:t>
            </w:r>
          </w:p>
        </w:tc>
        <w:tc>
          <w:tcPr>
            <w:tcW w:w="340" w:type="dxa"/>
            <w:vAlign w:val="bottom"/>
          </w:tcPr>
          <w:p>
            <w:pPr>
              <w:spacing w:after="0"/>
              <w:rPr>
                <w:sz w:val="21"/>
                <w:szCs w:val="21"/>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w w:val="83"/>
              </w:rPr>
              <w:t>shares (or</w:t>
            </w:r>
          </w:p>
        </w:tc>
        <w:tc>
          <w:tcPr>
            <w:tcW w:w="4480" w:type="dxa"/>
            <w:vAlign w:val="bottom"/>
          </w:tcPr>
          <w:p>
            <w:pPr>
              <w:ind w:left="700"/>
              <w:spacing w:after="0"/>
              <w:rPr>
                <w:sz w:val="20"/>
                <w:szCs w:val="20"/>
                <w:color w:val="auto"/>
              </w:rPr>
            </w:pPr>
            <w:r>
              <w:rPr>
                <w:rFonts w:ascii="Arial" w:cs="Arial" w:eastAsia="Arial" w:hAnsi="Arial"/>
                <w:sz w:val="16"/>
                <w:szCs w:val="16"/>
                <w:color w:val="auto"/>
                <w:w w:val="97"/>
              </w:rPr>
              <w:t>shares if the underwriters exercise in full their option to</w:t>
            </w:r>
          </w:p>
        </w:tc>
      </w:tr>
      <w:tr>
        <w:trPr>
          <w:trHeight w:val="200"/>
        </w:trPr>
        <w:tc>
          <w:tcPr>
            <w:tcW w:w="3500" w:type="dxa"/>
            <w:vAlign w:val="bottom"/>
          </w:tcPr>
          <w:p>
            <w:pPr>
              <w:ind w:left="60"/>
              <w:spacing w:after="0"/>
              <w:rPr>
                <w:sz w:val="20"/>
                <w:szCs w:val="20"/>
                <w:color w:val="auto"/>
              </w:rPr>
            </w:pPr>
            <w:r>
              <w:rPr>
                <w:rFonts w:ascii="Arial" w:cs="Arial" w:eastAsia="Arial" w:hAnsi="Arial"/>
                <w:sz w:val="16"/>
                <w:szCs w:val="16"/>
                <w:color w:val="auto"/>
              </w:rPr>
              <w:t>offering</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purchase additional shares).</w:t>
            </w:r>
          </w:p>
        </w:tc>
      </w:tr>
      <w:tr>
        <w:trPr>
          <w:trHeight w:val="260"/>
        </w:trPr>
        <w:tc>
          <w:tcPr>
            <w:tcW w:w="3500" w:type="dxa"/>
            <w:vAlign w:val="bottom"/>
          </w:tcPr>
          <w:p>
            <w:pPr>
              <w:spacing w:after="0"/>
              <w:rPr>
                <w:sz w:val="20"/>
                <w:szCs w:val="20"/>
                <w:color w:val="auto"/>
              </w:rPr>
            </w:pPr>
            <w:r>
              <w:rPr>
                <w:rFonts w:ascii="Arial" w:cs="Arial" w:eastAsia="Arial" w:hAnsi="Arial"/>
                <w:sz w:val="16"/>
                <w:szCs w:val="16"/>
                <w:color w:val="auto"/>
              </w:rPr>
              <w:t>Use of proceeds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We estimate that the net proceeds from this offering will be approximately $</w:t>
            </w:r>
          </w:p>
        </w:tc>
      </w:tr>
      <w:tr>
        <w:trPr>
          <w:trHeight w:val="189"/>
        </w:trPr>
        <w:tc>
          <w:tcPr>
            <w:tcW w:w="350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million, or $</w:t>
            </w:r>
          </w:p>
        </w:tc>
        <w:tc>
          <w:tcPr>
            <w:tcW w:w="4480" w:type="dxa"/>
            <w:vAlign w:val="bottom"/>
          </w:tcPr>
          <w:p>
            <w:pPr>
              <w:ind w:left="20"/>
              <w:spacing w:after="0"/>
              <w:rPr>
                <w:sz w:val="20"/>
                <w:szCs w:val="20"/>
                <w:color w:val="auto"/>
              </w:rPr>
            </w:pPr>
            <w:r>
              <w:rPr>
                <w:rFonts w:ascii="Arial" w:cs="Arial" w:eastAsia="Arial" w:hAnsi="Arial"/>
                <w:sz w:val="16"/>
                <w:szCs w:val="16"/>
                <w:color w:val="auto"/>
                <w:w w:val="97"/>
              </w:rPr>
              <w:t>million if the underwriters exercise in full their option to purchase</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additional shares of common stock, assuming an initial public offering price of $</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per share, which is the midpoint of the price range set forth on the cover page of this</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88"/>
              </w:rPr>
              <w:t>prospectus, and after deducting the underwriting discounts and commissions and estimated</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offering expenses payable by us.</w:t>
            </w:r>
          </w:p>
        </w:tc>
      </w:tr>
      <w:tr>
        <w:trPr>
          <w:trHeight w:val="248"/>
        </w:trPr>
        <w:tc>
          <w:tcPr>
            <w:tcW w:w="3500" w:type="dxa"/>
            <w:vAlign w:val="bottom"/>
          </w:tcPr>
          <w:p>
            <w:pPr>
              <w:spacing w:after="0"/>
              <w:rPr>
                <w:sz w:val="21"/>
                <w:szCs w:val="21"/>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2"/>
              </w:rPr>
              <w:t>We currently intend to use the net proceeds from this offering, together with our existing</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7"/>
              </w:rPr>
              <w:t>cash and cash equivalents, to fund our ongoing and planned preclinical and clinical</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development of our most advanced product candidates in our MYBPC3 and HDAC6i</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89"/>
              </w:rPr>
              <w:t>programs, the continued development of our other programs, including our PKP2, DWORF</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6"/>
              </w:rPr>
              <w:t>and Reprogramming programs, the expansion of our manufacturing capabilities and</w:t>
            </w:r>
          </w:p>
        </w:tc>
      </w:tr>
      <w:tr>
        <w:trPr>
          <w:trHeight w:val="189"/>
        </w:trPr>
        <w:tc>
          <w:tcPr>
            <w:tcW w:w="3500" w:type="dxa"/>
            <w:vAlign w:val="bottom"/>
          </w:tcPr>
          <w:p>
            <w:pPr>
              <w:spacing w:after="0"/>
              <w:rPr>
                <w:sz w:val="16"/>
                <w:szCs w:val="16"/>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9"/>
              </w:rPr>
              <w:t>facilities and the remainder, if any, for working capital and other general corporate</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purposes. See the section titled “Use of Proceeds.”</w:t>
            </w:r>
          </w:p>
        </w:tc>
      </w:tr>
      <w:tr>
        <w:trPr>
          <w:trHeight w:val="248"/>
        </w:trPr>
        <w:tc>
          <w:tcPr>
            <w:tcW w:w="3500" w:type="dxa"/>
            <w:vAlign w:val="bottom"/>
          </w:tcPr>
          <w:p>
            <w:pPr>
              <w:spacing w:after="0"/>
              <w:rPr>
                <w:sz w:val="20"/>
                <w:szCs w:val="20"/>
                <w:color w:val="auto"/>
              </w:rPr>
            </w:pPr>
            <w:r>
              <w:rPr>
                <w:rFonts w:ascii="Arial" w:cs="Arial" w:eastAsia="Arial" w:hAnsi="Arial"/>
                <w:sz w:val="16"/>
                <w:szCs w:val="16"/>
                <w:color w:val="auto"/>
              </w:rPr>
              <w:t>Risk factors</w:t>
            </w:r>
          </w:p>
        </w:tc>
        <w:tc>
          <w:tcPr>
            <w:tcW w:w="5780" w:type="dxa"/>
            <w:vAlign w:val="bottom"/>
            <w:gridSpan w:val="3"/>
          </w:tcPr>
          <w:p>
            <w:pPr>
              <w:ind w:left="20"/>
              <w:spacing w:after="0"/>
              <w:rPr>
                <w:sz w:val="20"/>
                <w:szCs w:val="20"/>
                <w:color w:val="auto"/>
              </w:rPr>
            </w:pPr>
            <w:r>
              <w:rPr>
                <w:rFonts w:ascii="Arial" w:cs="Arial" w:eastAsia="Arial" w:hAnsi="Arial"/>
                <w:sz w:val="16"/>
                <w:szCs w:val="16"/>
                <w:color w:val="auto"/>
                <w:w w:val="93"/>
              </w:rPr>
              <w:t>See the section titled “Risk Factors” for a discussion of factors that you should carefully</w:t>
            </w:r>
          </w:p>
        </w:tc>
      </w:tr>
      <w:tr>
        <w:trPr>
          <w:trHeight w:val="200"/>
        </w:trPr>
        <w:tc>
          <w:tcPr>
            <w:tcW w:w="3500" w:type="dxa"/>
            <w:vAlign w:val="bottom"/>
          </w:tcPr>
          <w:p>
            <w:pPr>
              <w:spacing w:after="0"/>
              <w:rPr>
                <w:sz w:val="17"/>
                <w:szCs w:val="17"/>
                <w:color w:val="auto"/>
              </w:rPr>
            </w:pPr>
          </w:p>
        </w:tc>
        <w:tc>
          <w:tcPr>
            <w:tcW w:w="5780" w:type="dxa"/>
            <w:vAlign w:val="bottom"/>
            <w:gridSpan w:val="3"/>
          </w:tcPr>
          <w:p>
            <w:pPr>
              <w:ind w:left="20"/>
              <w:spacing w:after="0"/>
              <w:rPr>
                <w:sz w:val="20"/>
                <w:szCs w:val="20"/>
                <w:color w:val="auto"/>
              </w:rPr>
            </w:pPr>
            <w:r>
              <w:rPr>
                <w:rFonts w:ascii="Arial" w:cs="Arial" w:eastAsia="Arial" w:hAnsi="Arial"/>
                <w:sz w:val="16"/>
                <w:szCs w:val="16"/>
                <w:color w:val="auto"/>
              </w:rPr>
              <w:t>consider before deciding to invest in shares of our common stock.</w:t>
            </w:r>
          </w:p>
        </w:tc>
      </w:tr>
      <w:tr>
        <w:trPr>
          <w:trHeight w:val="259"/>
        </w:trPr>
        <w:tc>
          <w:tcPr>
            <w:tcW w:w="3500" w:type="dxa"/>
            <w:vAlign w:val="bottom"/>
          </w:tcPr>
          <w:p>
            <w:pPr>
              <w:spacing w:after="0"/>
              <w:rPr>
                <w:sz w:val="20"/>
                <w:szCs w:val="20"/>
                <w:color w:val="auto"/>
              </w:rPr>
            </w:pPr>
            <w:r>
              <w:rPr>
                <w:rFonts w:ascii="Arial" w:cs="Arial" w:eastAsia="Arial" w:hAnsi="Arial"/>
                <w:sz w:val="16"/>
                <w:szCs w:val="16"/>
                <w:color w:val="auto"/>
              </w:rPr>
              <w:t>Proposed Nasdaq Stock Market trading symbol</w:t>
            </w:r>
          </w:p>
        </w:tc>
        <w:tc>
          <w:tcPr>
            <w:tcW w:w="1300" w:type="dxa"/>
            <w:vAlign w:val="bottom"/>
            <w:gridSpan w:val="2"/>
          </w:tcPr>
          <w:p>
            <w:pPr>
              <w:ind w:left="20"/>
              <w:spacing w:after="0"/>
              <w:rPr>
                <w:sz w:val="20"/>
                <w:szCs w:val="20"/>
                <w:color w:val="auto"/>
              </w:rPr>
            </w:pPr>
            <w:r>
              <w:rPr>
                <w:rFonts w:ascii="Arial" w:cs="Arial" w:eastAsia="Arial" w:hAnsi="Arial"/>
                <w:sz w:val="16"/>
                <w:szCs w:val="16"/>
                <w:color w:val="auto"/>
              </w:rPr>
              <w:t>“TNYA”</w:t>
            </w:r>
          </w:p>
        </w:tc>
        <w:tc>
          <w:tcPr>
            <w:tcW w:w="4480" w:type="dxa"/>
            <w:vAlign w:val="bottom"/>
          </w:tcPr>
          <w:p>
            <w:pPr>
              <w:spacing w:after="0"/>
              <w:rPr>
                <w:sz w:val="22"/>
                <w:szCs w:val="22"/>
                <w:color w:val="auto"/>
              </w:rPr>
            </w:pPr>
          </w:p>
        </w:tc>
      </w:tr>
    </w:tbl>
    <w:p>
      <w:pPr>
        <w:spacing w:after="0" w:line="189" w:lineRule="exact"/>
        <w:rPr>
          <w:sz w:val="20"/>
          <w:szCs w:val="20"/>
          <w:color w:val="auto"/>
        </w:rPr>
      </w:pPr>
    </w:p>
    <w:p>
      <w:pPr>
        <w:ind w:left="980" w:right="540" w:firstLine="372"/>
        <w:spacing w:after="0" w:line="383" w:lineRule="auto"/>
        <w:rPr>
          <w:sz w:val="20"/>
          <w:szCs w:val="20"/>
          <w:color w:val="auto"/>
        </w:rPr>
      </w:pPr>
      <w:r>
        <w:rPr>
          <w:rFonts w:ascii="Arial" w:cs="Arial" w:eastAsia="Arial" w:hAnsi="Arial"/>
          <w:sz w:val="13"/>
          <w:szCs w:val="13"/>
          <w:color w:val="auto"/>
        </w:rPr>
        <w:t>The number of shares of our common stock to be outstanding after this offering is based on 163,948,679 shares of our common stock outstanding as of March 31, 2021 (including our convertible preferred stock on an as-converted basis), and excludes:</w:t>
      </w:r>
    </w:p>
    <w:p>
      <w:pPr>
        <w:spacing w:after="0" w:line="6" w:lineRule="exact"/>
        <w:rPr>
          <w:sz w:val="20"/>
          <w:szCs w:val="20"/>
          <w:color w:val="auto"/>
        </w:rPr>
      </w:pPr>
    </w:p>
    <w:p>
      <w:pPr>
        <w:ind w:left="1780" w:right="340" w:hanging="441"/>
        <w:spacing w:after="0" w:line="266" w:lineRule="auto"/>
        <w:tabs>
          <w:tab w:leader="none" w:pos="1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10,368,032 shares of common stock issuable upon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2420" w:hanging="1081"/>
        <w:spacing w:after="0"/>
        <w:tabs>
          <w:tab w:leader="none" w:pos="2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shares of common stock issuable upon exercise of options granted after March 31, 2021, with a weighted-average exercise</w:t>
      </w:r>
    </w:p>
    <w:p>
      <w:pPr>
        <w:spacing w:after="0" w:line="51" w:lineRule="exact"/>
        <w:rPr>
          <w:sz w:val="20"/>
          <w:szCs w:val="20"/>
          <w:color w:val="auto"/>
        </w:rPr>
      </w:pPr>
    </w:p>
    <w:p>
      <w:pPr>
        <w:ind w:left="1780"/>
        <w:spacing w:after="0"/>
        <w:tabs>
          <w:tab w:leader="none" w:pos="3000" w:val="left"/>
        </w:tabs>
        <w:rPr>
          <w:sz w:val="20"/>
          <w:szCs w:val="20"/>
          <w:color w:val="auto"/>
        </w:rPr>
      </w:pPr>
      <w:r>
        <w:rPr>
          <w:rFonts w:ascii="Arial" w:cs="Arial" w:eastAsia="Arial" w:hAnsi="Arial"/>
          <w:sz w:val="16"/>
          <w:szCs w:val="16"/>
          <w:color w:val="auto"/>
        </w:rPr>
        <w:t>price of $</w:t>
      </w:r>
      <w:r>
        <w:rPr>
          <w:sz w:val="20"/>
          <w:szCs w:val="20"/>
          <w:color w:val="auto"/>
        </w:rPr>
        <w:tab/>
      </w:r>
      <w:r>
        <w:rPr>
          <w:rFonts w:ascii="Arial" w:cs="Arial" w:eastAsia="Arial" w:hAnsi="Arial"/>
          <w:sz w:val="13"/>
          <w:szCs w:val="13"/>
          <w:color w:val="auto"/>
        </w:rPr>
        <w:t>per share;</w:t>
      </w:r>
    </w:p>
    <w:p>
      <w:pPr>
        <w:spacing w:after="0" w:line="99" w:lineRule="exact"/>
        <w:rPr>
          <w:sz w:val="20"/>
          <w:szCs w:val="20"/>
          <w:color w:val="auto"/>
        </w:rPr>
      </w:pPr>
    </w:p>
    <w:p>
      <w:pPr>
        <w:ind w:left="1780" w:right="400" w:hanging="441"/>
        <w:spacing w:after="0" w:line="266" w:lineRule="auto"/>
        <w:tabs>
          <w:tab w:leader="none" w:pos="1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2,275,357 shares of common stock reserved for future issuance under our Amended and Restated 2016 Equity Incentive Plan, as amended, as of March 31, 2021;</w:t>
      </w:r>
    </w:p>
    <w:p>
      <w:pPr>
        <w:spacing w:after="0" w:line="75" w:lineRule="exact"/>
        <w:rPr>
          <w:rFonts w:ascii="Arial" w:cs="Arial" w:eastAsia="Arial" w:hAnsi="Arial"/>
          <w:sz w:val="16"/>
          <w:szCs w:val="16"/>
          <w:color w:val="auto"/>
        </w:rPr>
      </w:pPr>
    </w:p>
    <w:p>
      <w:pPr>
        <w:ind w:left="1780" w:hanging="441"/>
        <w:spacing w:after="0" w:line="343" w:lineRule="auto"/>
        <w:tabs>
          <w:tab w:leader="none" w:pos="2409" w:val="left"/>
        </w:tabs>
        <w:numPr>
          <w:ilvl w:val="0"/>
          <w:numId w:val="14"/>
        </w:numPr>
        <w:rPr>
          <w:rFonts w:ascii="Arial" w:cs="Arial" w:eastAsia="Arial" w:hAnsi="Arial"/>
          <w:sz w:val="13"/>
          <w:szCs w:val="13"/>
          <w:color w:val="auto"/>
        </w:rPr>
      </w:pPr>
      <w:r>
        <w:rPr>
          <w:rFonts w:ascii="Arial" w:cs="Arial" w:eastAsia="Arial" w:hAnsi="Arial"/>
          <w:sz w:val="13"/>
          <w:szCs w:val="13"/>
          <w:color w:val="auto"/>
        </w:rPr>
        <w:t>shares of common stock reserved for future issuance under our 2021 Equity Incentive Plan (2021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60"/>
          </w:cols>
          <w:pgMar w:left="320" w:top="418" w:right="131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1958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4415" cy="195897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780" w:right="99" w:hanging="441"/>
        <w:spacing w:after="0" w:line="253" w:lineRule="auto"/>
        <w:tabs>
          <w:tab w:leader="none" w:pos="2409"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2021 Employee Stock Purchase Plan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6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Unless otherwise indicated, this prospectus reflects and assumes the following:</w:t>
      </w:r>
    </w:p>
    <w:p>
      <w:pPr>
        <w:spacing w:after="0" w:line="111" w:lineRule="exact"/>
        <w:rPr>
          <w:sz w:val="20"/>
          <w:szCs w:val="20"/>
          <w:color w:val="auto"/>
        </w:rPr>
      </w:pPr>
    </w:p>
    <w:p>
      <w:pPr>
        <w:ind w:left="1780" w:hanging="441"/>
        <w:spacing w:after="0"/>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 exercise of the outstanding options referred to above;</w:t>
      </w:r>
    </w:p>
    <w:p>
      <w:pPr>
        <w:spacing w:after="0" w:line="110" w:lineRule="exact"/>
        <w:rPr>
          <w:rFonts w:ascii="Arial" w:cs="Arial" w:eastAsia="Arial" w:hAnsi="Arial"/>
          <w:sz w:val="16"/>
          <w:szCs w:val="16"/>
          <w:color w:val="auto"/>
        </w:rPr>
      </w:pPr>
    </w:p>
    <w:p>
      <w:pPr>
        <w:ind w:left="1780" w:hanging="441"/>
        <w:spacing w:after="0"/>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additional shares of common stock from us in this offering;</w:t>
      </w:r>
    </w:p>
    <w:p>
      <w:pPr>
        <w:spacing w:after="0" w:line="122" w:lineRule="exact"/>
        <w:rPr>
          <w:rFonts w:ascii="Arial" w:cs="Arial" w:eastAsia="Arial" w:hAnsi="Arial"/>
          <w:sz w:val="15"/>
          <w:szCs w:val="15"/>
          <w:color w:val="auto"/>
        </w:rPr>
      </w:pPr>
    </w:p>
    <w:p>
      <w:pPr>
        <w:ind w:left="1780" w:right="379" w:hanging="441"/>
        <w:spacing w:after="0" w:line="300" w:lineRule="auto"/>
        <w:tabs>
          <w:tab w:leader="none" w:pos="1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automatic conversion of all outstanding shares of our convertible preferred stock as of March 31, 2021 into an aggregate of 156,613,818 shares of our common stock immediately prior to the completion of this offering; and</w:t>
      </w:r>
    </w:p>
    <w:p>
      <w:pPr>
        <w:spacing w:after="0" w:line="52" w:lineRule="exact"/>
        <w:rPr>
          <w:rFonts w:ascii="Arial" w:cs="Arial" w:eastAsia="Arial" w:hAnsi="Arial"/>
          <w:sz w:val="15"/>
          <w:szCs w:val="15"/>
          <w:color w:val="auto"/>
        </w:rPr>
      </w:pPr>
    </w:p>
    <w:p>
      <w:pPr>
        <w:ind w:left="1780" w:right="219" w:hanging="441"/>
        <w:spacing w:after="0" w:line="266"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139"/>
          </w:cols>
          <w:pgMar w:left="320" w:top="418" w:right="1440"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514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1485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SUMMARY FINANCIAL DATA</w:t>
      </w:r>
    </w:p>
    <w:p>
      <w:pPr>
        <w:spacing w:after="0" w:line="197" w:lineRule="exact"/>
        <w:rPr>
          <w:sz w:val="20"/>
          <w:szCs w:val="20"/>
          <w:color w:val="auto"/>
        </w:rPr>
      </w:pPr>
    </w:p>
    <w:p>
      <w:pPr>
        <w:ind w:left="980" w:right="300" w:firstLine="372"/>
        <w:spacing w:after="0" w:line="268" w:lineRule="auto"/>
        <w:rPr>
          <w:sz w:val="20"/>
          <w:szCs w:val="20"/>
          <w:color w:val="auto"/>
        </w:rPr>
      </w:pPr>
      <w:r>
        <w:rPr>
          <w:rFonts w:ascii="Arial" w:cs="Arial" w:eastAsia="Arial" w:hAnsi="Arial"/>
          <w:sz w:val="15"/>
          <w:szCs w:val="15"/>
          <w:color w:val="auto"/>
        </w:rPr>
        <w:t>The following tables set forth our summary financial data for the periods and as of the dates indicated. We have derived the summary statements of operations data for the years ended December 31, 2019 and 2020 from our audited financial statements included elsewhere in this prospectus. The summary statements of operations data for the three months ended March 31, 2020 and 2021 and the summary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61" w:lineRule="exact"/>
        <w:rPr>
          <w:sz w:val="20"/>
          <w:szCs w:val="20"/>
          <w:color w:val="auto"/>
        </w:rPr>
      </w:pPr>
    </w:p>
    <w:p>
      <w:pPr>
        <w:ind w:left="980" w:right="320" w:firstLine="372"/>
        <w:spacing w:after="0" w:line="323" w:lineRule="auto"/>
        <w:rPr>
          <w:sz w:val="20"/>
          <w:szCs w:val="20"/>
          <w:color w:val="auto"/>
        </w:rPr>
      </w:pPr>
      <w:r>
        <w:rPr>
          <w:rFonts w:ascii="Arial" w:cs="Arial" w:eastAsia="Arial" w:hAnsi="Arial"/>
          <w:sz w:val="13"/>
          <w:szCs w:val="13"/>
          <w:color w:val="auto"/>
        </w:rPr>
        <w:t>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 this section are not intended to replace our financial statements and are qualified in their entirety by our financial statements and related notes included elsewhere in this prospectus. Our historical results are not necessarily indicative of the results that may be expected in the future, and our results for the three months ended March 31, 2021 are not necessarily indicative of results to be expected for the full year.</w:t>
      </w:r>
    </w:p>
    <w:p>
      <w:pPr>
        <w:spacing w:after="0" w:line="12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ind w:right="7"/>
              <w:spacing w:after="0"/>
              <w:rPr>
                <w:sz w:val="20"/>
                <w:szCs w:val="20"/>
                <w:color w:val="auto"/>
              </w:rPr>
            </w:pPr>
            <w:r>
              <w:rPr>
                <w:rFonts w:ascii="Arial" w:cs="Arial" w:eastAsia="Arial" w:hAnsi="Arial"/>
                <w:sz w:val="13"/>
                <w:szCs w:val="13"/>
                <w:b w:val="1"/>
                <w:bCs w:val="1"/>
                <w:color w:val="auto"/>
              </w:rPr>
              <w:t>Year Ended</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6"/>
          </w:tcPr>
          <w:p>
            <w:pPr>
              <w:ind w:left="26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5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44"/>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ind w:left="40"/>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44"/>
              <w:spacing w:after="0" w:line="122" w:lineRule="exact"/>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ind w:left="140"/>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20" w:type="dxa"/>
            <w:vAlign w:val="bottom"/>
            <w:gridSpan w:val="7"/>
          </w:tcPr>
          <w:p>
            <w:pPr>
              <w:jc w:val="right"/>
              <w:ind w:right="1"/>
              <w:spacing w:after="0" w:line="122" w:lineRule="exact"/>
              <w:rPr>
                <w:sz w:val="20"/>
                <w:szCs w:val="20"/>
                <w:color w:val="auto"/>
              </w:rPr>
            </w:pPr>
            <w:r>
              <w:rPr>
                <w:rFonts w:ascii="Arial" w:cs="Arial" w:eastAsia="Arial" w:hAnsi="Arial"/>
                <w:sz w:val="13"/>
                <w:szCs w:val="13"/>
                <w:b w:val="1"/>
                <w:bCs w:val="1"/>
                <w:color w:val="auto"/>
                <w:w w:val="85"/>
              </w:rPr>
              <w:t>(in thousands, except share and per share data)</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Operating expenses:</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23,148</w:t>
            </w:r>
          </w:p>
        </w:tc>
        <w:tc>
          <w:tcPr>
            <w:tcW w:w="54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31,099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7,297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9,590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4,564</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7,813</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1,969</w:t>
            </w:r>
          </w:p>
        </w:tc>
        <w:tc>
          <w:tcPr>
            <w:tcW w:w="1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3,515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operating expenses</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27,712</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38,912</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9,266</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13,105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Loss from operations</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(27,712)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(38,912)</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(9,266)</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453</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1"/>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tcPr>
          <w:p>
            <w:pPr>
              <w:ind w:left="3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6"/>
                <w:szCs w:val="16"/>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rPr>
              <w:t>1,017</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341"/>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16"/>
                <w:szCs w:val="16"/>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other income (expense), net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1,481</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Net loss before income tax expense</w:t>
            </w:r>
          </w:p>
        </w:tc>
        <w:tc>
          <w:tcPr>
            <w:tcW w:w="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3"/>
              </w:rPr>
              <w:t>(38,395)</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w w:val="84"/>
              </w:rPr>
              <w:t>(38,395</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6"/>
                <w:szCs w:val="16"/>
                <w:color w:val="auto"/>
                <w:w w:val="81"/>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0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(5.78)</w:t>
            </w:r>
          </w:p>
        </w:tc>
        <w:tc>
          <w:tcPr>
            <w:tcW w:w="54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(6.58)</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(1.99)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color w:val="auto"/>
                <w:w w:val="95"/>
              </w:rPr>
              <w:t>Weighted-average shares used in computing net loss per share,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w w:val="87"/>
              </w:rPr>
              <w:t>4,534,692</w:t>
            </w:r>
          </w:p>
        </w:tc>
        <w:tc>
          <w:tcPr>
            <w:tcW w:w="1480" w:type="dxa"/>
            <w:vAlign w:val="bottom"/>
            <w:gridSpan w:val="4"/>
          </w:tcPr>
          <w:p>
            <w:pPr>
              <w:jc w:val="right"/>
              <w:ind w:right="341"/>
              <w:spacing w:after="0"/>
              <w:rPr>
                <w:sz w:val="20"/>
                <w:szCs w:val="20"/>
                <w:color w:val="auto"/>
              </w:rPr>
            </w:pPr>
            <w:r>
              <w:rPr>
                <w:rFonts w:ascii="Arial" w:cs="Arial" w:eastAsia="Arial" w:hAnsi="Arial"/>
                <w:sz w:val="16"/>
                <w:szCs w:val="16"/>
                <w:color w:val="auto"/>
              </w:rPr>
              <w:t>5,832,594</w:t>
            </w:r>
          </w:p>
        </w:tc>
        <w:tc>
          <w:tcPr>
            <w:tcW w:w="100" w:type="dxa"/>
            <w:vAlign w:val="bottom"/>
          </w:tcPr>
          <w:p>
            <w:pPr>
              <w:spacing w:after="0"/>
              <w:rPr>
                <w:sz w:val="17"/>
                <w:szCs w:val="17"/>
                <w:color w:val="auto"/>
              </w:rPr>
            </w:pPr>
          </w:p>
        </w:tc>
        <w:tc>
          <w:tcPr>
            <w:tcW w:w="1040" w:type="dxa"/>
            <w:vAlign w:val="bottom"/>
            <w:gridSpan w:val="2"/>
          </w:tcPr>
          <w:p>
            <w:pPr>
              <w:jc w:val="right"/>
              <w:ind w:right="321"/>
              <w:spacing w:after="0"/>
              <w:rPr>
                <w:sz w:val="20"/>
                <w:szCs w:val="20"/>
                <w:color w:val="auto"/>
              </w:rPr>
            </w:pPr>
            <w:r>
              <w:rPr>
                <w:rFonts w:ascii="Arial" w:cs="Arial" w:eastAsia="Arial" w:hAnsi="Arial"/>
                <w:sz w:val="16"/>
                <w:szCs w:val="16"/>
                <w:color w:val="auto"/>
                <w:w w:val="87"/>
              </w:rPr>
              <w:t>5,351,978</w:t>
            </w:r>
          </w:p>
        </w:tc>
        <w:tc>
          <w:tcPr>
            <w:tcW w:w="100" w:type="dxa"/>
            <w:vAlign w:val="bottom"/>
          </w:tcPr>
          <w:p>
            <w:pPr>
              <w:spacing w:after="0"/>
              <w:rPr>
                <w:sz w:val="17"/>
                <w:szCs w:val="17"/>
                <w:color w:val="auto"/>
              </w:rPr>
            </w:pPr>
          </w:p>
        </w:tc>
        <w:tc>
          <w:tcPr>
            <w:tcW w:w="720" w:type="dxa"/>
            <w:vAlign w:val="bottom"/>
            <w:gridSpan w:val="2"/>
          </w:tcPr>
          <w:p>
            <w:pPr>
              <w:jc w:val="right"/>
              <w:ind w:right="1"/>
              <w:spacing w:after="0"/>
              <w:rPr>
                <w:sz w:val="20"/>
                <w:szCs w:val="20"/>
                <w:color w:val="auto"/>
              </w:rPr>
            </w:pPr>
            <w:r>
              <w:rPr>
                <w:rFonts w:ascii="Arial" w:cs="Arial" w:eastAsia="Arial" w:hAnsi="Arial"/>
                <w:sz w:val="16"/>
                <w:szCs w:val="16"/>
                <w:color w:val="auto"/>
                <w:w w:val="87"/>
              </w:rPr>
              <w:t>6,586,917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0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Pro forma net loss per share, basic and diluted</w:t>
            </w: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7"/>
              <w:spacing w:after="0" w:line="177" w:lineRule="exact"/>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7"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vMerge w:val="restart"/>
          </w:tcPr>
          <w:p>
            <w:pPr>
              <w:spacing w:after="0"/>
              <w:rPr>
                <w:sz w:val="20"/>
                <w:szCs w:val="20"/>
                <w:color w:val="auto"/>
              </w:rPr>
            </w:pPr>
            <w:r>
              <w:rPr>
                <w:rFonts w:ascii="Arial" w:cs="Arial" w:eastAsia="Arial" w:hAnsi="Arial"/>
                <w:sz w:val="16"/>
                <w:szCs w:val="16"/>
                <w:color w:val="auto"/>
                <w:w w:val="95"/>
              </w:rPr>
              <w:t>Weighted-average shares used in computing pro forma net loss per share,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5040" w:type="dxa"/>
            <w:vAlign w:val="bottom"/>
          </w:tcPr>
          <w:p>
            <w:pPr>
              <w:ind w:left="160"/>
              <w:spacing w:after="0"/>
              <w:rPr>
                <w:sz w:val="20"/>
                <w:szCs w:val="20"/>
                <w:color w:val="auto"/>
              </w:rPr>
            </w:pPr>
            <w:r>
              <w:rPr>
                <w:rFonts w:ascii="Arial" w:cs="Arial" w:eastAsia="Arial" w:hAnsi="Arial"/>
                <w:sz w:val="16"/>
                <w:szCs w:val="16"/>
                <w:color w:val="auto"/>
              </w:rPr>
              <w:t>basic and diluted</w:t>
            </w:r>
            <w:r>
              <w:rPr>
                <w:rFonts w:ascii="Arial" w:cs="Arial" w:eastAsia="Arial" w:hAnsi="Arial"/>
                <w:sz w:val="13"/>
                <w:szCs w:val="13"/>
                <w:color w:val="auto"/>
              </w:rPr>
              <w:t>(1)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Borders>
              <w:bottom w:val="single" w:sz="8" w:color="auto"/>
            </w:tcBorders>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25"/>
        </w:trPr>
        <w:tc>
          <w:tcPr>
            <w:tcW w:w="5200" w:type="dxa"/>
            <w:vAlign w:val="bottom"/>
            <w:gridSpan w:val="2"/>
          </w:tcPr>
          <w:p>
            <w:pPr>
              <w:jc w:val="right"/>
              <w:ind w:right="241"/>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175260</wp:posOffset>
            </wp:positionV>
            <wp:extent cx="6114415" cy="47739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477393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1340" w:right="20" w:hanging="367"/>
        <w:spacing w:after="0" w:line="253" w:lineRule="auto"/>
        <w:tabs>
          <w:tab w:leader="none" w:pos="1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and the three months ended March 31, 2021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184" w:lineRule="exact"/>
        <w:rPr>
          <w:sz w:val="20"/>
          <w:szCs w:val="20"/>
          <w:color w:val="auto"/>
        </w:rPr>
      </w:pPr>
    </w:p>
    <w:tbl>
      <w:tblPr>
        <w:tblLayout w:type="fixed"/>
        <w:tblInd w:w="980" w:type="dxa"/>
        <w:tblCellMar>
          <w:top w:w="0" w:type="dxa"/>
          <w:left w:w="0" w:type="dxa"/>
          <w:bottom w:w="0" w:type="dxa"/>
          <w:right w:w="0" w:type="dxa"/>
        </w:tblCellMar>
      </w:tblPr>
      <w:tr>
        <w:trPr>
          <w:trHeight w:val="150"/>
        </w:trPr>
        <w:tc>
          <w:tcPr>
            <w:tcW w:w="63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93"/>
              </w:rPr>
              <w:t>As of March 31, 2021</w:t>
            </w:r>
          </w:p>
        </w:tc>
        <w:tc>
          <w:tcPr>
            <w:tcW w:w="8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2"/>
        </w:trPr>
        <w:tc>
          <w:tcPr>
            <w:tcW w:w="6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0" w:type="dxa"/>
            <w:vAlign w:val="bottom"/>
          </w:tcPr>
          <w:p>
            <w:pPr>
              <w:ind w:left="80"/>
              <w:spacing w:after="0" w:line="102" w:lineRule="exact"/>
              <w:rPr>
                <w:sz w:val="20"/>
                <w:szCs w:val="20"/>
                <w:color w:val="auto"/>
              </w:rPr>
            </w:pPr>
            <w:r>
              <w:rPr>
                <w:rFonts w:ascii="Arial" w:cs="Arial" w:eastAsia="Arial" w:hAnsi="Arial"/>
                <w:sz w:val="10"/>
                <w:szCs w:val="10"/>
                <w:b w:val="1"/>
                <w:bCs w:val="1"/>
                <w:color w:val="auto"/>
              </w:rPr>
              <w:t>Pro Forma as</w:t>
            </w:r>
          </w:p>
        </w:tc>
        <w:tc>
          <w:tcPr>
            <w:tcW w:w="40" w:type="dxa"/>
            <w:vAlign w:val="bottom"/>
          </w:tcPr>
          <w:p>
            <w:pPr>
              <w:spacing w:after="0"/>
              <w:rPr>
                <w:sz w:val="8"/>
                <w:szCs w:val="8"/>
                <w:color w:val="auto"/>
              </w:rPr>
            </w:pPr>
          </w:p>
        </w:tc>
      </w:tr>
      <w:tr>
        <w:trPr>
          <w:trHeight w:val="150"/>
        </w:trPr>
        <w:tc>
          <w:tcPr>
            <w:tcW w:w="6340" w:type="dxa"/>
            <w:vAlign w:val="bottom"/>
          </w:tcPr>
          <w:p>
            <w:pPr>
              <w:spacing w:after="0"/>
              <w:rPr>
                <w:sz w:val="13"/>
                <w:szCs w:val="13"/>
                <w:color w:val="auto"/>
              </w:rPr>
            </w:pPr>
          </w:p>
        </w:tc>
        <w:tc>
          <w:tcPr>
            <w:tcW w:w="760" w:type="dxa"/>
            <w:vAlign w:val="bottom"/>
          </w:tcPr>
          <w:p>
            <w:pPr>
              <w:jc w:val="right"/>
              <w:ind w:right="203"/>
              <w:spacing w:after="0"/>
              <w:rPr>
                <w:sz w:val="20"/>
                <w:szCs w:val="20"/>
                <w:color w:val="auto"/>
              </w:rPr>
            </w:pPr>
            <w:r>
              <w:rPr>
                <w:rFonts w:ascii="Arial" w:cs="Arial" w:eastAsia="Arial" w:hAnsi="Arial"/>
                <w:sz w:val="13"/>
                <w:szCs w:val="13"/>
                <w:b w:val="1"/>
                <w:bCs w:val="1"/>
                <w:color w:val="auto"/>
              </w:rPr>
              <w:t>Actual</w:t>
            </w:r>
          </w:p>
        </w:tc>
        <w:tc>
          <w:tcPr>
            <w:tcW w:w="1340" w:type="dxa"/>
            <w:vAlign w:val="bottom"/>
          </w:tcPr>
          <w:p>
            <w:pPr>
              <w:ind w:left="300"/>
              <w:spacing w:after="0"/>
              <w:rPr>
                <w:sz w:val="20"/>
                <w:szCs w:val="20"/>
                <w:color w:val="auto"/>
              </w:rPr>
            </w:pPr>
            <w:r>
              <w:rPr>
                <w:rFonts w:ascii="Arial" w:cs="Arial" w:eastAsia="Arial" w:hAnsi="Arial"/>
                <w:sz w:val="13"/>
                <w:szCs w:val="13"/>
                <w:b w:val="1"/>
                <w:bCs w:val="1"/>
                <w:color w:val="auto"/>
              </w:rPr>
              <w:t>Pro Forma</w:t>
            </w:r>
            <w:r>
              <w:rPr>
                <w:rFonts w:ascii="Arial" w:cs="Arial" w:eastAsia="Arial" w:hAnsi="Arial"/>
                <w:sz w:val="10"/>
                <w:szCs w:val="10"/>
                <w:b w:val="1"/>
                <w:bCs w:val="1"/>
                <w:color w:val="auto"/>
              </w:rPr>
              <w:t>(1)</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w w:val="94"/>
              </w:rPr>
              <w:t>adjusted</w:t>
            </w:r>
            <w:r>
              <w:rPr>
                <w:rFonts w:ascii="Arial" w:cs="Arial" w:eastAsia="Arial" w:hAnsi="Arial"/>
                <w:sz w:val="10"/>
                <w:szCs w:val="10"/>
                <w:b w:val="1"/>
                <w:bCs w:val="1"/>
                <w:color w:val="auto"/>
                <w:w w:val="94"/>
              </w:rPr>
              <w:t>(2)(3)</w:t>
            </w:r>
          </w:p>
        </w:tc>
      </w:tr>
      <w:tr>
        <w:trPr>
          <w:trHeight w:val="121"/>
        </w:trPr>
        <w:tc>
          <w:tcPr>
            <w:tcW w:w="63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ind w:left="300"/>
              <w:spacing w:after="0" w:line="122" w:lineRule="exact"/>
              <w:rPr>
                <w:sz w:val="20"/>
                <w:szCs w:val="20"/>
                <w:color w:val="auto"/>
              </w:rPr>
            </w:pPr>
            <w:r>
              <w:rPr>
                <w:rFonts w:ascii="Arial" w:cs="Arial" w:eastAsia="Arial" w:hAnsi="Arial"/>
                <w:sz w:val="13"/>
                <w:szCs w:val="13"/>
                <w:b w:val="1"/>
                <w:bCs w:val="1"/>
                <w:color w:val="auto"/>
              </w:rPr>
              <w:t>(in thousands)</w:t>
            </w:r>
          </w:p>
        </w:tc>
        <w:tc>
          <w:tcPr>
            <w:tcW w:w="8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7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w w:val="86"/>
              </w:rPr>
              <w:t>$128,439</w:t>
            </w:r>
          </w:p>
        </w:tc>
        <w:tc>
          <w:tcPr>
            <w:tcW w:w="1340" w:type="dxa"/>
            <w:vAlign w:val="bottom"/>
          </w:tcPr>
          <w:p>
            <w:pPr>
              <w:ind w:left="300"/>
              <w:spacing w:after="0"/>
              <w:rPr>
                <w:sz w:val="20"/>
                <w:szCs w:val="20"/>
                <w:color w:val="auto"/>
              </w:rPr>
            </w:pPr>
            <w:r>
              <w:rPr>
                <w:rFonts w:ascii="Arial" w:cs="Arial" w:eastAsia="Arial" w:hAnsi="Arial"/>
                <w:sz w:val="16"/>
                <w:szCs w:val="16"/>
                <w:color w:val="auto"/>
              </w:rPr>
              <w:t>$</w:t>
            </w:r>
          </w:p>
        </w:tc>
        <w:tc>
          <w:tcPr>
            <w:tcW w:w="800" w:type="dxa"/>
            <w:vAlign w:val="bottom"/>
          </w:tcPr>
          <w:p>
            <w:pPr>
              <w:ind w:lef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(4)</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123,840</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Total assets</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159,757</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7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240,735</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760" w:type="dxa"/>
            <w:vAlign w:val="bottom"/>
          </w:tcPr>
          <w:p>
            <w:pPr>
              <w:jc w:val="right"/>
              <w:ind w:right="83"/>
              <w:spacing w:after="0"/>
              <w:rPr>
                <w:sz w:val="20"/>
                <w:szCs w:val="20"/>
                <w:color w:val="auto"/>
              </w:rPr>
            </w:pPr>
            <w:r>
              <w:rPr>
                <w:rFonts w:ascii="Arial" w:cs="Arial" w:eastAsia="Arial" w:hAnsi="Arial"/>
                <w:sz w:val="16"/>
                <w:szCs w:val="16"/>
                <w:color w:val="auto"/>
              </w:rPr>
              <w:t>2,053</w:t>
            </w:r>
          </w:p>
        </w:tc>
        <w:tc>
          <w:tcPr>
            <w:tcW w:w="1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(95,910)</w:t>
            </w:r>
          </w:p>
        </w:tc>
        <w:tc>
          <w:tcPr>
            <w:tcW w:w="13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0"/>
        </w:trPr>
        <w:tc>
          <w:tcPr>
            <w:tcW w:w="6340" w:type="dxa"/>
            <w:vAlign w:val="bottom"/>
          </w:tcPr>
          <w:p>
            <w:pPr>
              <w:spacing w:after="0"/>
              <w:rPr>
                <w:sz w:val="20"/>
                <w:szCs w:val="20"/>
                <w:color w:val="auto"/>
              </w:rPr>
            </w:pPr>
            <w:r>
              <w:rPr>
                <w:rFonts w:ascii="Arial" w:cs="Arial" w:eastAsia="Arial" w:hAnsi="Arial"/>
                <w:sz w:val="16"/>
                <w:szCs w:val="16"/>
                <w:color w:val="auto"/>
              </w:rPr>
              <w:t>Total stockholders’ (deficit) equity</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(93,943)</w:t>
            </w:r>
          </w:p>
        </w:tc>
        <w:tc>
          <w:tcPr>
            <w:tcW w:w="1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29" w:lineRule="exact"/>
        <w:rPr>
          <w:sz w:val="20"/>
          <w:szCs w:val="20"/>
          <w:color w:val="auto"/>
        </w:rPr>
      </w:pPr>
    </w:p>
    <w:p>
      <w:pPr>
        <w:ind w:left="1340" w:right="40" w:hanging="367"/>
        <w:spacing w:after="0" w:line="307" w:lineRule="auto"/>
        <w:tabs>
          <w:tab w:leader="none" w:pos="1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 forma balance sheet data gives effect to: (i) the automatic conversion of all outstanding shares of our convertible preferred stock into an aggregate of 156,613,818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w:t>
      </w:r>
    </w:p>
    <w:p>
      <w:pPr>
        <w:spacing w:after="0" w:line="1" w:lineRule="exact"/>
        <w:rPr>
          <w:rFonts w:ascii="Arial" w:cs="Arial" w:eastAsia="Arial" w:hAnsi="Arial"/>
          <w:sz w:val="13"/>
          <w:szCs w:val="13"/>
          <w:color w:val="auto"/>
        </w:rPr>
      </w:pPr>
    </w:p>
    <w:p>
      <w:pPr>
        <w:ind w:left="1340" w:hanging="367"/>
        <w:spacing w:after="0"/>
        <w:tabs>
          <w:tab w:leader="none" w:pos="1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pro forma as adjusted balance sheet data gives effect to: (i) the pro forma adjustments set forth in footnote (1) above; and (ii) the</w:t>
      </w:r>
    </w:p>
    <w:p>
      <w:pPr>
        <w:spacing w:after="0" w:line="16" w:lineRule="exact"/>
        <w:rPr>
          <w:sz w:val="20"/>
          <w:szCs w:val="20"/>
          <w:color w:val="auto"/>
        </w:rPr>
      </w:pPr>
    </w:p>
    <w:p>
      <w:pPr>
        <w:ind w:left="1340" w:right="40"/>
        <w:spacing w:after="0" w:line="246" w:lineRule="auto"/>
        <w:rPr>
          <w:sz w:val="20"/>
          <w:szCs w:val="20"/>
          <w:color w:val="auto"/>
        </w:rPr>
      </w:pPr>
      <w:r>
        <w:rPr>
          <w:rFonts w:ascii="Arial" w:cs="Arial" w:eastAsia="Arial" w:hAnsi="Arial"/>
          <w:sz w:val="16"/>
          <w:szCs w:val="16"/>
          <w:color w:val="auto"/>
        </w:rPr>
        <w:t>issuance and sale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ind w:left="1340" w:hanging="367"/>
        <w:spacing w:after="0"/>
        <w:tabs>
          <w:tab w:leader="none" w:pos="134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pro forma as adjusted information discussed above is illustrative only and will depend on the actual initial public offering price and other</w:t>
      </w:r>
    </w:p>
    <w:p>
      <w:pPr>
        <w:spacing w:after="0" w:line="39" w:lineRule="exact"/>
        <w:rPr>
          <w:sz w:val="20"/>
          <w:szCs w:val="20"/>
          <w:color w:val="auto"/>
        </w:rPr>
      </w:pPr>
    </w:p>
    <w:p>
      <w:pPr>
        <w:ind w:left="1340" w:right="20"/>
        <w:spacing w:after="0" w:line="302" w:lineRule="auto"/>
        <w:rPr>
          <w:sz w:val="20"/>
          <w:szCs w:val="20"/>
          <w:color w:val="auto"/>
        </w:rPr>
      </w:pPr>
      <w:r>
        <w:rPr>
          <w:rFonts w:ascii="Arial" w:cs="Arial" w:eastAsia="Arial" w:hAnsi="Arial"/>
          <w:sz w:val="13"/>
          <w:szCs w:val="13"/>
          <w:color w:val="auto"/>
        </w:rPr>
        <w:t>terms of this offering determined at pricing. Each $1.00 increase (decrease) in the assumed initial public offering price of $ per share (which is the midpoint of the estimated price range set forth on the cover page of this prospectus), would increase (decrease) each of cash and</w:t>
      </w:r>
    </w:p>
    <w:p>
      <w:pPr>
        <w:spacing w:after="0" w:line="1" w:lineRule="exact"/>
        <w:rPr>
          <w:sz w:val="20"/>
          <w:szCs w:val="20"/>
          <w:color w:val="auto"/>
        </w:rPr>
      </w:pPr>
    </w:p>
    <w:p>
      <w:pPr>
        <w:ind w:left="1340" w:right="20"/>
        <w:spacing w:after="0" w:line="831" w:lineRule="auto"/>
        <w:rPr>
          <w:sz w:val="20"/>
          <w:szCs w:val="20"/>
          <w:color w:val="auto"/>
        </w:rPr>
      </w:pPr>
      <w:r>
        <w:rPr>
          <w:rFonts w:ascii="Arial" w:cs="Arial" w:eastAsia="Arial" w:hAnsi="Arial"/>
          <w:sz w:val="13"/>
          <w:szCs w:val="13"/>
          <w:color w:val="auto"/>
        </w:rPr>
        <w:t>cash equivalents, working capital, total assets, additional paid-in capital and total stockholders’ (deficit) equity by $ million, assuming that the number of shares of common stock offered by us, as set forth on the cover page of this prospectus, remains the same, and after deducting underwriting discounts and commissions and estimated offering expenses payable by us. Similarly, each increase (decrease) of 1,000,000 shares in the number of shares of common stock offered by us would increase (decrease) each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340" w:right="320"/>
        <w:spacing w:after="0" w:line="251" w:lineRule="auto"/>
        <w:rPr>
          <w:sz w:val="20"/>
          <w:szCs w:val="20"/>
          <w:color w:val="auto"/>
        </w:rPr>
      </w:pPr>
      <w:r>
        <w:rPr>
          <w:rFonts w:ascii="Arial" w:cs="Arial" w:eastAsia="Arial" w:hAnsi="Arial"/>
          <w:sz w:val="16"/>
          <w:szCs w:val="16"/>
          <w:color w:val="auto"/>
        </w:rPr>
        <w:t>working capital, total assets, additional paid-in capital and total stockholders’ (deficit) equity by $ million, assuming the assumed initial public offering price of $ per share remains the same, and after deducting underwriting discounts and commissions and estimated offering expenses payable by us.</w:t>
      </w:r>
    </w:p>
    <w:p>
      <w:pPr>
        <w:ind w:left="1340" w:right="220" w:hanging="367"/>
        <w:spacing w:after="0" w:line="252" w:lineRule="auto"/>
        <w:tabs>
          <w:tab w:leader="none" w:pos="1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See our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260"/>
          </w:cols>
          <w:pgMar w:left="320" w:top="418" w:right="131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RISK FACTORS</w:t>
      </w:r>
    </w:p>
    <w:p>
      <w:pPr>
        <w:spacing w:after="0" w:line="197"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as well as the other information in this prospectus, including our audited financial statements and the related notes included elsewhere in this prospectus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Financial Position, Need for Additional Capital and Limited Operating History</w:t>
      </w:r>
    </w:p>
    <w:p>
      <w:pPr>
        <w:spacing w:after="0" w:line="197" w:lineRule="exact"/>
        <w:rPr>
          <w:sz w:val="20"/>
          <w:szCs w:val="20"/>
          <w:color w:val="auto"/>
        </w:rPr>
      </w:pPr>
    </w:p>
    <w:p>
      <w:pPr>
        <w:ind w:left="1200" w:right="280"/>
        <w:spacing w:after="0" w:line="256" w:lineRule="auto"/>
        <w:rPr>
          <w:sz w:val="20"/>
          <w:szCs w:val="20"/>
          <w:color w:val="auto"/>
        </w:rPr>
      </w:pPr>
      <w:r>
        <w:rPr>
          <w:rFonts w:ascii="Arial" w:cs="Arial" w:eastAsia="Arial" w:hAnsi="Arial"/>
          <w:sz w:val="16"/>
          <w:szCs w:val="16"/>
          <w:b w:val="1"/>
          <w:bCs w:val="1"/>
          <w:i w:val="1"/>
          <w:iCs w:val="1"/>
          <w:color w:val="auto"/>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71" w:lineRule="exact"/>
        <w:rPr>
          <w:sz w:val="20"/>
          <w:szCs w:val="20"/>
          <w:color w:val="auto"/>
        </w:rPr>
      </w:pPr>
    </w:p>
    <w:p>
      <w:pPr>
        <w:ind w:left="820" w:right="140" w:firstLine="385"/>
        <w:spacing w:after="0" w:line="267" w:lineRule="auto"/>
        <w:rPr>
          <w:sz w:val="20"/>
          <w:szCs w:val="20"/>
          <w:color w:val="auto"/>
        </w:rPr>
      </w:pPr>
      <w:r>
        <w:rPr>
          <w:rFonts w:ascii="Arial" w:cs="Arial" w:eastAsia="Arial" w:hAnsi="Arial"/>
          <w:sz w:val="15"/>
          <w:szCs w:val="15"/>
          <w:color w:val="auto"/>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16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have not yet demonstrated our ability to successfully initiate and complete any clinical trials, obtain marketing approvals, manufacture a clinical- 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167"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64" w:lineRule="exact"/>
        <w:rPr>
          <w:sz w:val="20"/>
          <w:szCs w:val="20"/>
          <w:color w:val="auto"/>
        </w:rPr>
      </w:pPr>
    </w:p>
    <w:p>
      <w:pPr>
        <w:ind w:left="1200" w:right="160"/>
        <w:spacing w:after="0" w:line="266" w:lineRule="auto"/>
        <w:rPr>
          <w:sz w:val="20"/>
          <w:szCs w:val="20"/>
          <w:color w:val="auto"/>
        </w:rPr>
      </w:pPr>
      <w:r>
        <w:rPr>
          <w:rFonts w:ascii="Arial" w:cs="Arial" w:eastAsia="Arial" w:hAnsi="Arial"/>
          <w:sz w:val="16"/>
          <w:szCs w:val="16"/>
          <w:b w:val="1"/>
          <w:bCs w:val="1"/>
          <w:i w:val="1"/>
          <w:iCs w:val="1"/>
          <w:color w:val="auto"/>
        </w:rPr>
        <w:t>We have not generated any product revenue to date, have incurred significant net losses since our inception, and expect to continue to incur significant net losses for the foreseeable future.</w:t>
      </w:r>
    </w:p>
    <w:p>
      <w:pPr>
        <w:spacing w:after="0" w:line="64" w:lineRule="exact"/>
        <w:rPr>
          <w:sz w:val="20"/>
          <w:szCs w:val="20"/>
          <w:color w:val="auto"/>
        </w:rPr>
      </w:pPr>
    </w:p>
    <w:p>
      <w:pPr>
        <w:ind w:left="820" w:right="100" w:firstLine="385"/>
        <w:spacing w:after="0" w:line="272" w:lineRule="auto"/>
        <w:rPr>
          <w:sz w:val="20"/>
          <w:szCs w:val="20"/>
          <w:color w:val="auto"/>
        </w:rPr>
      </w:pPr>
      <w:r>
        <w:rPr>
          <w:rFonts w:ascii="Arial" w:cs="Arial" w:eastAsia="Arial" w:hAnsi="Arial"/>
          <w:sz w:val="15"/>
          <w:szCs w:val="15"/>
          <w:color w:val="auto"/>
        </w:rPr>
        <w:t>We have incurred significant net losses since our inception, have not generated any product revenue to date and have financed our operations through private placements of our convertible preferred stock. Our net loss was $38.4 million for the year ended December 31, 2020 and $13.1 million for the three months ended March 31, 2021. As of March 31, 2021, we had an accumulated deficit of $95.9 million. Substantially all of our losses have resulted from expenses incurred in connection with our research and development programs and from general and administrative costs associated with our operations. We are still in the early stages of development of our</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400"/>
          </w:cols>
          <w:pgMar w:left="320" w:top="418" w:right="117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323" w:lineRule="auto"/>
        <w:rPr>
          <w:sz w:val="20"/>
          <w:szCs w:val="20"/>
          <w:color w:val="auto"/>
        </w:rPr>
      </w:pPr>
      <w:r>
        <w:rPr>
          <w:rFonts w:ascii="Arial" w:cs="Arial" w:eastAsia="Arial" w:hAnsi="Arial"/>
          <w:sz w:val="13"/>
          <w:szCs w:val="13"/>
          <w:color w:val="auto"/>
        </w:rPr>
        <w:t>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26"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65" w:lineRule="exact"/>
        <w:rPr>
          <w:sz w:val="20"/>
          <w:szCs w:val="20"/>
          <w:color w:val="auto"/>
        </w:rPr>
      </w:pPr>
    </w:p>
    <w:p>
      <w:pPr>
        <w:ind w:left="1200" w:right="480"/>
        <w:spacing w:after="0" w:line="266" w:lineRule="auto"/>
        <w:rPr>
          <w:sz w:val="20"/>
          <w:szCs w:val="20"/>
          <w:color w:val="auto"/>
        </w:rPr>
      </w:pPr>
      <w:r>
        <w:rPr>
          <w:rFonts w:ascii="Arial" w:cs="Arial" w:eastAsia="Arial" w:hAnsi="Arial"/>
          <w:sz w:val="16"/>
          <w:szCs w:val="16"/>
          <w:b w:val="1"/>
          <w:bCs w:val="1"/>
          <w:i w:val="1"/>
          <w:iCs w:val="1"/>
          <w:color w:val="auto"/>
        </w:rPr>
        <w:t>Our ability to generate revenue and achieve profitability depends significantly on our ability to achieve several objectives relating to the discovery, development and commercialization of our product candidates, if approved.</w:t>
      </w:r>
    </w:p>
    <w:p>
      <w:pPr>
        <w:spacing w:after="0" w:line="64"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85" w:lineRule="exact"/>
        <w:rPr>
          <w:sz w:val="20"/>
          <w:szCs w:val="20"/>
          <w:color w:val="auto"/>
        </w:rPr>
      </w:pPr>
    </w:p>
    <w:p>
      <w:pPr>
        <w:ind w:left="1660" w:right="500" w:hanging="469"/>
        <w:spacing w:after="0" w:line="300" w:lineRule="auto"/>
        <w:tabs>
          <w:tab w:leader="none" w:pos="16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obtaining regulatory approval to commence clinical trials of our product candidates;</w:t>
      </w:r>
    </w:p>
    <w:p>
      <w:pPr>
        <w:spacing w:after="0" w:line="110"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maintaining relationships with contract research organizations (CROs) and clinical sites for the clinical development of our product candidates and any other future product candidates;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initiation and successful patient enrollment and completion of clinical trials on a timely basis;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acceptable frequency and severity of adverse events in the clinical trials;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efficacy and safety profiles that are satisfactory to the U.S. Food and Drug Administration (FDA) or any comparable foreign regulatory authority for marketing approval;</w:t>
      </w:r>
    </w:p>
    <w:p>
      <w:pPr>
        <w:spacing w:after="0" w:line="75"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timely receipt of marketing approvals from applicable regulatory authorities for any product candidates for which we successfully complete clinical development;</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complying with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operating a manufacturing facility and developing an efficient and scalable manufacturing process for our product candidates;</w:t>
      </w:r>
    </w:p>
    <w:p>
      <w:pPr>
        <w:spacing w:after="0" w:line="75" w:lineRule="exact"/>
        <w:rPr>
          <w:rFonts w:ascii="Arial" w:cs="Arial" w:eastAsia="Arial" w:hAnsi="Arial"/>
          <w:sz w:val="16"/>
          <w:szCs w:val="16"/>
          <w:color w:val="auto"/>
        </w:rPr>
      </w:pPr>
    </w:p>
    <w:p>
      <w:pPr>
        <w:ind w:left="1660" w:right="60" w:hanging="469"/>
        <w:spacing w:after="0" w:line="256" w:lineRule="auto"/>
        <w:tabs>
          <w:tab w:leader="none" w:pos="1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420"/>
          </w:cols>
          <w:pgMar w:left="320" w:top="418" w:right="11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40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 commercial launch following any marketing approval, including the development of a commercial infrastructure, whether in-house or with one or more collaborators;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successful outputs from our capsid engineering and promotor and regulator elements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continued acceptable safety profile following any marketing approval of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commercial acceptance of our product candidates by patients, the medical community and third-party payors;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satisfying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identifying, assessing and developing new product candidates;</w:t>
      </w:r>
    </w:p>
    <w:p>
      <w:pPr>
        <w:spacing w:after="0" w:line="110"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maintaining, and expanding patent and other intellectual property protection, trade secret protection and regulatory exclusivity, both in the United States and internationally;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protecting and enforcing our rights in our intellectual property portfolio;</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defending against third-party infringement, misappropriation, or other claims, if any;</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entering into, on favorable terms, any collaboration, licensing or other arrangements that may be necessary or desirable to develop, manufacture or commercialize our product candidates;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coverage and adequate reimbursement by third-party payors for our products and patients’ willingness to pay in the absence of such coverage and adequate reimbursement;</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additional funding to develop, manufacture and commercialize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addressing any competing therapies and technological and market developments;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managing costs, including any unforeseen costs, that we may incur as a result of nonclinical study or clinical trial delays due to COVID-19 or other causes;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attracting, hiring and retaining qualified personnel including clinical, scientific, management and administrative personnel.</w:t>
      </w:r>
    </w:p>
    <w:p>
      <w:pPr>
        <w:spacing w:after="0" w:line="193"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53" w:lineRule="exact"/>
        <w:rPr>
          <w:sz w:val="20"/>
          <w:szCs w:val="20"/>
          <w:color w:val="auto"/>
        </w:rPr>
      </w:pPr>
    </w:p>
    <w:p>
      <w:pPr>
        <w:ind w:left="820" w:right="360" w:firstLine="385"/>
        <w:spacing w:after="0" w:line="256" w:lineRule="auto"/>
        <w:rPr>
          <w:sz w:val="20"/>
          <w:szCs w:val="20"/>
          <w:color w:val="auto"/>
        </w:rPr>
      </w:pPr>
      <w:r>
        <w:rPr>
          <w:rFonts w:ascii="Arial" w:cs="Arial" w:eastAsia="Arial" w:hAnsi="Arial"/>
          <w:sz w:val="16"/>
          <w:szCs w:val="16"/>
          <w:color w:val="auto"/>
        </w:rPr>
        <w:t>We may also experience delays in establishing our manufacturing facility, developing a sustainable, reproducible and scalable manufacturing process or transferring that process to commercial partners, which may prevent us from initiating and completing our planned clinical trials or commercializing our product candidates on a timely or profitable basis, if at all.</w:t>
      </w:r>
    </w:p>
    <w:p>
      <w:pPr>
        <w:spacing w:after="0" w:line="260" w:lineRule="exact"/>
        <w:rPr>
          <w:sz w:val="20"/>
          <w:szCs w:val="20"/>
          <w:color w:val="auto"/>
        </w:rPr>
      </w:pPr>
    </w:p>
    <w:p>
      <w:pPr>
        <w:jc w:val="both"/>
        <w:ind w:left="1200" w:right="440"/>
        <w:spacing w:after="0" w:line="256" w:lineRule="auto"/>
        <w:rPr>
          <w:sz w:val="20"/>
          <w:szCs w:val="20"/>
          <w:color w:val="auto"/>
        </w:rPr>
      </w:pPr>
      <w:r>
        <w:rPr>
          <w:rFonts w:ascii="Arial" w:cs="Arial" w:eastAsia="Arial" w:hAnsi="Arial"/>
          <w:sz w:val="16"/>
          <w:szCs w:val="16"/>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March 31, 2021, we had $128.4 million in cash and cash equivalents. Based on our current operating plan, we believe that the net proceeds</w:t>
      </w:r>
    </w:p>
    <w:p>
      <w:pPr>
        <w:spacing w:after="0" w:line="51"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from this offering, together with our existing cash and cash equivalents, will be sufficient to fund our operations .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420"/>
          </w:cols>
          <w:pgMar w:left="320" w:top="418" w:right="115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programs as well as develop our proprietary drug discovery platforms.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Following this offering, we also expect to incur additional costs associated with operating as a public company. Accordingly, we will need to obtain substantial additional funding in order to continue our operations.</w:t>
      </w:r>
    </w:p>
    <w:p>
      <w:pPr>
        <w:spacing w:after="0" w:line="3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future capital requirements will depend on may factors, including, but not limited to:</w:t>
      </w:r>
    </w:p>
    <w:p>
      <w:pPr>
        <w:spacing w:after="0" w:line="111" w:lineRule="exact"/>
        <w:rPr>
          <w:sz w:val="20"/>
          <w:szCs w:val="20"/>
          <w:color w:val="auto"/>
        </w:rPr>
      </w:pPr>
    </w:p>
    <w:p>
      <w:pPr>
        <w:ind w:left="16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developing and testing our product candidates including conducting preclinical studies and clinical trials;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product candidates or any future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number and characteristics of other product candidates that we pursue or acquire;</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establishing and operating our own manufacturing facility;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manufacturing commercial-grade products and sufficient inventory to support commercial launch;</w:t>
      </w:r>
    </w:p>
    <w:p>
      <w:pPr>
        <w:spacing w:after="0" w:line="110"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commercialization activities, include the cost of building a sales force in anticipation of product commercialization and distribution costs;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revenue, if any, received from commercial sale of our products, should any of our product candidates receive marketing approval;</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and timing of hiring new employees to support our continued growth;</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protecting and enforcing our intellectual property rights and defending intellectual property-related claims;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effect of competing products that may limit market penetration of our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ability to establish and maintain collaborations on favorable terms, if at all;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acquire or in-license other product candidates and technologies;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timing, receipt and amount of sales of, or milestone payments related to or royalties on, our current or future product candidates, if any;</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compliance and administrative costs associated with being a public company; and</w:t>
      </w:r>
    </w:p>
    <w:p>
      <w:pPr>
        <w:spacing w:after="0" w:line="110" w:lineRule="exact"/>
        <w:rPr>
          <w:rFonts w:ascii="Arial" w:cs="Arial" w:eastAsia="Arial" w:hAnsi="Arial"/>
          <w:sz w:val="16"/>
          <w:szCs w:val="16"/>
          <w:color w:val="auto"/>
        </w:rPr>
      </w:pPr>
    </w:p>
    <w:p>
      <w:pPr>
        <w:ind w:left="1660" w:right="660" w:hanging="469"/>
        <w:spacing w:after="0" w:line="266" w:lineRule="auto"/>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extent to which we acquire or invest in businesses, products, or technologies, although we currently have no commitments or agreements relating to any of these types of transactions.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420"/>
          </w:cols>
          <w:pgMar w:left="320" w:top="418" w:right="11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171"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We currently plan to use the net proceeds from this offering, together with our existing resources, as described in the section titled “Use of Proceeds.” Advancing the development of our programs will require a significant amount of capital. The net proceeds from this offering, together with our cash and cash equivalents, will not be sufficient for us to fund any of our product candidates through regulatory approval, and we will need to raise additional capital to complete the development and commercialization of our product candidates.</w:t>
      </w:r>
    </w:p>
    <w:p>
      <w:pPr>
        <w:spacing w:after="0" w:line="153"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Our operations and financial results could be adversely impacted by the COVID-19 pandemic in the United States and the rest of the world.</w:t>
      </w:r>
    </w:p>
    <w:p>
      <w:pPr>
        <w:spacing w:after="0" w:line="133" w:lineRule="exact"/>
        <w:rPr>
          <w:sz w:val="20"/>
          <w:szCs w:val="20"/>
          <w:color w:val="auto"/>
        </w:rPr>
      </w:pPr>
    </w:p>
    <w:p>
      <w:pPr>
        <w:ind w:left="820" w:right="180" w:firstLine="385"/>
        <w:spacing w:after="0" w:line="249" w:lineRule="auto"/>
        <w:rPr>
          <w:sz w:val="20"/>
          <w:szCs w:val="20"/>
          <w:color w:val="auto"/>
        </w:rPr>
      </w:pPr>
      <w:r>
        <w:rPr>
          <w:rFonts w:ascii="Arial" w:cs="Arial" w:eastAsia="Arial" w:hAnsi="Arial"/>
          <w:sz w:val="16"/>
          <w:szCs w:val="16"/>
          <w:color w:val="auto"/>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that could severely impact our business, including:</w:t>
      </w:r>
    </w:p>
    <w:p>
      <w:pPr>
        <w:spacing w:after="0" w:line="90" w:lineRule="exact"/>
        <w:rPr>
          <w:sz w:val="20"/>
          <w:szCs w:val="20"/>
          <w:color w:val="auto"/>
        </w:rPr>
      </w:pPr>
    </w:p>
    <w:p>
      <w:pPr>
        <w:ind w:left="1660" w:right="36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interruptions, difficulties or delays arising in our existing operations and company culture as a result of all of our employees working remotely, including those hired during the COVID-19 pandemic;</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the build out of our manufacturing facility;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in receiving approval from local regulatory authorities to initiate our planned clinical trials;</w:t>
      </w:r>
    </w:p>
    <w:p>
      <w:pPr>
        <w:spacing w:after="0" w:line="110"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enrolling and retaining patients in clinical trials and incurrence of additional costs as a result of preclinical study and clinical trial delays and adjustments;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challenges related to ongoing and increased operational expenses related to the COVID-19 pandemic;</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or difficulties in clinical site initiation, including difficulties in recruiting clinical site investigators and clinical site staff;</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difficulties or increased costs to comply with COVID-19 protocols at our leased facilities and clinical sites;</w:t>
      </w:r>
    </w:p>
    <w:p>
      <w:pPr>
        <w:spacing w:after="0" w:line="110" w:lineRule="exact"/>
        <w:rPr>
          <w:rFonts w:ascii="Arial" w:cs="Arial" w:eastAsia="Arial" w:hAnsi="Arial"/>
          <w:sz w:val="16"/>
          <w:szCs w:val="16"/>
          <w:color w:val="auto"/>
        </w:rPr>
      </w:pPr>
    </w:p>
    <w:p>
      <w:pPr>
        <w:ind w:left="1660" w:right="460" w:hanging="469"/>
        <w:spacing w:after="0" w:line="266"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diversion of healthcare resources away from the conduct of clinical trials, including the diversion of hospitals that may serve as our potential clinical trial sites and hospital staff supporting the conduct of clinical trials;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380"/>
          </w:cols>
          <w:pgMar w:left="320" w:top="418" w:right="119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6"/>
          <w:szCs w:val="16"/>
          <w:color w:val="auto"/>
        </w:rPr>
      </w:pPr>
    </w:p>
    <w:p>
      <w:pPr>
        <w:jc w:val="both"/>
        <w:ind w:left="1660" w:right="60" w:hanging="469"/>
        <w:spacing w:after="0" w:line="25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preclinical and clinical sites receiving the supplies and materials needed to conduct our planned clinical trials;</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interruption in global shipping that may affect the transport of clinical trial materials, such as investigational drug product to be used in our clinical trials;</w:t>
      </w:r>
    </w:p>
    <w:p>
      <w:pPr>
        <w:spacing w:after="0" w:line="75" w:lineRule="exact"/>
        <w:rPr>
          <w:rFonts w:ascii="Arial" w:cs="Arial" w:eastAsia="Arial" w:hAnsi="Arial"/>
          <w:sz w:val="16"/>
          <w:szCs w:val="16"/>
          <w:color w:val="auto"/>
        </w:rPr>
      </w:pPr>
    </w:p>
    <w:p>
      <w:pPr>
        <w:ind w:left="1660" w:right="300" w:hanging="469"/>
        <w:spacing w:after="0" w:line="300" w:lineRule="auto"/>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52" w:lineRule="exact"/>
        <w:rPr>
          <w:rFonts w:ascii="Arial" w:cs="Arial" w:eastAsia="Arial" w:hAnsi="Arial"/>
          <w:sz w:val="15"/>
          <w:szCs w:val="15"/>
          <w:color w:val="auto"/>
        </w:rPr>
      </w:pPr>
    </w:p>
    <w:p>
      <w:pPr>
        <w:ind w:left="1660" w:right="440" w:hanging="469"/>
        <w:spacing w:after="0" w:line="266"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necessary interactions with regulators, ethics committees and other important agencies and contractors due to limitations in employee resources or forced furlough of government or contractor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refusal of the FDA to accept data from clinical trials in affected geographies outside the United States;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increased competition for CROs, contract development and manufacturing organizations (CDMOs), suppliers and vendors; and</w:t>
      </w:r>
    </w:p>
    <w:p>
      <w:pPr>
        <w:spacing w:after="0" w:line="122" w:lineRule="exact"/>
        <w:rPr>
          <w:rFonts w:ascii="Arial" w:cs="Arial" w:eastAsia="Arial" w:hAnsi="Arial"/>
          <w:sz w:val="15"/>
          <w:szCs w:val="15"/>
          <w:color w:val="auto"/>
        </w:rPr>
      </w:pPr>
    </w:p>
    <w:p>
      <w:pPr>
        <w:ind w:left="1660" w:right="220" w:hanging="469"/>
        <w:spacing w:after="0" w:line="383" w:lineRule="auto"/>
        <w:tabs>
          <w:tab w:leader="none" w:pos="1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89"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We will continue to assess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16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322" w:lineRule="exact"/>
        <w:rPr>
          <w:sz w:val="20"/>
          <w:szCs w:val="20"/>
          <w:color w:val="auto"/>
        </w:rPr>
      </w:pPr>
    </w:p>
    <w:p>
      <w:pPr>
        <w:jc w:val="both"/>
        <w:ind w:left="820" w:right="160" w:firstLine="385"/>
        <w:spacing w:after="0" w:line="275" w:lineRule="auto"/>
        <w:rPr>
          <w:sz w:val="20"/>
          <w:szCs w:val="20"/>
          <w:color w:val="auto"/>
        </w:rPr>
      </w:pPr>
      <w:r>
        <w:rPr>
          <w:rFonts w:ascii="Arial" w:cs="Arial" w:eastAsia="Arial" w:hAnsi="Arial"/>
          <w:sz w:val="15"/>
          <w:szCs w:val="15"/>
          <w:color w:val="auto"/>
        </w:rPr>
        <w:t>Three vaccines for COVID-19 have been granted Emergency Use Authorization by the FDA, and more are likely to be authorized in the coming months. The resultant demand for vaccines and potential for manufacturing facilities and materials to be commandeered under the Defense Production Act of 1950, or equivalent foreign legislation, has made it more difficult to obtain materials and manufacturing slots for our product candidates needed for our preclinical studies and clinical trials, which could lead to delays in these studies and trials.</w:t>
      </w:r>
    </w:p>
    <w:p>
      <w:pPr>
        <w:spacing w:after="0" w:line="15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The global outbreak of COVID-19 continues to rapidly evolve. The extent to which the COVID-19 pandemic impacts our business will depend on future developments such as the rate of the spread of the disease, travel restrictions and social distancing in the United States and other countries, business closures or business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440"/>
          </w:cols>
          <w:pgMar w:left="320" w:top="418" w:right="11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70" w:lineRule="auto"/>
        <w:rPr>
          <w:sz w:val="20"/>
          <w:szCs w:val="20"/>
          <w:color w:val="auto"/>
        </w:rPr>
      </w:pPr>
      <w:r>
        <w:rPr>
          <w:rFonts w:ascii="Arial" w:cs="Arial" w:eastAsia="Arial" w:hAnsi="Arial"/>
          <w:sz w:val="15"/>
          <w:szCs w:val="15"/>
          <w:color w:val="auto"/>
        </w:rPr>
        <w:t>disruptions, supply of and demand for vaccines, and the effectiveness of actions taken in the United States and other countries to contain and treat the disease and to address its impact, including on financial markets or otherwise. Further, a lack of coordinated response on risk mitigation and vaccination deployment with respect to the COVID-19 pandemic could result in significant increases to the duration and severity of the pandemic and could have a corresponding negative impact on our business. 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56"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To the extent the COVID-19 pandemic adversely affects our business, financial condition and operating results, it may also have the effect of heightening many of the risks described in this “Risk Factors” section.</w:t>
      </w:r>
    </w:p>
    <w:p>
      <w:pPr>
        <w:spacing w:after="0" w:line="252" w:lineRule="exact"/>
        <w:rPr>
          <w:sz w:val="20"/>
          <w:szCs w:val="20"/>
          <w:color w:val="auto"/>
        </w:rPr>
      </w:pPr>
    </w:p>
    <w:p>
      <w:pPr>
        <w:ind w:left="1200" w:right="380"/>
        <w:spacing w:after="0" w:line="266" w:lineRule="auto"/>
        <w:rPr>
          <w:sz w:val="20"/>
          <w:szCs w:val="20"/>
          <w:color w:val="auto"/>
        </w:rPr>
      </w:pPr>
      <w:r>
        <w:rPr>
          <w:rFonts w:ascii="Arial" w:cs="Arial" w:eastAsia="Arial" w:hAnsi="Arial"/>
          <w:sz w:val="16"/>
          <w:szCs w:val="16"/>
          <w:b w:val="1"/>
          <w:bCs w:val="1"/>
          <w:i w:val="1"/>
          <w:iCs w:val="1"/>
          <w:color w:val="auto"/>
        </w:rPr>
        <w:t>Raising additional capital will cause dilution to our stockholders, including purchasers of our common stock in this offering, restrict our operations or require us to relinquish rights to our technologies or product candidates.</w:t>
      </w:r>
    </w:p>
    <w:p>
      <w:pPr>
        <w:spacing w:after="0" w:line="64"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322" w:lineRule="exact"/>
        <w:rPr>
          <w:sz w:val="20"/>
          <w:szCs w:val="20"/>
          <w:color w:val="auto"/>
        </w:rPr>
      </w:pPr>
    </w:p>
    <w:p>
      <w:pPr>
        <w:ind w:left="820" w:right="40" w:firstLine="385"/>
        <w:spacing w:after="0" w:line="323" w:lineRule="auto"/>
        <w:rPr>
          <w:sz w:val="20"/>
          <w:szCs w:val="20"/>
          <w:color w:val="auto"/>
        </w:rPr>
      </w:pPr>
      <w:r>
        <w:rPr>
          <w:rFonts w:ascii="Arial" w:cs="Arial" w:eastAsia="Arial" w:hAnsi="Arial"/>
          <w:sz w:val="13"/>
          <w:szCs w:val="13"/>
          <w:color w:val="auto"/>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Our ability to utilize our net operating loss carryforwards and certain other tax attributes to offset future taxable income may be limited.</w:t>
      </w:r>
    </w:p>
    <w:p>
      <w:pPr>
        <w:spacing w:after="0" w:line="133" w:lineRule="exact"/>
        <w:rPr>
          <w:sz w:val="20"/>
          <w:szCs w:val="20"/>
          <w:color w:val="auto"/>
        </w:rPr>
      </w:pPr>
    </w:p>
    <w:p>
      <w:pPr>
        <w:ind w:left="820" w:right="60" w:firstLine="385"/>
        <w:spacing w:after="0" w:line="306" w:lineRule="auto"/>
        <w:rPr>
          <w:sz w:val="20"/>
          <w:szCs w:val="20"/>
          <w:color w:val="auto"/>
        </w:rPr>
      </w:pPr>
      <w:r>
        <w:rPr>
          <w:rFonts w:ascii="Arial" w:cs="Arial" w:eastAsia="Arial" w:hAnsi="Arial"/>
          <w:sz w:val="13"/>
          <w:szCs w:val="13"/>
          <w:color w:val="auto"/>
        </w:rPr>
        <w:t>Our net operating loss (NOL) carryforwards may be unavailable to offset future taxable income because of restrictions under U.S. tax law. Our NOLs generated in tax years ending on or prior to December 31, 2017 are only permitted to be carried forward for 20 taxable years under applicable U.S. federal tax law, and therefore could expire unused. Under tax legislation commonly referred to as the Tax Cuts and Jobs Act (Tax Act) as amended by the Coronavirus Aid, Relief, and Economic Security Act (CARES Act), our federal NOLs generated in tax years beginning after December 31, 2017 may be carried forward indefinitely, but for taxable years beginning after December 31, 2020, the deductibility of federal NOLs generated in</w:t>
      </w:r>
    </w:p>
    <w:p>
      <w:pPr>
        <w:spacing w:after="0" w:line="2" w:lineRule="exact"/>
        <w:rPr>
          <w:sz w:val="20"/>
          <w:szCs w:val="20"/>
          <w:color w:val="auto"/>
        </w:rPr>
      </w:pPr>
    </w:p>
    <w:p>
      <w:pPr>
        <w:jc w:val="both"/>
        <w:ind w:left="820"/>
        <w:spacing w:after="0" w:line="249" w:lineRule="auto"/>
        <w:rPr>
          <w:sz w:val="20"/>
          <w:szCs w:val="20"/>
          <w:color w:val="auto"/>
        </w:rPr>
      </w:pPr>
      <w:r>
        <w:rPr>
          <w:rFonts w:ascii="Arial" w:cs="Arial" w:eastAsia="Arial" w:hAnsi="Arial"/>
          <w:sz w:val="16"/>
          <w:szCs w:val="16"/>
          <w:color w:val="auto"/>
        </w:rPr>
        <w:t>tax years beginning after December 31, 2017 is limited to 80% of our current year taxable income. It is uncertain if and to what extent various states will conform to the Tax Act. As of December 31, 2020, we had available federal NOL carry forwards of approximately $78.5 million, of which $75.4 million do not expire.</w:t>
      </w:r>
    </w:p>
    <w:p>
      <w:pPr>
        <w:spacing w:after="0" w:line="171" w:lineRule="exact"/>
        <w:rPr>
          <w:sz w:val="20"/>
          <w:szCs w:val="20"/>
          <w:color w:val="auto"/>
        </w:rPr>
      </w:pPr>
    </w:p>
    <w:p>
      <w:pPr>
        <w:ind w:left="820" w:right="320" w:firstLine="385"/>
        <w:spacing w:after="0" w:line="266" w:lineRule="auto"/>
        <w:rPr>
          <w:sz w:val="20"/>
          <w:szCs w:val="20"/>
          <w:color w:val="auto"/>
        </w:rPr>
      </w:pPr>
      <w:r>
        <w:rPr>
          <w:rFonts w:ascii="Arial" w:cs="Arial" w:eastAsia="Arial" w:hAnsi="Arial"/>
          <w:sz w:val="16"/>
          <w:szCs w:val="16"/>
          <w:color w:val="auto"/>
        </w:rPr>
        <w:t>In addition, under Sections 382 and 383 of the Internal Revenue Code of 1986, as amended (Code), if a corporation undergoes an “ownership change” (generally defined as a cumulative change in the corporation’s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0420"/>
          </w:cols>
          <w:pgMar w:left="320" w:top="418" w:right="11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5" w:lineRule="auto"/>
        <w:rPr>
          <w:sz w:val="20"/>
          <w:szCs w:val="20"/>
          <w:color w:val="auto"/>
        </w:rPr>
      </w:pPr>
      <w:r>
        <w:rPr>
          <w:rFonts w:ascii="Arial" w:cs="Arial" w:eastAsia="Arial" w:hAnsi="Arial"/>
          <w:sz w:val="13"/>
          <w:szCs w:val="13"/>
          <w:color w:val="auto"/>
        </w:rPr>
        <w:t>ownership by “5-percent shareholders” that exceeds 50 percentage points over a rolling three-year period), the corporation’s ability to use its pre-change NOLs and certain other pre-change tax attributes to offset its post-change taxable income may be limited. Similar rules may apply under state tax laws. We have experienced such ownership changes in the past, and we may experience ownership changes in the future as a result of this offering or subsequent shifts in our stock ownership, some of which are outside our control. As of December 31, 2020, a formal study was conducted and concluded that we experienced an ownership change during 2020. As a result, we have removed $3.1 million of deferred tax assets related to NOLs and research tax credit carryforwards due to Section 382 limitations.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200" w:lineRule="exact"/>
        <w:rPr>
          <w:sz w:val="20"/>
          <w:szCs w:val="20"/>
          <w:color w:val="auto"/>
        </w:rPr>
      </w:pPr>
    </w:p>
    <w:p>
      <w:pPr>
        <w:spacing w:after="0" w:line="21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the Discovery, Development, Manufacturing and Commercialization of Our Product Candidates</w:t>
      </w:r>
    </w:p>
    <w:p>
      <w:pPr>
        <w:spacing w:after="0" w:line="197" w:lineRule="exact"/>
        <w:rPr>
          <w:sz w:val="20"/>
          <w:szCs w:val="20"/>
          <w:color w:val="auto"/>
        </w:rPr>
      </w:pPr>
    </w:p>
    <w:p>
      <w:pPr>
        <w:jc w:val="both"/>
        <w:ind w:left="1200" w:right="320"/>
        <w:spacing w:after="0" w:line="343" w:lineRule="auto"/>
        <w:rPr>
          <w:sz w:val="20"/>
          <w:szCs w:val="20"/>
          <w:color w:val="auto"/>
        </w:rPr>
      </w:pPr>
      <w:r>
        <w:rPr>
          <w:rFonts w:ascii="Arial" w:cs="Arial" w:eastAsia="Arial" w:hAnsi="Arial"/>
          <w:sz w:val="13"/>
          <w:szCs w:val="13"/>
          <w:b w:val="1"/>
          <w:bCs w:val="1"/>
          <w:i w:val="1"/>
          <w:iCs w:val="1"/>
          <w:color w:val="auto"/>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19" w:lineRule="exact"/>
        <w:rPr>
          <w:sz w:val="20"/>
          <w:szCs w:val="20"/>
          <w:color w:val="auto"/>
        </w:rPr>
      </w:pPr>
    </w:p>
    <w:p>
      <w:pPr>
        <w:ind w:left="820" w:right="200" w:firstLine="385"/>
        <w:spacing w:after="0" w:line="316" w:lineRule="auto"/>
        <w:rPr>
          <w:sz w:val="20"/>
          <w:szCs w:val="20"/>
          <w:color w:val="auto"/>
        </w:rPr>
      </w:pPr>
      <w:r>
        <w:rPr>
          <w:rFonts w:ascii="Arial" w:cs="Arial" w:eastAsia="Arial" w:hAnsi="Arial"/>
          <w:sz w:val="13"/>
          <w:szCs w:val="13"/>
          <w:color w:val="auto"/>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131" w:lineRule="exact"/>
        <w:rPr>
          <w:sz w:val="20"/>
          <w:szCs w:val="20"/>
          <w:color w:val="auto"/>
        </w:rPr>
      </w:pPr>
    </w:p>
    <w:p>
      <w:pPr>
        <w:ind w:left="820" w:right="60" w:firstLine="385"/>
        <w:spacing w:after="0" w:line="249" w:lineRule="auto"/>
        <w:rPr>
          <w:sz w:val="20"/>
          <w:szCs w:val="20"/>
          <w:color w:val="auto"/>
        </w:rPr>
      </w:pPr>
      <w:r>
        <w:rPr>
          <w:rFonts w:ascii="Arial" w:cs="Arial" w:eastAsia="Arial" w:hAnsi="Arial"/>
          <w:sz w:val="16"/>
          <w:szCs w:val="16"/>
          <w:color w:val="auto"/>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71"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1660" w:hanging="469"/>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successful and timely completion of our ongoing preclinical studies;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generating sufficient data to support the initiation or continuation of clinical trials;</w:t>
      </w:r>
    </w:p>
    <w:p>
      <w:pPr>
        <w:spacing w:after="0" w:line="110"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addressing any delays, necessary adjustments and additional costs in preclinical studies and clinical trials resulting from factors related to the COVID-19 pandemic;</w:t>
      </w:r>
    </w:p>
    <w:p>
      <w:pPr>
        <w:spacing w:after="0" w:line="75"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submission of INDs or other regulatory applications for our planned clinical trials and authorizations from regulators to initiate clinical trials;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440"/>
          </w:cols>
          <w:pgMar w:left="320" w:top="418" w:right="11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contracting with the necessary parties to conduct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enrollment in, and completion of, clinical trials on a timely basis;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achieving favorable results from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timely manufacture of sufficient quantities of a product candidate for use in clinical trials and, if approved, commercialization;</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successful outputs from our capsid engineering and promotor and regulator elements efforts;</w:t>
      </w:r>
    </w:p>
    <w:p>
      <w:pPr>
        <w:spacing w:after="0" w:line="110" w:lineRule="exact"/>
        <w:rPr>
          <w:rFonts w:ascii="Arial" w:cs="Arial" w:eastAsia="Arial" w:hAnsi="Arial"/>
          <w:sz w:val="16"/>
          <w:szCs w:val="16"/>
          <w:color w:val="auto"/>
        </w:rPr>
      </w:pPr>
    </w:p>
    <w:p>
      <w:pPr>
        <w:ind w:left="1660" w:right="38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sufficiency of our financial and other resources to complete the necessary preclinical studies and clinical trials and commercialization activities;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frequency and severity of adverse events in clinical trials;</w:t>
      </w:r>
    </w:p>
    <w:p>
      <w:pPr>
        <w:spacing w:after="0" w:line="110"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demonstrating efficacy, safety and tolerability profiles that are satisfactory to the FDA, EMA or any comparable foreign regulatory authority for marketing approval;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timely receipt of marketing approvals from applicable regulatory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extent of any required post-marketing approval commitments to applicable regulatory authorities;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maintenance of existing or the establishment of new supply arrangements with third-party drug product suppliers and manufacturers for clinical development and, if approved, commercialization;</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maintaining consistent quality, purity, and potency across clinical supplies and commercial supplies for any approved products;</w:t>
      </w:r>
    </w:p>
    <w:p>
      <w:pPr>
        <w:spacing w:after="0" w:line="122" w:lineRule="exact"/>
        <w:rPr>
          <w:rFonts w:ascii="Arial" w:cs="Arial" w:eastAsia="Arial" w:hAnsi="Arial"/>
          <w:sz w:val="15"/>
          <w:szCs w:val="15"/>
          <w:color w:val="auto"/>
        </w:rPr>
      </w:pPr>
    </w:p>
    <w:p>
      <w:pPr>
        <w:ind w:left="1660" w:right="20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maintaining patent and other intellectual property protection, trade secret protection and regulatory exclusivity, both in the United States and internationally;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protecting, enforcing and defending our rights in our intellectual property portfolio;</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expand into multiple indications;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successful launch of commercial sales following any marketing approval;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continued acceptable safety profile following any marketing approval;</w:t>
      </w:r>
    </w:p>
    <w:p>
      <w:pPr>
        <w:spacing w:after="0" w:line="110" w:lineRule="exact"/>
        <w:rPr>
          <w:rFonts w:ascii="Arial" w:cs="Arial" w:eastAsia="Arial" w:hAnsi="Arial"/>
          <w:sz w:val="16"/>
          <w:szCs w:val="16"/>
          <w:color w:val="auto"/>
        </w:rPr>
      </w:pPr>
    </w:p>
    <w:p>
      <w:pPr>
        <w:ind w:left="1660" w:right="42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actual market-size, ability to identify patients and the demographics of patients eligible for our product candidates, which may be different than expected;</w:t>
      </w:r>
    </w:p>
    <w:p>
      <w:pPr>
        <w:spacing w:after="0" w:line="75"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commercial acceptance by patients, the medical community and third-party payors, particularly since the product candidates we develop may be novel;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compete with other therapies.</w:t>
      </w:r>
    </w:p>
    <w:p>
      <w:pPr>
        <w:spacing w:after="0" w:line="19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167" w:lineRule="exact"/>
        <w:rPr>
          <w:sz w:val="20"/>
          <w:szCs w:val="20"/>
          <w:color w:val="auto"/>
        </w:rPr>
      </w:pPr>
    </w:p>
    <w:p>
      <w:pPr>
        <w:ind w:left="820" w:right="120" w:firstLine="385"/>
        <w:spacing w:after="0" w:line="270" w:lineRule="auto"/>
        <w:rPr>
          <w:sz w:val="20"/>
          <w:szCs w:val="20"/>
          <w:color w:val="auto"/>
        </w:rPr>
      </w:pPr>
      <w:r>
        <w:rPr>
          <w:rFonts w:ascii="Arial" w:cs="Arial" w:eastAsia="Arial" w:hAnsi="Arial"/>
          <w:sz w:val="15"/>
          <w:szCs w:val="15"/>
          <w:color w:val="auto"/>
        </w:rPr>
        <w:t>To become and remain profitable, we must develop, obtain approval for and eventually commercialize products candidates, if approved,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9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440"/>
          </w:cols>
          <w:pgMar w:left="320" w:top="418" w:right="11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167" w:lineRule="exact"/>
        <w:rPr>
          <w:sz w:val="20"/>
          <w:szCs w:val="20"/>
          <w:color w:val="auto"/>
        </w:rPr>
      </w:pPr>
    </w:p>
    <w:p>
      <w:pPr>
        <w:jc w:val="both"/>
        <w:ind w:left="820" w:right="340" w:firstLine="385"/>
        <w:spacing w:after="0" w:line="343" w:lineRule="auto"/>
        <w:rPr>
          <w:sz w:val="20"/>
          <w:szCs w:val="20"/>
          <w:color w:val="auto"/>
        </w:rPr>
      </w:pPr>
      <w:r>
        <w:rPr>
          <w:rFonts w:ascii="Arial" w:cs="Arial" w:eastAsia="Arial" w:hAnsi="Arial"/>
          <w:sz w:val="13"/>
          <w:szCs w:val="13"/>
          <w:color w:val="auto"/>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208" w:lineRule="exact"/>
        <w:rPr>
          <w:sz w:val="20"/>
          <w:szCs w:val="20"/>
          <w:color w:val="auto"/>
        </w:rPr>
      </w:pPr>
    </w:p>
    <w:p>
      <w:pPr>
        <w:ind w:left="1200" w:right="60"/>
        <w:spacing w:after="0" w:line="343" w:lineRule="auto"/>
        <w:rPr>
          <w:sz w:val="20"/>
          <w:szCs w:val="20"/>
          <w:color w:val="auto"/>
        </w:rPr>
      </w:pPr>
      <w:r>
        <w:rPr>
          <w:rFonts w:ascii="Arial" w:cs="Arial" w:eastAsia="Arial" w:hAnsi="Arial"/>
          <w:sz w:val="13"/>
          <w:szCs w:val="13"/>
          <w:b w:val="1"/>
          <w:bCs w:val="1"/>
          <w:i w:val="1"/>
          <w:iCs w:val="1"/>
          <w:color w:val="auto"/>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19"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171" w:lineRule="exact"/>
        <w:rPr>
          <w:sz w:val="20"/>
          <w:szCs w:val="20"/>
          <w:color w:val="auto"/>
        </w:rPr>
      </w:pPr>
    </w:p>
    <w:p>
      <w:pPr>
        <w:ind w:left="820" w:right="260" w:firstLine="385"/>
        <w:spacing w:after="0" w:line="251" w:lineRule="auto"/>
        <w:rPr>
          <w:sz w:val="20"/>
          <w:szCs w:val="20"/>
          <w:color w:val="auto"/>
        </w:rPr>
      </w:pPr>
      <w:r>
        <w:rPr>
          <w:rFonts w:ascii="Arial" w:cs="Arial" w:eastAsia="Arial" w:hAnsi="Arial"/>
          <w:sz w:val="16"/>
          <w:szCs w:val="16"/>
          <w:color w:val="auto"/>
        </w:rPr>
        <w:t>To date, only three products that utilize AAV-mediated gene transfer have been approved in the United States or Europe, including Novartis Pharmaceuticals’ Zolgensma (developed by AveXis), Roche’s Luxturna (developed by Spark Therapeutics), and uniQure’s Glybera.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70" w:lineRule="exact"/>
        <w:rPr>
          <w:sz w:val="20"/>
          <w:szCs w:val="20"/>
          <w:color w:val="auto"/>
        </w:rPr>
      </w:pPr>
    </w:p>
    <w:p>
      <w:pPr>
        <w:ind w:left="820" w:firstLine="385"/>
        <w:spacing w:after="0" w:line="315" w:lineRule="auto"/>
        <w:rPr>
          <w:sz w:val="20"/>
          <w:szCs w:val="20"/>
          <w:color w:val="auto"/>
        </w:rPr>
      </w:pPr>
      <w:r>
        <w:rPr>
          <w:rFonts w:ascii="Arial" w:cs="Arial" w:eastAsia="Arial" w:hAnsi="Arial"/>
          <w:sz w:val="13"/>
          <w:szCs w:val="13"/>
          <w:color w:val="auto"/>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the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324"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0400"/>
          </w:cols>
          <w:pgMar w:left="320" w:top="418" w:right="117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520"/>
        <w:spacing w:after="0" w:line="383" w:lineRule="auto"/>
        <w:rPr>
          <w:sz w:val="20"/>
          <w:szCs w:val="20"/>
          <w:color w:val="auto"/>
        </w:rPr>
      </w:pPr>
      <w:r>
        <w:rPr>
          <w:rFonts w:ascii="Arial" w:cs="Arial" w:eastAsia="Arial" w:hAnsi="Arial"/>
          <w:sz w:val="13"/>
          <w:szCs w:val="13"/>
          <w:color w:val="auto"/>
        </w:rPr>
        <w:t>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9"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The same applies in the European Union.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131"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166"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Adverse developments in preclinical studies or clinical trials conducted by others in the field of gene therapy and gene regulation products may cause the FDA, the EMA, and other regulatory bodies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the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332"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0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420"/>
          </w:cols>
          <w:pgMar w:left="320" w:top="418" w:right="11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500"/>
        <w:spacing w:after="0" w:line="266" w:lineRule="auto"/>
        <w:rPr>
          <w:sz w:val="20"/>
          <w:szCs w:val="20"/>
          <w:color w:val="auto"/>
        </w:rPr>
      </w:pPr>
      <w:r>
        <w:rPr>
          <w:rFonts w:ascii="Arial" w:cs="Arial" w:eastAsia="Arial" w:hAnsi="Arial"/>
          <w:sz w:val="16"/>
          <w:szCs w:val="16"/>
          <w:b w:val="1"/>
          <w:bCs w:val="1"/>
          <w:i w:val="1"/>
          <w:iCs w:val="1"/>
          <w:color w:val="auto"/>
        </w:rPr>
        <w:t>The mechanisms of action of our product candidates are unproven, and we do not know whether we will be able to develop any drug of commercial value.</w:t>
      </w:r>
    </w:p>
    <w:p>
      <w:pPr>
        <w:spacing w:after="0" w:line="64" w:lineRule="exact"/>
        <w:rPr>
          <w:sz w:val="20"/>
          <w:szCs w:val="20"/>
          <w:color w:val="auto"/>
        </w:rPr>
      </w:pPr>
    </w:p>
    <w:p>
      <w:pPr>
        <w:ind w:left="820" w:right="80" w:firstLine="385"/>
        <w:spacing w:after="0" w:line="314" w:lineRule="auto"/>
        <w:rPr>
          <w:sz w:val="20"/>
          <w:szCs w:val="20"/>
          <w:color w:val="auto"/>
        </w:rPr>
      </w:pPr>
      <w:r>
        <w:rPr>
          <w:rFonts w:ascii="Arial" w:cs="Arial" w:eastAsia="Arial" w:hAnsi="Arial"/>
          <w:sz w:val="13"/>
          <w:szCs w:val="13"/>
          <w:color w:val="auto"/>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have seen for our compounds in preclinical models may not translate into similar results in humans, and results of early clinical trials in humans may not be predictive of the results of larger clinical trials that may later be conducted with our product candidates.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133"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51" w:lineRule="exact"/>
        <w:rPr>
          <w:sz w:val="20"/>
          <w:szCs w:val="20"/>
          <w:color w:val="auto"/>
        </w:rPr>
      </w:pPr>
    </w:p>
    <w:p>
      <w:pPr>
        <w:ind w:left="1200" w:right="200"/>
        <w:spacing w:after="0" w:line="272" w:lineRule="auto"/>
        <w:rPr>
          <w:sz w:val="20"/>
          <w:szCs w:val="20"/>
          <w:color w:val="auto"/>
        </w:rPr>
      </w:pPr>
      <w:r>
        <w:rPr>
          <w:rFonts w:ascii="Arial" w:cs="Arial" w:eastAsia="Arial" w:hAnsi="Arial"/>
          <w:sz w:val="15"/>
          <w:szCs w:val="15"/>
          <w:b w:val="1"/>
          <w:bCs w:val="1"/>
          <w:i w:val="1"/>
          <w:iCs w:val="1"/>
          <w:color w:val="auto"/>
        </w:rPr>
        <w:t>Preclinical and clinical drug development involves a lengthy and expensive process with an uncertain outcome. The clinical trials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60" w:lineRule="exact"/>
        <w:rPr>
          <w:sz w:val="20"/>
          <w:szCs w:val="20"/>
          <w:color w:val="auto"/>
        </w:rPr>
      </w:pPr>
    </w:p>
    <w:p>
      <w:pPr>
        <w:ind w:left="820" w:right="200" w:firstLine="385"/>
        <w:spacing w:after="0" w:line="253" w:lineRule="auto"/>
        <w:rPr>
          <w:sz w:val="20"/>
          <w:szCs w:val="20"/>
          <w:color w:val="auto"/>
        </w:rPr>
      </w:pPr>
      <w:r>
        <w:rPr>
          <w:rFonts w:ascii="Arial" w:cs="Arial" w:eastAsia="Arial" w:hAnsi="Arial"/>
          <w:sz w:val="16"/>
          <w:szCs w:val="16"/>
          <w:color w:val="auto"/>
        </w:rPr>
        <w:t>It is impossible to predict when or if any product candidate that we develop will prove effective or safe in humans or will receive marketing approval. Before obtaining marketing approval from the FDA, EMA or other comparable foreign regulatory authorities for the sale of our product candidates, we must complete preclinical development and extensive clinical trials to demonstrate with substantial evidence the safety and efficacy of such product candidates.</w:t>
      </w:r>
    </w:p>
    <w:p>
      <w:pPr>
        <w:spacing w:after="0" w:line="167"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Clinical testing is expensive, difficult to design and implement, can take many years to complete and its ultimate outcome is uncertain. We cannot guarantee that any of our clinical trials will be conducted as planned or completed on schedule, or at all. Clinical trials can fail at any stage of testing and failure may result from a multitude of factors, including, among other things, flaws in study design, dose selection issues, placebo effects, patient enrollment criteria and failure to demonstrate favorable safety or efficacy traits. The outcome of preclinical studies and early-stage clinical trials may not be predictive of the success of later clinical trials. For example, our product candidates may fail to show the desired safety and efficacy in clinical development despite positive results in preclinical studies or having successfully advanced through initial clinical trials. As a result, we cannot assure you that any clinical trials that we conduct will demonstrate consistent or adequate efficacy and safety to support marketing approval.</w:t>
      </w:r>
    </w:p>
    <w:p>
      <w:pPr>
        <w:spacing w:after="0" w:line="131" w:lineRule="exact"/>
        <w:rPr>
          <w:sz w:val="20"/>
          <w:szCs w:val="20"/>
          <w:color w:val="auto"/>
        </w:rPr>
      </w:pPr>
    </w:p>
    <w:p>
      <w:pPr>
        <w:ind w:left="820" w:right="420" w:firstLine="385"/>
        <w:spacing w:after="0" w:line="253"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w:t>
      </w:r>
    </w:p>
    <w:p>
      <w:pPr>
        <w:spacing w:after="0" w:line="10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420"/>
          </w:cols>
          <w:pgMar w:left="320" w:top="418" w:right="115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6" w:lineRule="auto"/>
        <w:rPr>
          <w:sz w:val="20"/>
          <w:szCs w:val="20"/>
          <w:color w:val="auto"/>
        </w:rPr>
      </w:pPr>
      <w:r>
        <w:rPr>
          <w:rFonts w:ascii="Arial" w:cs="Arial" w:eastAsia="Arial" w:hAnsi="Arial"/>
          <w:sz w:val="15"/>
          <w:szCs w:val="15"/>
          <w:color w:val="auto"/>
        </w:rPr>
        <w:t>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163" w:lineRule="exact"/>
        <w:rPr>
          <w:sz w:val="20"/>
          <w:szCs w:val="20"/>
          <w:color w:val="auto"/>
        </w:rPr>
      </w:pPr>
    </w:p>
    <w:p>
      <w:pPr>
        <w:jc w:val="both"/>
        <w:ind w:left="820" w:right="40" w:firstLine="385"/>
        <w:spacing w:after="0" w:line="256" w:lineRule="auto"/>
        <w:rPr>
          <w:sz w:val="20"/>
          <w:szCs w:val="20"/>
          <w:color w:val="auto"/>
        </w:rPr>
      </w:pPr>
      <w:r>
        <w:rPr>
          <w:rFonts w:ascii="Arial" w:cs="Arial" w:eastAsia="Arial" w:hAnsi="Arial"/>
          <w:sz w:val="16"/>
          <w:szCs w:val="16"/>
          <w:color w:val="auto"/>
        </w:rPr>
        <w:t>To date, we have not initiated or completed any clinical trials required for the approval of our product candidates. We may experience numerous unforeseen events during, or as a result of, preclinical studies or clinical trials that could delay or prevent receipt of marketing approval or our ability to commercialize our product candidates, including:</w:t>
      </w:r>
    </w:p>
    <w:p>
      <w:pPr>
        <w:spacing w:after="0" w:line="83" w:lineRule="exact"/>
        <w:rPr>
          <w:sz w:val="20"/>
          <w:szCs w:val="20"/>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inability to generate sufficient preclinical, toxicology, or other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to support the initiation of clinical trials;</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delays in sufficiently developing, characterizing or controlling a manufacturing process suitable for advanced clinical trials, including our natural history studies;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receipt of feedback from regulatory authorities that requires us to modify the design of our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clinical trial observations or results that require us to modify the design of our clinical trials;</w:t>
      </w:r>
    </w:p>
    <w:p>
      <w:pPr>
        <w:spacing w:after="0" w:line="110"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negative or inconclusive clinical trial results that may require us to conduct additional clinical trials or abandon certain drug development programs;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obtaining approval from one or more IRBs;</w:t>
      </w:r>
    </w:p>
    <w:p>
      <w:pPr>
        <w:spacing w:after="0" w:line="110"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75"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failure or delay in reaching an agreement with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6"/>
          <w:szCs w:val="16"/>
          <w:color w:val="auto"/>
        </w:rPr>
      </w:pPr>
    </w:p>
    <w:p>
      <w:pPr>
        <w:ind w:left="1660" w:hanging="469"/>
        <w:spacing w:after="0" w:line="300" w:lineRule="auto"/>
        <w:tabs>
          <w:tab w:leader="none" w:pos="166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to clinical trial protocol;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clinical sites deviating from trial protocol or dropping out of a trial;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being greater than anticipated;</w:t>
      </w:r>
    </w:p>
    <w:p>
      <w:pPr>
        <w:spacing w:after="0" w:line="110" w:lineRule="exact"/>
        <w:rPr>
          <w:rFonts w:ascii="Arial" w:cs="Arial" w:eastAsia="Arial" w:hAnsi="Arial"/>
          <w:sz w:val="16"/>
          <w:szCs w:val="16"/>
          <w:color w:val="auto"/>
        </w:rPr>
      </w:pPr>
    </w:p>
    <w:p>
      <w:pPr>
        <w:ind w:left="1660" w:right="400" w:hanging="469"/>
        <w:spacing w:after="0" w:line="266" w:lineRule="auto"/>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being insufficient or inadequate;</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subjects experiencing severe or unexpected drug-related adverse effects;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selection of clinical end points that require prolonged periods of clinical observation or analysis of the resulting data;</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380"/>
          </w:cols>
          <w:pgMar w:left="320" w:top="418" w:right="11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60" w:hanging="469"/>
        <w:spacing w:after="0" w:line="343" w:lineRule="auto"/>
        <w:tabs>
          <w:tab w:leader="none" w:pos="1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31" w:lineRule="exact"/>
        <w:rPr>
          <w:rFonts w:ascii="Arial" w:cs="Arial" w:eastAsia="Arial" w:hAnsi="Arial"/>
          <w:sz w:val="13"/>
          <w:szCs w:val="13"/>
          <w:color w:val="auto"/>
        </w:rPr>
      </w:pPr>
    </w:p>
    <w:p>
      <w:pPr>
        <w:ind w:left="1660" w:hanging="469"/>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changes to our manufacturing process that may be necessary or desired;</w:t>
      </w:r>
    </w:p>
    <w:p>
      <w:pPr>
        <w:spacing w:after="0" w:line="110" w:lineRule="exact"/>
        <w:rPr>
          <w:rFonts w:ascii="Arial" w:cs="Arial" w:eastAsia="Arial" w:hAnsi="Arial"/>
          <w:sz w:val="16"/>
          <w:szCs w:val="16"/>
          <w:color w:val="auto"/>
        </w:rPr>
      </w:pPr>
    </w:p>
    <w:p>
      <w:pPr>
        <w:ind w:left="1660" w:right="100" w:hanging="469"/>
        <w:spacing w:after="0" w:line="383" w:lineRule="auto"/>
        <w:tabs>
          <w:tab w:leader="none" w:pos="16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6" w:lineRule="exact"/>
        <w:rPr>
          <w:rFonts w:ascii="Arial" w:cs="Arial" w:eastAsia="Arial" w:hAnsi="Arial"/>
          <w:sz w:val="13"/>
          <w:szCs w:val="13"/>
          <w:color w:val="auto"/>
        </w:rPr>
      </w:pPr>
    </w:p>
    <w:p>
      <w:pPr>
        <w:ind w:left="1660" w:hanging="469"/>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third-party contractors not performing data collection or analysis in a timely or accurate manner;</w:t>
      </w:r>
    </w:p>
    <w:p>
      <w:pPr>
        <w:spacing w:after="0" w:line="110" w:lineRule="exact"/>
        <w:rPr>
          <w:rFonts w:ascii="Arial" w:cs="Arial" w:eastAsia="Arial" w:hAnsi="Arial"/>
          <w:sz w:val="16"/>
          <w:szCs w:val="16"/>
          <w:color w:val="auto"/>
        </w:rPr>
      </w:pPr>
    </w:p>
    <w:p>
      <w:pPr>
        <w:ind w:left="1660" w:right="20" w:hanging="469"/>
        <w:spacing w:after="0" w:line="281" w:lineRule="auto"/>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66" w:lineRule="exact"/>
        <w:rPr>
          <w:rFonts w:ascii="Arial" w:cs="Arial" w:eastAsia="Arial" w:hAnsi="Arial"/>
          <w:sz w:val="15"/>
          <w:szCs w:val="15"/>
          <w:color w:val="auto"/>
        </w:rPr>
      </w:pPr>
    </w:p>
    <w:p>
      <w:pPr>
        <w:ind w:left="1660" w:hanging="469"/>
        <w:spacing w:after="0"/>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regulators revising the requirements for approving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absence in some countries of established groups with sufficient regulatory expertise for review of AAV gene therapy protocols; and</w:t>
      </w:r>
    </w:p>
    <w:p>
      <w:pPr>
        <w:spacing w:after="0" w:line="122" w:lineRule="exact"/>
        <w:rPr>
          <w:rFonts w:ascii="Arial" w:cs="Arial" w:eastAsia="Arial" w:hAnsi="Arial"/>
          <w:sz w:val="15"/>
          <w:szCs w:val="15"/>
          <w:color w:val="auto"/>
        </w:rPr>
      </w:pPr>
    </w:p>
    <w:p>
      <w:pPr>
        <w:ind w:left="1660" w:right="140" w:hanging="469"/>
        <w:spacing w:after="0" w:line="266" w:lineRule="auto"/>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potential burden of complying with a variety of foreign laws, medical standards and regulatory requirements, including the regulation of pharmaceutical and biotechnology products and treatment.</w:t>
      </w:r>
    </w:p>
    <w:p>
      <w:pPr>
        <w:spacing w:after="0" w:line="158"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54"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31" w:lineRule="exact"/>
        <w:rPr>
          <w:sz w:val="20"/>
          <w:szCs w:val="20"/>
          <w:color w:val="auto"/>
        </w:rPr>
      </w:pPr>
    </w:p>
    <w:p>
      <w:pPr>
        <w:ind w:left="820" w:right="100" w:firstLine="385"/>
        <w:spacing w:after="0" w:line="268" w:lineRule="auto"/>
        <w:rPr>
          <w:sz w:val="20"/>
          <w:szCs w:val="20"/>
          <w:color w:val="auto"/>
        </w:rPr>
      </w:pPr>
      <w:r>
        <w:rPr>
          <w:rFonts w:ascii="Arial" w:cs="Arial" w:eastAsia="Arial" w:hAnsi="Arial"/>
          <w:sz w:val="15"/>
          <w:szCs w:val="15"/>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our product development costs will also increase if we experience delays in preclinical studies or clinical trials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which could result in increased costs and expenses and/or delays. Any delays in completing our clinical trials will increase our costs, slow down our product candidate development and approval process and jeopardize our ability to commence product sales and generate revenues.</w:t>
      </w:r>
    </w:p>
    <w:p>
      <w:pPr>
        <w:spacing w:after="0" w:line="161" w:lineRule="exact"/>
        <w:rPr>
          <w:sz w:val="20"/>
          <w:szCs w:val="20"/>
          <w:color w:val="auto"/>
        </w:rPr>
      </w:pPr>
    </w:p>
    <w:p>
      <w:pPr>
        <w:ind w:left="820" w:right="300" w:firstLine="385"/>
        <w:spacing w:after="0" w:line="266" w:lineRule="auto"/>
        <w:rPr>
          <w:sz w:val="20"/>
          <w:szCs w:val="20"/>
          <w:color w:val="auto"/>
        </w:rPr>
      </w:pPr>
      <w:r>
        <w:rPr>
          <w:rFonts w:ascii="Arial" w:cs="Arial" w:eastAsia="Arial" w:hAnsi="Arial"/>
          <w:sz w:val="16"/>
          <w:szCs w:val="16"/>
          <w:color w:val="auto"/>
        </w:rPr>
        <w:t>In addition, many of the factors that cause, or lead to, termination or suspension of, or a delay in the commencement or completion of, clinical trials may also ultimately lead to the denial of regulatory approval of a</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440"/>
          </w:cols>
          <w:pgMar w:left="320" w:top="418" w:right="11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spacing w:after="0" w:line="343" w:lineRule="auto"/>
        <w:rPr>
          <w:sz w:val="20"/>
          <w:szCs w:val="20"/>
          <w:color w:val="auto"/>
        </w:rPr>
      </w:pPr>
      <w:r>
        <w:rPr>
          <w:rFonts w:ascii="Arial" w:cs="Arial" w:eastAsia="Arial" w:hAnsi="Arial"/>
          <w:sz w:val="13"/>
          <w:szCs w:val="13"/>
          <w:color w:val="auto"/>
        </w:rPr>
        <w:t>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208" w:lineRule="exact"/>
        <w:rPr>
          <w:sz w:val="20"/>
          <w:szCs w:val="20"/>
          <w:color w:val="auto"/>
        </w:rPr>
      </w:pPr>
    </w:p>
    <w:p>
      <w:pPr>
        <w:ind w:left="1200"/>
        <w:spacing w:after="0" w:line="281" w:lineRule="auto"/>
        <w:rPr>
          <w:sz w:val="20"/>
          <w:szCs w:val="20"/>
          <w:color w:val="auto"/>
        </w:rPr>
      </w:pPr>
      <w:r>
        <w:rPr>
          <w:rFonts w:ascii="Arial" w:cs="Arial" w:eastAsia="Arial" w:hAnsi="Arial"/>
          <w:sz w:val="15"/>
          <w:szCs w:val="15"/>
          <w:b w:val="1"/>
          <w:bCs w:val="1"/>
          <w:i w:val="1"/>
          <w:iCs w:val="1"/>
          <w:color w:val="auto"/>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4"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33"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156" w:lineRule="exact"/>
        <w:rPr>
          <w:sz w:val="20"/>
          <w:szCs w:val="20"/>
          <w:color w:val="auto"/>
        </w:rPr>
      </w:pPr>
    </w:p>
    <w:p>
      <w:pPr>
        <w:ind w:left="820" w:right="40" w:firstLine="385"/>
        <w:spacing w:after="0" w:line="310" w:lineRule="auto"/>
        <w:rPr>
          <w:sz w:val="20"/>
          <w:szCs w:val="20"/>
          <w:color w:val="auto"/>
        </w:rPr>
      </w:pPr>
      <w:r>
        <w:rPr>
          <w:rFonts w:ascii="Arial" w:cs="Arial" w:eastAsia="Arial" w:hAnsi="Arial"/>
          <w:sz w:val="13"/>
          <w:szCs w:val="13"/>
          <w:color w:val="auto"/>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400"/>
          </w:cols>
          <w:pgMar w:left="320" w:top="418" w:right="11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240"/>
        <w:spacing w:after="0" w:line="378" w:lineRule="auto"/>
        <w:rPr>
          <w:sz w:val="20"/>
          <w:szCs w:val="20"/>
          <w:color w:val="auto"/>
        </w:rPr>
      </w:pPr>
      <w:r>
        <w:rPr>
          <w:rFonts w:ascii="Arial" w:cs="Arial" w:eastAsia="Arial" w:hAnsi="Arial"/>
          <w:sz w:val="13"/>
          <w:szCs w:val="13"/>
          <w:b w:val="1"/>
          <w:bCs w:val="1"/>
          <w:i w:val="1"/>
          <w:iCs w:val="1"/>
          <w:color w:val="auto"/>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1"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163"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128" w:lineRule="exact"/>
        <w:rPr>
          <w:sz w:val="20"/>
          <w:szCs w:val="20"/>
          <w:color w:val="auto"/>
        </w:rPr>
      </w:pPr>
    </w:p>
    <w:p>
      <w:pPr>
        <w:ind w:left="820" w:right="460" w:firstLine="385"/>
        <w:spacing w:after="0" w:line="266" w:lineRule="auto"/>
        <w:rPr>
          <w:sz w:val="20"/>
          <w:szCs w:val="20"/>
          <w:color w:val="auto"/>
        </w:rPr>
      </w:pPr>
      <w:r>
        <w:rPr>
          <w:rFonts w:ascii="Arial" w:cs="Arial" w:eastAsia="Arial" w:hAnsi="Arial"/>
          <w:sz w:val="16"/>
          <w:szCs w:val="16"/>
          <w:color w:val="auto"/>
        </w:rPr>
        <w:t>We do not know whether any clinical trials we may conduct will demonstrate consistent or adequate efficacy and safety sufficient to obtain approval to market any of our product candidates.</w:t>
      </w:r>
    </w:p>
    <w:p>
      <w:pPr>
        <w:spacing w:after="0" w:line="252"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If we experience delays or difficulties in the enrollment and/or maintenance of patients in clinical trials, our regulatory submissions or receipt of necessary marketing approvals could be delayed or prevented.</w:t>
      </w:r>
    </w:p>
    <w:p>
      <w:pPr>
        <w:spacing w:after="0" w:line="64"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167" w:lineRule="exact"/>
        <w:rPr>
          <w:sz w:val="20"/>
          <w:szCs w:val="20"/>
          <w:color w:val="auto"/>
        </w:rPr>
      </w:pPr>
    </w:p>
    <w:p>
      <w:pPr>
        <w:jc w:val="both"/>
        <w:ind w:left="820" w:firstLine="385"/>
        <w:spacing w:after="0" w:line="329" w:lineRule="auto"/>
        <w:rPr>
          <w:sz w:val="20"/>
          <w:szCs w:val="20"/>
          <w:color w:val="auto"/>
        </w:rPr>
      </w:pPr>
      <w:r>
        <w:rPr>
          <w:rFonts w:ascii="Arial" w:cs="Arial" w:eastAsia="Arial" w:hAnsi="Arial"/>
          <w:sz w:val="13"/>
          <w:szCs w:val="13"/>
          <w:color w:val="auto"/>
        </w:rPr>
        <w:t>We may experience delays if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23" w:lineRule="exact"/>
        <w:rPr>
          <w:sz w:val="20"/>
          <w:szCs w:val="20"/>
          <w:color w:val="auto"/>
        </w:rPr>
      </w:pPr>
    </w:p>
    <w:p>
      <w:pPr>
        <w:ind w:left="820" w:right="320" w:firstLine="385"/>
        <w:spacing w:after="0" w:line="272" w:lineRule="auto"/>
        <w:rPr>
          <w:sz w:val="20"/>
          <w:szCs w:val="20"/>
          <w:color w:val="auto"/>
        </w:rPr>
      </w:pPr>
      <w:r>
        <w:rPr>
          <w:rFonts w:ascii="Arial" w:cs="Arial" w:eastAsia="Arial" w:hAnsi="Arial"/>
          <w:sz w:val="15"/>
          <w:szCs w:val="15"/>
          <w:color w:val="auto"/>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154"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We expect patient enrollment to be affected because our competitors have ongoing clinical trials for programs that are under development for the same indications as our product candidates, and patients who would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0400"/>
          </w:cols>
          <w:pgMar w:left="320" w:top="418" w:right="11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spacing w:after="0" w:line="266" w:lineRule="auto"/>
        <w:rPr>
          <w:sz w:val="20"/>
          <w:szCs w:val="20"/>
          <w:color w:val="auto"/>
        </w:rPr>
      </w:pPr>
      <w:r>
        <w:rPr>
          <w:rFonts w:ascii="Arial" w:cs="Arial" w:eastAsia="Arial" w:hAnsi="Arial"/>
          <w:sz w:val="16"/>
          <w:szCs w:val="16"/>
          <w:color w:val="auto"/>
        </w:rPr>
        <w:t>otherwise be eligible for our clinical trials could instead enroll in clinical trials of our competitors’ programs. Patient enrollment for our current or any future clinical trials may be affected by other factors, including:</w:t>
      </w:r>
    </w:p>
    <w:p>
      <w:pPr>
        <w:spacing w:after="0" w:line="76" w:lineRule="exact"/>
        <w:rPr>
          <w:sz w:val="20"/>
          <w:szCs w:val="20"/>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size and nature of the patient population;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perceived risks and benefits of novel, unproven approaches;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severity of the disease under investigation;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availability and efficacy of approved drugs for the disease under investigation;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patient eligibility criteria for the trial in question as defined in the protocol;</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perceived risks and benefits of the product candidate under study;</w:t>
      </w:r>
    </w:p>
    <w:p>
      <w:pPr>
        <w:spacing w:after="0" w:line="110" w:lineRule="exact"/>
        <w:rPr>
          <w:rFonts w:ascii="Arial" w:cs="Arial" w:eastAsia="Arial" w:hAnsi="Arial"/>
          <w:sz w:val="16"/>
          <w:szCs w:val="16"/>
          <w:color w:val="auto"/>
        </w:rPr>
      </w:pPr>
    </w:p>
    <w:p>
      <w:pPr>
        <w:jc w:val="both"/>
        <w:ind w:left="1660" w:right="320" w:hanging="469"/>
        <w:spacing w:after="0" w:line="256" w:lineRule="auto"/>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patient referral practices of physicians;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ability to monitor patients adequately during and after treatment;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activities of key opinion leaders (KOLs) and patient advocacy groups;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proximity and availability of clinical trial sites for prospective patients; and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risk that patients enrolled in clinical trials will drop out of the trials before completion or, because they may have an advanced disease, will not survive the full terms of the clinical trials.</w:t>
      </w:r>
    </w:p>
    <w:p>
      <w:pPr>
        <w:spacing w:after="0" w:line="158"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18" w:lineRule="exact"/>
        <w:rPr>
          <w:sz w:val="20"/>
          <w:szCs w:val="20"/>
          <w:color w:val="auto"/>
        </w:rPr>
      </w:pPr>
    </w:p>
    <w:p>
      <w:pPr>
        <w:jc w:val="both"/>
        <w:ind w:left="1200" w:right="80"/>
        <w:spacing w:after="0" w:line="253" w:lineRule="auto"/>
        <w:rPr>
          <w:sz w:val="20"/>
          <w:szCs w:val="20"/>
          <w:color w:val="auto"/>
        </w:rPr>
      </w:pPr>
      <w:r>
        <w:rPr>
          <w:rFonts w:ascii="Arial" w:cs="Arial" w:eastAsia="Arial" w:hAnsi="Arial"/>
          <w:sz w:val="16"/>
          <w:szCs w:val="16"/>
          <w:b w:val="1"/>
          <w:bCs w:val="1"/>
          <w:i w:val="1"/>
          <w:iCs w:val="1"/>
          <w:color w:val="auto"/>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3"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 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0400"/>
          </w:cols>
          <w:pgMar w:left="320" w:top="418" w:right="117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100"/>
        <w:spacing w:after="0" w:line="378" w:lineRule="auto"/>
        <w:rPr>
          <w:sz w:val="20"/>
          <w:szCs w:val="20"/>
          <w:color w:val="auto"/>
        </w:rPr>
      </w:pPr>
      <w:r>
        <w:rPr>
          <w:rFonts w:ascii="Arial" w:cs="Arial" w:eastAsia="Arial" w:hAnsi="Arial"/>
          <w:sz w:val="13"/>
          <w:szCs w:val="13"/>
          <w:b w:val="1"/>
          <w:bCs w:val="1"/>
          <w:i w:val="1"/>
          <w:iCs w:val="1"/>
          <w:color w:val="auto"/>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1" w:lineRule="exact"/>
        <w:rPr>
          <w:sz w:val="20"/>
          <w:szCs w:val="20"/>
          <w:color w:val="auto"/>
        </w:rPr>
      </w:pPr>
    </w:p>
    <w:p>
      <w:pPr>
        <w:ind w:left="820" w:right="100" w:firstLine="385"/>
        <w:spacing w:after="0" w:line="250" w:lineRule="auto"/>
        <w:rPr>
          <w:sz w:val="20"/>
          <w:szCs w:val="20"/>
          <w:color w:val="auto"/>
        </w:rPr>
      </w:pPr>
      <w:r>
        <w:rPr>
          <w:rFonts w:ascii="Arial" w:cs="Arial" w:eastAsia="Arial" w:hAnsi="Arial"/>
          <w:sz w:val="16"/>
          <w:szCs w:val="16"/>
          <w:color w:val="auto"/>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171"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0" w:lineRule="exact"/>
        <w:rPr>
          <w:sz w:val="20"/>
          <w:szCs w:val="20"/>
          <w:color w:val="auto"/>
        </w:rPr>
      </w:pPr>
    </w:p>
    <w:p>
      <w:pPr>
        <w:ind w:left="820" w:right="360" w:firstLine="385"/>
        <w:spacing w:after="0" w:line="266"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programs. We anticipate substantial direct competition from a variety of competitors, including:</w:t>
      </w:r>
    </w:p>
    <w:p>
      <w:pPr>
        <w:spacing w:after="0" w:line="76" w:lineRule="exact"/>
        <w:rPr>
          <w:sz w:val="20"/>
          <w:szCs w:val="20"/>
          <w:color w:val="auto"/>
        </w:rPr>
      </w:pPr>
    </w:p>
    <w:p>
      <w:pPr>
        <w:ind w:left="1660" w:right="580" w:hanging="469"/>
        <w:spacing w:after="0" w:line="281" w:lineRule="auto"/>
        <w:tabs>
          <w:tab w:leader="none" w:pos="16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General cardiovascular drug development: Companies known to have approved product and active drug development efforts for cardiovascular disease include but are not limited to AstraZeneca, Bayer, Bristol Myers Squibb, Cytokinetics, Eli Lilly, Johnson &amp; Johnson/Janssen, Maze Therapeutics, Merck, Novartis, and Novo Nordisk;</w:t>
      </w:r>
    </w:p>
    <w:p>
      <w:pPr>
        <w:spacing w:after="0" w:line="66" w:lineRule="exact"/>
        <w:rPr>
          <w:rFonts w:ascii="Arial" w:cs="Arial" w:eastAsia="Arial" w:hAnsi="Arial"/>
          <w:sz w:val="15"/>
          <w:szCs w:val="15"/>
          <w:color w:val="auto"/>
        </w:rPr>
      </w:pPr>
    </w:p>
    <w:p>
      <w:pPr>
        <w:ind w:left="1660" w:right="80" w:hanging="469"/>
        <w:spacing w:after="0" w:line="256" w:lineRule="auto"/>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Gene Therapy platform: Companies known to be pursuing gene therapy approaches for the heart include but are not limited to 4D Molecular Therapeutics, Bayer, Bristol Myers Squibb, BioMarin Pharmaceutical, DiNAQOR, Precigen, Renova Therapeutics, Renovacor, Rocket Pharmaceuticals, Sardicor, Stride Bio, and uniQure;</w:t>
      </w:r>
    </w:p>
    <w:p>
      <w:pPr>
        <w:spacing w:after="0" w:line="83" w:lineRule="exact"/>
        <w:rPr>
          <w:rFonts w:ascii="Arial" w:cs="Arial" w:eastAsia="Arial" w:hAnsi="Arial"/>
          <w:sz w:val="16"/>
          <w:szCs w:val="16"/>
          <w:color w:val="auto"/>
        </w:rPr>
      </w:pPr>
    </w:p>
    <w:p>
      <w:pPr>
        <w:ind w:left="1660" w:right="120" w:hanging="469"/>
        <w:spacing w:after="0" w:line="256" w:lineRule="auto"/>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Cellular Regeneration platform: Companies known to be pursuing approaches to cellular regeneration for the heart include but are not limited to AstraZeneca, Bayer, BioCardia, Cardior Pharmaceuticals, Jaan Biotherapeutics, Khloris Biosciences, Mesoblast, Mogrify, Sana Biotechnologies and Xylocor Therapeutics; and</w:t>
      </w:r>
    </w:p>
    <w:p>
      <w:pPr>
        <w:spacing w:after="0" w:line="83"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Precision Medicine platform: Companies known to be pursuing approaches to drug discovery for the heart using disease models based on iPSC-CMs include but are not limited to DiNAQOR and Tara Biosystems.</w:t>
      </w:r>
    </w:p>
    <w:p>
      <w:pPr>
        <w:spacing w:after="0" w:line="158" w:lineRule="exact"/>
        <w:rPr>
          <w:sz w:val="20"/>
          <w:szCs w:val="20"/>
          <w:color w:val="auto"/>
        </w:rPr>
      </w:pPr>
    </w:p>
    <w:p>
      <w:pPr>
        <w:ind w:left="820" w:right="100" w:firstLine="385"/>
        <w:spacing w:after="0" w:line="312" w:lineRule="auto"/>
        <w:rPr>
          <w:sz w:val="20"/>
          <w:szCs w:val="20"/>
          <w:color w:val="auto"/>
        </w:rPr>
      </w:pPr>
      <w:r>
        <w:rPr>
          <w:rFonts w:ascii="Arial" w:cs="Arial" w:eastAsia="Arial" w:hAnsi="Arial"/>
          <w:sz w:val="13"/>
          <w:szCs w:val="13"/>
          <w:color w:val="auto"/>
        </w:rPr>
        <w:t>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440"/>
          </w:cols>
          <w:pgMar w:left="320" w:top="418" w:right="11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other comparable foreign regulatory authorities or in discovering, developing and commercializing products in our field before we do.</w:t>
      </w:r>
    </w:p>
    <w:p>
      <w:pPr>
        <w:spacing w:after="0" w:line="193"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27" w:lineRule="exact"/>
        <w:rPr>
          <w:sz w:val="20"/>
          <w:szCs w:val="20"/>
          <w:color w:val="auto"/>
        </w:rPr>
      </w:pPr>
    </w:p>
    <w:p>
      <w:pPr>
        <w:ind w:left="1200" w:right="80"/>
        <w:spacing w:after="0" w:line="300"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40" w:lineRule="exact"/>
        <w:rPr>
          <w:sz w:val="20"/>
          <w:szCs w:val="20"/>
          <w:color w:val="auto"/>
        </w:rPr>
      </w:pPr>
    </w:p>
    <w:p>
      <w:pPr>
        <w:ind w:left="820" w:right="80" w:firstLine="385"/>
        <w:spacing w:after="0" w:line="311" w:lineRule="auto"/>
        <w:rPr>
          <w:sz w:val="20"/>
          <w:szCs w:val="20"/>
          <w:color w:val="auto"/>
        </w:rPr>
      </w:pPr>
      <w:r>
        <w:rPr>
          <w:rFonts w:ascii="Arial" w:cs="Arial" w:eastAsia="Arial" w:hAnsi="Arial"/>
          <w:sz w:val="13"/>
          <w:szCs w:val="13"/>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326" w:lineRule="exact"/>
        <w:rPr>
          <w:sz w:val="20"/>
          <w:szCs w:val="20"/>
          <w:color w:val="auto"/>
        </w:rPr>
      </w:pPr>
    </w:p>
    <w:p>
      <w:pPr>
        <w:ind w:left="820" w:right="100" w:firstLine="385"/>
        <w:spacing w:after="0" w:line="316" w:lineRule="auto"/>
        <w:rPr>
          <w:sz w:val="20"/>
          <w:szCs w:val="20"/>
          <w:color w:val="auto"/>
        </w:rPr>
      </w:pPr>
      <w:r>
        <w:rPr>
          <w:rFonts w:ascii="Arial" w:cs="Arial" w:eastAsia="Arial" w:hAnsi="Arial"/>
          <w:sz w:val="13"/>
          <w:szCs w:val="13"/>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We may not be successful in our efforts to utilize our proprietary drug discovery platforms to develop a pipeline of product candidates.</w:t>
      </w:r>
    </w:p>
    <w:p>
      <w:pPr>
        <w:spacing w:after="0" w:line="133" w:lineRule="exact"/>
        <w:rPr>
          <w:sz w:val="20"/>
          <w:szCs w:val="20"/>
          <w:color w:val="auto"/>
        </w:rPr>
      </w:pPr>
    </w:p>
    <w:p>
      <w:pPr>
        <w:ind w:left="820" w:right="200" w:firstLine="385"/>
        <w:spacing w:after="0" w:line="256" w:lineRule="auto"/>
        <w:rPr>
          <w:sz w:val="20"/>
          <w:szCs w:val="20"/>
          <w:color w:val="auto"/>
        </w:rPr>
      </w:pPr>
      <w:r>
        <w:rPr>
          <w:rFonts w:ascii="Arial" w:cs="Arial" w:eastAsia="Arial" w:hAnsi="Arial"/>
          <w:sz w:val="16"/>
          <w:szCs w:val="16"/>
          <w:color w:val="auto"/>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420"/>
          </w:cols>
          <w:pgMar w:left="320" w:top="418" w:right="11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6" w:lineRule="auto"/>
        <w:rPr>
          <w:sz w:val="20"/>
          <w:szCs w:val="20"/>
          <w:color w:val="auto"/>
        </w:rPr>
      </w:pPr>
      <w:r>
        <w:rPr>
          <w:rFonts w:ascii="Arial" w:cs="Arial" w:eastAsia="Arial" w:hAnsi="Arial"/>
          <w:sz w:val="15"/>
          <w:szCs w:val="15"/>
          <w:color w:val="auto"/>
        </w:rPr>
        <w:t>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161"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200" w:lineRule="exact"/>
        <w:rPr>
          <w:sz w:val="20"/>
          <w:szCs w:val="20"/>
          <w:color w:val="auto"/>
        </w:rPr>
      </w:pPr>
    </w:p>
    <w:p>
      <w:pPr>
        <w:spacing w:after="0" w:line="216" w:lineRule="exact"/>
        <w:rPr>
          <w:sz w:val="20"/>
          <w:szCs w:val="20"/>
          <w:color w:val="auto"/>
        </w:rPr>
      </w:pPr>
    </w:p>
    <w:p>
      <w:pPr>
        <w:jc w:val="both"/>
        <w:ind w:left="1200" w:right="100"/>
        <w:spacing w:after="0" w:line="281" w:lineRule="auto"/>
        <w:rPr>
          <w:sz w:val="20"/>
          <w:szCs w:val="20"/>
          <w:color w:val="auto"/>
        </w:rPr>
      </w:pPr>
      <w:r>
        <w:rPr>
          <w:rFonts w:ascii="Arial" w:cs="Arial" w:eastAsia="Arial" w:hAnsi="Arial"/>
          <w:sz w:val="15"/>
          <w:szCs w:val="15"/>
          <w:b w:val="1"/>
          <w:bCs w:val="1"/>
          <w:i w:val="1"/>
          <w:iCs w:val="1"/>
          <w:color w:val="auto"/>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54"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quality assurance and quality control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54" w:lineRule="exact"/>
        <w:rPr>
          <w:sz w:val="20"/>
          <w:szCs w:val="20"/>
          <w:color w:val="auto"/>
        </w:rPr>
      </w:pPr>
    </w:p>
    <w:p>
      <w:pPr>
        <w:ind w:left="1200"/>
        <w:spacing w:after="0" w:line="378" w:lineRule="auto"/>
        <w:rPr>
          <w:sz w:val="20"/>
          <w:szCs w:val="20"/>
          <w:color w:val="auto"/>
        </w:rPr>
      </w:pPr>
      <w:r>
        <w:rPr>
          <w:rFonts w:ascii="Arial" w:cs="Arial" w:eastAsia="Arial" w:hAnsi="Arial"/>
          <w:sz w:val="13"/>
          <w:szCs w:val="13"/>
          <w:b w:val="1"/>
          <w:bCs w:val="1"/>
          <w:i w:val="1"/>
          <w:iCs w:val="1"/>
          <w:color w:val="auto"/>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spacing w:after="0" w:line="1" w:lineRule="exact"/>
        <w:rPr>
          <w:sz w:val="20"/>
          <w:szCs w:val="20"/>
          <w:color w:val="auto"/>
        </w:rPr>
      </w:pPr>
    </w:p>
    <w:p>
      <w:pPr>
        <w:ind w:left="820" w:right="140" w:firstLine="385"/>
        <w:spacing w:after="0" w:line="343" w:lineRule="auto"/>
        <w:rPr>
          <w:sz w:val="20"/>
          <w:szCs w:val="20"/>
          <w:color w:val="auto"/>
        </w:rPr>
      </w:pPr>
      <w:r>
        <w:rPr>
          <w:rFonts w:ascii="Arial" w:cs="Arial" w:eastAsia="Arial" w:hAnsi="Arial"/>
          <w:sz w:val="13"/>
          <w:szCs w:val="13"/>
          <w:color w:val="auto"/>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420"/>
          </w:cols>
          <w:pgMar w:left="320" w:top="418" w:right="115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0" w:lineRule="auto"/>
        <w:rPr>
          <w:sz w:val="20"/>
          <w:szCs w:val="20"/>
          <w:color w:val="auto"/>
        </w:rPr>
      </w:pPr>
      <w:r>
        <w:rPr>
          <w:rFonts w:ascii="Arial" w:cs="Arial" w:eastAsia="Arial" w:hAnsi="Arial"/>
          <w:sz w:val="15"/>
          <w:szCs w:val="15"/>
          <w:color w:val="auto"/>
        </w:rPr>
        <w:t>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156" w:lineRule="exact"/>
        <w:rPr>
          <w:sz w:val="20"/>
          <w:szCs w:val="20"/>
          <w:color w:val="auto"/>
        </w:rPr>
      </w:pPr>
    </w:p>
    <w:p>
      <w:pPr>
        <w:ind w:left="820" w:right="260" w:firstLine="385"/>
        <w:spacing w:after="0" w:line="250" w:lineRule="auto"/>
        <w:rPr>
          <w:sz w:val="20"/>
          <w:szCs w:val="20"/>
          <w:color w:val="auto"/>
        </w:rPr>
      </w:pPr>
      <w:r>
        <w:rPr>
          <w:rFonts w:ascii="Arial" w:cs="Arial" w:eastAsia="Arial" w:hAnsi="Arial"/>
          <w:sz w:val="16"/>
          <w:szCs w:val="16"/>
          <w:color w:val="auto"/>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171"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166" w:lineRule="exact"/>
        <w:rPr>
          <w:sz w:val="20"/>
          <w:szCs w:val="20"/>
          <w:color w:val="auto"/>
        </w:rPr>
      </w:pPr>
    </w:p>
    <w:p>
      <w:pPr>
        <w:ind w:left="820" w:right="80" w:firstLine="385"/>
        <w:spacing w:after="0" w:line="323" w:lineRule="auto"/>
        <w:rPr>
          <w:sz w:val="20"/>
          <w:szCs w:val="20"/>
          <w:color w:val="auto"/>
        </w:rPr>
      </w:pPr>
      <w:r>
        <w:rPr>
          <w:rFonts w:ascii="Arial" w:cs="Arial" w:eastAsia="Arial" w:hAnsi="Arial"/>
          <w:sz w:val="13"/>
          <w:szCs w:val="13"/>
          <w:color w:val="auto"/>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220" w:lineRule="exact"/>
        <w:rPr>
          <w:sz w:val="20"/>
          <w:szCs w:val="20"/>
          <w:color w:val="auto"/>
        </w:rPr>
      </w:pPr>
    </w:p>
    <w:p>
      <w:pPr>
        <w:jc w:val="both"/>
        <w:ind w:left="1200" w:right="160"/>
        <w:spacing w:after="0" w:line="256" w:lineRule="auto"/>
        <w:rPr>
          <w:sz w:val="20"/>
          <w:szCs w:val="20"/>
          <w:color w:val="auto"/>
        </w:rPr>
      </w:pPr>
      <w:r>
        <w:rPr>
          <w:rFonts w:ascii="Arial" w:cs="Arial" w:eastAsia="Arial" w:hAnsi="Arial"/>
          <w:sz w:val="16"/>
          <w:szCs w:val="16"/>
          <w:b w:val="1"/>
          <w:bCs w:val="1"/>
          <w:i w:val="1"/>
          <w:iCs w:val="1"/>
          <w:color w:val="auto"/>
        </w:rPr>
        <w:t>We are in the process of building out a manufacturing facility to support future production of certain of our product candidates. We have no experience in manufacturing, and there can be no assurance that we will be able to complete our manufacturing facility or, if completed, we will be able to successfully manufacture product candidates.</w:t>
      </w:r>
    </w:p>
    <w:p>
      <w:pPr>
        <w:spacing w:after="0" w:line="71"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We have initiated construction of a dedicated cGMP facility for drug product manufacturing in the San Francisco Bay Area that we expect will be operational by the end of 2021. The facility will initially produce drug product at the 1000L scale to support FIH studies for TN-201, the most advanced product candidate from our MYBPC3 program. To optimize our use of resources and utilize extensive third-party experience in small molecule manufacturing, we intend to work with CDMOs for our small molecule programs. We intend to initiate cGMP manufacturing for our HDAC6 inhibitor program, TYA-11631, before the end of 2021.</w:t>
      </w:r>
    </w:p>
    <w:p>
      <w:pPr>
        <w:spacing w:after="0" w:line="163"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Although some of our employees have experience in the manufacturing of biopharmaceutical products from prior employment at other companies, we as a company have no prior experience in manufacturing. We may face delays or increased costs in the build out of our manufacturing facility or the production of clinical supply at our manufacturing facility, once operational, and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420"/>
          </w:cols>
          <w:pgMar w:left="320" w:top="418" w:right="11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8" w:lineRule="auto"/>
        <w:rPr>
          <w:sz w:val="20"/>
          <w:szCs w:val="20"/>
          <w:color w:val="auto"/>
        </w:rPr>
      </w:pPr>
      <w:r>
        <w:rPr>
          <w:rFonts w:ascii="Arial" w:cs="Arial" w:eastAsia="Arial" w:hAnsi="Arial"/>
          <w:sz w:val="15"/>
          <w:szCs w:val="15"/>
          <w:color w:val="auto"/>
        </w:rPr>
        <w:t>production processes, quality control and assurance and recordkeeping. Furthermore, establishing and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processes. If we experience unanticipated employee shortage or turnover in any of these areas, we may not be able to effectively manage our ongoing manufacturing operations and we may not achieve the operating efficiencies that we anticipate from developing these capabilities, which may negatively affect our product development timelines or result in difficulties in maintaining compliance with applicable regulatory requirements.</w:t>
      </w:r>
    </w:p>
    <w:p>
      <w:pPr>
        <w:spacing w:after="0" w:line="161"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170"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Any failure or delay in the development of our manufacturing facility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260" w:lineRule="exact"/>
        <w:rPr>
          <w:sz w:val="20"/>
          <w:szCs w:val="20"/>
          <w:color w:val="auto"/>
        </w:rPr>
      </w:pPr>
    </w:p>
    <w:p>
      <w:pPr>
        <w:ind w:left="1200" w:right="220"/>
        <w:spacing w:after="0" w:line="300" w:lineRule="auto"/>
        <w:rPr>
          <w:sz w:val="20"/>
          <w:szCs w:val="20"/>
          <w:color w:val="auto"/>
        </w:rPr>
      </w:pPr>
      <w:r>
        <w:rPr>
          <w:rFonts w:ascii="Arial" w:cs="Arial" w:eastAsia="Arial" w:hAnsi="Arial"/>
          <w:sz w:val="15"/>
          <w:szCs w:val="15"/>
          <w:b w:val="1"/>
          <w:bCs w:val="1"/>
          <w:i w:val="1"/>
          <w:iCs w:val="1"/>
          <w:color w:val="auto"/>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40"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We will need to comply with the FDA’s and applicable foreign regulatory authorities’ cGMP requirements for the production of product candidates for clinical trials and, if approved, commercial supply. We may encounter difficulties in achieving quality control and quality assurance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200" w:lineRule="exact"/>
        <w:rPr>
          <w:sz w:val="20"/>
          <w:szCs w:val="20"/>
          <w:color w:val="auto"/>
        </w:rPr>
      </w:pPr>
    </w:p>
    <w:p>
      <w:pPr>
        <w:spacing w:after="0" w:line="218"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40" w:lineRule="exact"/>
        <w:rPr>
          <w:sz w:val="20"/>
          <w:szCs w:val="20"/>
          <w:color w:val="auto"/>
        </w:rPr>
      </w:pPr>
    </w:p>
    <w:p>
      <w:pPr>
        <w:ind w:left="820" w:right="40" w:firstLine="385"/>
        <w:spacing w:after="0" w:line="343" w:lineRule="auto"/>
        <w:rPr>
          <w:sz w:val="20"/>
          <w:szCs w:val="20"/>
          <w:color w:val="auto"/>
        </w:rPr>
      </w:pPr>
      <w:r>
        <w:rPr>
          <w:rFonts w:ascii="Arial" w:cs="Arial" w:eastAsia="Arial" w:hAnsi="Arial"/>
          <w:sz w:val="13"/>
          <w:szCs w:val="13"/>
          <w:color w:val="auto"/>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0420"/>
          </w:cols>
          <w:pgMar w:left="320" w:top="418" w:right="115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1" w:lineRule="auto"/>
        <w:rPr>
          <w:sz w:val="20"/>
          <w:szCs w:val="20"/>
          <w:color w:val="auto"/>
        </w:rPr>
      </w:pPr>
      <w:r>
        <w:rPr>
          <w:rFonts w:ascii="Arial" w:cs="Arial" w:eastAsia="Arial" w:hAnsi="Arial"/>
          <w:sz w:val="16"/>
          <w:szCs w:val="16"/>
          <w:color w:val="auto"/>
        </w:rPr>
        <w:t>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Changes in methods of product candidate manufacturing or formulation may result in additional costs or delay.</w:t>
      </w:r>
    </w:p>
    <w:p>
      <w:pPr>
        <w:spacing w:after="0" w:line="99" w:lineRule="exact"/>
        <w:rPr>
          <w:sz w:val="20"/>
          <w:szCs w:val="20"/>
          <w:color w:val="auto"/>
        </w:rPr>
      </w:pPr>
    </w:p>
    <w:p>
      <w:pPr>
        <w:ind w:left="820" w:right="220" w:firstLine="385"/>
        <w:spacing w:after="0" w:line="268" w:lineRule="auto"/>
        <w:rPr>
          <w:sz w:val="20"/>
          <w:szCs w:val="20"/>
          <w:color w:val="auto"/>
        </w:rPr>
      </w:pPr>
      <w:r>
        <w:rPr>
          <w:rFonts w:ascii="Arial" w:cs="Arial" w:eastAsia="Arial" w:hAnsi="Arial"/>
          <w:sz w:val="15"/>
          <w:szCs w:val="15"/>
          <w:color w:val="auto"/>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Even if approved, we may not successfully commercialize our product candidates.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85" w:lineRule="exact"/>
        <w:rPr>
          <w:sz w:val="20"/>
          <w:szCs w:val="20"/>
          <w:color w:val="auto"/>
        </w:rPr>
      </w:pPr>
    </w:p>
    <w:p>
      <w:pPr>
        <w:ind w:left="1660" w:right="100" w:hanging="469"/>
        <w:spacing w:after="0" w:line="25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83" w:lineRule="exact"/>
        <w:rPr>
          <w:rFonts w:ascii="Arial" w:cs="Arial" w:eastAsia="Arial" w:hAnsi="Arial"/>
          <w:sz w:val="16"/>
          <w:szCs w:val="16"/>
          <w:color w:val="auto"/>
        </w:rPr>
      </w:pPr>
    </w:p>
    <w:p>
      <w:pPr>
        <w:ind w:left="1660" w:right="500" w:hanging="469"/>
        <w:spacing w:after="0" w:line="26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it may be difficult to manufacture or market our product candidates on a scale that is necessary to ultimately deliver our products to end-users;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intellectual property and proprietary rights of third parties may preclude us from marketing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nature of our indications as rare diseases means that the potential market size may be limited; and</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third parties may market superior or equivalent drugs which could adversely affect the commercial viability and success of our product candidates.</w:t>
      </w:r>
    </w:p>
    <w:p>
      <w:pPr>
        <w:spacing w:after="0" w:line="252"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4" w:lineRule="exact"/>
        <w:rPr>
          <w:sz w:val="20"/>
          <w:szCs w:val="20"/>
          <w:color w:val="auto"/>
        </w:rPr>
      </w:pPr>
    </w:p>
    <w:p>
      <w:pPr>
        <w:jc w:val="both"/>
        <w:ind w:left="820" w:firstLine="385"/>
        <w:spacing w:after="0" w:line="253" w:lineRule="auto"/>
        <w:rPr>
          <w:sz w:val="20"/>
          <w:szCs w:val="20"/>
          <w:color w:val="auto"/>
        </w:rPr>
      </w:pPr>
      <w:r>
        <w:rPr>
          <w:rFonts w:ascii="Arial" w:cs="Arial" w:eastAsia="Arial" w:hAnsi="Arial"/>
          <w:sz w:val="16"/>
          <w:szCs w:val="16"/>
          <w:color w:val="auto"/>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85" w:lineRule="exact"/>
        <w:rPr>
          <w:sz w:val="20"/>
          <w:szCs w:val="20"/>
          <w:color w:val="auto"/>
        </w:rPr>
      </w:pPr>
    </w:p>
    <w:p>
      <w:pPr>
        <w:ind w:left="1660" w:hanging="469"/>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efficacy and safety profile as demonstrated in clinical trials compared to alternative treatments;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timing of market introduction of the product candidate as well as competitive products;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0420"/>
          </w:cols>
          <w:pgMar w:left="320" w:top="418" w:right="115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clinical indications for which a product candidate is approved;</w:t>
      </w:r>
    </w:p>
    <w:p>
      <w:pPr>
        <w:spacing w:after="0" w:line="110" w:lineRule="exact"/>
        <w:rPr>
          <w:rFonts w:ascii="Arial" w:cs="Arial" w:eastAsia="Arial" w:hAnsi="Arial"/>
          <w:sz w:val="16"/>
          <w:szCs w:val="16"/>
          <w:color w:val="auto"/>
        </w:rPr>
      </w:pPr>
    </w:p>
    <w:p>
      <w:pPr>
        <w:ind w:left="1660" w:right="120" w:hanging="469"/>
        <w:spacing w:after="0" w:line="256" w:lineRule="auto"/>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physicians, hospitals, treatment centers and patients considering our product candidates as a safe, pure and effective treatment;</w:t>
      </w:r>
    </w:p>
    <w:p>
      <w:pPr>
        <w:spacing w:after="0" w:line="122" w:lineRule="exact"/>
        <w:rPr>
          <w:rFonts w:ascii="Arial" w:cs="Arial" w:eastAsia="Arial" w:hAnsi="Arial"/>
          <w:sz w:val="15"/>
          <w:szCs w:val="15"/>
          <w:color w:val="auto"/>
        </w:rPr>
      </w:pPr>
    </w:p>
    <w:p>
      <w:pPr>
        <w:ind w:left="1660" w:right="160" w:hanging="469"/>
        <w:spacing w:after="0" w:line="266" w:lineRule="auto"/>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perceived prevalence and severity of any side effects for our product candidates compared to the prevalence and severity of any side effects for conventional products and other gene therapies;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potential and perceived advantages of our product candidates over alternative treatments;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cost of treatment in relation to alternative treatments;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relative convenience and ease of administration;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willingness of the target patient population or their caregivers to try new therapies and of physicians to prescribe these therapies;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availability of coverage and adequate reimbursement by third-party payors, including government authorities;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patients’ willingness to pay for these therapies in the absence of such coverage and adequate reimbursement;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effectiveness of sales and marketing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support from KOLs and patient advocacy groups;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unfavorable publicity relating to our product candidates;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approval of other new therapies for the same indications.</w:t>
      </w:r>
    </w:p>
    <w:p>
      <w:pPr>
        <w:spacing w:after="0" w:line="193" w:lineRule="exact"/>
        <w:rPr>
          <w:sz w:val="20"/>
          <w:szCs w:val="20"/>
          <w:color w:val="auto"/>
        </w:rPr>
      </w:pPr>
    </w:p>
    <w:p>
      <w:pPr>
        <w:ind w:left="820" w:right="80" w:firstLine="385"/>
        <w:spacing w:after="0" w:line="383" w:lineRule="auto"/>
        <w:rPr>
          <w:sz w:val="20"/>
          <w:szCs w:val="20"/>
          <w:color w:val="auto"/>
        </w:rPr>
      </w:pPr>
      <w:r>
        <w:rPr>
          <w:rFonts w:ascii="Arial" w:cs="Arial" w:eastAsia="Arial" w:hAnsi="Arial"/>
          <w:sz w:val="13"/>
          <w:szCs w:val="13"/>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83"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40"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167"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360"/>
          </w:cols>
          <w:pgMar w:left="320" w:top="418" w:right="121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265" w:lineRule="exact"/>
        <w:rPr>
          <w:sz w:val="20"/>
          <w:szCs w:val="20"/>
          <w:color w:val="auto"/>
        </w:rPr>
      </w:pPr>
    </w:p>
    <w:p>
      <w:pPr>
        <w:ind w:left="1200" w:right="60"/>
        <w:spacing w:after="0" w:line="272" w:lineRule="auto"/>
        <w:rPr>
          <w:sz w:val="20"/>
          <w:szCs w:val="20"/>
          <w:color w:val="auto"/>
        </w:rPr>
      </w:pPr>
      <w:r>
        <w:rPr>
          <w:rFonts w:ascii="Arial" w:cs="Arial" w:eastAsia="Arial" w:hAnsi="Arial"/>
          <w:sz w:val="15"/>
          <w:szCs w:val="15"/>
          <w:b w:val="1"/>
          <w:bCs w:val="1"/>
          <w:i w:val="1"/>
          <w:iCs w:val="1"/>
          <w:color w:val="auto"/>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60" w:lineRule="exact"/>
        <w:rPr>
          <w:sz w:val="20"/>
          <w:szCs w:val="20"/>
          <w:color w:val="auto"/>
        </w:rPr>
      </w:pPr>
    </w:p>
    <w:p>
      <w:pPr>
        <w:ind w:left="820" w:right="20" w:firstLine="385"/>
        <w:spacing w:after="0" w:line="265" w:lineRule="auto"/>
        <w:rPr>
          <w:sz w:val="20"/>
          <w:szCs w:val="20"/>
          <w:color w:val="auto"/>
        </w:rPr>
      </w:pPr>
      <w:r>
        <w:rPr>
          <w:rFonts w:ascii="Arial" w:cs="Arial" w:eastAsia="Arial" w:hAnsi="Arial"/>
          <w:sz w:val="15"/>
          <w:szCs w:val="15"/>
          <w:color w:val="auto"/>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167" w:lineRule="exact"/>
        <w:rPr>
          <w:sz w:val="20"/>
          <w:szCs w:val="20"/>
          <w:color w:val="auto"/>
        </w:rPr>
      </w:pPr>
    </w:p>
    <w:p>
      <w:pPr>
        <w:ind w:left="820" w:right="100" w:firstLine="385"/>
        <w:spacing w:after="0" w:line="275" w:lineRule="auto"/>
        <w:rPr>
          <w:sz w:val="20"/>
          <w:szCs w:val="20"/>
          <w:color w:val="auto"/>
        </w:rPr>
      </w:pPr>
      <w:r>
        <w:rPr>
          <w:rFonts w:ascii="Arial" w:cs="Arial" w:eastAsia="Arial" w:hAnsi="Arial"/>
          <w:sz w:val="15"/>
          <w:szCs w:val="15"/>
          <w:color w:val="auto"/>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247" w:lineRule="exact"/>
        <w:rPr>
          <w:sz w:val="20"/>
          <w:szCs w:val="20"/>
          <w:color w:val="auto"/>
        </w:rPr>
      </w:pPr>
    </w:p>
    <w:p>
      <w:pPr>
        <w:ind w:left="1200" w:right="140"/>
        <w:spacing w:after="0" w:line="266" w:lineRule="auto"/>
        <w:rPr>
          <w:sz w:val="20"/>
          <w:szCs w:val="20"/>
          <w:color w:val="auto"/>
        </w:rPr>
      </w:pPr>
      <w:r>
        <w:rPr>
          <w:rFonts w:ascii="Arial" w:cs="Arial" w:eastAsia="Arial" w:hAnsi="Arial"/>
          <w:sz w:val="16"/>
          <w:szCs w:val="16"/>
          <w:b w:val="1"/>
          <w:bCs w:val="1"/>
          <w:i w:val="1"/>
          <w:iCs w:val="1"/>
          <w:color w:val="auto"/>
        </w:rPr>
        <w:t>Any product candidates we develop may become subject to unfavorable third-party coverage and reimbursement practices, as well as pricing regulations.</w:t>
      </w:r>
    </w:p>
    <w:p>
      <w:pPr>
        <w:spacing w:after="0" w:line="64"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171"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Sales of any of our product candidates that receive marketing approval will depend substantially, both in the United States and internationally, on the extent to which the costs of such product candidates will be covered and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400"/>
          </w:cols>
          <w:pgMar w:left="320" w:top="418" w:right="117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23" w:lineRule="auto"/>
        <w:rPr>
          <w:sz w:val="20"/>
          <w:szCs w:val="20"/>
          <w:color w:val="auto"/>
        </w:rPr>
      </w:pPr>
      <w:r>
        <w:rPr>
          <w:rFonts w:ascii="Arial" w:cs="Arial" w:eastAsia="Arial" w:hAnsi="Arial"/>
          <w:sz w:val="13"/>
          <w:szCs w:val="13"/>
          <w:color w:val="auto"/>
        </w:rPr>
        <w:t>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2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33"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63"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3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0400"/>
          </w:cols>
          <w:pgMar w:left="320" w:top="418" w:right="117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140"/>
        <w:spacing w:after="0" w:line="256" w:lineRule="auto"/>
        <w:rPr>
          <w:sz w:val="20"/>
          <w:szCs w:val="20"/>
          <w:color w:val="auto"/>
        </w:rPr>
      </w:pPr>
      <w:r>
        <w:rPr>
          <w:rFonts w:ascii="Arial" w:cs="Arial" w:eastAsia="Arial" w:hAnsi="Arial"/>
          <w:sz w:val="16"/>
          <w:szCs w:val="16"/>
          <w:b w:val="1"/>
          <w:bCs w:val="1"/>
          <w:i w:val="1"/>
          <w:iCs w:val="1"/>
          <w:color w:val="auto"/>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71"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133"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We may be sued if any of our product candidates cause or are perceived to cause injury or are found to be otherwise unsuitable during clinical testing, manufacturing, marketing, or sale post-approval. Any such product liability claims may include allegations of 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Regardless of the merits or eventual outcome, liability claims may result in:</w:t>
      </w:r>
    </w:p>
    <w:p>
      <w:pPr>
        <w:spacing w:after="0" w:line="111" w:lineRule="exact"/>
        <w:rPr>
          <w:sz w:val="20"/>
          <w:szCs w:val="20"/>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delays in the development of our product candidates;</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FDA, EMA or other regulatory authority investigation of the safety and effectiveness of our products, our manufacturing processes and facilities or our marketing programs;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decreased or interrupted demand for our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withdrawal of clinical trial participants and inability to continue clinical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initiation of investigations by regulators;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exhaustion of any available insurance and our capital resources;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inability to commercialize any products.</w:t>
      </w:r>
    </w:p>
    <w:p>
      <w:pPr>
        <w:spacing w:after="0" w:line="13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0420"/>
          </w:cols>
          <w:pgMar w:left="320" w:top="418" w:right="11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Regulatory Approval and Other Legal Compliance Matters</w:t>
      </w:r>
    </w:p>
    <w:p>
      <w:pPr>
        <w:spacing w:after="0" w:line="197" w:lineRule="exact"/>
        <w:rPr>
          <w:sz w:val="20"/>
          <w:szCs w:val="20"/>
          <w:color w:val="auto"/>
        </w:rPr>
      </w:pPr>
    </w:p>
    <w:p>
      <w:pPr>
        <w:jc w:val="both"/>
        <w:ind w:left="1200" w:right="220"/>
        <w:spacing w:after="0" w:line="256" w:lineRule="auto"/>
        <w:rPr>
          <w:sz w:val="20"/>
          <w:szCs w:val="20"/>
          <w:color w:val="auto"/>
        </w:rPr>
      </w:pPr>
      <w:r>
        <w:rPr>
          <w:rFonts w:ascii="Arial" w:cs="Arial" w:eastAsia="Arial" w:hAnsi="Arial"/>
          <w:sz w:val="16"/>
          <w:szCs w:val="16"/>
          <w:b w:val="1"/>
          <w:bCs w:val="1"/>
          <w:i w:val="1"/>
          <w:iCs w:val="1"/>
          <w:color w:val="auto"/>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1" w:lineRule="exact"/>
        <w:rPr>
          <w:sz w:val="20"/>
          <w:szCs w:val="20"/>
          <w:color w:val="auto"/>
        </w:rPr>
      </w:pPr>
    </w:p>
    <w:p>
      <w:pPr>
        <w:ind w:left="820" w:right="20" w:firstLine="385"/>
        <w:spacing w:after="0" w:line="308" w:lineRule="auto"/>
        <w:rPr>
          <w:sz w:val="20"/>
          <w:szCs w:val="20"/>
          <w:color w:val="auto"/>
        </w:rPr>
      </w:pPr>
      <w:r>
        <w:rPr>
          <w:rFonts w:ascii="Arial" w:cs="Arial" w:eastAsia="Arial" w:hAnsi="Arial"/>
          <w:sz w:val="13"/>
          <w:szCs w:val="13"/>
          <w:color w:val="auto"/>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329" w:lineRule="exact"/>
        <w:rPr>
          <w:sz w:val="20"/>
          <w:szCs w:val="20"/>
          <w:color w:val="auto"/>
        </w:rPr>
      </w:pPr>
    </w:p>
    <w:p>
      <w:pPr>
        <w:ind w:left="820" w:right="140" w:firstLine="385"/>
        <w:spacing w:after="0" w:line="383" w:lineRule="auto"/>
        <w:rPr>
          <w:sz w:val="20"/>
          <w:szCs w:val="20"/>
          <w:color w:val="auto"/>
        </w:rPr>
      </w:pPr>
      <w:r>
        <w:rPr>
          <w:rFonts w:ascii="Arial" w:cs="Arial" w:eastAsia="Arial" w:hAnsi="Arial"/>
          <w:sz w:val="13"/>
          <w:szCs w:val="13"/>
          <w:color w:val="auto"/>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6" w:lineRule="exact"/>
        <w:rPr>
          <w:sz w:val="20"/>
          <w:szCs w:val="20"/>
          <w:color w:val="auto"/>
        </w:rPr>
      </w:pPr>
    </w:p>
    <w:p>
      <w:pPr>
        <w:ind w:left="1660" w:right="12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disagree with the design, implementation or results of our clinical trials;</w:t>
      </w:r>
    </w:p>
    <w:p>
      <w:pPr>
        <w:spacing w:after="0" w:line="75" w:lineRule="exact"/>
        <w:rPr>
          <w:rFonts w:ascii="Arial" w:cs="Arial" w:eastAsia="Arial" w:hAnsi="Arial"/>
          <w:sz w:val="16"/>
          <w:szCs w:val="16"/>
          <w:color w:val="auto"/>
        </w:rPr>
      </w:pPr>
    </w:p>
    <w:p>
      <w:pPr>
        <w:ind w:left="1660" w:hanging="469"/>
        <w:spacing w:after="0" w:line="25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83"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population studied in the clinical trial may not be sufficiently broad or representative to assure efficacy and safety in the full population for which we seek approval;</w:t>
      </w:r>
    </w:p>
    <w:p>
      <w:pPr>
        <w:spacing w:after="0" w:line="75"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FDA, EMA or other comparable foreign regulatory authorities may disagree with our interpretation of data from preclinical studies or clinical trials;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may be unable to demonstrate to the FDA, EMA or other comparable foreign regulatory authorities that our product candidate’s risk-benefit ratio for its proposed indication is acceptable;</w:t>
      </w:r>
    </w:p>
    <w:p>
      <w:pPr>
        <w:spacing w:after="0" w:line="75" w:lineRule="exact"/>
        <w:rPr>
          <w:rFonts w:ascii="Arial" w:cs="Arial" w:eastAsia="Arial" w:hAnsi="Arial"/>
          <w:sz w:val="16"/>
          <w:szCs w:val="16"/>
          <w:color w:val="auto"/>
        </w:rPr>
      </w:pPr>
    </w:p>
    <w:p>
      <w:pPr>
        <w:ind w:left="1660" w:right="220" w:hanging="469"/>
        <w:spacing w:after="0" w:line="383" w:lineRule="auto"/>
        <w:tabs>
          <w:tab w:leader="none" w:pos="1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6" w:lineRule="exact"/>
        <w:rPr>
          <w:rFonts w:ascii="Arial" w:cs="Arial" w:eastAsia="Arial" w:hAnsi="Arial"/>
          <w:sz w:val="13"/>
          <w:szCs w:val="13"/>
          <w:color w:val="auto"/>
        </w:rPr>
      </w:pPr>
    </w:p>
    <w:p>
      <w:pPr>
        <w:ind w:left="1660" w:right="280" w:hanging="469"/>
        <w:spacing w:after="0" w:line="266"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approval policies or regulations of the FDA, EMA or other comparable foreign regulatory authorities may significantly change in a manner rendering our clinical data insufficient for approval.</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420"/>
          </w:cols>
          <w:pgMar w:left="320" w:top="418" w:right="115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63"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218"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The FDA, EMA and other comparable foreign regulatory authorities may not accept data from trials conducted in locations outside of their jurisdiction.</w:t>
      </w:r>
    </w:p>
    <w:p>
      <w:pPr>
        <w:spacing w:after="0" w:line="64"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26" w:lineRule="exact"/>
        <w:rPr>
          <w:sz w:val="20"/>
          <w:szCs w:val="20"/>
          <w:color w:val="auto"/>
        </w:rPr>
      </w:pPr>
    </w:p>
    <w:p>
      <w:pPr>
        <w:ind w:left="1200" w:right="360"/>
        <w:spacing w:after="0" w:line="266" w:lineRule="auto"/>
        <w:rPr>
          <w:sz w:val="20"/>
          <w:szCs w:val="20"/>
          <w:color w:val="auto"/>
        </w:rPr>
      </w:pPr>
      <w:r>
        <w:rPr>
          <w:rFonts w:ascii="Arial" w:cs="Arial" w:eastAsia="Arial" w:hAnsi="Arial"/>
          <w:sz w:val="16"/>
          <w:szCs w:val="16"/>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4"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59" w:lineRule="exact"/>
        <w:rPr>
          <w:sz w:val="20"/>
          <w:szCs w:val="20"/>
          <w:color w:val="auto"/>
        </w:rPr>
      </w:pPr>
    </w:p>
    <w:p>
      <w:pPr>
        <w:ind w:left="820" w:right="580" w:firstLine="385"/>
        <w:spacing w:after="0" w:line="266" w:lineRule="auto"/>
        <w:rPr>
          <w:sz w:val="20"/>
          <w:szCs w:val="20"/>
          <w:color w:val="auto"/>
        </w:rPr>
      </w:pPr>
      <w:r>
        <w:rPr>
          <w:rFonts w:ascii="Arial" w:cs="Arial" w:eastAsia="Arial" w:hAnsi="Arial"/>
          <w:sz w:val="16"/>
          <w:szCs w:val="16"/>
          <w:color w:val="auto"/>
        </w:rPr>
        <w:t>Obtaining foreign regulatory approvals and establishing and maintaining compliance with foreign regulatory requirements could result in significant delays, difficulties and costs for us and could delay or prevent the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0400"/>
          </w:cols>
          <w:pgMar w:left="320" w:top="418" w:right="117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6" w:lineRule="auto"/>
        <w:rPr>
          <w:sz w:val="20"/>
          <w:szCs w:val="20"/>
          <w:color w:val="auto"/>
        </w:rPr>
      </w:pPr>
      <w:r>
        <w:rPr>
          <w:rFonts w:ascii="Arial" w:cs="Arial" w:eastAsia="Arial" w:hAnsi="Arial"/>
          <w:sz w:val="16"/>
          <w:szCs w:val="16"/>
          <w:color w:val="auto"/>
        </w:rPr>
        <w:t>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260" w:lineRule="exact"/>
        <w:rPr>
          <w:sz w:val="20"/>
          <w:szCs w:val="20"/>
          <w:color w:val="auto"/>
        </w:rPr>
      </w:pPr>
    </w:p>
    <w:p>
      <w:pPr>
        <w:ind w:left="1200" w:right="160"/>
        <w:spacing w:after="0" w:line="378" w:lineRule="auto"/>
        <w:rPr>
          <w:sz w:val="20"/>
          <w:szCs w:val="20"/>
          <w:color w:val="auto"/>
        </w:rPr>
      </w:pPr>
      <w:r>
        <w:rPr>
          <w:rFonts w:ascii="Arial" w:cs="Arial" w:eastAsia="Arial" w:hAnsi="Arial"/>
          <w:sz w:val="13"/>
          <w:szCs w:val="13"/>
          <w:b w:val="1"/>
          <w:bCs w:val="1"/>
          <w:i w:val="1"/>
          <w:iCs w:val="1"/>
          <w:color w:val="auto"/>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1"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5"/>
          <w:szCs w:val="15"/>
          <w:color w:val="auto"/>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 In addition, we may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163" w:lineRule="exact"/>
        <w:rPr>
          <w:sz w:val="20"/>
          <w:szCs w:val="20"/>
          <w:color w:val="auto"/>
        </w:rPr>
      </w:pPr>
    </w:p>
    <w:p>
      <w:pPr>
        <w:ind w:left="820" w:right="80" w:firstLine="385"/>
        <w:spacing w:after="0" w:line="268" w:lineRule="auto"/>
        <w:rPr>
          <w:sz w:val="20"/>
          <w:szCs w:val="20"/>
          <w:color w:val="auto"/>
        </w:rPr>
      </w:pPr>
      <w:r>
        <w:rPr>
          <w:rFonts w:ascii="Arial" w:cs="Arial" w:eastAsia="Arial" w:hAnsi="Arial"/>
          <w:sz w:val="15"/>
          <w:szCs w:val="15"/>
          <w:color w:val="auto"/>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55" w:lineRule="exact"/>
        <w:rPr>
          <w:sz w:val="20"/>
          <w:szCs w:val="20"/>
          <w:color w:val="auto"/>
        </w:rPr>
      </w:pPr>
    </w:p>
    <w:p>
      <w:pPr>
        <w:ind w:left="1200" w:right="300"/>
        <w:spacing w:after="0" w:line="266"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they will be subject to significant post-marketing regulatory requirements and oversight.</w:t>
      </w:r>
    </w:p>
    <w:p>
      <w:pPr>
        <w:spacing w:after="0" w:line="64"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w:t>
      </w:r>
    </w:p>
    <w:p>
      <w:pPr>
        <w:spacing w:after="0" w:line="2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0420"/>
          </w:cols>
          <w:pgMar w:left="320" w:top="418" w:right="115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343" w:lineRule="auto"/>
        <w:rPr>
          <w:sz w:val="20"/>
          <w:szCs w:val="20"/>
          <w:color w:val="auto"/>
        </w:rPr>
      </w:pPr>
      <w:r>
        <w:rPr>
          <w:rFonts w:ascii="Arial" w:cs="Arial" w:eastAsia="Arial" w:hAnsi="Arial"/>
          <w:sz w:val="13"/>
          <w:szCs w:val="13"/>
          <w:color w:val="auto"/>
        </w:rPr>
        <w:t>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31" w:lineRule="exact"/>
        <w:rPr>
          <w:sz w:val="20"/>
          <w:szCs w:val="20"/>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delays in or the rejection of product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restrictions on our ability to conduct clinical trials, including full or partial clinical holds on ongoing or planned trials;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restrictions on the products, manufacturers or manufacturing process;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warning or untitled letters;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civil and criminal penalties;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injunctions;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suspension or withdrawal of regulatory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 seizures, detentions or import bans;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voluntary or mandatory product recalls and publicity requirements;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total or partial suspension of production;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imposition of restrictions on operations, including costly new manufacturing requirements.</w:t>
      </w:r>
    </w:p>
    <w:p>
      <w:pPr>
        <w:spacing w:after="0" w:line="193" w:lineRule="exact"/>
        <w:rPr>
          <w:sz w:val="20"/>
          <w:szCs w:val="20"/>
          <w:color w:val="auto"/>
        </w:rPr>
      </w:pPr>
    </w:p>
    <w:p>
      <w:pPr>
        <w:ind w:left="820" w:right="280" w:firstLine="385"/>
        <w:spacing w:after="0" w:line="343" w:lineRule="auto"/>
        <w:rPr>
          <w:sz w:val="20"/>
          <w:szCs w:val="20"/>
          <w:color w:val="auto"/>
        </w:rPr>
      </w:pPr>
      <w:r>
        <w:rPr>
          <w:rFonts w:ascii="Arial" w:cs="Arial" w:eastAsia="Arial" w:hAnsi="Arial"/>
          <w:sz w:val="13"/>
          <w:szCs w:val="13"/>
          <w:color w:val="auto"/>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208" w:lineRule="exact"/>
        <w:rPr>
          <w:sz w:val="20"/>
          <w:szCs w:val="20"/>
          <w:color w:val="auto"/>
        </w:rPr>
      </w:pPr>
    </w:p>
    <w:p>
      <w:pPr>
        <w:ind w:left="1200" w:right="140"/>
        <w:spacing w:after="0" w:line="256" w:lineRule="auto"/>
        <w:rPr>
          <w:sz w:val="20"/>
          <w:szCs w:val="20"/>
          <w:color w:val="auto"/>
        </w:rPr>
      </w:pPr>
      <w:r>
        <w:rPr>
          <w:rFonts w:ascii="Arial" w:cs="Arial" w:eastAsia="Arial" w:hAnsi="Arial"/>
          <w:sz w:val="16"/>
          <w:szCs w:val="16"/>
          <w:b w:val="1"/>
          <w:bCs w:val="1"/>
          <w:i w:val="1"/>
          <w:iCs w:val="1"/>
          <w:color w:val="auto"/>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71"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328" w:lineRule="exact"/>
        <w:rPr>
          <w:sz w:val="20"/>
          <w:szCs w:val="20"/>
          <w:color w:val="auto"/>
        </w:rPr>
      </w:pPr>
    </w:p>
    <w:p>
      <w:pPr>
        <w:jc w:val="both"/>
        <w:ind w:left="820" w:right="180" w:firstLine="385"/>
        <w:spacing w:after="0" w:line="256" w:lineRule="auto"/>
        <w:rPr>
          <w:sz w:val="20"/>
          <w:szCs w:val="20"/>
          <w:color w:val="auto"/>
        </w:rPr>
      </w:pPr>
      <w:r>
        <w:rPr>
          <w:rFonts w:ascii="Arial" w:cs="Arial" w:eastAsia="Arial" w:hAnsi="Arial"/>
          <w:sz w:val="16"/>
          <w:szCs w:val="16"/>
          <w:color w:val="auto"/>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0420"/>
          </w:cols>
          <w:pgMar w:left="320" w:top="418" w:right="11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5" w:lineRule="auto"/>
        <w:rPr>
          <w:sz w:val="20"/>
          <w:szCs w:val="20"/>
          <w:color w:val="auto"/>
        </w:rPr>
      </w:pPr>
      <w:r>
        <w:rPr>
          <w:rFonts w:ascii="Arial" w:cs="Arial" w:eastAsia="Arial" w:hAnsi="Arial"/>
          <w:sz w:val="15"/>
          <w:szCs w:val="15"/>
          <w:color w:val="auto"/>
        </w:rPr>
        <w:t>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10 years in Europe. The European exclusivity period can be reduced to six years if a drug no longer meets the criteria for orphan drug designation or if the drug is sufficiently profitable so that market exclusivity is no longer justified.</w:t>
      </w:r>
    </w:p>
    <w:p>
      <w:pPr>
        <w:spacing w:after="0" w:line="153"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 xml:space="preserve">The FDA has granted orphan drug designation for TN-201, the most advanced product candidate from our </w:t>
      </w:r>
      <w:r>
        <w:rPr>
          <w:rFonts w:ascii="Arial" w:cs="Arial" w:eastAsia="Arial" w:hAnsi="Arial"/>
          <w:sz w:val="15"/>
          <w:szCs w:val="15"/>
          <w:i w:val="1"/>
          <w:iCs w:val="1"/>
          <w:color w:val="auto"/>
        </w:rPr>
        <w:t>MYBPC3</w:t>
      </w:r>
      <w:r>
        <w:rPr>
          <w:rFonts w:ascii="Arial" w:cs="Arial" w:eastAsia="Arial" w:hAnsi="Arial"/>
          <w:sz w:val="15"/>
          <w:szCs w:val="15"/>
          <w:color w:val="auto"/>
        </w:rPr>
        <w:t xml:space="preserve">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face difficulties from changes to current FDA and healthcare regulations and future legislation.</w:t>
      </w:r>
    </w:p>
    <w:p>
      <w:pPr>
        <w:spacing w:after="0" w:line="99"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0"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15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0420"/>
          </w:cols>
          <w:pgMar w:left="320" w:top="418" w:right="11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4" w:lineRule="auto"/>
        <w:rPr>
          <w:sz w:val="20"/>
          <w:szCs w:val="20"/>
          <w:color w:val="auto"/>
        </w:rPr>
      </w:pPr>
      <w:r>
        <w:rPr>
          <w:rFonts w:ascii="Arial" w:cs="Arial" w:eastAsia="Arial" w:hAnsi="Arial"/>
          <w:sz w:val="13"/>
          <w:szCs w:val="13"/>
          <w:color w:val="auto"/>
        </w:rPr>
        <w:t>significantly impact the U.S. pharmaceutical industry. Since its enactment, there have been judicial and Congressional challenges to certain aspects of the ACA. For example, various portions of the ACA are currently undergoing legal and constitutional challenges in the United States Supreme Court. Although the Supreme Court has not yet ruled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the Supreme Court will rule on these challenges, how future litigation will impact our business, or what other healthcare measures and regulations will ultimately be implemented at the federal or state level or the effect of any future legislation or regulation may have on our business.</w:t>
      </w:r>
    </w:p>
    <w:p>
      <w:pPr>
        <w:spacing w:after="0" w:line="322"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2030, with the exception of a temporary suspension implemented under various COVID-19 relief legislation from May 1, 2020 through the end of 2021,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131" w:lineRule="exact"/>
        <w:rPr>
          <w:sz w:val="20"/>
          <w:szCs w:val="20"/>
          <w:color w:val="auto"/>
        </w:rPr>
      </w:pPr>
    </w:p>
    <w:p>
      <w:pPr>
        <w:ind w:left="820" w:right="120" w:firstLine="385"/>
        <w:spacing w:after="0" w:line="306" w:lineRule="auto"/>
        <w:rPr>
          <w:sz w:val="20"/>
          <w:szCs w:val="20"/>
          <w:color w:val="auto"/>
        </w:rPr>
      </w:pPr>
      <w:r>
        <w:rPr>
          <w:rFonts w:ascii="Arial" w:cs="Arial" w:eastAsia="Arial" w:hAnsi="Arial"/>
          <w:sz w:val="13"/>
          <w:szCs w:val="13"/>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w:t>
      </w:r>
    </w:p>
    <w:p>
      <w:pPr>
        <w:spacing w:after="0" w:line="2" w:lineRule="exact"/>
        <w:rPr>
          <w:sz w:val="20"/>
          <w:szCs w:val="20"/>
          <w:color w:val="auto"/>
        </w:rPr>
      </w:pPr>
    </w:p>
    <w:p>
      <w:pPr>
        <w:ind w:left="820"/>
        <w:spacing w:after="0" w:line="309" w:lineRule="auto"/>
        <w:rPr>
          <w:sz w:val="20"/>
          <w:szCs w:val="20"/>
          <w:color w:val="auto"/>
        </w:rPr>
      </w:pPr>
      <w:r>
        <w:rPr>
          <w:rFonts w:ascii="Arial" w:cs="Arial" w:eastAsia="Arial" w:hAnsi="Arial"/>
          <w:sz w:val="13"/>
          <w:szCs w:val="13"/>
          <w:color w:val="auto"/>
        </w:rPr>
        <w:t>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Biden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The impact of these lawsuits as well as legislative, executive, and administrative actions of the Biden administration on us and the pharmaceutical industry as a whole is unclear.</w:t>
      </w:r>
    </w:p>
    <w:p>
      <w:pPr>
        <w:spacing w:after="0" w:line="324" w:lineRule="exact"/>
        <w:rPr>
          <w:sz w:val="20"/>
          <w:szCs w:val="20"/>
          <w:color w:val="auto"/>
        </w:rPr>
      </w:pPr>
    </w:p>
    <w:p>
      <w:pPr>
        <w:ind w:left="820" w:right="200" w:firstLine="385"/>
        <w:spacing w:after="0" w:line="275" w:lineRule="auto"/>
        <w:rPr>
          <w:sz w:val="20"/>
          <w:szCs w:val="20"/>
          <w:color w:val="auto"/>
        </w:rPr>
      </w:pPr>
      <w:r>
        <w:rPr>
          <w:rFonts w:ascii="Arial" w:cs="Arial" w:eastAsia="Arial" w:hAnsi="Arial"/>
          <w:sz w:val="15"/>
          <w:szCs w:val="15"/>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We are unable to predict the future course of federal or state healthcare legislation in the United States directed at broadening the availability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0420"/>
          </w:cols>
          <w:pgMar w:left="320" w:top="418" w:right="11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spacing w:after="0" w:line="383" w:lineRule="auto"/>
        <w:rPr>
          <w:sz w:val="20"/>
          <w:szCs w:val="20"/>
          <w:color w:val="auto"/>
        </w:rPr>
      </w:pPr>
      <w:r>
        <w:rPr>
          <w:rFonts w:ascii="Arial" w:cs="Arial" w:eastAsia="Arial" w:hAnsi="Arial"/>
          <w:sz w:val="13"/>
          <w:szCs w:val="13"/>
          <w:color w:val="auto"/>
        </w:rPr>
        <w:t>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9"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154"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49" w:lineRule="exact"/>
        <w:rPr>
          <w:sz w:val="20"/>
          <w:szCs w:val="20"/>
          <w:color w:val="auto"/>
        </w:rPr>
      </w:pPr>
    </w:p>
    <w:p>
      <w:pPr>
        <w:ind w:left="1200" w:right="420"/>
        <w:spacing w:after="0" w:line="275" w:lineRule="auto"/>
        <w:rPr>
          <w:sz w:val="20"/>
          <w:szCs w:val="20"/>
          <w:color w:val="auto"/>
        </w:rPr>
      </w:pPr>
      <w:r>
        <w:rPr>
          <w:rFonts w:ascii="Arial" w:cs="Arial" w:eastAsia="Arial" w:hAnsi="Arial"/>
          <w:sz w:val="15"/>
          <w:szCs w:val="15"/>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58"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167"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European Court of Justice (ECJ) invalidated the EU-U.S. Privacy Shield, which had enabled the transfer of personal data from the European Union to the United States for companies that had self-certified to the Privacy Shield. The ECJ decision also raised questions about the continued validity of one of the primary</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0420"/>
          </w:cols>
          <w:pgMar w:left="320" w:top="418" w:right="11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314" w:lineRule="auto"/>
        <w:rPr>
          <w:sz w:val="20"/>
          <w:szCs w:val="20"/>
          <w:color w:val="auto"/>
        </w:rPr>
      </w:pPr>
      <w:r>
        <w:rPr>
          <w:rFonts w:ascii="Arial" w:cs="Arial" w:eastAsia="Arial" w:hAnsi="Arial"/>
          <w:sz w:val="13"/>
          <w:szCs w:val="13"/>
          <w:color w:val="auto"/>
        </w:rPr>
        <w:t>alternatives to the EU-U.S. Privacy Shield, namely the European Commission’s Standard Contractual Clauses, and EU regulators have issued additional guidance regarding considerations and requirements that we and other companies must consider and undertake when using the Standard Contractual Clauses. Although the European Union has presented a new draft set of contractual clauses, at present, there are few, if any, viable alternatives to the EU-U.S. Privacy Shield and the Standard Contractual Clauses and it remains to be seen whether additional means for lawful data transfers will become available. To the extent that we were to rely on the EU-U.S. or Swiss-U.S. Privacy Shield programs, we will not be able to do so in the future, and the ECJ’s decision and other regulatory guidance or developments otherwise may impose additional obligations with respect to the transfer of personal data from the European Union and Switzerland to the United States, each of which could restrict our activities in those jurisdictions, limit our ability to provide our products and services in those jurisdictions, or increase our costs and obligations and impose limitations upon our ability to efficiently transfer personal data from the European Union and Switzerland to the United States.</w:t>
      </w:r>
    </w:p>
    <w:p>
      <w:pPr>
        <w:spacing w:after="0" w:line="322"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Additionally, under the post-Brexit Trade and Cooperation Agreement between the European Union and the United Kingdom, the United Kingdom and European Union have agreed that transfers of personal data to the United Kingdom from EEA member states will not be treated as ‘restricted transfers’ to a non-EEA country for a period that, including an extension, has a maximum duration of six months from January 1, 2021 (the “Extended Adequacy Assessment Period”). Although the current maximum duration of the Extended Adequacy Assessment Period is six months, it may end sooner, for example, in the event that the European Commission adopts an ‘adequacy decision’ in respect of the United Kingdom, or the United Kingdom amends the UK GDPR and/or makes certain changes regarding data transfers under the UK GDPR/Data Protection Act 2018 without the consent of the European Union (unless those amendments or decisions are made simply to keep relevant UK laws aligned with the EU’s data protection regime). If the European Commission does not adopt an ‘adequacy decision’ in respect of the United Kingdom prior to the expiry of the Extended Adequacy Assessment Period, from that point onwards the United Kingdom will be an ‘inadequate third country’ under the GDPR and transfers of personal data from the EEA to the United Kingdom will require a ‘transfer mechanism’ such as the Standard Contractual Clauses. As of January 1, 2021, the United Kingdom is a ‘third country’ under the GDPR, and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200" w:lineRule="exact"/>
        <w:rPr>
          <w:sz w:val="20"/>
          <w:szCs w:val="20"/>
          <w:color w:val="auto"/>
        </w:rPr>
      </w:pPr>
    </w:p>
    <w:p>
      <w:pPr>
        <w:spacing w:after="0" w:line="319" w:lineRule="exact"/>
        <w:rPr>
          <w:sz w:val="20"/>
          <w:szCs w:val="20"/>
          <w:color w:val="auto"/>
        </w:rPr>
      </w:pPr>
    </w:p>
    <w:p>
      <w:pPr>
        <w:ind w:left="820" w:right="60" w:firstLine="385"/>
        <w:spacing w:after="0" w:line="312" w:lineRule="auto"/>
        <w:rPr>
          <w:sz w:val="20"/>
          <w:szCs w:val="20"/>
          <w:color w:val="auto"/>
        </w:rPr>
      </w:pPr>
      <w:r>
        <w:rPr>
          <w:rFonts w:ascii="Arial" w:cs="Arial" w:eastAsia="Arial" w:hAnsi="Arial"/>
          <w:sz w:val="13"/>
          <w:szCs w:val="13"/>
          <w:color w:val="auto"/>
        </w:rPr>
        <w:t>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w:t>
      </w:r>
    </w:p>
    <w:p>
      <w:pPr>
        <w:spacing w:after="0" w:line="7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0420"/>
          </w:cols>
          <w:pgMar w:left="320" w:top="418" w:right="11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312" w:lineRule="auto"/>
        <w:rPr>
          <w:sz w:val="20"/>
          <w:szCs w:val="20"/>
          <w:color w:val="auto"/>
        </w:rPr>
      </w:pPr>
      <w:r>
        <w:rPr>
          <w:rFonts w:ascii="Arial" w:cs="Arial" w:eastAsia="Arial" w:hAnsi="Arial"/>
          <w:sz w:val="13"/>
          <w:szCs w:val="13"/>
          <w:color w:val="auto"/>
        </w:rPr>
        <w:t>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w:t>
      </w:r>
    </w:p>
    <w:p>
      <w:pPr>
        <w:spacing w:after="0" w:line="32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 violations may also put our or our customers’ data, including personal data, at risk, which could in turn have an adverse effect on our business.</w:t>
      </w:r>
    </w:p>
    <w:p>
      <w:pPr>
        <w:spacing w:after="0" w:line="13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257" w:lineRule="exact"/>
        <w:rPr>
          <w:sz w:val="20"/>
          <w:szCs w:val="20"/>
          <w:color w:val="auto"/>
        </w:rPr>
      </w:pPr>
    </w:p>
    <w:p>
      <w:pPr>
        <w:ind w:left="1200" w:right="220"/>
        <w:spacing w:after="0" w:line="253" w:lineRule="auto"/>
        <w:rPr>
          <w:sz w:val="20"/>
          <w:szCs w:val="20"/>
          <w:color w:val="auto"/>
        </w:rPr>
      </w:pPr>
      <w:r>
        <w:rPr>
          <w:rFonts w:ascii="Arial" w:cs="Arial" w:eastAsia="Arial" w:hAnsi="Arial"/>
          <w:sz w:val="16"/>
          <w:szCs w:val="16"/>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3"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820" w:right="580" w:firstLine="385"/>
        <w:spacing w:after="0" w:line="266" w:lineRule="auto"/>
        <w:rPr>
          <w:sz w:val="20"/>
          <w:szCs w:val="20"/>
          <w:color w:val="auto"/>
        </w:rPr>
      </w:pPr>
      <w:r>
        <w:rPr>
          <w:rFonts w:ascii="Arial" w:cs="Arial" w:eastAsia="Arial" w:hAnsi="Arial"/>
          <w:sz w:val="16"/>
          <w:szCs w:val="16"/>
          <w:color w:val="auto"/>
        </w:rPr>
        <w:t>Disruptions at the FDA and other agencies may also slow the time necessary for new drugs to be reviewed and/or approved by necessary government agencies, which would adversely affect our business. For example, in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0380"/>
          </w:cols>
          <w:pgMar w:left="320" w:top="418" w:right="119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72" w:lineRule="auto"/>
        <w:rPr>
          <w:sz w:val="20"/>
          <w:szCs w:val="20"/>
          <w:color w:val="auto"/>
        </w:rPr>
      </w:pPr>
      <w:r>
        <w:rPr>
          <w:rFonts w:ascii="Arial" w:cs="Arial" w:eastAsia="Arial" w:hAnsi="Arial"/>
          <w:sz w:val="15"/>
          <w:szCs w:val="15"/>
          <w:color w:val="auto"/>
        </w:rPr>
        <w:t>recent years, including in 2018 and 2019,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49" w:lineRule="exact"/>
        <w:rPr>
          <w:sz w:val="20"/>
          <w:szCs w:val="20"/>
          <w:color w:val="auto"/>
        </w:rPr>
      </w:pPr>
    </w:p>
    <w:p>
      <w:pPr>
        <w:ind w:left="1200"/>
        <w:spacing w:after="0" w:line="272" w:lineRule="auto"/>
        <w:rPr>
          <w:sz w:val="20"/>
          <w:szCs w:val="20"/>
          <w:color w:val="auto"/>
        </w:rPr>
      </w:pPr>
      <w:r>
        <w:rPr>
          <w:rFonts w:ascii="Arial" w:cs="Arial" w:eastAsia="Arial" w:hAnsi="Arial"/>
          <w:sz w:val="15"/>
          <w:szCs w:val="15"/>
          <w:b w:val="1"/>
          <w:bCs w:val="1"/>
          <w:i w:val="1"/>
          <w:iCs w:val="1"/>
          <w:color w:val="auto"/>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60"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43" w:lineRule="exact"/>
        <w:rPr>
          <w:sz w:val="20"/>
          <w:szCs w:val="20"/>
          <w:color w:val="auto"/>
        </w:rPr>
      </w:pPr>
    </w:p>
    <w:p>
      <w:pPr>
        <w:ind w:left="1660" w:right="120" w:hanging="469"/>
        <w:spacing w:after="0" w:line="253" w:lineRule="auto"/>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4" w:lineRule="exact"/>
        <w:rPr>
          <w:rFonts w:ascii="Arial" w:cs="Arial" w:eastAsia="Arial" w:hAnsi="Arial"/>
          <w:sz w:val="16"/>
          <w:szCs w:val="16"/>
          <w:color w:val="auto"/>
        </w:rPr>
      </w:pPr>
    </w:p>
    <w:p>
      <w:pPr>
        <w:ind w:left="1660" w:hanging="469"/>
        <w:spacing w:after="0" w:line="253" w:lineRule="auto"/>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4" w:lineRule="exact"/>
        <w:rPr>
          <w:rFonts w:ascii="Arial" w:cs="Arial" w:eastAsia="Arial" w:hAnsi="Arial"/>
          <w:sz w:val="16"/>
          <w:szCs w:val="16"/>
          <w:color w:val="auto"/>
        </w:rPr>
      </w:pPr>
    </w:p>
    <w:p>
      <w:pPr>
        <w:ind w:left="1660" w:right="140" w:hanging="469"/>
        <w:spacing w:after="0" w:line="383" w:lineRule="auto"/>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6" w:lineRule="exact"/>
        <w:rPr>
          <w:rFonts w:ascii="Arial" w:cs="Arial" w:eastAsia="Arial" w:hAnsi="Arial"/>
          <w:sz w:val="13"/>
          <w:szCs w:val="13"/>
          <w:color w:val="auto"/>
        </w:rPr>
      </w:pPr>
    </w:p>
    <w:p>
      <w:pPr>
        <w:ind w:left="1660" w:right="40" w:hanging="469"/>
        <w:spacing w:after="0" w:line="272" w:lineRule="auto"/>
        <w:tabs>
          <w:tab w:leader="none" w:pos="166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1" w:lineRule="exact"/>
        <w:rPr>
          <w:rFonts w:ascii="Arial" w:cs="Arial" w:eastAsia="Arial" w:hAnsi="Arial"/>
          <w:sz w:val="15"/>
          <w:szCs w:val="15"/>
          <w:color w:val="auto"/>
        </w:rPr>
      </w:pPr>
    </w:p>
    <w:p>
      <w:pPr>
        <w:ind w:left="1660" w:right="140" w:hanging="469"/>
        <w:spacing w:after="0" w:line="329" w:lineRule="auto"/>
        <w:tabs>
          <w:tab w:leader="none" w:pos="16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40" w:lineRule="exact"/>
        <w:rPr>
          <w:rFonts w:ascii="Arial" w:cs="Arial" w:eastAsia="Arial" w:hAnsi="Arial"/>
          <w:sz w:val="13"/>
          <w:szCs w:val="13"/>
          <w:color w:val="auto"/>
        </w:rPr>
      </w:pPr>
    </w:p>
    <w:p>
      <w:pPr>
        <w:ind w:left="1660" w:right="40" w:hanging="469"/>
        <w:spacing w:after="0" w:line="266" w:lineRule="auto"/>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federal consumer protection and unfair competition laws, which broadly regulate marketplace activities and activities that potentially harm consumers;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0420"/>
          </w:cols>
          <w:pgMar w:left="320" w:top="418" w:right="115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20" w:hanging="469"/>
        <w:spacing w:after="0" w:line="267"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with data reporting in 2022, reporting obligations with respect to covered recipients will be expanded to include physician assistants, nurse practitioners, clinical nurse specialists, certified registered nurse anesthetists and anesthesiologist assistants, and certified nurse midwives for payments and transfers of value made during the previous year; and</w:t>
      </w:r>
    </w:p>
    <w:p>
      <w:pPr>
        <w:spacing w:after="0" w:line="80" w:lineRule="exact"/>
        <w:rPr>
          <w:rFonts w:ascii="Arial" w:cs="Arial" w:eastAsia="Arial" w:hAnsi="Arial"/>
          <w:sz w:val="15"/>
          <w:szCs w:val="15"/>
          <w:color w:val="auto"/>
        </w:rPr>
      </w:pPr>
    </w:p>
    <w:p>
      <w:pPr>
        <w:ind w:left="1660" w:right="20" w:hanging="469"/>
        <w:spacing w:after="0" w:line="267" w:lineRule="auto"/>
        <w:tabs>
          <w:tab w:leader="none" w:pos="16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163"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00" w:lineRule="exact"/>
        <w:rPr>
          <w:sz w:val="20"/>
          <w:szCs w:val="20"/>
          <w:color w:val="auto"/>
        </w:rPr>
      </w:pPr>
    </w:p>
    <w:p>
      <w:pPr>
        <w:spacing w:after="0" w:line="218" w:lineRule="exact"/>
        <w:rPr>
          <w:sz w:val="20"/>
          <w:szCs w:val="20"/>
          <w:color w:val="auto"/>
        </w:rPr>
      </w:pPr>
    </w:p>
    <w:p>
      <w:pPr>
        <w:jc w:val="both"/>
        <w:ind w:left="1200" w:right="520"/>
        <w:spacing w:after="0" w:line="378" w:lineRule="auto"/>
        <w:rPr>
          <w:sz w:val="20"/>
          <w:szCs w:val="20"/>
          <w:color w:val="auto"/>
        </w:rPr>
      </w:pPr>
      <w:r>
        <w:rPr>
          <w:rFonts w:ascii="Arial" w:cs="Arial" w:eastAsia="Arial" w:hAnsi="Arial"/>
          <w:sz w:val="13"/>
          <w:szCs w:val="13"/>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0440"/>
          </w:cols>
          <w:pgMar w:left="320" w:top="418" w:right="11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6" w:lineRule="auto"/>
        <w:rPr>
          <w:sz w:val="20"/>
          <w:szCs w:val="20"/>
          <w:color w:val="auto"/>
        </w:rPr>
      </w:pPr>
      <w:r>
        <w:rPr>
          <w:rFonts w:ascii="Arial" w:cs="Arial" w:eastAsia="Arial" w:hAnsi="Arial"/>
          <w:sz w:val="15"/>
          <w:szCs w:val="15"/>
          <w:color w:val="auto"/>
        </w:rPr>
        <w:t>sales commission, customer incentive programs and other business arrangements. Misconduct by these parties could also involve the improper use of information obtained in the course of clinical trials, which could result in regulatory sanctions and serious harm to our reputation. We will adopt a code of conduct, which will become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58" w:lineRule="exact"/>
        <w:rPr>
          <w:sz w:val="20"/>
          <w:szCs w:val="20"/>
          <w:color w:val="auto"/>
        </w:rPr>
      </w:pPr>
    </w:p>
    <w:p>
      <w:pPr>
        <w:ind w:left="1200" w:right="220"/>
        <w:spacing w:after="0" w:line="266"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64"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6" w:lineRule="exact"/>
        <w:rPr>
          <w:sz w:val="20"/>
          <w:szCs w:val="20"/>
          <w:color w:val="auto"/>
        </w:rPr>
      </w:pPr>
    </w:p>
    <w:p>
      <w:pPr>
        <w:ind w:left="820" w:right="320" w:firstLine="385"/>
        <w:spacing w:after="0" w:line="253"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67"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60" w:lineRule="exact"/>
        <w:rPr>
          <w:sz w:val="20"/>
          <w:szCs w:val="20"/>
          <w:color w:val="auto"/>
        </w:rPr>
      </w:pPr>
    </w:p>
    <w:p>
      <w:pPr>
        <w:ind w:left="1200" w:right="240"/>
        <w:spacing w:after="0" w:line="343" w:lineRule="auto"/>
        <w:rPr>
          <w:sz w:val="20"/>
          <w:szCs w:val="20"/>
          <w:color w:val="auto"/>
        </w:rPr>
      </w:pPr>
      <w:r>
        <w:rPr>
          <w:rFonts w:ascii="Arial" w:cs="Arial" w:eastAsia="Arial" w:hAnsi="Arial"/>
          <w:sz w:val="13"/>
          <w:szCs w:val="13"/>
          <w:b w:val="1"/>
          <w:bCs w:val="1"/>
          <w:i w:val="1"/>
          <w:iCs w:val="1"/>
          <w:color w:val="auto"/>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0440"/>
          </w:cols>
          <w:pgMar w:left="320" w:top="418" w:right="11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156"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There is no certainty that all of our employees, agents, representatives, business partners and third-party intermediaries, or those of our affiliates, will comply with applicable laws and regulations, for which we may be ultimately held responsible.</w:t>
      </w:r>
    </w:p>
    <w:p>
      <w:pPr>
        <w:spacing w:after="0" w:line="153"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128"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200" w:lineRule="exact"/>
        <w:rPr>
          <w:sz w:val="20"/>
          <w:szCs w:val="20"/>
          <w:color w:val="auto"/>
        </w:rPr>
      </w:pPr>
    </w:p>
    <w:p>
      <w:pPr>
        <w:spacing w:after="0" w:line="220" w:lineRule="exact"/>
        <w:rPr>
          <w:sz w:val="20"/>
          <w:szCs w:val="20"/>
          <w:color w:val="auto"/>
        </w:rPr>
      </w:pPr>
    </w:p>
    <w:p>
      <w:pPr>
        <w:ind w:left="1200" w:right="20"/>
        <w:spacing w:after="0" w:line="266" w:lineRule="auto"/>
        <w:rPr>
          <w:sz w:val="20"/>
          <w:szCs w:val="20"/>
          <w:color w:val="auto"/>
        </w:rPr>
      </w:pPr>
      <w:r>
        <w:rPr>
          <w:rFonts w:ascii="Arial" w:cs="Arial" w:eastAsia="Arial" w:hAnsi="Arial"/>
          <w:sz w:val="16"/>
          <w:szCs w:val="16"/>
          <w:b w:val="1"/>
          <w:bCs w:val="1"/>
          <w:i w:val="1"/>
          <w:iCs w:val="1"/>
          <w:color w:val="auto"/>
        </w:rPr>
        <w:t>Comprehensive U.S. tax reform legislation could increase the tax burden on our orphan drug programs and adversely affect our business and financial condition.</w:t>
      </w:r>
    </w:p>
    <w:p>
      <w:pPr>
        <w:spacing w:after="0" w:line="64"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In 2017, the U.S. government enacted the Tax Act, which as modified by the CARES Act, includes significant changes to the taxation of business entities. These changes include, among others, (i) a permanent reduction to the corporate income tax rate, (ii) a partial limitation on the deductibility of business interest expense and NOL carryforwards and (iii) a shift of the U.S. taxation of multinational corporations from a tax on worldwide income to a territorial system (along with certain rules designed to prevent erosion of the U.S. income tax base). Further, the comprehensive tax legislation reduces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despite being partially off-set by a reduction in the corporate tax rate from a top marginal rate of 35% to a flat rate of 21%, may increase our total federal tax liability attributable to such programs.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0400"/>
          </w:cols>
          <w:pgMar w:left="320" w:top="418" w:right="117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80"/>
        <w:spacing w:after="0" w:line="266" w:lineRule="auto"/>
        <w:rPr>
          <w:sz w:val="20"/>
          <w:szCs w:val="20"/>
          <w:color w:val="auto"/>
        </w:rPr>
      </w:pPr>
      <w:r>
        <w:rPr>
          <w:rFonts w:ascii="Arial" w:cs="Arial" w:eastAsia="Arial" w:hAnsi="Arial"/>
          <w:sz w:val="16"/>
          <w:szCs w:val="16"/>
          <w:color w:val="auto"/>
        </w:rPr>
        <w:t>Additionally, President Biden has proposed an increase of the corporate tax rate from 21% to 28%, which, if enacted would further increase our total federal tax liability when and if we become profitable.</w:t>
      </w:r>
    </w:p>
    <w:p>
      <w:pPr>
        <w:spacing w:after="0" w:line="64" w:lineRule="exact"/>
        <w:rPr>
          <w:sz w:val="20"/>
          <w:szCs w:val="20"/>
          <w:color w:val="auto"/>
        </w:rPr>
      </w:pPr>
    </w:p>
    <w:p>
      <w:pPr>
        <w:ind w:left="820" w:right="100" w:firstLine="385"/>
        <w:spacing w:after="0" w:line="316" w:lineRule="auto"/>
        <w:rPr>
          <w:sz w:val="20"/>
          <w:szCs w:val="20"/>
          <w:color w:val="auto"/>
        </w:rPr>
      </w:pPr>
      <w:r>
        <w:rPr>
          <w:rFonts w:ascii="Arial" w:cs="Arial" w:eastAsia="Arial" w:hAnsi="Arial"/>
          <w:sz w:val="13"/>
          <w:szCs w:val="13"/>
          <w:color w:val="auto"/>
        </w:rPr>
        <w:t>Notwithstanding the changes in the corporate income tax rate, the overall impact of this comprehensive tax legislation resulted in an overall reduction in our deferred tax assets, and our business and financial condition could still be adversely affected as additional guidance and regulations are issued with respect to the original tax law change. In addition, it is uncertain if and to what extent various states will conform to this comprehensive tax legislation, and states may enact suspensions or limitations on the use of NOLs and tax credits (including, without limitation, California legislation enacted in 2020 that suspends the use of California NOLs and limits the use of certain California tax credits for certain periods). The impact of this comprehensive tax legislation on holders of our common stock is also uncertain and could be adverse. Investors should consult with their legal and tax advisors with respect to this comprehensive tax legislation and the potential tax consequences of investing in or holding our common stock.</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Employee Matters, Managing Our Growth and Other Risks Related to Our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success is highly dependent on our ability to attract and retain highly skilled executive officers and employees.</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our Chief Executive Officer. Additionally, the COVID-19 pandemic may interfere with our ability to hire or retain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163"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154" w:lineRule="exact"/>
        <w:rPr>
          <w:sz w:val="20"/>
          <w:szCs w:val="20"/>
          <w:color w:val="auto"/>
        </w:rPr>
      </w:pPr>
    </w:p>
    <w:p>
      <w:pPr>
        <w:ind w:left="820" w:right="160" w:firstLine="385"/>
        <w:spacing w:after="0" w:line="316" w:lineRule="auto"/>
        <w:rPr>
          <w:sz w:val="20"/>
          <w:szCs w:val="20"/>
          <w:color w:val="auto"/>
        </w:rPr>
      </w:pPr>
      <w:r>
        <w:rPr>
          <w:rFonts w:ascii="Arial" w:cs="Arial" w:eastAsia="Arial" w:hAnsi="Arial"/>
          <w:sz w:val="13"/>
          <w:szCs w:val="13"/>
          <w:color w:val="auto"/>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226" w:lineRule="exact"/>
        <w:rPr>
          <w:sz w:val="20"/>
          <w:szCs w:val="20"/>
          <w:color w:val="auto"/>
        </w:rPr>
      </w:pPr>
    </w:p>
    <w:p>
      <w:pPr>
        <w:ind w:left="1200" w:right="620"/>
        <w:spacing w:after="0" w:line="266" w:lineRule="auto"/>
        <w:rPr>
          <w:sz w:val="20"/>
          <w:szCs w:val="20"/>
          <w:color w:val="auto"/>
        </w:rPr>
      </w:pPr>
      <w:r>
        <w:rPr>
          <w:rFonts w:ascii="Arial" w:cs="Arial" w:eastAsia="Arial" w:hAnsi="Arial"/>
          <w:sz w:val="16"/>
          <w:szCs w:val="16"/>
          <w:b w:val="1"/>
          <w:bCs w:val="1"/>
          <w:i w:val="1"/>
          <w:iCs w:val="1"/>
          <w:color w:val="auto"/>
        </w:rPr>
        <w:t>In order to successfully implement our plans and strategies, we will need to grow the size of our organization, and we may experience difficulties in managing this growth.</w:t>
      </w:r>
    </w:p>
    <w:p>
      <w:pPr>
        <w:spacing w:after="0" w:line="64"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As of March 31, 2021, we had more than 75 full-time employees. Of these employees, approximately 45 are engaged in research and development activities and approximately 20 are engaged in manufacturing activities. In</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440"/>
          </w:cols>
          <w:pgMar w:left="320" w:top="418" w:right="11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spacing w:after="0" w:line="256" w:lineRule="auto"/>
        <w:rPr>
          <w:sz w:val="20"/>
          <w:szCs w:val="20"/>
          <w:color w:val="auto"/>
        </w:rPr>
      </w:pPr>
      <w:r>
        <w:rPr>
          <w:rFonts w:ascii="Arial" w:cs="Arial" w:eastAsia="Arial" w:hAnsi="Arial"/>
          <w:sz w:val="16"/>
          <w:szCs w:val="16"/>
          <w:color w:val="auto"/>
        </w:rPr>
        <w:t>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83" w:lineRule="exact"/>
        <w:rPr>
          <w:sz w:val="20"/>
          <w:szCs w:val="20"/>
          <w:color w:val="auto"/>
        </w:rPr>
      </w:pPr>
    </w:p>
    <w:p>
      <w:pPr>
        <w:ind w:left="1660" w:hanging="469"/>
        <w:spacing w:after="0"/>
        <w:tabs>
          <w:tab w:leader="none" w:pos="1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identifying, recruiting, integrating, maintaining and motivating additional employees;</w:t>
      </w:r>
    </w:p>
    <w:p>
      <w:pPr>
        <w:spacing w:after="0" w:line="110" w:lineRule="exact"/>
        <w:rPr>
          <w:rFonts w:ascii="Arial" w:cs="Arial" w:eastAsia="Arial" w:hAnsi="Arial"/>
          <w:sz w:val="16"/>
          <w:szCs w:val="16"/>
          <w:color w:val="auto"/>
        </w:rPr>
      </w:pPr>
    </w:p>
    <w:p>
      <w:pPr>
        <w:ind w:left="1660" w:right="440" w:hanging="469"/>
        <w:spacing w:after="0" w:line="256" w:lineRule="auto"/>
        <w:tabs>
          <w:tab w:leader="none" w:pos="1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improving our operational, financial and management controls, reporting systems and procedures.</w:t>
      </w:r>
    </w:p>
    <w:p>
      <w:pPr>
        <w:spacing w:after="0" w:line="193" w:lineRule="exact"/>
        <w:rPr>
          <w:sz w:val="20"/>
          <w:szCs w:val="20"/>
          <w:color w:val="auto"/>
        </w:rPr>
      </w:pPr>
    </w:p>
    <w:p>
      <w:pPr>
        <w:ind w:left="820" w:right="160" w:firstLine="385"/>
        <w:spacing w:after="0" w:line="281" w:lineRule="auto"/>
        <w:rPr>
          <w:sz w:val="20"/>
          <w:szCs w:val="20"/>
          <w:color w:val="auto"/>
        </w:rPr>
      </w:pPr>
      <w:r>
        <w:rPr>
          <w:rFonts w:ascii="Arial" w:cs="Arial" w:eastAsia="Arial" w:hAnsi="Arial"/>
          <w:sz w:val="15"/>
          <w:szCs w:val="15"/>
          <w:color w:val="auto"/>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820" w:right="40" w:firstLine="385"/>
        <w:spacing w:after="0" w:line="315" w:lineRule="auto"/>
        <w:rPr>
          <w:sz w:val="20"/>
          <w:szCs w:val="20"/>
          <w:color w:val="auto"/>
        </w:rPr>
      </w:pPr>
      <w:r>
        <w:rPr>
          <w:rFonts w:ascii="Arial" w:cs="Arial" w:eastAsia="Arial" w:hAnsi="Arial"/>
          <w:sz w:val="13"/>
          <w:szCs w:val="13"/>
          <w:color w:val="auto"/>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324"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260" w:lineRule="exact"/>
        <w:rPr>
          <w:sz w:val="20"/>
          <w:szCs w:val="20"/>
          <w:color w:val="auto"/>
        </w:rPr>
      </w:pPr>
    </w:p>
    <w:p>
      <w:pPr>
        <w:ind w:left="1200" w:right="720"/>
        <w:spacing w:after="0" w:line="378" w:lineRule="auto"/>
        <w:rPr>
          <w:sz w:val="20"/>
          <w:szCs w:val="20"/>
          <w:color w:val="auto"/>
        </w:rPr>
      </w:pPr>
      <w:r>
        <w:rPr>
          <w:rFonts w:ascii="Arial" w:cs="Arial" w:eastAsia="Arial" w:hAnsi="Arial"/>
          <w:sz w:val="13"/>
          <w:szCs w:val="13"/>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 w:lineRule="exact"/>
        <w:rPr>
          <w:sz w:val="20"/>
          <w:szCs w:val="20"/>
          <w:color w:val="auto"/>
        </w:rPr>
      </w:pPr>
    </w:p>
    <w:p>
      <w:pPr>
        <w:ind w:left="820" w:right="140" w:firstLine="385"/>
        <w:spacing w:after="0" w:line="253" w:lineRule="auto"/>
        <w:rPr>
          <w:sz w:val="20"/>
          <w:szCs w:val="20"/>
          <w:color w:val="auto"/>
        </w:rPr>
      </w:pPr>
      <w:r>
        <w:rPr>
          <w:rFonts w:ascii="Arial" w:cs="Arial" w:eastAsia="Arial" w:hAnsi="Arial"/>
          <w:sz w:val="16"/>
          <w:szCs w:val="16"/>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6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420"/>
          </w:cols>
          <w:pgMar w:left="320" w:top="418" w:right="11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spacing w:after="0" w:line="275" w:lineRule="auto"/>
        <w:rPr>
          <w:sz w:val="20"/>
          <w:szCs w:val="20"/>
          <w:color w:val="auto"/>
        </w:rPr>
      </w:pPr>
      <w:r>
        <w:rPr>
          <w:rFonts w:ascii="Arial" w:cs="Arial" w:eastAsia="Arial" w:hAnsi="Arial"/>
          <w:sz w:val="15"/>
          <w:szCs w:val="15"/>
          <w:color w:val="auto"/>
        </w:rPr>
        <w:t>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247" w:lineRule="exact"/>
        <w:rPr>
          <w:sz w:val="20"/>
          <w:szCs w:val="20"/>
          <w:color w:val="auto"/>
        </w:rPr>
      </w:pPr>
    </w:p>
    <w:p>
      <w:pPr>
        <w:ind w:left="1200" w:right="40"/>
        <w:spacing w:after="0" w:line="275" w:lineRule="auto"/>
        <w:rPr>
          <w:sz w:val="20"/>
          <w:szCs w:val="20"/>
          <w:color w:val="auto"/>
        </w:rPr>
      </w:pPr>
      <w:r>
        <w:rPr>
          <w:rFonts w:ascii="Arial" w:cs="Arial" w:eastAsia="Arial" w:hAnsi="Arial"/>
          <w:sz w:val="15"/>
          <w:szCs w:val="15"/>
          <w:b w:val="1"/>
          <w:bCs w:val="1"/>
          <w:i w:val="1"/>
          <w:iCs w:val="1"/>
          <w:color w:val="auto"/>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8"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from inadvertent or intentional actions by our employees, contractors, consultants, business partners, and other third parties, cyber-attacks by malicious third parties (including supply chain cyber-attacks or attacks by nation-state or nation-state supported actors, or the deployment of harmful malware, ransomware, denial-of-service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or other assets, which could result in financial, legal, business and reputational harm to us.</w:t>
      </w:r>
    </w:p>
    <w:p>
      <w:pPr>
        <w:spacing w:after="0" w:line="326"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327" w:lineRule="exact"/>
        <w:rPr>
          <w:sz w:val="20"/>
          <w:szCs w:val="20"/>
          <w:color w:val="auto"/>
        </w:rPr>
      </w:pPr>
    </w:p>
    <w:p>
      <w:pPr>
        <w:ind w:left="820" w:right="120" w:firstLine="385"/>
        <w:spacing w:after="0" w:line="343" w:lineRule="auto"/>
        <w:rPr>
          <w:sz w:val="20"/>
          <w:szCs w:val="20"/>
          <w:color w:val="auto"/>
        </w:rPr>
      </w:pPr>
      <w:r>
        <w:rPr>
          <w:rFonts w:ascii="Arial" w:cs="Arial" w:eastAsia="Arial" w:hAnsi="Arial"/>
          <w:sz w:val="13"/>
          <w:szCs w:val="13"/>
          <w:color w:val="auto"/>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0420"/>
          </w:cols>
          <w:pgMar w:left="320" w:top="418" w:right="115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268" w:lineRule="auto"/>
        <w:rPr>
          <w:sz w:val="20"/>
          <w:szCs w:val="20"/>
          <w:color w:val="auto"/>
        </w:rPr>
      </w:pPr>
      <w:r>
        <w:rPr>
          <w:rFonts w:ascii="Arial" w:cs="Arial" w:eastAsia="Arial" w:hAnsi="Arial"/>
          <w:sz w:val="15"/>
          <w:szCs w:val="15"/>
          <w:color w:val="auto"/>
        </w:rPr>
        <w:t>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161"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 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261"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Our operations are vulnerable to interruption by fire, earthquakes, power loss, telecommunications failure, terrorist activity, pandemics and other events beyond our control, which could harm our business.</w:t>
      </w:r>
    </w:p>
    <w:p>
      <w:pPr>
        <w:spacing w:after="0" w:line="64"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A variety of risks associated with marketing our product candidates internationally could materially adversely affect our business.</w:t>
      </w:r>
    </w:p>
    <w:p>
      <w:pPr>
        <w:spacing w:after="0" w:line="133" w:lineRule="exact"/>
        <w:rPr>
          <w:sz w:val="20"/>
          <w:szCs w:val="20"/>
          <w:color w:val="auto"/>
        </w:rPr>
      </w:pPr>
    </w:p>
    <w:p>
      <w:pPr>
        <w:ind w:left="820" w:right="300" w:firstLine="385"/>
        <w:spacing w:after="0" w:line="266" w:lineRule="auto"/>
        <w:rPr>
          <w:sz w:val="20"/>
          <w:szCs w:val="20"/>
          <w:color w:val="auto"/>
        </w:rPr>
      </w:pPr>
      <w:r>
        <w:rPr>
          <w:rFonts w:ascii="Arial" w:cs="Arial" w:eastAsia="Arial" w:hAnsi="Arial"/>
          <w:sz w:val="16"/>
          <w:szCs w:val="16"/>
          <w:color w:val="auto"/>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1660" w:hanging="469"/>
        <w:spacing w:after="0"/>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differing regulatory requirements and reimbursement regimes in foreign countries;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unexpected changes in tariffs, trade barriers, price and exchange controls and other regulatory requirements;</w:t>
      </w:r>
    </w:p>
    <w:p>
      <w:pPr>
        <w:spacing w:after="0" w:line="110" w:lineRule="exact"/>
        <w:rPr>
          <w:rFonts w:ascii="Arial" w:cs="Arial" w:eastAsia="Arial" w:hAnsi="Arial"/>
          <w:sz w:val="16"/>
          <w:szCs w:val="16"/>
          <w:color w:val="auto"/>
        </w:rPr>
      </w:pPr>
    </w:p>
    <w:p>
      <w:pPr>
        <w:ind w:left="5540" w:right="1980" w:hanging="4349"/>
        <w:spacing w:after="0" w:line="436" w:lineRule="auto"/>
        <w:tabs>
          <w:tab w:leader="none" w:pos="1657" w:val="left"/>
        </w:tabs>
        <w:numPr>
          <w:ilvl w:val="0"/>
          <w:numId w:val="41"/>
        </w:numPr>
        <w:rPr>
          <w:rFonts w:ascii="Arial" w:cs="Arial" w:eastAsia="Arial" w:hAnsi="Arial"/>
          <w:sz w:val="16"/>
          <w:szCs w:val="16"/>
          <w:color w:val="auto"/>
        </w:rPr>
      </w:pPr>
      <w:r>
        <w:rPr>
          <w:rFonts w:ascii="Arial" w:cs="Arial" w:eastAsia="Arial" w:hAnsi="Arial"/>
          <w:sz w:val="16"/>
          <w:szCs w:val="16"/>
          <w:color w:val="auto"/>
        </w:rPr>
        <w:t>economic weakness, including inflation, or political instability in particular foreign economies and markets; 58</w:t>
      </w:r>
    </w:p>
    <w:p>
      <w:pPr>
        <w:sectPr>
          <w:pgSz w:w="11900" w:h="16838" w:orient="portrait"/>
          <w:cols w:equalWidth="0" w:num="1">
            <w:col w:w="10420"/>
          </w:cols>
          <w:pgMar w:left="320" w:top="418" w:right="115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compliance with tax, employment, immigration and labor laws for employees living or traveling abroad;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foreign taxes, including withholding of payroll taxes;</w:t>
      </w:r>
    </w:p>
    <w:p>
      <w:pPr>
        <w:spacing w:after="0" w:line="110"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difficulties staffing and managing foreign operations;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workforce uncertainty in countries where labor unrest is more common than in the United States;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potential liability under the FCPA or comparable foreign regulations;</w:t>
      </w:r>
    </w:p>
    <w:p>
      <w:pPr>
        <w:spacing w:after="0" w:line="110" w:lineRule="exact"/>
        <w:rPr>
          <w:rFonts w:ascii="Arial" w:cs="Arial" w:eastAsia="Arial" w:hAnsi="Arial"/>
          <w:sz w:val="16"/>
          <w:szCs w:val="16"/>
          <w:color w:val="auto"/>
        </w:rPr>
      </w:pPr>
    </w:p>
    <w:p>
      <w:pPr>
        <w:ind w:left="1660" w:right="100" w:hanging="469"/>
        <w:spacing w:after="0" w:line="300" w:lineRule="auto"/>
        <w:tabs>
          <w:tab w:leader="none" w:pos="16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business interruptions resulting from geo-political actions, including war and terrorism.</w:t>
      </w:r>
    </w:p>
    <w:p>
      <w:pPr>
        <w:spacing w:after="0" w:line="193" w:lineRule="exact"/>
        <w:rPr>
          <w:sz w:val="20"/>
          <w:szCs w:val="20"/>
          <w:color w:val="auto"/>
        </w:rPr>
      </w:pPr>
    </w:p>
    <w:p>
      <w:pPr>
        <w:ind w:left="820" w:right="440" w:firstLine="385"/>
        <w:spacing w:after="0" w:line="266" w:lineRule="auto"/>
        <w:rPr>
          <w:sz w:val="20"/>
          <w:szCs w:val="20"/>
          <w:color w:val="auto"/>
        </w:rPr>
      </w:pPr>
      <w:r>
        <w:rPr>
          <w:rFonts w:ascii="Arial" w:cs="Arial" w:eastAsia="Arial" w:hAnsi="Arial"/>
          <w:sz w:val="16"/>
          <w:szCs w:val="16"/>
          <w:color w:val="auto"/>
        </w:rPr>
        <w:t>These and other risks associated with our international operations may materially adversely affect our ability to attain or maintain profitable operations.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97" w:lineRule="exact"/>
        <w:rPr>
          <w:sz w:val="20"/>
          <w:szCs w:val="20"/>
          <w:color w:val="auto"/>
        </w:rPr>
      </w:pPr>
    </w:p>
    <w:p>
      <w:pPr>
        <w:ind w:left="1200"/>
        <w:spacing w:after="0" w:line="275" w:lineRule="auto"/>
        <w:rPr>
          <w:sz w:val="20"/>
          <w:szCs w:val="20"/>
          <w:color w:val="auto"/>
        </w:rPr>
      </w:pPr>
      <w:r>
        <w:rPr>
          <w:rFonts w:ascii="Arial" w:cs="Arial" w:eastAsia="Arial" w:hAnsi="Arial"/>
          <w:sz w:val="15"/>
          <w:szCs w:val="15"/>
          <w:b w:val="1"/>
          <w:bCs w:val="1"/>
          <w:i w:val="1"/>
          <w:iCs w:val="1"/>
          <w:color w:val="auto"/>
        </w:rPr>
        <w:t>We have in-licensed one issued patent, but we do not currently own any issued patents relating to our technology and product candidates. 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153" w:lineRule="exact"/>
        <w:rPr>
          <w:sz w:val="20"/>
          <w:szCs w:val="20"/>
          <w:color w:val="auto"/>
        </w:rPr>
      </w:pPr>
    </w:p>
    <w:p>
      <w:pPr>
        <w:ind w:left="820" w:right="120" w:firstLine="385"/>
        <w:spacing w:after="0" w:line="309" w:lineRule="auto"/>
        <w:rPr>
          <w:sz w:val="20"/>
          <w:szCs w:val="20"/>
          <w:color w:val="auto"/>
        </w:rPr>
      </w:pPr>
      <w:r>
        <w:rPr>
          <w:rFonts w:ascii="Arial" w:cs="Arial" w:eastAsia="Arial" w:hAnsi="Arial"/>
          <w:sz w:val="13"/>
          <w:szCs w:val="13"/>
          <w:color w:val="auto"/>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For example, although we exclusively in-license one issued patent from The University of Texas Southwestern Medical Center related to our DWORF (Dwarf Open Reading Frame) program, we do not own or license any other issued patents relating to any of our product candidates and technology and many of our and our licensors’ patent applications are either at the provisional stage or at an early stage in prosecution. Accordingly, there can be 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327" w:lineRule="exact"/>
        <w:rPr>
          <w:sz w:val="20"/>
          <w:szCs w:val="20"/>
          <w:color w:val="auto"/>
        </w:rPr>
      </w:pPr>
    </w:p>
    <w:p>
      <w:pPr>
        <w:jc w:val="both"/>
        <w:ind w:left="820" w:right="400" w:firstLine="385"/>
        <w:spacing w:after="0" w:line="256" w:lineRule="auto"/>
        <w:rPr>
          <w:sz w:val="20"/>
          <w:szCs w:val="20"/>
          <w:color w:val="auto"/>
        </w:rPr>
      </w:pPr>
      <w:r>
        <w:rPr>
          <w:rFonts w:ascii="Arial" w:cs="Arial" w:eastAsia="Arial" w:hAnsi="Arial"/>
          <w:sz w:val="16"/>
          <w:szCs w:val="16"/>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0420"/>
          </w:cols>
          <w:pgMar w:left="320" w:top="418" w:right="11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40"/>
        <w:spacing w:after="0" w:line="383" w:lineRule="auto"/>
        <w:rPr>
          <w:sz w:val="20"/>
          <w:szCs w:val="20"/>
          <w:color w:val="auto"/>
        </w:rPr>
      </w:pPr>
      <w:r>
        <w:rPr>
          <w:rFonts w:ascii="Arial" w:cs="Arial" w:eastAsia="Arial" w:hAnsi="Arial"/>
          <w:sz w:val="13"/>
          <w:szCs w:val="13"/>
          <w:color w:val="auto"/>
        </w:rPr>
        <w:t>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89"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126"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Presently, we own one allowed and two other pending non-provisional U.S. patent applications, seven non-expired Patent Cooperation Treaty (PCT) applications, nine pending foreign patent applications and at least five pending provisional U.S. patent applications, but we do not own any issued patents. 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200" w:lineRule="exact"/>
        <w:rPr>
          <w:sz w:val="20"/>
          <w:szCs w:val="20"/>
          <w:color w:val="auto"/>
        </w:rPr>
      </w:pPr>
    </w:p>
    <w:p>
      <w:pPr>
        <w:spacing w:after="0" w:line="319" w:lineRule="exact"/>
        <w:rPr>
          <w:sz w:val="20"/>
          <w:szCs w:val="20"/>
          <w:color w:val="auto"/>
        </w:rPr>
      </w:pPr>
    </w:p>
    <w:p>
      <w:pPr>
        <w:jc w:val="both"/>
        <w:ind w:left="820" w:right="100" w:firstLine="385"/>
        <w:spacing w:after="0" w:line="256" w:lineRule="auto"/>
        <w:rPr>
          <w:sz w:val="20"/>
          <w:szCs w:val="20"/>
          <w:color w:val="auto"/>
        </w:rPr>
      </w:pPr>
      <w:r>
        <w:rPr>
          <w:rFonts w:ascii="Arial" w:cs="Arial" w:eastAsia="Arial" w:hAnsi="Arial"/>
          <w:sz w:val="16"/>
          <w:szCs w:val="16"/>
          <w:color w:val="auto"/>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3" w:lineRule="exact"/>
        <w:rPr>
          <w:sz w:val="20"/>
          <w:szCs w:val="20"/>
          <w:color w:val="auto"/>
        </w:rPr>
      </w:pPr>
    </w:p>
    <w:p>
      <w:pPr>
        <w:ind w:left="1660" w:right="40" w:hanging="469"/>
        <w:spacing w:after="0" w:line="281" w:lineRule="auto"/>
        <w:tabs>
          <w:tab w:leader="none" w:pos="16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6" w:lineRule="exact"/>
        <w:rPr>
          <w:rFonts w:ascii="Arial" w:cs="Arial" w:eastAsia="Arial" w:hAnsi="Arial"/>
          <w:sz w:val="15"/>
          <w:szCs w:val="15"/>
          <w:color w:val="auto"/>
        </w:rPr>
      </w:pPr>
    </w:p>
    <w:p>
      <w:pPr>
        <w:ind w:left="1660" w:hanging="469"/>
        <w:spacing w:after="0"/>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patent applications may not result in any patents being issued;</w:t>
      </w:r>
    </w:p>
    <w:p>
      <w:pPr>
        <w:spacing w:after="0" w:line="110" w:lineRule="exact"/>
        <w:rPr>
          <w:rFonts w:ascii="Arial" w:cs="Arial" w:eastAsia="Arial" w:hAnsi="Arial"/>
          <w:sz w:val="16"/>
          <w:szCs w:val="16"/>
          <w:color w:val="auto"/>
        </w:rPr>
      </w:pPr>
    </w:p>
    <w:p>
      <w:pPr>
        <w:ind w:left="1660" w:right="60" w:hanging="469"/>
        <w:spacing w:after="0" w:line="266" w:lineRule="auto"/>
        <w:tabs>
          <w:tab w:leader="none" w:pos="1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patents may be challenged, invalidated, modified, revoked, circumvented, found to be unenforceable, narrowed in scope or otherwise may not provide any competitive advantage;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0420"/>
          </w:cols>
          <w:pgMar w:left="320" w:top="418" w:right="115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1660" w:right="80" w:hanging="469"/>
        <w:spacing w:after="0" w:line="25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83" w:lineRule="exact"/>
        <w:rPr>
          <w:rFonts w:ascii="Arial" w:cs="Arial" w:eastAsia="Arial" w:hAnsi="Arial"/>
          <w:sz w:val="16"/>
          <w:szCs w:val="16"/>
          <w:color w:val="auto"/>
        </w:rPr>
      </w:pPr>
    </w:p>
    <w:p>
      <w:pPr>
        <w:jc w:val="both"/>
        <w:ind w:left="1660" w:right="280" w:hanging="469"/>
        <w:spacing w:after="0" w:line="25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83" w:lineRule="exact"/>
        <w:rPr>
          <w:rFonts w:ascii="Arial" w:cs="Arial" w:eastAsia="Arial" w:hAnsi="Arial"/>
          <w:sz w:val="16"/>
          <w:szCs w:val="16"/>
          <w:color w:val="auto"/>
        </w:rPr>
      </w:pPr>
    </w:p>
    <w:p>
      <w:pPr>
        <w:ind w:left="1660" w:right="100" w:hanging="469"/>
        <w:spacing w:after="0" w:line="256" w:lineRule="auto"/>
        <w:tabs>
          <w:tab w:leader="none" w:pos="1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66"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154"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126" w:lineRule="exact"/>
        <w:rPr>
          <w:sz w:val="20"/>
          <w:szCs w:val="20"/>
          <w:color w:val="auto"/>
        </w:rPr>
      </w:pPr>
    </w:p>
    <w:p>
      <w:pPr>
        <w:ind w:left="820" w:right="480" w:firstLine="385"/>
        <w:spacing w:after="0" w:line="256"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60"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0"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123" w:lineRule="exact"/>
        <w:rPr>
          <w:sz w:val="20"/>
          <w:szCs w:val="20"/>
          <w:color w:val="auto"/>
        </w:rPr>
      </w:pPr>
    </w:p>
    <w:p>
      <w:pPr>
        <w:ind w:left="820" w:right="20" w:firstLine="385"/>
        <w:spacing w:after="0" w:line="268" w:lineRule="auto"/>
        <w:rPr>
          <w:sz w:val="20"/>
          <w:szCs w:val="20"/>
          <w:color w:val="auto"/>
        </w:rPr>
      </w:pPr>
      <w:r>
        <w:rPr>
          <w:rFonts w:ascii="Arial" w:cs="Arial" w:eastAsia="Arial" w:hAnsi="Arial"/>
          <w:sz w:val="15"/>
          <w:szCs w:val="15"/>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0420"/>
          </w:cols>
          <w:pgMar w:left="320" w:top="418" w:right="115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53" w:lineRule="auto"/>
        <w:rPr>
          <w:sz w:val="20"/>
          <w:szCs w:val="20"/>
          <w:color w:val="auto"/>
        </w:rPr>
      </w:pPr>
      <w:r>
        <w:rPr>
          <w:rFonts w:ascii="Arial" w:cs="Arial" w:eastAsia="Arial" w:hAnsi="Arial"/>
          <w:sz w:val="16"/>
          <w:szCs w:val="16"/>
          <w:color w:val="auto"/>
        </w:rPr>
        <w:t>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167"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w:t>
      </w:r>
    </w:p>
    <w:p>
      <w:pPr>
        <w:spacing w:after="0" w:line="1"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18 months after filing or, in some cases, not at all. Therefore, we cannot be certain that we were the first to make the inventions claimed in any owned or any licensed patents or pending patent applications, or that we were the first to file for patent protection of such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173"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color w:val="auto"/>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 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Intellectual property rights do not necessarily address all potential threats to our competitive advantage.</w:t>
      </w:r>
    </w:p>
    <w:p>
      <w:pPr>
        <w:spacing w:after="0" w:line="99" w:lineRule="exact"/>
        <w:rPr>
          <w:sz w:val="20"/>
          <w:szCs w:val="20"/>
          <w:color w:val="auto"/>
        </w:rPr>
      </w:pPr>
    </w:p>
    <w:p>
      <w:pPr>
        <w:ind w:left="820" w:right="440" w:firstLine="385"/>
        <w:spacing w:after="0" w:line="300" w:lineRule="auto"/>
        <w:rPr>
          <w:sz w:val="20"/>
          <w:szCs w:val="20"/>
          <w:color w:val="auto"/>
        </w:rPr>
      </w:pPr>
      <w:r>
        <w:rPr>
          <w:rFonts w:ascii="Arial" w:cs="Arial" w:eastAsia="Arial" w:hAnsi="Arial"/>
          <w:sz w:val="15"/>
          <w:szCs w:val="15"/>
          <w:color w:val="auto"/>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52" w:lineRule="exact"/>
        <w:rPr>
          <w:sz w:val="20"/>
          <w:szCs w:val="20"/>
          <w:color w:val="auto"/>
        </w:rPr>
      </w:pPr>
    </w:p>
    <w:p>
      <w:pPr>
        <w:ind w:left="1660" w:right="460" w:hanging="469"/>
        <w:spacing w:after="0" w:line="266" w:lineRule="auto"/>
        <w:tabs>
          <w:tab w:leader="none" w:pos="1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others may be able to develop products that are similar to our product candidates but that are not covered by the claims of the patent applications that we own or license;</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0420"/>
          </w:cols>
          <w:pgMar w:left="320" w:top="418" w:right="11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78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or our current or future licensors or collaborators might not have been the first to make the inventions covered by the patent applications that we own or license now or may own or license in the future;</w:t>
      </w:r>
    </w:p>
    <w:p>
      <w:pPr>
        <w:spacing w:after="0" w:line="75" w:lineRule="exact"/>
        <w:rPr>
          <w:rFonts w:ascii="Arial" w:cs="Arial" w:eastAsia="Arial" w:hAnsi="Arial"/>
          <w:sz w:val="16"/>
          <w:szCs w:val="16"/>
          <w:color w:val="auto"/>
        </w:rPr>
      </w:pPr>
    </w:p>
    <w:p>
      <w:pPr>
        <w:ind w:left="1660" w:right="54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or our current or future licensors or collaborators might not have been the first to file patent applications covering certain of our inventions;</w:t>
      </w:r>
    </w:p>
    <w:p>
      <w:pPr>
        <w:spacing w:after="0" w:line="75" w:lineRule="exact"/>
        <w:rPr>
          <w:rFonts w:ascii="Arial" w:cs="Arial" w:eastAsia="Arial" w:hAnsi="Arial"/>
          <w:sz w:val="16"/>
          <w:szCs w:val="16"/>
          <w:color w:val="auto"/>
        </w:rPr>
      </w:pPr>
    </w:p>
    <w:p>
      <w:pPr>
        <w:ind w:left="1660" w:right="70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is possible that the pending patent applications we own or license will not lead to issued patents;</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issued patents that we may hold rights to may be held invalid or unenforceable, including as a result of legal challenges by our competitors or other third parties;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others may have access to the same intellectual property rights licensed to us in the future on a nonexclusive basis;</w:t>
      </w:r>
    </w:p>
    <w:p>
      <w:pPr>
        <w:spacing w:after="0" w:line="110" w:lineRule="exact"/>
        <w:rPr>
          <w:rFonts w:ascii="Arial" w:cs="Arial" w:eastAsia="Arial" w:hAnsi="Arial"/>
          <w:sz w:val="16"/>
          <w:szCs w:val="16"/>
          <w:color w:val="auto"/>
        </w:rPr>
      </w:pPr>
    </w:p>
    <w:p>
      <w:pPr>
        <w:ind w:left="1660" w:right="480" w:hanging="469"/>
        <w:spacing w:after="0" w:line="300" w:lineRule="auto"/>
        <w:tabs>
          <w:tab w:leader="none" w:pos="16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2" w:lineRule="exact"/>
        <w:rPr>
          <w:rFonts w:ascii="Arial" w:cs="Arial" w:eastAsia="Arial" w:hAnsi="Arial"/>
          <w:sz w:val="15"/>
          <w:szCs w:val="15"/>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not develop additional proprietary technologies that are patentable;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and</w:t>
      </w:r>
    </w:p>
    <w:p>
      <w:pPr>
        <w:spacing w:after="0" w:line="110"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we may choose not to file a patent in order to maintain certain trade secrets or know-how, and a third-party may subsequently file a patent covering such intellectual property.</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Should any of these events occur, it could significantly harm our business, results of operations and prospects.</w:t>
      </w:r>
    </w:p>
    <w:p>
      <w:pPr>
        <w:spacing w:after="0" w:line="288" w:lineRule="exact"/>
        <w:rPr>
          <w:sz w:val="20"/>
          <w:szCs w:val="20"/>
          <w:color w:val="auto"/>
        </w:rPr>
      </w:pPr>
    </w:p>
    <w:p>
      <w:pPr>
        <w:ind w:left="1200" w:right="40"/>
        <w:spacing w:after="0" w:line="329" w:lineRule="auto"/>
        <w:rPr>
          <w:sz w:val="20"/>
          <w:szCs w:val="20"/>
          <w:color w:val="auto"/>
        </w:rPr>
      </w:pPr>
      <w:r>
        <w:rPr>
          <w:rFonts w:ascii="Arial" w:cs="Arial" w:eastAsia="Arial" w:hAnsi="Arial"/>
          <w:sz w:val="13"/>
          <w:szCs w:val="13"/>
          <w:b w:val="1"/>
          <w:bCs w:val="1"/>
          <w:i w:val="1"/>
          <w:iCs w:val="1"/>
          <w:color w:val="auto"/>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29"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61"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For example, we are aware of third-party patent rights that could be construed to cover the use of our TN-201 product candidate. We believe that if these third-party patent rights were to be asserted against us, we would</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0440"/>
          </w:cols>
          <w:pgMar w:left="320" w:top="418" w:right="11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4" w:lineRule="auto"/>
        <w:rPr>
          <w:sz w:val="20"/>
          <w:szCs w:val="20"/>
          <w:color w:val="auto"/>
        </w:rPr>
      </w:pPr>
      <w:r>
        <w:rPr>
          <w:rFonts w:ascii="Arial" w:cs="Arial" w:eastAsia="Arial" w:hAnsi="Arial"/>
          <w:sz w:val="13"/>
          <w:szCs w:val="13"/>
          <w:color w:val="auto"/>
        </w:rPr>
        <w:t>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133" w:lineRule="exact"/>
        <w:rPr>
          <w:sz w:val="20"/>
          <w:szCs w:val="20"/>
          <w:color w:val="auto"/>
        </w:rPr>
      </w:pPr>
    </w:p>
    <w:p>
      <w:pPr>
        <w:jc w:val="both"/>
        <w:ind w:left="820" w:right="320" w:firstLine="385"/>
        <w:spacing w:after="0" w:line="343" w:lineRule="auto"/>
        <w:rPr>
          <w:sz w:val="20"/>
          <w:szCs w:val="20"/>
          <w:color w:val="auto"/>
        </w:rPr>
      </w:pPr>
      <w:r>
        <w:rPr>
          <w:rFonts w:ascii="Arial" w:cs="Arial" w:eastAsia="Arial" w:hAnsi="Arial"/>
          <w:sz w:val="13"/>
          <w:szCs w:val="13"/>
          <w:color w:val="auto"/>
        </w:rPr>
        <w:t>As the biotechnology industry expands and more patents are issued, the risk increases that our product candidates may be subject to claims of 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31" w:lineRule="exact"/>
        <w:rPr>
          <w:sz w:val="20"/>
          <w:szCs w:val="20"/>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result in costly litigation that may cause negative publicity;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divert the time and attention of our technical personnel and management;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cause development delays;</w:t>
      </w:r>
    </w:p>
    <w:p>
      <w:pPr>
        <w:spacing w:after="0" w:line="110"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prevent us from commercializing any of our product candidates until the asserted patent expires or is held finally invalid or not infringed in a court of law;</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us to develop non-infringing technology, which may not be possible on a cost-effective basis;</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us to significant liability and damages to third parties, including treble damages if we are found to willfully infringe third-party intellectual property; or</w:t>
      </w:r>
    </w:p>
    <w:p>
      <w:pPr>
        <w:spacing w:after="0" w:line="75"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58" w:lineRule="exact"/>
        <w:rPr>
          <w:sz w:val="20"/>
          <w:szCs w:val="20"/>
          <w:color w:val="auto"/>
        </w:rPr>
      </w:pPr>
    </w:p>
    <w:p>
      <w:pPr>
        <w:ind w:left="820" w:right="20" w:firstLine="385"/>
        <w:spacing w:after="0" w:line="308" w:lineRule="auto"/>
        <w:rPr>
          <w:sz w:val="20"/>
          <w:szCs w:val="20"/>
          <w:color w:val="auto"/>
        </w:rPr>
      </w:pPr>
      <w:r>
        <w:rPr>
          <w:rFonts w:ascii="Arial" w:cs="Arial" w:eastAsia="Arial" w:hAnsi="Arial"/>
          <w:sz w:val="13"/>
          <w:szCs w:val="13"/>
          <w:color w:val="auto"/>
        </w:rPr>
        <w:t>Although no third party has asserted a claim of patent infringement against us as of the date of this prospectus,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420"/>
          </w:cols>
          <w:pgMar w:left="320" w:top="418" w:right="11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09" w:lineRule="auto"/>
        <w:rPr>
          <w:sz w:val="20"/>
          <w:szCs w:val="20"/>
          <w:color w:val="auto"/>
        </w:rPr>
      </w:pPr>
      <w:r>
        <w:rPr>
          <w:rFonts w:ascii="Arial" w:cs="Arial" w:eastAsia="Arial" w:hAnsi="Arial"/>
          <w:sz w:val="13"/>
          <w:szCs w:val="13"/>
          <w:color w:val="auto"/>
        </w:rPr>
        <w:t>Third parties may assert claims of patent infringement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327"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54" w:lineRule="exact"/>
        <w:rPr>
          <w:sz w:val="20"/>
          <w:szCs w:val="20"/>
          <w:color w:val="auto"/>
        </w:rPr>
      </w:pPr>
    </w:p>
    <w:p>
      <w:pPr>
        <w:ind w:left="820" w:right="40" w:firstLine="385"/>
        <w:spacing w:after="0" w:line="312" w:lineRule="auto"/>
        <w:rPr>
          <w:sz w:val="20"/>
          <w:szCs w:val="20"/>
          <w:color w:val="auto"/>
        </w:rPr>
      </w:pPr>
      <w:r>
        <w:rPr>
          <w:rFonts w:ascii="Arial" w:cs="Arial" w:eastAsia="Arial" w:hAnsi="Arial"/>
          <w:sz w:val="13"/>
          <w:szCs w:val="13"/>
          <w:color w:val="auto"/>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326"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440"/>
          </w:cols>
          <w:pgMar w:left="320" w:top="418" w:right="11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6" w:lineRule="auto"/>
        <w:rPr>
          <w:sz w:val="20"/>
          <w:szCs w:val="20"/>
          <w:color w:val="auto"/>
        </w:rPr>
      </w:pPr>
      <w:r>
        <w:rPr>
          <w:rFonts w:ascii="Arial" w:cs="Arial" w:eastAsia="Arial" w:hAnsi="Arial"/>
          <w:sz w:val="16"/>
          <w:szCs w:val="16"/>
          <w:color w:val="auto"/>
        </w:rPr>
        <w:t>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158"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We may not be successful in obtaining or maintaining necessary rights to our product candidates through acquisitions and in-licenses.</w:t>
      </w:r>
    </w:p>
    <w:p>
      <w:pPr>
        <w:spacing w:after="0" w:line="133"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00" w:lineRule="exact"/>
        <w:rPr>
          <w:sz w:val="20"/>
          <w:szCs w:val="20"/>
          <w:color w:val="auto"/>
        </w:rPr>
      </w:pPr>
    </w:p>
    <w:p>
      <w:pPr>
        <w:spacing w:after="0" w:line="222" w:lineRule="exact"/>
        <w:rPr>
          <w:sz w:val="20"/>
          <w:szCs w:val="20"/>
          <w:color w:val="auto"/>
        </w:rPr>
      </w:pPr>
    </w:p>
    <w:p>
      <w:pPr>
        <w:ind w:left="1200" w:right="360"/>
        <w:spacing w:after="0" w:line="256" w:lineRule="auto"/>
        <w:rPr>
          <w:sz w:val="20"/>
          <w:szCs w:val="20"/>
          <w:color w:val="auto"/>
        </w:rPr>
      </w:pPr>
      <w:r>
        <w:rPr>
          <w:rFonts w:ascii="Arial" w:cs="Arial" w:eastAsia="Arial" w:hAnsi="Arial"/>
          <w:sz w:val="16"/>
          <w:szCs w:val="16"/>
          <w:b w:val="1"/>
          <w:bCs w:val="1"/>
          <w:i w:val="1"/>
          <w:iCs w:val="1"/>
          <w:color w:val="auto"/>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spacing w:after="0" w:line="71"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420"/>
          </w:cols>
          <w:pgMar w:left="320" w:top="418" w:right="11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326" w:lineRule="exact"/>
        <w:rPr>
          <w:sz w:val="20"/>
          <w:szCs w:val="20"/>
          <w:color w:val="auto"/>
        </w:rPr>
      </w:pPr>
    </w:p>
    <w:p>
      <w:pPr>
        <w:ind w:left="820" w:right="280" w:firstLine="385"/>
        <w:spacing w:after="0" w:line="383" w:lineRule="auto"/>
        <w:rPr>
          <w:sz w:val="20"/>
          <w:szCs w:val="20"/>
          <w:color w:val="auto"/>
        </w:rPr>
      </w:pPr>
      <w:r>
        <w:rPr>
          <w:rFonts w:ascii="Arial" w:cs="Arial" w:eastAsia="Arial" w:hAnsi="Arial"/>
          <w:sz w:val="13"/>
          <w:szCs w:val="13"/>
          <w:color w:val="auto"/>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89"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33" w:lineRule="exact"/>
        <w:rPr>
          <w:sz w:val="20"/>
          <w:szCs w:val="20"/>
          <w:color w:val="auto"/>
        </w:rPr>
      </w:pPr>
    </w:p>
    <w:p>
      <w:pPr>
        <w:ind w:left="820" w:right="380" w:firstLine="385"/>
        <w:spacing w:after="0" w:line="383" w:lineRule="auto"/>
        <w:rPr>
          <w:sz w:val="20"/>
          <w:szCs w:val="20"/>
          <w:color w:val="auto"/>
        </w:rPr>
      </w:pPr>
      <w:r>
        <w:rPr>
          <w:rFonts w:ascii="Arial" w:cs="Arial" w:eastAsia="Arial" w:hAnsi="Arial"/>
          <w:sz w:val="13"/>
          <w:szCs w:val="13"/>
          <w:color w:val="auto"/>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83" w:lineRule="exact"/>
        <w:rPr>
          <w:sz w:val="20"/>
          <w:szCs w:val="20"/>
          <w:color w:val="auto"/>
        </w:rPr>
      </w:pPr>
    </w:p>
    <w:p>
      <w:pPr>
        <w:ind w:left="1200" w:right="40"/>
        <w:spacing w:after="0" w:line="266" w:lineRule="auto"/>
        <w:rPr>
          <w:sz w:val="20"/>
          <w:szCs w:val="20"/>
          <w:color w:val="auto"/>
        </w:rPr>
      </w:pPr>
      <w:r>
        <w:rPr>
          <w:rFonts w:ascii="Arial" w:cs="Arial" w:eastAsia="Arial" w:hAnsi="Arial"/>
          <w:sz w:val="16"/>
          <w:szCs w:val="16"/>
          <w:b w:val="1"/>
          <w:bCs w:val="1"/>
          <w:i w:val="1"/>
          <w:iCs w:val="1"/>
          <w:color w:val="auto"/>
        </w:rPr>
        <w:t>Intellectual property litigation may lead to unfavorable publicity that harms our reputation and causes the market price of our common shares to decline.</w:t>
      </w:r>
    </w:p>
    <w:p>
      <w:pPr>
        <w:spacing w:after="0" w:line="64"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64" w:lineRule="exact"/>
        <w:rPr>
          <w:sz w:val="20"/>
          <w:szCs w:val="20"/>
          <w:color w:val="auto"/>
        </w:rPr>
      </w:pPr>
    </w:p>
    <w:p>
      <w:pPr>
        <w:ind w:left="1200" w:right="180"/>
        <w:spacing w:after="0" w:line="266" w:lineRule="auto"/>
        <w:rPr>
          <w:sz w:val="20"/>
          <w:szCs w:val="20"/>
          <w:color w:val="auto"/>
        </w:rPr>
      </w:pPr>
      <w:r>
        <w:rPr>
          <w:rFonts w:ascii="Arial" w:cs="Arial" w:eastAsia="Arial" w:hAnsi="Arial"/>
          <w:sz w:val="16"/>
          <w:szCs w:val="16"/>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4" w:lineRule="exact"/>
        <w:rPr>
          <w:sz w:val="20"/>
          <w:szCs w:val="20"/>
          <w:color w:val="auto"/>
        </w:rPr>
      </w:pPr>
    </w:p>
    <w:p>
      <w:pPr>
        <w:ind w:left="820" w:right="480" w:firstLine="385"/>
        <w:spacing w:after="0" w:line="266" w:lineRule="auto"/>
        <w:rPr>
          <w:sz w:val="20"/>
          <w:szCs w:val="20"/>
          <w:color w:val="auto"/>
        </w:rPr>
      </w:pPr>
      <w:r>
        <w:rPr>
          <w:rFonts w:ascii="Arial" w:cs="Arial" w:eastAsia="Arial" w:hAnsi="Arial"/>
          <w:sz w:val="16"/>
          <w:szCs w:val="16"/>
          <w:color w:val="auto"/>
        </w:rPr>
        <w:t>Derivation proceedings provoked by third parties or brought by us or declared by the USPTO may be necessary to determine the priority of inventions with respect to our patent applications or the patents or patent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0440"/>
          </w:cols>
          <w:pgMar w:left="320" w:top="418" w:right="11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0" w:lineRule="auto"/>
        <w:rPr>
          <w:sz w:val="20"/>
          <w:szCs w:val="20"/>
          <w:color w:val="auto"/>
        </w:rPr>
      </w:pPr>
      <w:r>
        <w:rPr>
          <w:rFonts w:ascii="Arial" w:cs="Arial" w:eastAsia="Arial" w:hAnsi="Arial"/>
          <w:sz w:val="15"/>
          <w:szCs w:val="15"/>
          <w:color w:val="auto"/>
        </w:rPr>
        <w:t>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51" w:lineRule="exact"/>
        <w:rPr>
          <w:sz w:val="20"/>
          <w:szCs w:val="20"/>
          <w:color w:val="auto"/>
        </w:rPr>
      </w:pPr>
    </w:p>
    <w:p>
      <w:pPr>
        <w:ind w:left="1200" w:right="100"/>
        <w:spacing w:after="0" w:line="266" w:lineRule="auto"/>
        <w:rPr>
          <w:sz w:val="20"/>
          <w:szCs w:val="20"/>
          <w:color w:val="auto"/>
        </w:rPr>
      </w:pPr>
      <w:r>
        <w:rPr>
          <w:rFonts w:ascii="Arial" w:cs="Arial" w:eastAsia="Arial" w:hAnsi="Arial"/>
          <w:sz w:val="16"/>
          <w:szCs w:val="16"/>
          <w:b w:val="1"/>
          <w:bCs w:val="1"/>
          <w:i w:val="1"/>
          <w:iCs w:val="1"/>
          <w:color w:val="auto"/>
        </w:rPr>
        <w:t>Changes in U.S. patent law, or laws in other countries, could diminish the value of patents in general, thereby impairing our ability to protect our product candidates.</w:t>
      </w:r>
    </w:p>
    <w:p>
      <w:pPr>
        <w:spacing w:after="0" w:line="64" w:lineRule="exact"/>
        <w:rPr>
          <w:sz w:val="20"/>
          <w:szCs w:val="20"/>
          <w:color w:val="auto"/>
        </w:rPr>
      </w:pPr>
    </w:p>
    <w:p>
      <w:pPr>
        <w:ind w:left="820" w:right="120" w:firstLine="385"/>
        <w:spacing w:after="0" w:line="316" w:lineRule="auto"/>
        <w:rPr>
          <w:sz w:val="20"/>
          <w:szCs w:val="20"/>
          <w:color w:val="auto"/>
        </w:rPr>
      </w:pPr>
      <w:r>
        <w:rPr>
          <w:rFonts w:ascii="Arial" w:cs="Arial" w:eastAsia="Arial" w:hAnsi="Arial"/>
          <w:sz w:val="13"/>
          <w:szCs w:val="13"/>
          <w:color w:val="auto"/>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Congress or other foreign legislative bodies may pass patent reform legislation that is unfavorable to us.</w:t>
      </w:r>
    </w:p>
    <w:p>
      <w:pPr>
        <w:spacing w:after="0" w:line="131"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 xml:space="preserve">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3"/>
          <w:szCs w:val="13"/>
          <w:i w:val="1"/>
          <w:iCs w:val="1"/>
          <w:color w:val="auto"/>
        </w:rPr>
        <w:t>inter partes</w:t>
      </w:r>
      <w:r>
        <w:rPr>
          <w:rFonts w:ascii="Arial" w:cs="Arial" w:eastAsia="Arial" w:hAnsi="Arial"/>
          <w:sz w:val="13"/>
          <w:szCs w:val="13"/>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 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324" w:lineRule="exact"/>
        <w:rPr>
          <w:sz w:val="20"/>
          <w:szCs w:val="20"/>
          <w:color w:val="auto"/>
        </w:rPr>
      </w:pPr>
    </w:p>
    <w:p>
      <w:pPr>
        <w:ind w:left="820" w:right="60" w:firstLine="385"/>
        <w:spacing w:after="0" w:line="314" w:lineRule="auto"/>
        <w:rPr>
          <w:sz w:val="20"/>
          <w:szCs w:val="20"/>
          <w:color w:val="auto"/>
        </w:rPr>
      </w:pPr>
      <w:r>
        <w:rPr>
          <w:rFonts w:ascii="Arial" w:cs="Arial" w:eastAsia="Arial" w:hAnsi="Arial"/>
          <w:sz w:val="13"/>
          <w:szCs w:val="13"/>
          <w:color w:val="auto"/>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0420"/>
          </w:cols>
          <w:pgMar w:left="320" w:top="418" w:right="115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40"/>
        <w:spacing w:after="0" w:line="266" w:lineRule="auto"/>
        <w:rPr>
          <w:sz w:val="20"/>
          <w:szCs w:val="20"/>
          <w:color w:val="auto"/>
        </w:rPr>
      </w:pPr>
      <w:r>
        <w:rPr>
          <w:rFonts w:ascii="Arial" w:cs="Arial" w:eastAsia="Arial" w:hAnsi="Arial"/>
          <w:sz w:val="16"/>
          <w:szCs w:val="16"/>
          <w:b w:val="1"/>
          <w:bCs w:val="1"/>
          <w:i w:val="1"/>
          <w:iCs w:val="1"/>
          <w:color w:val="auto"/>
        </w:rPr>
        <w:t>We may be subject to claims challenging the inventorship or ownership of our owned patent applications or in-licensed patent rights and other intellectual property.</w:t>
      </w:r>
    </w:p>
    <w:p>
      <w:pPr>
        <w:spacing w:after="0" w:line="64"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326"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our product candidates for an adequate amount of time.</w:t>
      </w:r>
    </w:p>
    <w:p>
      <w:pPr>
        <w:spacing w:after="0" w:line="110" w:lineRule="exact"/>
        <w:rPr>
          <w:sz w:val="20"/>
          <w:szCs w:val="20"/>
          <w:color w:val="auto"/>
        </w:rPr>
      </w:pPr>
    </w:p>
    <w:p>
      <w:pPr>
        <w:ind w:left="820" w:right="60" w:firstLine="385"/>
        <w:spacing w:after="0" w:line="270" w:lineRule="auto"/>
        <w:rPr>
          <w:sz w:val="20"/>
          <w:szCs w:val="20"/>
          <w:color w:val="auto"/>
        </w:rPr>
      </w:pPr>
      <w:r>
        <w:rPr>
          <w:rFonts w:ascii="Arial" w:cs="Arial" w:eastAsia="Arial" w:hAnsi="Arial"/>
          <w:sz w:val="15"/>
          <w:szCs w:val="15"/>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If we do not obtain patent term extension for our product candidates, our business may be materially harmed.</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w:t>
      </w:r>
    </w:p>
    <w:p>
      <w:pPr>
        <w:spacing w:after="0" w:line="9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440"/>
          </w:cols>
          <w:pgMar w:left="320" w:top="418" w:right="11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6"/>
          <w:szCs w:val="16"/>
          <w:color w:val="auto"/>
        </w:rPr>
        <w:t>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166"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200" w:lineRule="exact"/>
        <w:rPr>
          <w:sz w:val="20"/>
          <w:szCs w:val="20"/>
          <w:color w:val="auto"/>
        </w:rPr>
      </w:pPr>
    </w:p>
    <w:p>
      <w:pPr>
        <w:spacing w:after="0" w:line="21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not be able to protect our intellectual property rights throughout the world.</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 future patents, the patents of our licensors, or other intellectual property rights may not be effective or sufficient to prevent them from competing.</w:t>
      </w:r>
    </w:p>
    <w:p>
      <w:pPr>
        <w:spacing w:after="0" w:line="322"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3"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420"/>
          </w:cols>
          <w:pgMar w:left="320" w:top="418" w:right="115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480"/>
        <w:spacing w:after="0" w:line="256" w:lineRule="auto"/>
        <w:rPr>
          <w:sz w:val="20"/>
          <w:szCs w:val="20"/>
          <w:color w:val="auto"/>
        </w:rPr>
      </w:pPr>
      <w:r>
        <w:rPr>
          <w:rFonts w:ascii="Arial" w:cs="Arial" w:eastAsia="Arial" w:hAnsi="Arial"/>
          <w:sz w:val="16"/>
          <w:szCs w:val="16"/>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1"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258" w:lineRule="exact"/>
        <w:rPr>
          <w:sz w:val="20"/>
          <w:szCs w:val="20"/>
          <w:color w:val="auto"/>
        </w:rPr>
      </w:pPr>
    </w:p>
    <w:p>
      <w:pPr>
        <w:ind w:left="1200" w:right="60"/>
        <w:spacing w:after="0" w:line="26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4"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326" w:lineRule="exact"/>
        <w:rPr>
          <w:sz w:val="20"/>
          <w:szCs w:val="20"/>
          <w:color w:val="auto"/>
        </w:rPr>
      </w:pPr>
    </w:p>
    <w:p>
      <w:pPr>
        <w:ind w:left="820" w:right="140" w:firstLine="385"/>
        <w:spacing w:after="0" w:line="314" w:lineRule="auto"/>
        <w:rPr>
          <w:sz w:val="20"/>
          <w:szCs w:val="20"/>
          <w:color w:val="auto"/>
        </w:rPr>
      </w:pPr>
      <w:r>
        <w:rPr>
          <w:rFonts w:ascii="Arial" w:cs="Arial" w:eastAsia="Arial" w:hAnsi="Arial"/>
          <w:sz w:val="13"/>
          <w:szCs w:val="13"/>
          <w:color w:val="auto"/>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7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0420"/>
          </w:cols>
          <w:pgMar w:left="320" w:top="418" w:right="115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110"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328"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00" w:lineRule="exact"/>
        <w:rPr>
          <w:sz w:val="20"/>
          <w:szCs w:val="20"/>
          <w:color w:val="auto"/>
        </w:rPr>
      </w:pPr>
    </w:p>
    <w:p>
      <w:pPr>
        <w:spacing w:after="0" w:line="221" w:lineRule="exact"/>
        <w:rPr>
          <w:sz w:val="20"/>
          <w:szCs w:val="20"/>
          <w:color w:val="auto"/>
        </w:rPr>
      </w:pPr>
    </w:p>
    <w:p>
      <w:pPr>
        <w:ind w:left="1200" w:right="660"/>
        <w:spacing w:after="0" w:line="266" w:lineRule="auto"/>
        <w:rPr>
          <w:sz w:val="20"/>
          <w:szCs w:val="20"/>
          <w:color w:val="auto"/>
        </w:rPr>
      </w:pPr>
      <w:r>
        <w:rPr>
          <w:rFonts w:ascii="Arial" w:cs="Arial" w:eastAsia="Arial" w:hAnsi="Arial"/>
          <w:sz w:val="16"/>
          <w:szCs w:val="16"/>
          <w:b w:val="1"/>
          <w:bCs w:val="1"/>
          <w:i w:val="1"/>
          <w:iCs w:val="1"/>
          <w:color w:val="auto"/>
        </w:rPr>
        <w:t>We may be subject to claims that we or our employees, consultants, advisors or contractors have wrongfully used or disclosed alleged confidential information or trade secrets.</w:t>
      </w:r>
    </w:p>
    <w:p>
      <w:pPr>
        <w:spacing w:after="0" w:line="64" w:lineRule="exact"/>
        <w:rPr>
          <w:sz w:val="20"/>
          <w:szCs w:val="20"/>
          <w:color w:val="auto"/>
        </w:rPr>
      </w:pPr>
    </w:p>
    <w:p>
      <w:pPr>
        <w:ind w:left="820" w:right="40" w:firstLine="385"/>
        <w:spacing w:after="0" w:line="312" w:lineRule="auto"/>
        <w:rPr>
          <w:sz w:val="20"/>
          <w:szCs w:val="20"/>
          <w:color w:val="auto"/>
        </w:rPr>
      </w:pPr>
      <w:r>
        <w:rPr>
          <w:rFonts w:ascii="Arial" w:cs="Arial" w:eastAsia="Arial" w:hAnsi="Arial"/>
          <w:sz w:val="13"/>
          <w:szCs w:val="13"/>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440"/>
          </w:cols>
          <w:pgMar w:left="320" w:top="418" w:right="11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249" w:lineRule="exact"/>
        <w:rPr>
          <w:sz w:val="20"/>
          <w:szCs w:val="20"/>
          <w:color w:val="auto"/>
        </w:rPr>
      </w:pPr>
    </w:p>
    <w:p>
      <w:pPr>
        <w:ind w:left="1200" w:right="260"/>
        <w:spacing w:after="0" w:line="300" w:lineRule="auto"/>
        <w:rPr>
          <w:sz w:val="20"/>
          <w:szCs w:val="20"/>
          <w:color w:val="auto"/>
        </w:rPr>
      </w:pPr>
      <w:r>
        <w:rPr>
          <w:rFonts w:ascii="Arial" w:cs="Arial" w:eastAsia="Arial" w:hAnsi="Arial"/>
          <w:sz w:val="15"/>
          <w:szCs w:val="15"/>
          <w:b w:val="1"/>
          <w:bCs w:val="1"/>
          <w:i w:val="1"/>
          <w:iCs w:val="1"/>
          <w:color w:val="auto"/>
        </w:rPr>
        <w:t>We may be subject to claims that we have wrongfully hired an employee from our competitors or that we or our employees have wrongfully used or disclosed alleged confidential information or trade secrets of their former employers.</w:t>
      </w:r>
    </w:p>
    <w:p>
      <w:pPr>
        <w:spacing w:after="0" w:line="40"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57" w:lineRule="exact"/>
        <w:rPr>
          <w:sz w:val="20"/>
          <w:szCs w:val="20"/>
          <w:color w:val="auto"/>
        </w:rPr>
      </w:pPr>
    </w:p>
    <w:p>
      <w:pPr>
        <w:ind w:left="1200" w:right="540"/>
        <w:spacing w:after="0" w:line="266" w:lineRule="auto"/>
        <w:rPr>
          <w:sz w:val="20"/>
          <w:szCs w:val="20"/>
          <w:color w:val="auto"/>
        </w:rPr>
      </w:pPr>
      <w:r>
        <w:rPr>
          <w:rFonts w:ascii="Arial" w:cs="Arial" w:eastAsia="Arial" w:hAnsi="Arial"/>
          <w:sz w:val="16"/>
          <w:szCs w:val="16"/>
          <w:b w:val="1"/>
          <w:bCs w:val="1"/>
          <w:i w:val="1"/>
          <w:iCs w:val="1"/>
          <w:color w:val="auto"/>
        </w:rPr>
        <w:t>Our rights to develop and commercialize our technology and product candidates may be subject, in part, to the terms and conditions of licenses granted to us by others.</w:t>
      </w:r>
    </w:p>
    <w:p>
      <w:pPr>
        <w:spacing w:after="0" w:line="64" w:lineRule="exact"/>
        <w:rPr>
          <w:sz w:val="20"/>
          <w:szCs w:val="20"/>
          <w:color w:val="auto"/>
        </w:rPr>
      </w:pPr>
    </w:p>
    <w:p>
      <w:pPr>
        <w:ind w:left="820" w:right="300" w:firstLine="385"/>
        <w:spacing w:after="0" w:line="250" w:lineRule="auto"/>
        <w:rPr>
          <w:sz w:val="20"/>
          <w:szCs w:val="20"/>
          <w:color w:val="auto"/>
        </w:rPr>
      </w:pPr>
      <w:r>
        <w:rPr>
          <w:rFonts w:ascii="Arial" w:cs="Arial" w:eastAsia="Arial" w:hAnsi="Arial"/>
          <w:sz w:val="16"/>
          <w:szCs w:val="16"/>
          <w:color w:val="auto"/>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71"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56"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3"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0420"/>
          </w:cols>
          <w:pgMar w:left="320" w:top="418" w:right="115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80"/>
        <w:spacing w:after="0" w:line="329" w:lineRule="auto"/>
        <w:rPr>
          <w:sz w:val="20"/>
          <w:szCs w:val="20"/>
          <w:color w:val="auto"/>
        </w:rPr>
      </w:pPr>
      <w:r>
        <w:rPr>
          <w:rFonts w:ascii="Arial" w:cs="Arial" w:eastAsia="Arial" w:hAnsi="Arial"/>
          <w:sz w:val="13"/>
          <w:szCs w:val="13"/>
          <w:color w:val="auto"/>
        </w:rPr>
        <w:t>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23"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33" w:lineRule="exact"/>
        <w:rPr>
          <w:sz w:val="20"/>
          <w:szCs w:val="20"/>
          <w:color w:val="auto"/>
        </w:rPr>
      </w:pPr>
    </w:p>
    <w:p>
      <w:pPr>
        <w:ind w:left="820" w:right="40" w:firstLine="385"/>
        <w:spacing w:after="0" w:line="312" w:lineRule="auto"/>
        <w:rPr>
          <w:sz w:val="20"/>
          <w:szCs w:val="20"/>
          <w:color w:val="auto"/>
        </w:rPr>
      </w:pPr>
      <w:r>
        <w:rPr>
          <w:rFonts w:ascii="Arial" w:cs="Arial" w:eastAsia="Arial" w:hAnsi="Arial"/>
          <w:sz w:val="13"/>
          <w:szCs w:val="13"/>
          <w:color w:val="auto"/>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326" w:lineRule="exact"/>
        <w:rPr>
          <w:sz w:val="20"/>
          <w:szCs w:val="20"/>
          <w:color w:val="auto"/>
        </w:rPr>
      </w:pPr>
    </w:p>
    <w:p>
      <w:pPr>
        <w:ind w:left="820" w:right="80" w:firstLine="385"/>
        <w:spacing w:after="0" w:line="250" w:lineRule="auto"/>
        <w:rPr>
          <w:sz w:val="20"/>
          <w:szCs w:val="20"/>
          <w:color w:val="auto"/>
        </w:rPr>
      </w:pPr>
      <w:r>
        <w:rPr>
          <w:rFonts w:ascii="Arial" w:cs="Arial" w:eastAsia="Arial" w:hAnsi="Arial"/>
          <w:sz w:val="16"/>
          <w:szCs w:val="16"/>
          <w:color w:val="auto"/>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265" w:lineRule="exact"/>
        <w:rPr>
          <w:sz w:val="20"/>
          <w:szCs w:val="20"/>
          <w:color w:val="auto"/>
        </w:rPr>
      </w:pPr>
    </w:p>
    <w:p>
      <w:pPr>
        <w:ind w:left="1200" w:right="100"/>
        <w:spacing w:after="0" w:line="378" w:lineRule="auto"/>
        <w:rPr>
          <w:sz w:val="20"/>
          <w:szCs w:val="20"/>
          <w:color w:val="auto"/>
        </w:rPr>
      </w:pPr>
      <w:r>
        <w:rPr>
          <w:rFonts w:ascii="Arial" w:cs="Arial" w:eastAsia="Arial" w:hAnsi="Arial"/>
          <w:sz w:val="13"/>
          <w:szCs w:val="13"/>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Disputes may arise between us and our current or future licensors regarding intellectual property subject to a license agreement, including:</w:t>
      </w:r>
    </w:p>
    <w:p>
      <w:pPr>
        <w:spacing w:after="0" w:line="122" w:lineRule="exact"/>
        <w:rPr>
          <w:sz w:val="20"/>
          <w:szCs w:val="20"/>
          <w:color w:val="auto"/>
        </w:rPr>
      </w:pPr>
    </w:p>
    <w:p>
      <w:pPr>
        <w:ind w:left="1660" w:hanging="469"/>
        <w:spacing w:after="0"/>
        <w:tabs>
          <w:tab w:leader="none" w:pos="1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scope of rights granted under the license agreement and other interpretation-related issues;</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whether and the extent to which our technology and processes infringe on intellectual property of the licensor that is not subject to the licensing agreement;</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0420"/>
          </w:cols>
          <w:pgMar w:left="320" w:top="418" w:right="115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right to sublicense patents and other rights to third parties;</w:t>
      </w:r>
    </w:p>
    <w:p>
      <w:pPr>
        <w:spacing w:after="0" w:line="110" w:lineRule="exact"/>
        <w:rPr>
          <w:rFonts w:ascii="Arial" w:cs="Arial" w:eastAsia="Arial" w:hAnsi="Arial"/>
          <w:sz w:val="16"/>
          <w:szCs w:val="16"/>
          <w:color w:val="auto"/>
        </w:rPr>
      </w:pPr>
    </w:p>
    <w:p>
      <w:pPr>
        <w:ind w:left="1660" w:right="24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whether third parties are entitled to compensation or equitable relief, such as an injunction, for our use of the intellectual property rights without their authorization;</w:t>
      </w:r>
    </w:p>
    <w:p>
      <w:pPr>
        <w:spacing w:after="0" w:line="75" w:lineRule="exact"/>
        <w:rPr>
          <w:rFonts w:ascii="Arial" w:cs="Arial" w:eastAsia="Arial" w:hAnsi="Arial"/>
          <w:sz w:val="16"/>
          <w:szCs w:val="16"/>
          <w:color w:val="auto"/>
        </w:rPr>
      </w:pPr>
    </w:p>
    <w:p>
      <w:pPr>
        <w:ind w:left="1660" w:right="16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involvement or lack of involvement in the prosecution, defense, and enforcement of licensed patents and our licensors’ overall patent enforcement strategy;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amounts of royalties, milestones or other payments due under the license agreement;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our right to transfer or assign the license;</w:t>
      </w:r>
    </w:p>
    <w:p>
      <w:pPr>
        <w:spacing w:after="0" w:line="110"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inventorship and ownership of inventions and know-how resulting from the joint creation or use of intellectual property by our licensors and us and our partners;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priority of invention of patented technology.</w:t>
      </w:r>
    </w:p>
    <w:p>
      <w:pPr>
        <w:spacing w:after="0" w:line="193"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163"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The patent protection and patent prosecution for some of our product candidates may be dependent on third parties.</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63"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0440"/>
          </w:cols>
          <w:pgMar w:left="320" w:top="418" w:right="11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160"/>
        <w:spacing w:after="0" w:line="256" w:lineRule="auto"/>
        <w:rPr>
          <w:sz w:val="20"/>
          <w:szCs w:val="20"/>
          <w:color w:val="auto"/>
        </w:rPr>
      </w:pPr>
      <w:r>
        <w:rPr>
          <w:rFonts w:ascii="Arial" w:cs="Arial" w:eastAsia="Arial" w:hAnsi="Arial"/>
          <w:sz w:val="16"/>
          <w:szCs w:val="16"/>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1"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 comply with federal regulations regarding intellectual property rights that were developed through the use of U.S. government funding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97" w:lineRule="exact"/>
        <w:rPr>
          <w:sz w:val="20"/>
          <w:szCs w:val="20"/>
          <w:color w:val="auto"/>
        </w:rPr>
      </w:pPr>
    </w:p>
    <w:p>
      <w:pPr>
        <w:jc w:val="both"/>
        <w:ind w:left="1200" w:right="240"/>
        <w:spacing w:after="0" w:line="256" w:lineRule="auto"/>
        <w:rPr>
          <w:sz w:val="20"/>
          <w:szCs w:val="20"/>
          <w:color w:val="auto"/>
        </w:rPr>
      </w:pPr>
      <w:r>
        <w:rPr>
          <w:rFonts w:ascii="Arial" w:cs="Arial" w:eastAsia="Arial" w:hAnsi="Arial"/>
          <w:sz w:val="16"/>
          <w:szCs w:val="16"/>
          <w:b w:val="1"/>
          <w:bCs w:val="1"/>
          <w:i w:val="1"/>
          <w:iCs w:val="1"/>
          <w:color w:val="auto"/>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71" w:lineRule="exact"/>
        <w:rPr>
          <w:sz w:val="20"/>
          <w:szCs w:val="20"/>
          <w:color w:val="auto"/>
        </w:rPr>
      </w:pPr>
    </w:p>
    <w:p>
      <w:pPr>
        <w:ind w:left="820" w:right="80" w:firstLine="385"/>
        <w:spacing w:after="0" w:line="343" w:lineRule="auto"/>
        <w:rPr>
          <w:sz w:val="20"/>
          <w:szCs w:val="20"/>
          <w:color w:val="auto"/>
        </w:rPr>
      </w:pPr>
      <w:r>
        <w:rPr>
          <w:rFonts w:ascii="Arial" w:cs="Arial" w:eastAsia="Arial" w:hAnsi="Arial"/>
          <w:sz w:val="13"/>
          <w:szCs w:val="13"/>
          <w:color w:val="auto"/>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114"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COVID-19.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0420"/>
          </w:cols>
          <w:pgMar w:left="320" w:top="418" w:right="115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spacing w:after="0" w:line="251" w:lineRule="auto"/>
        <w:rPr>
          <w:sz w:val="20"/>
          <w:szCs w:val="20"/>
          <w:color w:val="auto"/>
        </w:rPr>
      </w:pPr>
      <w:r>
        <w:rPr>
          <w:rFonts w:ascii="Arial" w:cs="Arial" w:eastAsia="Arial" w:hAnsi="Arial"/>
          <w:sz w:val="16"/>
          <w:szCs w:val="16"/>
          <w:color w:val="auto"/>
        </w:rPr>
        <w:t>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170" w:lineRule="exact"/>
        <w:rPr>
          <w:sz w:val="20"/>
          <w:szCs w:val="20"/>
          <w:color w:val="auto"/>
        </w:rPr>
      </w:pPr>
    </w:p>
    <w:p>
      <w:pPr>
        <w:ind w:left="820" w:firstLine="385"/>
        <w:spacing w:after="0" w:line="264" w:lineRule="auto"/>
        <w:rPr>
          <w:sz w:val="20"/>
          <w:szCs w:val="20"/>
          <w:color w:val="auto"/>
        </w:rPr>
      </w:pPr>
      <w:r>
        <w:rPr>
          <w:rFonts w:ascii="Arial" w:cs="Arial" w:eastAsia="Arial" w:hAnsi="Arial"/>
          <w:sz w:val="15"/>
          <w:szCs w:val="15"/>
          <w:color w:val="auto"/>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current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0" w:lineRule="exact"/>
        <w:rPr>
          <w:sz w:val="20"/>
          <w:szCs w:val="20"/>
          <w:color w:val="auto"/>
        </w:rPr>
      </w:pPr>
    </w:p>
    <w:p>
      <w:pPr>
        <w:ind w:left="820" w:right="80" w:firstLine="385"/>
        <w:spacing w:after="0" w:line="343" w:lineRule="auto"/>
        <w:rPr>
          <w:sz w:val="20"/>
          <w:szCs w:val="20"/>
          <w:color w:val="auto"/>
        </w:rPr>
      </w:pPr>
      <w:r>
        <w:rPr>
          <w:rFonts w:ascii="Arial" w:cs="Arial" w:eastAsia="Arial" w:hAnsi="Arial"/>
          <w:sz w:val="13"/>
          <w:szCs w:val="13"/>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208" w:lineRule="exact"/>
        <w:rPr>
          <w:sz w:val="20"/>
          <w:szCs w:val="20"/>
          <w:color w:val="auto"/>
        </w:rPr>
      </w:pPr>
    </w:p>
    <w:p>
      <w:pPr>
        <w:ind w:left="1200" w:right="80"/>
        <w:spacing w:after="0" w:line="275" w:lineRule="auto"/>
        <w:rPr>
          <w:sz w:val="20"/>
          <w:szCs w:val="20"/>
          <w:color w:val="auto"/>
        </w:rPr>
      </w:pPr>
      <w:r>
        <w:rPr>
          <w:rFonts w:ascii="Arial" w:cs="Arial" w:eastAsia="Arial" w:hAnsi="Arial"/>
          <w:sz w:val="15"/>
          <w:szCs w:val="15"/>
          <w:b w:val="1"/>
          <w:bCs w:val="1"/>
          <w:i w:val="1"/>
          <w:iCs w:val="1"/>
          <w:color w:val="auto"/>
        </w:rPr>
        <w:t>We contract with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58"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We do not currently have the infrastructure or internal capability to manufacture supplies of our product candidates for use in development and commercialization. We plan to fully integrate and internalize AAV manufacturing capabilities to support our Gene Therapy and Cellular Regeneration platforms, and have initiated construction of a cGMP manufacturing facility. Until our manufacturing facility is complete and operational, we will continue to rely on third-party manufacturers for our Gene Therapy and Cellular Regeneration platforms. Moreover, to optimize our use of resources and utilize extensive third-party experience in small molecule manufacturing, we intend to continue to rely on third-party manufacturers for our small molecule programs.</w:t>
      </w:r>
    </w:p>
    <w:p>
      <w:pPr>
        <w:spacing w:after="0" w:line="171" w:lineRule="exact"/>
        <w:rPr>
          <w:sz w:val="20"/>
          <w:szCs w:val="20"/>
          <w:color w:val="auto"/>
        </w:rPr>
      </w:pPr>
    </w:p>
    <w:p>
      <w:pPr>
        <w:ind w:left="820" w:firstLine="385"/>
        <w:spacing w:after="0" w:line="383" w:lineRule="auto"/>
        <w:rPr>
          <w:sz w:val="20"/>
          <w:szCs w:val="20"/>
          <w:color w:val="auto"/>
        </w:rPr>
      </w:pPr>
      <w:r>
        <w:rPr>
          <w:rFonts w:ascii="Arial" w:cs="Arial" w:eastAsia="Arial" w:hAnsi="Arial"/>
          <w:sz w:val="13"/>
          <w:szCs w:val="13"/>
          <w:color w:val="auto"/>
        </w:rPr>
        <w:t>Competition for third-party manufacturers and supplies has increased as a result of COVID-19. Changing third-party manufacturers could result in delays in our manufacturing supply chain which could delay or otherwise impact development of our programs and result in increased costs.</w:t>
      </w:r>
    </w:p>
    <w:p>
      <w:pPr>
        <w:spacing w:after="0" w:line="3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420"/>
          </w:cols>
          <w:pgMar w:left="320" w:top="418" w:right="11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154" w:lineRule="exact"/>
        <w:rPr>
          <w:sz w:val="20"/>
          <w:szCs w:val="20"/>
          <w:color w:val="auto"/>
        </w:rPr>
      </w:pPr>
    </w:p>
    <w:p>
      <w:pPr>
        <w:ind w:left="820" w:right="300" w:firstLine="385"/>
        <w:spacing w:after="0" w:line="300" w:lineRule="auto"/>
        <w:rPr>
          <w:sz w:val="20"/>
          <w:szCs w:val="20"/>
          <w:color w:val="auto"/>
        </w:rPr>
      </w:pPr>
      <w:r>
        <w:rPr>
          <w:rFonts w:ascii="Arial" w:cs="Arial" w:eastAsia="Arial" w:hAnsi="Arial"/>
          <w:sz w:val="15"/>
          <w:szCs w:val="15"/>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52" w:lineRule="exact"/>
        <w:rPr>
          <w:sz w:val="20"/>
          <w:szCs w:val="20"/>
          <w:color w:val="auto"/>
        </w:rPr>
      </w:pPr>
    </w:p>
    <w:p>
      <w:pPr>
        <w:ind w:left="1660" w:right="140" w:hanging="469"/>
        <w:spacing w:after="0" w:line="256" w:lineRule="auto"/>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termination or nonrenewal of arrangements or agreements by our third-party contractors at a time that is costly or inconvenient for us;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breach by the third-party contractors of our agreements with them;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failure of third-party contractors to comply with applicable regulatory requirements, including cGMPs;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failure of the third party to manufacture our product candidates according to our specifications;</w:t>
      </w:r>
    </w:p>
    <w:p>
      <w:pPr>
        <w:spacing w:after="0" w:line="110" w:lineRule="exact"/>
        <w:rPr>
          <w:rFonts w:ascii="Arial" w:cs="Arial" w:eastAsia="Arial" w:hAnsi="Arial"/>
          <w:sz w:val="16"/>
          <w:szCs w:val="16"/>
          <w:color w:val="auto"/>
        </w:rPr>
      </w:pPr>
    </w:p>
    <w:p>
      <w:pPr>
        <w:ind w:left="1660" w:right="320" w:hanging="469"/>
        <w:spacing w:after="0" w:line="266" w:lineRule="auto"/>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mislabeling of clinical supplies, potentially resulting in the wrong dose amounts being supplied or active drug or placebo not being properly identified;</w:t>
      </w:r>
    </w:p>
    <w:p>
      <w:pPr>
        <w:spacing w:after="0" w:line="75"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clinical supplies not being delivered to clinical sites on time, leading to clinical trial interruptions, or of drug supplies not being distributed to commercial vendors in a timely manner, resulting in lost sales; and</w:t>
      </w:r>
    </w:p>
    <w:p>
      <w:pPr>
        <w:spacing w:after="0" w:line="75"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infringement, misappropriation or other violation of our intellectual property or proprietary information, including our trade secrets and know-how.</w:t>
      </w:r>
    </w:p>
    <w:p>
      <w:pPr>
        <w:spacing w:after="0" w:line="158" w:lineRule="exact"/>
        <w:rPr>
          <w:sz w:val="20"/>
          <w:szCs w:val="20"/>
          <w:color w:val="auto"/>
        </w:rPr>
      </w:pPr>
    </w:p>
    <w:p>
      <w:pPr>
        <w:ind w:left="820" w:right="20" w:firstLine="385"/>
        <w:spacing w:after="0" w:line="268" w:lineRule="auto"/>
        <w:rPr>
          <w:sz w:val="20"/>
          <w:szCs w:val="20"/>
          <w:color w:val="auto"/>
        </w:rPr>
      </w:pPr>
      <w:r>
        <w:rPr>
          <w:rFonts w:ascii="Arial" w:cs="Arial" w:eastAsia="Arial" w:hAnsi="Arial"/>
          <w:sz w:val="15"/>
          <w:szCs w:val="15"/>
          <w:color w:val="auto"/>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161"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quality control, quality assurance,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440"/>
          </w:cols>
          <w:pgMar w:left="320" w:top="418" w:right="11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3" w:lineRule="auto"/>
        <w:rPr>
          <w:sz w:val="20"/>
          <w:szCs w:val="20"/>
          <w:color w:val="auto"/>
        </w:rPr>
      </w:pPr>
      <w:r>
        <w:rPr>
          <w:rFonts w:ascii="Arial" w:cs="Arial" w:eastAsia="Arial" w:hAnsi="Arial"/>
          <w:sz w:val="16"/>
          <w:szCs w:val="16"/>
          <w:color w:val="auto"/>
        </w:rPr>
        <w:t>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67"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We rely on third-party suppliers for the raw materials required for the production of our product candidates for all of our programs. Our reliance on third-party supplies will continue even after we operationalize our cGMP manufacturing facility to support our Gene Therapy and Cellular Regeneration platforms.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326"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ind w:left="1200" w:right="80"/>
        <w:spacing w:after="0" w:line="266" w:lineRule="auto"/>
        <w:rPr>
          <w:sz w:val="20"/>
          <w:szCs w:val="20"/>
          <w:color w:val="auto"/>
        </w:rPr>
      </w:pPr>
      <w:r>
        <w:rPr>
          <w:rFonts w:ascii="Arial" w:cs="Arial" w:eastAsia="Arial" w:hAnsi="Arial"/>
          <w:sz w:val="16"/>
          <w:szCs w:val="16"/>
          <w:b w:val="1"/>
          <w:bCs w:val="1"/>
          <w:i w:val="1"/>
          <w:iCs w:val="1"/>
          <w:color w:val="auto"/>
        </w:rPr>
        <w:t>Our reliance on third parties may require us to share our trade secrets, which increases the possibility that our competitors will discover them or that our trade secrets will be misappropriated or disclosed.</w:t>
      </w:r>
    </w:p>
    <w:p>
      <w:pPr>
        <w:spacing w:after="0" w:line="64"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255" w:lineRule="exact"/>
        <w:rPr>
          <w:sz w:val="20"/>
          <w:szCs w:val="20"/>
          <w:color w:val="auto"/>
        </w:rPr>
      </w:pPr>
    </w:p>
    <w:p>
      <w:pPr>
        <w:ind w:left="1200" w:right="140"/>
        <w:spacing w:after="0" w:line="266" w:lineRule="auto"/>
        <w:rPr>
          <w:sz w:val="20"/>
          <w:szCs w:val="20"/>
          <w:color w:val="auto"/>
        </w:rPr>
      </w:pPr>
      <w:r>
        <w:rPr>
          <w:rFonts w:ascii="Arial" w:cs="Arial" w:eastAsia="Arial" w:hAnsi="Arial"/>
          <w:sz w:val="16"/>
          <w:szCs w:val="16"/>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64" w:lineRule="exact"/>
        <w:rPr>
          <w:sz w:val="20"/>
          <w:szCs w:val="20"/>
          <w:color w:val="auto"/>
        </w:rPr>
      </w:pPr>
    </w:p>
    <w:p>
      <w:pPr>
        <w:jc w:val="center"/>
        <w:ind w:right="-779"/>
        <w:spacing w:after="0"/>
        <w:rPr>
          <w:sz w:val="20"/>
          <w:szCs w:val="20"/>
          <w:color w:val="auto"/>
        </w:rPr>
      </w:pPr>
      <w:r>
        <w:rPr>
          <w:rFonts w:ascii="Arial" w:cs="Arial" w:eastAsia="Arial" w:hAnsi="Arial"/>
          <w:sz w:val="15"/>
          <w:szCs w:val="15"/>
          <w:color w:val="auto"/>
        </w:rPr>
        <w:t>From time to time, we evaluate various acquisition opportunities and strategic partnerships, including licensing or acquiring complementary</w:t>
      </w:r>
    </w:p>
    <w:p>
      <w:pPr>
        <w:spacing w:after="0" w:line="28" w:lineRule="exact"/>
        <w:rPr>
          <w:sz w:val="20"/>
          <w:szCs w:val="20"/>
          <w:color w:val="auto"/>
        </w:rPr>
      </w:pPr>
    </w:p>
    <w:p>
      <w:pPr>
        <w:jc w:val="center"/>
        <w:ind w:right="-799"/>
        <w:spacing w:after="0"/>
        <w:rPr>
          <w:sz w:val="20"/>
          <w:szCs w:val="20"/>
          <w:color w:val="auto"/>
        </w:rPr>
      </w:pPr>
      <w:r>
        <w:rPr>
          <w:rFonts w:ascii="Arial" w:cs="Arial" w:eastAsia="Arial" w:hAnsi="Arial"/>
          <w:sz w:val="13"/>
          <w:szCs w:val="13"/>
          <w:color w:val="auto"/>
        </w:rPr>
        <w:t>products, intellectual property rights, technologies or businesses. Any potential acquisition or strategic partnership may entail numerous risks, including:</w:t>
      </w:r>
    </w:p>
    <w:p>
      <w:pPr>
        <w:spacing w:after="0" w:line="134" w:lineRule="exact"/>
        <w:rPr>
          <w:sz w:val="20"/>
          <w:szCs w:val="20"/>
          <w:color w:val="auto"/>
        </w:rPr>
      </w:pPr>
    </w:p>
    <w:p>
      <w:pPr>
        <w:ind w:left="1660" w:hanging="469"/>
        <w:spacing w:after="0"/>
        <w:tabs>
          <w:tab w:leader="none" w:pos="1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increased operating expenses and cash requirements;</w:t>
      </w:r>
    </w:p>
    <w:p>
      <w:pPr>
        <w:spacing w:after="0" w:line="110" w:lineRule="exact"/>
        <w:rPr>
          <w:rFonts w:ascii="Arial" w:cs="Arial" w:eastAsia="Arial" w:hAnsi="Arial"/>
          <w:sz w:val="16"/>
          <w:szCs w:val="16"/>
          <w:color w:val="auto"/>
        </w:rPr>
      </w:pPr>
    </w:p>
    <w:p>
      <w:pPr>
        <w:ind w:left="5540" w:right="4580" w:hanging="4349"/>
        <w:spacing w:after="0" w:line="416" w:lineRule="auto"/>
        <w:tabs>
          <w:tab w:leader="none" w:pos="1657"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assumption of additional indebtedness or contingent liabilities; 79</w:t>
      </w:r>
    </w:p>
    <w:p>
      <w:pPr>
        <w:sectPr>
          <w:pgSz w:w="11900" w:h="16838" w:orient="portrait"/>
          <w:cols w:equalWidth="0" w:num="1">
            <w:col w:w="10420"/>
          </w:cols>
          <w:pgMar w:left="320" w:top="418" w:right="115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issuance of our equity securities;</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integrating new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diversion of our management’s attention from our existing programs and initiatives in pursuing such a strategic merger or acquisition;</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retention of key employees, the loss of key personnel and uncertainties in our ability to maintain key business relationships;</w:t>
      </w:r>
    </w:p>
    <w:p>
      <w:pPr>
        <w:spacing w:after="0" w:line="110"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risks and uncertainties associated with the other party to such a transaction, including the prospects of that party and their existing products or product candidates and marketing approvals; and</w:t>
      </w:r>
    </w:p>
    <w:p>
      <w:pPr>
        <w:spacing w:after="0" w:line="75"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inability to generate revenue from acquired technology and/or products sufficient to meet our objectives in undertaking the acquisition or even to offset the associated acquisition and maintenance costs.</w:t>
      </w:r>
    </w:p>
    <w:p>
      <w:pPr>
        <w:spacing w:after="0" w:line="158" w:lineRule="exact"/>
        <w:rPr>
          <w:sz w:val="20"/>
          <w:szCs w:val="20"/>
          <w:color w:val="auto"/>
        </w:rPr>
      </w:pPr>
    </w:p>
    <w:p>
      <w:pPr>
        <w:ind w:left="820" w:right="200" w:firstLine="385"/>
        <w:spacing w:after="0" w:line="300" w:lineRule="auto"/>
        <w:rPr>
          <w:sz w:val="20"/>
          <w:szCs w:val="20"/>
          <w:color w:val="auto"/>
        </w:rPr>
      </w:pPr>
      <w:r>
        <w:rPr>
          <w:rFonts w:ascii="Arial" w:cs="Arial" w:eastAsia="Arial" w:hAnsi="Arial"/>
          <w:sz w:val="15"/>
          <w:szCs w:val="15"/>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229" w:lineRule="exact"/>
        <w:rPr>
          <w:sz w:val="20"/>
          <w:szCs w:val="20"/>
          <w:color w:val="auto"/>
        </w:rPr>
      </w:pPr>
    </w:p>
    <w:p>
      <w:pPr>
        <w:ind w:left="1200" w:right="160"/>
        <w:spacing w:after="0" w:line="266" w:lineRule="auto"/>
        <w:rPr>
          <w:sz w:val="20"/>
          <w:szCs w:val="20"/>
          <w:color w:val="auto"/>
        </w:rPr>
      </w:pPr>
      <w:r>
        <w:rPr>
          <w:rFonts w:ascii="Arial" w:cs="Arial" w:eastAsia="Arial" w:hAnsi="Arial"/>
          <w:sz w:val="16"/>
          <w:szCs w:val="16"/>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64" w:lineRule="exact"/>
        <w:rPr>
          <w:sz w:val="20"/>
          <w:szCs w:val="20"/>
          <w:color w:val="auto"/>
        </w:rPr>
      </w:pPr>
    </w:p>
    <w:p>
      <w:pPr>
        <w:ind w:left="820" w:right="140" w:firstLine="385"/>
        <w:spacing w:after="0" w:line="272" w:lineRule="auto"/>
        <w:rPr>
          <w:sz w:val="20"/>
          <w:szCs w:val="20"/>
          <w:color w:val="auto"/>
        </w:rPr>
      </w:pPr>
      <w:r>
        <w:rPr>
          <w:rFonts w:ascii="Arial" w:cs="Arial" w:eastAsia="Arial" w:hAnsi="Arial"/>
          <w:sz w:val="15"/>
          <w:szCs w:val="15"/>
          <w:color w:val="auto"/>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154"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38" w:lineRule="exact"/>
        <w:rPr>
          <w:sz w:val="20"/>
          <w:szCs w:val="20"/>
          <w:color w:val="auto"/>
        </w:rPr>
      </w:pPr>
    </w:p>
    <w:p>
      <w:pPr>
        <w:ind w:left="820" w:right="120" w:firstLine="385"/>
        <w:spacing w:after="0" w:line="281" w:lineRule="auto"/>
        <w:rPr>
          <w:sz w:val="20"/>
          <w:szCs w:val="20"/>
          <w:color w:val="auto"/>
        </w:rPr>
      </w:pPr>
      <w:r>
        <w:rPr>
          <w:rFonts w:ascii="Arial" w:cs="Arial" w:eastAsia="Arial" w:hAnsi="Arial"/>
          <w:sz w:val="15"/>
          <w:szCs w:val="15"/>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If and when we seek to enter into collaborations, we may not be able to negotiate collaborations on a timely basis, on acceptable terms, or at all. If we are unable to do so, we may have to curtail the development of a</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400"/>
          </w:cols>
          <w:pgMar w:left="320" w:top="418" w:right="117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2" w:lineRule="auto"/>
        <w:rPr>
          <w:sz w:val="20"/>
          <w:szCs w:val="20"/>
          <w:color w:val="auto"/>
        </w:rPr>
      </w:pPr>
      <w:r>
        <w:rPr>
          <w:rFonts w:ascii="Arial" w:cs="Arial" w:eastAsia="Arial" w:hAnsi="Arial"/>
          <w:sz w:val="15"/>
          <w:szCs w:val="15"/>
          <w:color w:val="auto"/>
        </w:rPr>
        <w:t>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49" w:lineRule="exact"/>
        <w:rPr>
          <w:sz w:val="20"/>
          <w:szCs w:val="20"/>
          <w:color w:val="auto"/>
        </w:rPr>
      </w:pPr>
    </w:p>
    <w:p>
      <w:pPr>
        <w:ind w:left="1200" w:right="120"/>
        <w:spacing w:after="0" w:line="300" w:lineRule="auto"/>
        <w:rPr>
          <w:sz w:val="20"/>
          <w:szCs w:val="20"/>
          <w:color w:val="auto"/>
        </w:rPr>
      </w:pPr>
      <w:r>
        <w:rPr>
          <w:rFonts w:ascii="Arial" w:cs="Arial" w:eastAsia="Arial" w:hAnsi="Arial"/>
          <w:sz w:val="15"/>
          <w:szCs w:val="15"/>
          <w:b w:val="1"/>
          <w:bCs w:val="1"/>
          <w:i w:val="1"/>
          <w:iCs w:val="1"/>
          <w:color w:val="auto"/>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40"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0" w:lineRule="exact"/>
        <w:rPr>
          <w:sz w:val="20"/>
          <w:szCs w:val="20"/>
          <w:color w:val="auto"/>
        </w:rPr>
      </w:pPr>
    </w:p>
    <w:p>
      <w:pPr>
        <w:ind w:left="1660" w:right="340" w:hanging="469"/>
        <w:spacing w:after="0" w:line="26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and the manner in which they perform their obligations under, these collaborations and may not perform their obligations as expected;</w:t>
      </w:r>
    </w:p>
    <w:p>
      <w:pPr>
        <w:spacing w:after="0" w:line="75" w:lineRule="exact"/>
        <w:rPr>
          <w:rFonts w:ascii="Arial" w:cs="Arial" w:eastAsia="Arial" w:hAnsi="Arial"/>
          <w:sz w:val="16"/>
          <w:szCs w:val="16"/>
          <w:color w:val="auto"/>
        </w:rPr>
      </w:pPr>
    </w:p>
    <w:p>
      <w:pPr>
        <w:ind w:left="1660" w:hanging="469"/>
        <w:spacing w:after="0" w:line="275"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0" w:lineRule="exact"/>
        <w:rPr>
          <w:rFonts w:ascii="Arial" w:cs="Arial" w:eastAsia="Arial" w:hAnsi="Arial"/>
          <w:sz w:val="15"/>
          <w:szCs w:val="15"/>
          <w:color w:val="auto"/>
        </w:rPr>
      </w:pPr>
    </w:p>
    <w:p>
      <w:pPr>
        <w:ind w:left="1660" w:right="240" w:hanging="469"/>
        <w:spacing w:after="0" w:line="300" w:lineRule="auto"/>
        <w:tabs>
          <w:tab w:leader="none" w:pos="16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2" w:lineRule="exact"/>
        <w:rPr>
          <w:rFonts w:ascii="Arial" w:cs="Arial" w:eastAsia="Arial" w:hAnsi="Arial"/>
          <w:sz w:val="15"/>
          <w:szCs w:val="15"/>
          <w:color w:val="auto"/>
        </w:rPr>
      </w:pPr>
    </w:p>
    <w:p>
      <w:pPr>
        <w:ind w:left="1660" w:right="240" w:hanging="469"/>
        <w:spacing w:after="0" w:line="25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3" w:lineRule="exact"/>
        <w:rPr>
          <w:rFonts w:ascii="Arial" w:cs="Arial" w:eastAsia="Arial" w:hAnsi="Arial"/>
          <w:sz w:val="16"/>
          <w:szCs w:val="16"/>
          <w:color w:val="auto"/>
        </w:rPr>
      </w:pPr>
    </w:p>
    <w:p>
      <w:pPr>
        <w:ind w:left="1660" w:right="500" w:hanging="469"/>
        <w:spacing w:after="0" w:line="26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collaborator with marketing and distribution rights to multiple products may not commit sufficient resources to the marketing and distribution of our product relative to other products;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we may grant exclusive rights to our collaborators that would prevent us from collaborating with others;</w:t>
      </w:r>
    </w:p>
    <w:p>
      <w:pPr>
        <w:spacing w:after="0" w:line="110" w:lineRule="exact"/>
        <w:rPr>
          <w:rFonts w:ascii="Arial" w:cs="Arial" w:eastAsia="Arial" w:hAnsi="Arial"/>
          <w:sz w:val="16"/>
          <w:szCs w:val="16"/>
          <w:color w:val="auto"/>
        </w:rPr>
      </w:pPr>
    </w:p>
    <w:p>
      <w:pPr>
        <w:ind w:left="1660" w:right="380" w:hanging="469"/>
        <w:spacing w:after="0" w:line="253"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84" w:lineRule="exact"/>
        <w:rPr>
          <w:rFonts w:ascii="Arial" w:cs="Arial" w:eastAsia="Arial" w:hAnsi="Arial"/>
          <w:sz w:val="16"/>
          <w:szCs w:val="16"/>
          <w:color w:val="auto"/>
        </w:rPr>
      </w:pPr>
    </w:p>
    <w:p>
      <w:pPr>
        <w:ind w:left="1660" w:right="620" w:hanging="469"/>
        <w:spacing w:after="0" w:line="25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83" w:lineRule="exact"/>
        <w:rPr>
          <w:rFonts w:ascii="Arial" w:cs="Arial" w:eastAsia="Arial" w:hAnsi="Arial"/>
          <w:sz w:val="16"/>
          <w:szCs w:val="16"/>
          <w:color w:val="auto"/>
        </w:rPr>
      </w:pPr>
    </w:p>
    <w:p>
      <w:pPr>
        <w:ind w:left="1660" w:right="700" w:hanging="469"/>
        <w:spacing w:after="0" w:line="266" w:lineRule="auto"/>
        <w:tabs>
          <w:tab w:leader="none" w:pos="1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product candidates;</w:t>
      </w:r>
    </w:p>
    <w:p>
      <w:pPr>
        <w:spacing w:after="0" w:line="75" w:lineRule="exact"/>
        <w:rPr>
          <w:rFonts w:ascii="Arial" w:cs="Arial" w:eastAsia="Arial" w:hAnsi="Arial"/>
          <w:sz w:val="16"/>
          <w:szCs w:val="16"/>
          <w:color w:val="auto"/>
        </w:rPr>
      </w:pPr>
    </w:p>
    <w:p>
      <w:pPr>
        <w:ind w:left="5540" w:right="160" w:hanging="4349"/>
        <w:spacing w:after="0" w:line="436" w:lineRule="auto"/>
        <w:tabs>
          <w:tab w:leader="none" w:pos="1657" w:val="left"/>
        </w:tabs>
        <w:numPr>
          <w:ilvl w:val="0"/>
          <w:numId w:val="53"/>
        </w:numPr>
        <w:rPr>
          <w:rFonts w:ascii="Arial" w:cs="Arial" w:eastAsia="Arial" w:hAnsi="Arial"/>
          <w:sz w:val="16"/>
          <w:szCs w:val="16"/>
          <w:color w:val="auto"/>
        </w:rPr>
      </w:pPr>
      <w:r>
        <w:rPr>
          <w:rFonts w:ascii="Arial" w:cs="Arial" w:eastAsia="Arial" w:hAnsi="Arial"/>
          <w:sz w:val="16"/>
          <w:szCs w:val="16"/>
          <w:color w:val="auto"/>
        </w:rPr>
        <w:t>collaboration agreements may not lead to development or commercialization of product candidates in the most efficient manner or at all; 81</w:t>
      </w:r>
    </w:p>
    <w:p>
      <w:pPr>
        <w:sectPr>
          <w:pgSz w:w="11900" w:h="16838" w:orient="portrait"/>
          <w:cols w:equalWidth="0" w:num="1">
            <w:col w:w="10420"/>
          </w:cols>
          <w:pgMar w:left="320" w:top="418" w:right="115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580" w:hanging="469"/>
        <w:spacing w:after="0" w:line="256" w:lineRule="auto"/>
        <w:tabs>
          <w:tab w:leader="none" w:pos="1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83" w:lineRule="exact"/>
        <w:rPr>
          <w:rFonts w:ascii="Arial" w:cs="Arial" w:eastAsia="Arial" w:hAnsi="Arial"/>
          <w:sz w:val="16"/>
          <w:szCs w:val="16"/>
          <w:color w:val="auto"/>
        </w:rPr>
      </w:pPr>
    </w:p>
    <w:p>
      <w:pPr>
        <w:ind w:left="1660" w:right="260" w:hanging="469"/>
        <w:spacing w:after="0" w:line="300" w:lineRule="auto"/>
        <w:tabs>
          <w:tab w:leader="none" w:pos="16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52" w:lineRule="exact"/>
        <w:rPr>
          <w:rFonts w:ascii="Arial" w:cs="Arial" w:eastAsia="Arial" w:hAnsi="Arial"/>
          <w:sz w:val="15"/>
          <w:szCs w:val="15"/>
          <w:color w:val="auto"/>
        </w:rPr>
      </w:pPr>
    </w:p>
    <w:p>
      <w:pPr>
        <w:ind w:left="1660" w:right="420" w:hanging="469"/>
        <w:spacing w:after="0" w:line="266" w:lineRule="auto"/>
        <w:tabs>
          <w:tab w:leader="none" w:pos="1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254" w:lineRule="exact"/>
        <w:rPr>
          <w:sz w:val="20"/>
          <w:szCs w:val="20"/>
          <w:color w:val="auto"/>
        </w:rPr>
      </w:pPr>
    </w:p>
    <w:p>
      <w:pPr>
        <w:ind w:left="1200" w:right="100"/>
        <w:spacing w:after="0" w:line="378" w:lineRule="auto"/>
        <w:rPr>
          <w:sz w:val="20"/>
          <w:szCs w:val="20"/>
          <w:color w:val="auto"/>
        </w:rPr>
      </w:pPr>
      <w:r>
        <w:rPr>
          <w:rFonts w:ascii="Arial" w:cs="Arial" w:eastAsia="Arial" w:hAnsi="Arial"/>
          <w:sz w:val="13"/>
          <w:szCs w:val="13"/>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 w:lineRule="exact"/>
        <w:rPr>
          <w:sz w:val="20"/>
          <w:szCs w:val="20"/>
          <w:color w:val="auto"/>
        </w:rPr>
      </w:pPr>
    </w:p>
    <w:p>
      <w:pPr>
        <w:ind w:left="820" w:right="220" w:firstLine="385"/>
        <w:spacing w:after="0" w:line="329" w:lineRule="auto"/>
        <w:rPr>
          <w:sz w:val="20"/>
          <w:szCs w:val="20"/>
          <w:color w:val="auto"/>
        </w:rPr>
      </w:pPr>
      <w:r>
        <w:rPr>
          <w:rFonts w:ascii="Arial" w:cs="Arial" w:eastAsia="Arial" w:hAnsi="Arial"/>
          <w:sz w:val="13"/>
          <w:szCs w:val="13"/>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123"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2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Factors that may inhibit our efforts to commercialize any approved product on our own include:</w:t>
      </w:r>
    </w:p>
    <w:p>
      <w:pPr>
        <w:spacing w:after="0" w:line="111" w:lineRule="exact"/>
        <w:rPr>
          <w:sz w:val="20"/>
          <w:szCs w:val="20"/>
          <w:color w:val="auto"/>
        </w:rPr>
      </w:pPr>
    </w:p>
    <w:p>
      <w:pPr>
        <w:ind w:left="1660" w:right="18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marketing, reimbursement, compliance, customer service, medical affairs and other support personnel;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inability to recruit and build a commercial infrastructure due to the impacts of COVID-19;</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approved products;</w:t>
      </w:r>
    </w:p>
    <w:p>
      <w:pPr>
        <w:spacing w:after="0" w:line="75" w:lineRule="exact"/>
        <w:rPr>
          <w:rFonts w:ascii="Arial" w:cs="Arial" w:eastAsia="Arial" w:hAnsi="Arial"/>
          <w:sz w:val="16"/>
          <w:szCs w:val="16"/>
          <w:color w:val="auto"/>
        </w:rPr>
      </w:pPr>
    </w:p>
    <w:p>
      <w:pPr>
        <w:ind w:left="1660" w:right="380" w:hanging="469"/>
        <w:spacing w:after="0" w:line="266" w:lineRule="auto"/>
        <w:tabs>
          <w:tab w:leader="none" w:pos="1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20"/>
          </w:cols>
          <w:pgMar w:left="320" w:top="418" w:right="115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inability to price our products at a sufficient price point to ensure an adequate and attractive level of profitability;</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restricted or closed distribution channels that make it difficult to distribute our products to segments of the patient population;</w:t>
      </w:r>
    </w:p>
    <w:p>
      <w:pPr>
        <w:spacing w:after="0" w:line="122" w:lineRule="exact"/>
        <w:rPr>
          <w:rFonts w:ascii="Arial" w:cs="Arial" w:eastAsia="Arial" w:hAnsi="Arial"/>
          <w:sz w:val="15"/>
          <w:szCs w:val="15"/>
          <w:color w:val="auto"/>
        </w:rPr>
      </w:pPr>
    </w:p>
    <w:p>
      <w:pPr>
        <w:ind w:left="1660" w:hanging="469"/>
        <w:spacing w:after="0" w:line="266" w:lineRule="auto"/>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commercialization organization.</w:t>
      </w:r>
    </w:p>
    <w:p>
      <w:pPr>
        <w:spacing w:after="0" w:line="193"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Risks Related to This Offering and Ownership of Our Common Stock</w:t>
      </w:r>
    </w:p>
    <w:p>
      <w:pPr>
        <w:spacing w:after="0" w:line="197" w:lineRule="exact"/>
        <w:rPr>
          <w:sz w:val="20"/>
          <w:szCs w:val="20"/>
          <w:color w:val="auto"/>
        </w:rPr>
      </w:pPr>
    </w:p>
    <w:p>
      <w:pPr>
        <w:ind w:left="1200" w:right="440"/>
        <w:spacing w:after="0" w:line="300" w:lineRule="auto"/>
        <w:rPr>
          <w:sz w:val="20"/>
          <w:szCs w:val="20"/>
          <w:color w:val="auto"/>
        </w:rPr>
      </w:pPr>
      <w:r>
        <w:rPr>
          <w:rFonts w:ascii="Arial" w:cs="Arial" w:eastAsia="Arial" w:hAnsi="Arial"/>
          <w:sz w:val="15"/>
          <w:szCs w:val="15"/>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40" w:lineRule="exact"/>
        <w:rPr>
          <w:sz w:val="20"/>
          <w:szCs w:val="20"/>
          <w:color w:val="auto"/>
        </w:rPr>
      </w:pPr>
    </w:p>
    <w:p>
      <w:pPr>
        <w:ind w:left="820" w:right="80" w:firstLine="385"/>
        <w:spacing w:after="0" w:line="314" w:lineRule="auto"/>
        <w:rPr>
          <w:sz w:val="20"/>
          <w:szCs w:val="20"/>
          <w:color w:val="auto"/>
        </w:rPr>
      </w:pPr>
      <w:r>
        <w:rPr>
          <w:rFonts w:ascii="Arial" w:cs="Arial" w:eastAsia="Arial" w:hAnsi="Arial"/>
          <w:sz w:val="13"/>
          <w:szCs w:val="13"/>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representatives of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The price of our stock may be volatile, and you could lose all or part of your investment.</w:t>
      </w:r>
    </w:p>
    <w:p>
      <w:pPr>
        <w:spacing w:after="0" w:line="99" w:lineRule="exact"/>
        <w:rPr>
          <w:sz w:val="20"/>
          <w:szCs w:val="20"/>
          <w:color w:val="auto"/>
        </w:rPr>
      </w:pPr>
    </w:p>
    <w:p>
      <w:pPr>
        <w:jc w:val="both"/>
        <w:ind w:left="820" w:firstLine="385"/>
        <w:spacing w:after="0" w:line="343" w:lineRule="auto"/>
        <w:rPr>
          <w:sz w:val="20"/>
          <w:szCs w:val="20"/>
          <w:color w:val="auto"/>
        </w:rPr>
      </w:pPr>
      <w:r>
        <w:rPr>
          <w:rFonts w:ascii="Arial" w:cs="Arial" w:eastAsia="Arial" w:hAnsi="Arial"/>
          <w:sz w:val="13"/>
          <w:szCs w:val="13"/>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14"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76" w:lineRule="exact"/>
        <w:rPr>
          <w:sz w:val="20"/>
          <w:szCs w:val="20"/>
          <w:color w:val="auto"/>
        </w:rPr>
      </w:pPr>
    </w:p>
    <w:p>
      <w:pPr>
        <w:ind w:left="1660" w:right="260" w:hanging="469"/>
        <w:spacing w:after="0" w:line="266" w:lineRule="auto"/>
        <w:tabs>
          <w:tab w:leader="none" w:pos="1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timing and results of preclinical studies and clinical trials of our product candidates, those conducted by third parties or those of our competitors;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0440"/>
          </w:cols>
          <w:pgMar w:left="320" w:top="418" w:right="11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success of competitive products or announcements by potential competitors of their product development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regulatory actions with respect to our products or our competitors’ products;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actual or anticipated changes in our growth rate relative to our competitors;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intellectual property or proprietary rights;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recruitment or departure of key personnel;</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actual or anticipated changes in estimates as to financial results, development timelines or recommendations by securities analysts;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fluctuations in the valuation of companies perceived by investors to be comparable to us;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share price and volume fluctuations attributable to inconsistent trading volume levels of our shares;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announcement or expectation of additional financing efforts;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sales of our common stock by us, our insiders or our other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expiration of market stand-off or lock-up agreements;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impact of any natural disasters or public health emergencies, such as the COVID-19 pandemic;</w:t>
      </w:r>
    </w:p>
    <w:p>
      <w:pPr>
        <w:spacing w:after="0" w:line="110"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availability of fiscal and monetary stimulus measures to counteract the impact of natural disasters or public health emergencies, such as the COVID-19 pandemic;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general economic, political, industry and market conditions.</w:t>
      </w:r>
    </w:p>
    <w:p>
      <w:pPr>
        <w:spacing w:after="0" w:line="193"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52" w:lineRule="exact"/>
        <w:rPr>
          <w:sz w:val="20"/>
          <w:szCs w:val="20"/>
          <w:color w:val="auto"/>
        </w:rPr>
      </w:pPr>
    </w:p>
    <w:p>
      <w:pPr>
        <w:ind w:left="1200" w:right="120"/>
        <w:spacing w:after="0" w:line="266" w:lineRule="auto"/>
        <w:rPr>
          <w:sz w:val="20"/>
          <w:szCs w:val="20"/>
          <w:color w:val="auto"/>
        </w:rPr>
      </w:pPr>
      <w:r>
        <w:rPr>
          <w:rFonts w:ascii="Arial" w:cs="Arial" w:eastAsia="Arial" w:hAnsi="Arial"/>
          <w:sz w:val="16"/>
          <w:szCs w:val="16"/>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4" w:lineRule="exact"/>
        <w:rPr>
          <w:sz w:val="20"/>
          <w:szCs w:val="20"/>
          <w:color w:val="auto"/>
        </w:rPr>
      </w:pPr>
    </w:p>
    <w:p>
      <w:pPr>
        <w:ind w:left="820" w:right="140" w:firstLine="385"/>
        <w:spacing w:after="0" w:line="251"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440"/>
          </w:cols>
          <w:pgMar w:left="320" w:top="418" w:right="11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Furthermore, our operating results may fluctuate due to a variety of other factors, many of which are outside of our control and may be difficult to predict, including the following:</w:t>
      </w:r>
    </w:p>
    <w:p>
      <w:pPr>
        <w:spacing w:after="0" w:line="76" w:lineRule="exact"/>
        <w:rPr>
          <w:sz w:val="20"/>
          <w:szCs w:val="20"/>
          <w:color w:val="auto"/>
        </w:rPr>
      </w:pPr>
    </w:p>
    <w:p>
      <w:pPr>
        <w:ind w:left="1660" w:right="2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activities relating to our programs, product candidates and any future programs and product candidates, which will change from time to time;</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enroll patients in clinical trials and the timing of enrollment;</w:t>
      </w:r>
    </w:p>
    <w:p>
      <w:pPr>
        <w:spacing w:after="0" w:line="110" w:lineRule="exact"/>
        <w:rPr>
          <w:rFonts w:ascii="Arial" w:cs="Arial" w:eastAsia="Arial" w:hAnsi="Arial"/>
          <w:sz w:val="16"/>
          <w:szCs w:val="16"/>
          <w:color w:val="auto"/>
        </w:rPr>
      </w:pPr>
    </w:p>
    <w:p>
      <w:pPr>
        <w:ind w:left="1660" w:right="180" w:hanging="469"/>
        <w:spacing w:after="0" w:line="25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 of establishing and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expenditures that we will or may incur to acquire or develop additional product candidates and technologies or other assets;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timing and outcomes of clinical trials for our product candidates, or competing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need to conduct unanticipated clinical trials or trials that are larger or more complex than anticipated;</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competition from existing and potential future products that compete with our programs and product candidates, and changes in the competitive landscape of our industry, including consolidation among our competitors or partners;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delays in regulatory review or approval of our product candidates;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level of demand for our product candidates, if approved, which may fluctuate significantly and be difficult to predict;</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risk/benefit profile, cost and reimbursement policies with respect to our product candidates, if approved, and existing and potential future products that compete with any of our product candidates;</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commercialize any of our product candidates, if approved, inside and outside of the United States, either independently or working with third parties;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establish and maintain collaborations, licensing or other arrangements;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our ability to adequately support future growth;</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potential unforeseen business disruptions that increase our costs or expenses;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changing and volatile global economic and political environment; and</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increased impact from COVID-19 on the costs and timing associated with the conduct of our clinical trial and other related business activities.</w:t>
      </w:r>
    </w:p>
    <w:p>
      <w:pPr>
        <w:spacing w:after="0" w:line="158"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6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0440"/>
          </w:cols>
          <w:pgMar w:left="320" w:top="418" w:right="11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right="480"/>
        <w:spacing w:after="0" w:line="266"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will be able to exert significant control over matters subject to stockholder approval.</w:t>
      </w:r>
    </w:p>
    <w:p>
      <w:pPr>
        <w:spacing w:after="0" w:line="64"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As of March 31, 2021, our executive officers, directors, holders of 5% or more of our capital stock and their respective affiliates beneficially owned approximately 66.3% of our common stock and, upon the closing of this offering, that same group will beneficially own approximately % of our outstanding common stock (based on the number of shares of common stock outstanding as of March 31, 2021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closing of this offering.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5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Participation in this offering by our existing stockholders and/or their affiliated entities may reduce the public float for our common stock.</w:t>
      </w:r>
    </w:p>
    <w:p>
      <w:pPr>
        <w:spacing w:after="0" w:line="133"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To the extent certain of our existing stockholders who are our affiliates or their affiliated entities participate in this offering, such purchases would reduce the non-affiliate public float of our common stock after this offering, which is the number of shares of our common stock that are not held by officers, directors and affiliated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You will incur immediate and substantial dilution as a result of this offering.</w:t>
      </w:r>
    </w:p>
    <w:p>
      <w:pPr>
        <w:spacing w:after="0" w:line="99" w:lineRule="exact"/>
        <w:rPr>
          <w:sz w:val="20"/>
          <w:szCs w:val="20"/>
          <w:color w:val="auto"/>
        </w:rPr>
      </w:pPr>
    </w:p>
    <w:p>
      <w:pPr>
        <w:ind w:left="820" w:right="60" w:firstLine="385"/>
        <w:spacing w:after="0" w:line="270" w:lineRule="auto"/>
        <w:rPr>
          <w:sz w:val="20"/>
          <w:szCs w:val="20"/>
          <w:color w:val="auto"/>
        </w:rPr>
      </w:pPr>
      <w:r>
        <w:rPr>
          <w:rFonts w:ascii="Arial" w:cs="Arial" w:eastAsia="Arial" w:hAnsi="Arial"/>
          <w:sz w:val="15"/>
          <w:szCs w:val="15"/>
          <w:color w:val="auto"/>
        </w:rPr>
        <w:t>If you purchase common stock in this offering, you will incur immediate and substantial dilution of approximately $ per share, representing the difference between the assumed initial public offering price of $ per share, which is the midpoint of the estimated offering price</w:t>
      </w:r>
    </w:p>
    <w:p>
      <w:pPr>
        <w:spacing w:after="0" w:line="1" w:lineRule="exact"/>
        <w:rPr>
          <w:sz w:val="20"/>
          <w:szCs w:val="20"/>
          <w:color w:val="auto"/>
        </w:rPr>
      </w:pPr>
    </w:p>
    <w:p>
      <w:pPr>
        <w:ind w:left="820"/>
        <w:spacing w:after="0" w:line="315" w:lineRule="auto"/>
        <w:rPr>
          <w:sz w:val="20"/>
          <w:szCs w:val="20"/>
          <w:color w:val="auto"/>
        </w:rPr>
      </w:pPr>
      <w:r>
        <w:rPr>
          <w:rFonts w:ascii="Arial" w:cs="Arial" w:eastAsia="Arial" w:hAnsi="Arial"/>
          <w:sz w:val="13"/>
          <w:szCs w:val="13"/>
          <w:color w:val="auto"/>
        </w:rPr>
        <w:t>range set forth on the cover page of this prospectus, after deducting the underwriting discounts and commissions and estimated offering expenses payable by us, and our pro forma net tangible book value per share after giving effect to this offering and the automatic conversion of all outstanding shares of our convertible preferred stock immediately prior to the closing of this offering. As of March 31, 2021, there were 10,368,032 shares subject to outstanding options with a weighted-average exercise price of $0.51 per share. To the extent that these outstanding options or other options that we have issued or may issue in the future are ultimately exercised or the underwriters exercise their option to purchase additional shares, you will incur further dilution. See the section of this prospectus titled “Dilution” for a further description of the dilution you will experience immediately after this offering.</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99"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w:t>
      </w:r>
    </w:p>
    <w:p>
      <w:pPr>
        <w:spacing w:after="0" w:line="1" w:lineRule="exact"/>
        <w:rPr>
          <w:sz w:val="20"/>
          <w:szCs w:val="20"/>
          <w:color w:val="auto"/>
        </w:rPr>
      </w:pPr>
    </w:p>
    <w:p>
      <w:pPr>
        <w:ind w:left="820" w:right="160"/>
        <w:spacing w:after="0" w:line="252" w:lineRule="auto"/>
        <w:rPr>
          <w:sz w:val="20"/>
          <w:szCs w:val="20"/>
          <w:color w:val="auto"/>
        </w:rPr>
      </w:pPr>
      <w:r>
        <w:rPr>
          <w:rFonts w:ascii="Arial" w:cs="Arial" w:eastAsia="Arial" w:hAnsi="Arial"/>
          <w:sz w:val="16"/>
          <w:szCs w:val="16"/>
          <w:color w:val="auto"/>
        </w:rPr>
        <w:t>have outstanding shares of common stock, based on the number of shares outstanding as of March 31, 2021, assuming: (1) no exercise of the underwriters’ option to purchase additional shares and (2) the conversion of all outstanding shares of our</w:t>
      </w:r>
    </w:p>
    <w:p>
      <w:pPr>
        <w:spacing w:after="0" w:line="10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0420"/>
          </w:cols>
          <w:pgMar w:left="320" w:top="418" w:right="115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4" w:lineRule="auto"/>
        <w:rPr>
          <w:sz w:val="20"/>
          <w:szCs w:val="20"/>
          <w:color w:val="auto"/>
        </w:rPr>
      </w:pPr>
      <w:r>
        <w:rPr>
          <w:rFonts w:ascii="Arial" w:cs="Arial" w:eastAsia="Arial" w:hAnsi="Arial"/>
          <w:sz w:val="13"/>
          <w:szCs w:val="13"/>
          <w:color w:val="auto"/>
        </w:rPr>
        <w:t>convertible preferred stock into shares of common stock immediately prior to the closing of this offering. This includes the shares that we sell in this offering, which may be resold in the public market immediately without restriction, unless purchased by our affiliates. Of the remaining shares, 163,948,679 shares of our common stock are currently restricted as a result of securities laws or market stand-off or lock-up agreements but will be able to be sold after this offering as described in the “Shares Eligible for Future Sale” section of this prospectus. Moreover, after this offering, holders of an aggregate of 156,613,818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“Underwriters” section of this prospectus.</w:t>
      </w:r>
    </w:p>
    <w:p>
      <w:pPr>
        <w:spacing w:after="0" w:line="133"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“Underwriters,” not to sell, directly or indirectly, any shares of common stock without the permission of the underwriters for a period of 180 days following the date of this prospectus. We refer to such period as the lock-up period or restricted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more information.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00" w:lineRule="exact"/>
        <w:rPr>
          <w:sz w:val="20"/>
          <w:szCs w:val="20"/>
          <w:color w:val="auto"/>
        </w:rPr>
      </w:pPr>
    </w:p>
    <w:p>
      <w:pPr>
        <w:spacing w:after="0" w:line="220" w:lineRule="exact"/>
        <w:rPr>
          <w:sz w:val="20"/>
          <w:szCs w:val="20"/>
          <w:color w:val="auto"/>
        </w:rPr>
      </w:pPr>
    </w:p>
    <w:p>
      <w:pPr>
        <w:ind w:left="1200" w:right="180"/>
        <w:spacing w:after="0" w:line="378" w:lineRule="auto"/>
        <w:rPr>
          <w:sz w:val="20"/>
          <w:szCs w:val="20"/>
          <w:color w:val="auto"/>
        </w:rPr>
      </w:pPr>
      <w:r>
        <w:rPr>
          <w:rFonts w:ascii="Arial" w:cs="Arial" w:eastAsia="Arial" w:hAnsi="Arial"/>
          <w:sz w:val="13"/>
          <w:szCs w:val="13"/>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We are an “emerging growth company,” as defined in the Jumpstart Our Business Startups Act of 2012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83" w:lineRule="exact"/>
        <w:rPr>
          <w:sz w:val="20"/>
          <w:szCs w:val="20"/>
          <w:color w:val="auto"/>
        </w:rPr>
      </w:pPr>
    </w:p>
    <w:p>
      <w:pPr>
        <w:ind w:left="1660" w:right="320" w:hanging="469"/>
        <w:spacing w:after="0" w:line="25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3" w:lineRule="exact"/>
        <w:rPr>
          <w:rFonts w:ascii="Arial" w:cs="Arial" w:eastAsia="Arial" w:hAnsi="Arial"/>
          <w:sz w:val="16"/>
          <w:szCs w:val="16"/>
          <w:color w:val="auto"/>
        </w:rPr>
      </w:pPr>
    </w:p>
    <w:p>
      <w:pPr>
        <w:ind w:left="1660" w:right="36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being required to comply with the auditor attestation requirements of Section 404 of the Sarbanes-Oxley Act of 2002, as amended (Sarbanes-Oxley Act);</w:t>
      </w:r>
    </w:p>
    <w:p>
      <w:pPr>
        <w:spacing w:after="0" w:line="75" w:lineRule="exact"/>
        <w:rPr>
          <w:rFonts w:ascii="Arial" w:cs="Arial" w:eastAsia="Arial" w:hAnsi="Arial"/>
          <w:sz w:val="16"/>
          <w:szCs w:val="16"/>
          <w:color w:val="auto"/>
        </w:rPr>
      </w:pPr>
    </w:p>
    <w:p>
      <w:pPr>
        <w:ind w:left="1660" w:right="220" w:hanging="469"/>
        <w:spacing w:after="0" w:line="25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60"/>
        </w:numPr>
        <w:rPr>
          <w:rFonts w:ascii="Arial" w:cs="Arial" w:eastAsia="Arial" w:hAnsi="Arial"/>
          <w:sz w:val="13"/>
          <w:szCs w:val="13"/>
          <w:color w:val="auto"/>
        </w:rPr>
      </w:pPr>
      <w:r>
        <w:rPr>
          <w:rFonts w:ascii="Arial" w:cs="Arial" w:eastAsia="Arial" w:hAnsi="Arial"/>
          <w:sz w:val="13"/>
          <w:szCs w:val="13"/>
          <w:color w:val="auto"/>
        </w:rPr>
        <w:t>reduced disclosure obligations regarding executive compensation in this prospectus and our periodic reports and proxy statements; and</w:t>
      </w:r>
    </w:p>
    <w:p>
      <w:pPr>
        <w:spacing w:after="0" w:line="145" w:lineRule="exact"/>
        <w:rPr>
          <w:rFonts w:ascii="Arial" w:cs="Arial" w:eastAsia="Arial" w:hAnsi="Arial"/>
          <w:sz w:val="13"/>
          <w:szCs w:val="13"/>
          <w:color w:val="auto"/>
        </w:rPr>
      </w:pPr>
    </w:p>
    <w:p>
      <w:pPr>
        <w:ind w:left="1660" w:right="60" w:hanging="469"/>
        <w:spacing w:after="0" w:line="266" w:lineRule="auto"/>
        <w:tabs>
          <w:tab w:leader="none" w:pos="1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stockholder votes on executive compensation and stockholder approval of any golden parachute payments not previously approved.</w:t>
      </w:r>
    </w:p>
    <w:p>
      <w:pPr>
        <w:spacing w:after="0" w:line="158"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avail ourselves of</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0420"/>
          </w:cols>
          <w:pgMar w:left="320" w:top="418" w:right="115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56" w:lineRule="auto"/>
        <w:rPr>
          <w:sz w:val="20"/>
          <w:szCs w:val="20"/>
          <w:color w:val="auto"/>
        </w:rPr>
      </w:pPr>
      <w:r>
        <w:rPr>
          <w:rFonts w:ascii="Arial" w:cs="Arial" w:eastAsia="Arial" w:hAnsi="Arial"/>
          <w:sz w:val="16"/>
          <w:szCs w:val="16"/>
          <w:color w:val="auto"/>
        </w:rPr>
        <w:t>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66" w:lineRule="exact"/>
        <w:rPr>
          <w:sz w:val="20"/>
          <w:szCs w:val="20"/>
          <w:color w:val="auto"/>
        </w:rPr>
      </w:pPr>
    </w:p>
    <w:p>
      <w:pPr>
        <w:ind w:left="820" w:right="340" w:firstLine="385"/>
        <w:spacing w:after="0" w:line="275" w:lineRule="auto"/>
        <w:rPr>
          <w:sz w:val="20"/>
          <w:szCs w:val="20"/>
          <w:color w:val="auto"/>
        </w:rPr>
      </w:pPr>
      <w:r>
        <w:rPr>
          <w:rFonts w:ascii="Arial" w:cs="Arial" w:eastAsia="Arial" w:hAnsi="Arial"/>
          <w:sz w:val="15"/>
          <w:szCs w:val="15"/>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53" w:lineRule="exact"/>
        <w:rPr>
          <w:sz w:val="20"/>
          <w:szCs w:val="20"/>
          <w:color w:val="auto"/>
        </w:rPr>
      </w:pPr>
    </w:p>
    <w:p>
      <w:pPr>
        <w:ind w:left="820" w:right="260" w:firstLine="385"/>
        <w:spacing w:after="0" w:line="329" w:lineRule="auto"/>
        <w:rPr>
          <w:sz w:val="20"/>
          <w:szCs w:val="20"/>
          <w:color w:val="auto"/>
        </w:rPr>
      </w:pPr>
      <w:r>
        <w:rPr>
          <w:rFonts w:ascii="Arial" w:cs="Arial" w:eastAsia="Arial" w:hAnsi="Arial"/>
          <w:sz w:val="13"/>
          <w:szCs w:val="13"/>
          <w:color w:val="auto"/>
        </w:rPr>
        <w:t>Even after we no longer qualify as an emerging growth company, we may still qualify as a “smaller reporting company,” as defined in the Securities Exchange Act of 1934, as amended (Exchange Act),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23" w:lineRule="exact"/>
        <w:rPr>
          <w:sz w:val="20"/>
          <w:szCs w:val="20"/>
          <w:color w:val="auto"/>
        </w:rPr>
      </w:pPr>
    </w:p>
    <w:p>
      <w:pPr>
        <w:ind w:left="820" w:right="280" w:firstLine="385"/>
        <w:spacing w:after="0" w:line="383" w:lineRule="auto"/>
        <w:rPr>
          <w:sz w:val="20"/>
          <w:szCs w:val="20"/>
          <w:color w:val="auto"/>
        </w:rPr>
      </w:pPr>
      <w:r>
        <w:rPr>
          <w:rFonts w:ascii="Arial" w:cs="Arial" w:eastAsia="Arial" w:hAnsi="Arial"/>
          <w:sz w:val="13"/>
          <w:szCs w:val="13"/>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ind w:left="1200" w:right="60"/>
        <w:spacing w:after="0" w:line="26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64"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55" w:lineRule="exact"/>
        <w:rPr>
          <w:sz w:val="20"/>
          <w:szCs w:val="20"/>
          <w:color w:val="auto"/>
        </w:rPr>
      </w:pPr>
    </w:p>
    <w:p>
      <w:pPr>
        <w:ind w:left="1200" w:right="380"/>
        <w:spacing w:after="0" w:line="256" w:lineRule="auto"/>
        <w:rPr>
          <w:sz w:val="20"/>
          <w:szCs w:val="20"/>
          <w:color w:val="auto"/>
        </w:rPr>
      </w:pPr>
      <w:r>
        <w:rPr>
          <w:rFonts w:ascii="Arial" w:cs="Arial" w:eastAsia="Arial" w:hAnsi="Arial"/>
          <w:sz w:val="16"/>
          <w:szCs w:val="16"/>
          <w:b w:val="1"/>
          <w:bCs w:val="1"/>
          <w:i w:val="1"/>
          <w:iCs w:val="1"/>
          <w:color w:val="auto"/>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71"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Stock Market LLC (Nasdaq). Our management and other personnel will need to devote a substantial amount of time to these compliance initiatives. Moreover, we expect these rules, regulations and standards to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0420"/>
          </w:cols>
          <w:pgMar w:left="320" w:top="418" w:right="11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In addition, as a public company we will be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37"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167" w:lineRule="exact"/>
        <w:rPr>
          <w:sz w:val="20"/>
          <w:szCs w:val="20"/>
          <w:color w:val="auto"/>
        </w:rPr>
      </w:pPr>
    </w:p>
    <w:p>
      <w:pPr>
        <w:jc w:val="both"/>
        <w:ind w:left="820" w:right="20" w:firstLine="385"/>
        <w:spacing w:after="0" w:line="253" w:lineRule="auto"/>
        <w:rPr>
          <w:sz w:val="20"/>
          <w:szCs w:val="20"/>
          <w:color w:val="auto"/>
        </w:rPr>
      </w:pPr>
      <w:r>
        <w:rPr>
          <w:rFonts w:ascii="Arial" w:cs="Arial" w:eastAsia="Arial" w:hAnsi="Arial"/>
          <w:sz w:val="16"/>
          <w:szCs w:val="16"/>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67"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99"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4" w:lineRule="exact"/>
        <w:rPr>
          <w:sz w:val="20"/>
          <w:szCs w:val="20"/>
          <w:color w:val="auto"/>
        </w:rPr>
      </w:pPr>
    </w:p>
    <w:p>
      <w:pPr>
        <w:ind w:left="820" w:right="220" w:firstLine="385"/>
        <w:spacing w:after="0" w:line="253" w:lineRule="auto"/>
        <w:rPr>
          <w:sz w:val="20"/>
          <w:szCs w:val="20"/>
          <w:color w:val="auto"/>
        </w:rPr>
      </w:pPr>
      <w:r>
        <w:rPr>
          <w:rFonts w:ascii="Arial" w:cs="Arial" w:eastAsia="Arial" w:hAnsi="Arial"/>
          <w:sz w:val="16"/>
          <w:szCs w:val="16"/>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will have broad discretion in the use of the net proceeds from this offering and may not use them effectively.</w:t>
      </w:r>
    </w:p>
    <w:p>
      <w:pPr>
        <w:spacing w:after="0" w:line="99" w:lineRule="exact"/>
        <w:rPr>
          <w:sz w:val="20"/>
          <w:szCs w:val="20"/>
          <w:color w:val="auto"/>
        </w:rPr>
      </w:pPr>
    </w:p>
    <w:p>
      <w:pPr>
        <w:ind w:left="820" w:right="140" w:firstLine="385"/>
        <w:spacing w:after="0" w:line="343" w:lineRule="auto"/>
        <w:rPr>
          <w:sz w:val="20"/>
          <w:szCs w:val="20"/>
          <w:color w:val="auto"/>
        </w:rPr>
      </w:pPr>
      <w:r>
        <w:rPr>
          <w:rFonts w:ascii="Arial" w:cs="Arial" w:eastAsia="Arial" w:hAnsi="Arial"/>
          <w:sz w:val="13"/>
          <w:szCs w:val="13"/>
          <w:color w:val="auto"/>
        </w:rPr>
        <w:t>Our management will have broad discretion in the application of the net proceeds from this offering, including for any of the purposes described in “Use of Proceeds,” and you will be relying on the judgment of our management regarding the application of these proceeds, who could spend the proceeds in ways that do not improve our results of operations or enhance the value of our common stock. You will not have the opportunity,</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420"/>
          </w:cols>
          <w:pgMar w:left="320" w:top="418" w:right="11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80"/>
        <w:spacing w:after="0" w:line="281" w:lineRule="auto"/>
        <w:rPr>
          <w:sz w:val="20"/>
          <w:szCs w:val="20"/>
          <w:color w:val="auto"/>
        </w:rPr>
      </w:pPr>
      <w:r>
        <w:rPr>
          <w:rFonts w:ascii="Arial" w:cs="Arial" w:eastAsia="Arial" w:hAnsi="Arial"/>
          <w:sz w:val="15"/>
          <w:szCs w:val="15"/>
          <w:color w:val="auto"/>
        </w:rPr>
        <w:t>as part of your investment decision, to assess whether we are using the proceeds appropriately. Our management might not apply the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99"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218" w:lineRule="exact"/>
        <w:rPr>
          <w:sz w:val="20"/>
          <w:szCs w:val="20"/>
          <w:color w:val="auto"/>
        </w:rPr>
      </w:pPr>
    </w:p>
    <w:p>
      <w:pPr>
        <w:ind w:left="1200" w:right="220"/>
        <w:spacing w:after="0" w:line="266" w:lineRule="auto"/>
        <w:rPr>
          <w:sz w:val="20"/>
          <w:szCs w:val="20"/>
          <w:color w:val="auto"/>
        </w:rPr>
      </w:pPr>
      <w:r>
        <w:rPr>
          <w:rFonts w:ascii="Arial" w:cs="Arial" w:eastAsia="Arial" w:hAnsi="Arial"/>
          <w:sz w:val="16"/>
          <w:szCs w:val="16"/>
          <w:b w:val="1"/>
          <w:bCs w:val="1"/>
          <w:i w:val="1"/>
          <w:iCs w:val="1"/>
          <w:color w:val="auto"/>
        </w:rPr>
        <w:t>We do not intend to pay dividends on our common stock in the foreseeable future, so any returns will be limited to the value of our common stock.</w:t>
      </w:r>
    </w:p>
    <w:p>
      <w:pPr>
        <w:spacing w:after="0" w:line="64" w:lineRule="exact"/>
        <w:rPr>
          <w:sz w:val="20"/>
          <w:szCs w:val="20"/>
          <w:color w:val="auto"/>
        </w:rPr>
      </w:pPr>
    </w:p>
    <w:p>
      <w:pPr>
        <w:jc w:val="both"/>
        <w:ind w:left="820" w:right="360" w:firstLine="385"/>
        <w:spacing w:after="0" w:line="281" w:lineRule="auto"/>
        <w:rPr>
          <w:sz w:val="20"/>
          <w:szCs w:val="20"/>
          <w:color w:val="auto"/>
        </w:rPr>
      </w:pPr>
      <w:r>
        <w:rPr>
          <w:rFonts w:ascii="Arial" w:cs="Arial" w:eastAsia="Arial" w:hAnsi="Arial"/>
          <w:sz w:val="15"/>
          <w:szCs w:val="15"/>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243" w:lineRule="exact"/>
        <w:rPr>
          <w:sz w:val="20"/>
          <w:szCs w:val="20"/>
          <w:color w:val="auto"/>
        </w:rPr>
      </w:pPr>
    </w:p>
    <w:p>
      <w:pPr>
        <w:ind w:left="1200" w:right="60"/>
        <w:spacing w:after="0" w:line="256" w:lineRule="auto"/>
        <w:rPr>
          <w:sz w:val="20"/>
          <w:szCs w:val="20"/>
          <w:color w:val="auto"/>
        </w:rPr>
      </w:pPr>
      <w:r>
        <w:rPr>
          <w:rFonts w:ascii="Arial" w:cs="Arial" w:eastAsia="Arial" w:hAnsi="Arial"/>
          <w:sz w:val="16"/>
          <w:szCs w:val="16"/>
          <w:b w:val="1"/>
          <w:bCs w:val="1"/>
          <w:i w:val="1"/>
          <w:iCs w:val="1"/>
          <w:color w:val="auto"/>
        </w:rPr>
        <w:t>Provisions in our amended and restated certificate of incorporation and amended and restated bylaws, as they will be in effect upon closing of this offering, and Delaware law might discourage, delay or prevent a change in control of our company or changes in our management and, therefore, depress the market price of our common stock.</w:t>
      </w:r>
    </w:p>
    <w:p>
      <w:pPr>
        <w:spacing w:after="0" w:line="71"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Our amended and restated certificate of incorporation and amended and restated bylaws, as they will be in effect upon closing of this offering, will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88" w:lineRule="exact"/>
        <w:rPr>
          <w:sz w:val="20"/>
          <w:szCs w:val="20"/>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are elected at one time;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permit only the board of directors to establish the number of directors and fill vacancies on the board;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 and only with the approval of two-thirds of our stockholders;</w:t>
      </w:r>
    </w:p>
    <w:p>
      <w:pPr>
        <w:spacing w:after="0" w:line="110" w:lineRule="exact"/>
        <w:rPr>
          <w:rFonts w:ascii="Arial" w:cs="Arial" w:eastAsia="Arial" w:hAnsi="Arial"/>
          <w:sz w:val="16"/>
          <w:szCs w:val="16"/>
          <w:color w:val="auto"/>
        </w:rPr>
      </w:pPr>
    </w:p>
    <w:p>
      <w:pPr>
        <w:ind w:left="1660" w:right="160" w:hanging="469"/>
        <w:spacing w:after="0" w:line="266" w:lineRule="auto"/>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prohibit cumulative voting;</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authorize our board of directors to amend the bylaws;</w:t>
      </w:r>
    </w:p>
    <w:p>
      <w:pPr>
        <w:spacing w:after="0" w:line="110"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or for proposing matters that can be acted upon by stockholders at annual stockholder meetings; and</w:t>
      </w:r>
    </w:p>
    <w:p>
      <w:pPr>
        <w:spacing w:after="0" w:line="75" w:lineRule="exact"/>
        <w:rPr>
          <w:rFonts w:ascii="Arial" w:cs="Arial" w:eastAsia="Arial" w:hAnsi="Arial"/>
          <w:sz w:val="16"/>
          <w:szCs w:val="16"/>
          <w:color w:val="auto"/>
        </w:rPr>
      </w:pPr>
    </w:p>
    <w:p>
      <w:pPr>
        <w:ind w:left="1660" w:right="760" w:hanging="469"/>
        <w:spacing w:after="0" w:line="300" w:lineRule="auto"/>
        <w:tabs>
          <w:tab w:leader="none" w:pos="16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require a super-majority vote of stockholders to amend or repeal specified provisions of our amended and restated certificate of incorporation and amended and restated bylaws, as they will be in effect upon closing of this offering.</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0420"/>
          </w:cols>
          <w:pgMar w:left="320" w:top="418" w:right="115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5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60" w:lineRule="exact"/>
        <w:rPr>
          <w:sz w:val="20"/>
          <w:szCs w:val="20"/>
          <w:color w:val="auto"/>
        </w:rPr>
      </w:pPr>
    </w:p>
    <w:p>
      <w:pPr>
        <w:ind w:left="1200"/>
        <w:spacing w:after="0" w:line="253" w:lineRule="auto"/>
        <w:rPr>
          <w:sz w:val="20"/>
          <w:szCs w:val="20"/>
          <w:color w:val="auto"/>
        </w:rPr>
      </w:pPr>
      <w:r>
        <w:rPr>
          <w:rFonts w:ascii="Arial" w:cs="Arial" w:eastAsia="Arial" w:hAnsi="Arial"/>
          <w:sz w:val="16"/>
          <w:szCs w:val="16"/>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88" w:lineRule="exact"/>
        <w:rPr>
          <w:sz w:val="20"/>
          <w:szCs w:val="20"/>
          <w:color w:val="auto"/>
        </w:rPr>
      </w:pPr>
    </w:p>
    <w:p>
      <w:pPr>
        <w:ind w:left="1660" w:hanging="469"/>
        <w:spacing w:after="0"/>
        <w:tabs>
          <w:tab w:leader="none" w:pos="1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w:t>
      </w:r>
    </w:p>
    <w:p>
      <w:pPr>
        <w:spacing w:after="0" w:line="110" w:lineRule="exact"/>
        <w:rPr>
          <w:rFonts w:ascii="Arial" w:cs="Arial" w:eastAsia="Arial" w:hAnsi="Arial"/>
          <w:sz w:val="16"/>
          <w:szCs w:val="16"/>
          <w:color w:val="auto"/>
        </w:rPr>
      </w:pPr>
    </w:p>
    <w:p>
      <w:pPr>
        <w:ind w:left="1660" w:right="80" w:hanging="469"/>
        <w:spacing w:after="0" w:line="266" w:lineRule="auto"/>
        <w:tabs>
          <w:tab w:leader="none" w:pos="1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DGCL, our amended and restated certificate of incorporation or our amended and restated bylaws; and</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9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This provision would not apply to suits brought to enforce a duty or liability created by the Exchange Act or any other claim for which the U.S.</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federal courts have exclusive jurisdiction.</w:t>
      </w:r>
    </w:p>
    <w:p>
      <w:pPr>
        <w:spacing w:after="0" w:line="182"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Our amended and restated bylaws further provide that the federal district courts of the United States of America will be the exclusive forum for resolving any complaint asserting a cause of action arising under the Securities Act.</w:t>
      </w:r>
    </w:p>
    <w:p>
      <w:pPr>
        <w:spacing w:after="0" w:line="158"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114" w:lineRule="exact"/>
        <w:rPr>
          <w:sz w:val="20"/>
          <w:szCs w:val="20"/>
          <w:color w:val="auto"/>
        </w:rPr>
      </w:pPr>
    </w:p>
    <w:p>
      <w:pPr>
        <w:ind w:left="820" w:right="120" w:firstLine="385"/>
        <w:spacing w:after="0" w:line="250"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1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420"/>
          </w:cols>
          <w:pgMar w:left="320" w:top="418" w:right="115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97"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This prospectus contains forward-looking statements. All statements other than statements of historical facts contained in this prospectus,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78" w:lineRule="exact"/>
        <w:rPr>
          <w:sz w:val="20"/>
          <w:szCs w:val="20"/>
          <w:color w:val="auto"/>
        </w:rPr>
      </w:pPr>
    </w:p>
    <w:p>
      <w:pPr>
        <w:ind w:left="1660" w:right="360" w:hanging="469"/>
        <w:spacing w:after="0" w:line="266"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ability of our preclinical studies and planned clinical trials to demonstrate safety and efficacy of our product candidates, and other positive results;</w:t>
      </w:r>
    </w:p>
    <w:p>
      <w:pPr>
        <w:spacing w:after="0" w:line="75" w:lineRule="exact"/>
        <w:rPr>
          <w:rFonts w:ascii="Arial" w:cs="Arial" w:eastAsia="Arial" w:hAnsi="Arial"/>
          <w:sz w:val="16"/>
          <w:szCs w:val="16"/>
          <w:color w:val="auto"/>
        </w:rPr>
      </w:pPr>
    </w:p>
    <w:p>
      <w:pPr>
        <w:ind w:left="1660" w:right="460" w:hanging="469"/>
        <w:spacing w:after="0" w:line="281" w:lineRule="auto"/>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timing, progress and results of preclinical studies and planned clinical trials for our current product candidates and other product candidates we may develop, including statements regarding the timing of initiation and completion of studies or trials and related preparatory work, and the period during which the results of the studies or trials will become available;</w:t>
      </w:r>
    </w:p>
    <w:p>
      <w:pPr>
        <w:spacing w:after="0" w:line="66" w:lineRule="exact"/>
        <w:rPr>
          <w:rFonts w:ascii="Arial" w:cs="Arial" w:eastAsia="Arial" w:hAnsi="Arial"/>
          <w:sz w:val="15"/>
          <w:szCs w:val="15"/>
          <w:color w:val="auto"/>
        </w:rPr>
      </w:pPr>
    </w:p>
    <w:p>
      <w:pPr>
        <w:ind w:left="1660" w:right="60" w:hanging="469"/>
        <w:spacing w:after="0" w:line="266"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timing, scope and likelihood of regulatory filings and approvals, including timing of INDs, CTAs, FDA approvals, and final regulatory approval of our current product candidates and any other future product candidates;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ability to develop and advance our current product candidates and programs into, and successfully complete, clinical studies;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manufacturing, commercialization, and marketing capabilities and strategy and the timing of our facilities becoming operational;</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plans relating to commercializing our product candidates, if approved;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need to hire additional personnel and our ability to attract and retain such personnel;</w:t>
      </w:r>
    </w:p>
    <w:p>
      <w:pPr>
        <w:spacing w:after="0" w:line="110" w:lineRule="exact"/>
        <w:rPr>
          <w:rFonts w:ascii="Arial" w:cs="Arial" w:eastAsia="Arial" w:hAnsi="Arial"/>
          <w:sz w:val="16"/>
          <w:szCs w:val="16"/>
          <w:color w:val="auto"/>
        </w:rPr>
      </w:pPr>
    </w:p>
    <w:p>
      <w:pPr>
        <w:ind w:left="1660" w:right="480" w:hanging="469"/>
        <w:spacing w:after="0" w:line="266"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size of the market opportunity for our product candidates, including our estimates of the number of patients who suffer from the diseases we are targeting;</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competitive position and the success of competing therapies that are or may become available;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beneficial characteristics, and the potential safety, efficacy and therapeutic effects of our product candidates and our approach;</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our plans relating to the further development of our product candidates, including additional indications and targets we may pursue;</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impact of existing laws and regulations and regulatory developments in the United States, Europe and other jurisdictions;</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our expectations regarding the impact of the COVID-19 pandemic on our business, including our preclinical studies and clinical trials;</w:t>
      </w:r>
    </w:p>
    <w:p>
      <w:pPr>
        <w:spacing w:after="0" w:line="145" w:lineRule="exact"/>
        <w:rPr>
          <w:rFonts w:ascii="Arial" w:cs="Arial" w:eastAsia="Arial" w:hAnsi="Arial"/>
          <w:sz w:val="13"/>
          <w:szCs w:val="13"/>
          <w:color w:val="auto"/>
        </w:rPr>
      </w:pPr>
    </w:p>
    <w:p>
      <w:pPr>
        <w:ind w:left="1660" w:right="20" w:hanging="469"/>
        <w:spacing w:after="0" w:line="253"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84"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9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420"/>
          </w:cols>
          <w:pgMar w:left="320" w:top="418" w:right="115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540" w:hanging="469"/>
        <w:spacing w:after="0" w:line="300"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our ability to obtain, and negotiate favorable terms of, any collaboration, partnership, licensing or other arrangements that may be necessary or desirable to develop, manufacture or commercialize our product candidates;</w:t>
      </w:r>
    </w:p>
    <w:p>
      <w:pPr>
        <w:spacing w:after="0" w:line="52" w:lineRule="exact"/>
        <w:rPr>
          <w:rFonts w:ascii="Arial" w:cs="Arial" w:eastAsia="Arial" w:hAnsi="Arial"/>
          <w:sz w:val="15"/>
          <w:szCs w:val="15"/>
          <w:color w:val="auto"/>
        </w:rPr>
      </w:pPr>
    </w:p>
    <w:p>
      <w:pPr>
        <w:ind w:left="1660" w:hanging="469"/>
        <w:spacing w:after="0" w:line="300" w:lineRule="auto"/>
        <w:tabs>
          <w:tab w:leader="none" w:pos="1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52" w:lineRule="exact"/>
        <w:rPr>
          <w:rFonts w:ascii="Arial" w:cs="Arial" w:eastAsia="Arial" w:hAnsi="Arial"/>
          <w:sz w:val="15"/>
          <w:szCs w:val="15"/>
          <w:color w:val="auto"/>
        </w:rPr>
      </w:pPr>
    </w:p>
    <w:p>
      <w:pPr>
        <w:ind w:left="1660" w:right="440" w:hanging="469"/>
        <w:spacing w:after="0" w:line="266" w:lineRule="auto"/>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rate and degree of market acceptance and clinical utility of our current product candidates and other product candidates we may develop;</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financial performance;</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period over which we estimate our existing cash and cash equivalents will be sufficient to fund our future operating expenses and capital expenditure requirements;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will remain an emerging growth company under the JOBS Act;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our anticipated use of our existing resources and the net proceeds from this offering.</w:t>
      </w:r>
    </w:p>
    <w:p>
      <w:pPr>
        <w:spacing w:after="0" w:line="193" w:lineRule="exact"/>
        <w:rPr>
          <w:sz w:val="20"/>
          <w:szCs w:val="20"/>
          <w:color w:val="auto"/>
        </w:rPr>
      </w:pPr>
    </w:p>
    <w:p>
      <w:pPr>
        <w:jc w:val="both"/>
        <w:ind w:left="820" w:right="20" w:firstLine="385"/>
        <w:spacing w:after="0" w:line="314" w:lineRule="auto"/>
        <w:rPr>
          <w:sz w:val="20"/>
          <w:szCs w:val="20"/>
          <w:color w:val="auto"/>
        </w:rPr>
      </w:pPr>
      <w:r>
        <w:rPr>
          <w:rFonts w:ascii="Arial" w:cs="Arial" w:eastAsia="Arial" w:hAnsi="Arial"/>
          <w:sz w:val="13"/>
          <w:szCs w:val="13"/>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322" w:lineRule="exact"/>
        <w:rPr>
          <w:sz w:val="20"/>
          <w:szCs w:val="20"/>
          <w:color w:val="auto"/>
        </w:rPr>
      </w:pPr>
    </w:p>
    <w:p>
      <w:pPr>
        <w:ind w:left="820" w:right="240" w:firstLine="385"/>
        <w:spacing w:after="0" w:line="251"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360"/>
          </w:cols>
          <w:pgMar w:left="320" w:top="418" w:right="121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MARKET, INDUSTRY AND OTHER DATA</w:t>
      </w:r>
    </w:p>
    <w:p>
      <w:pPr>
        <w:spacing w:after="0" w:line="197"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Investors are cautioned not to give undue weight to any such information, projections and estimates.</w:t>
      </w:r>
    </w:p>
    <w:p>
      <w:pPr>
        <w:spacing w:after="0" w:line="10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420"/>
          </w:cols>
          <w:pgMar w:left="320" w:top="418" w:right="115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2160" w:type="dxa"/>
            <w:vAlign w:val="bottom"/>
            <w:gridSpan w:val="2"/>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Table of Contents</w:t>
              </w:r>
            </w:hyperlink>
          </w:p>
        </w:tc>
        <w:tc>
          <w:tcPr>
            <w:tcW w:w="22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462"/>
        </w:trPr>
        <w:tc>
          <w:tcPr>
            <w:tcW w:w="118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60" w:type="dxa"/>
            <w:vAlign w:val="bottom"/>
          </w:tcPr>
          <w:p>
            <w:pPr>
              <w:ind w:left="540"/>
              <w:spacing w:after="0"/>
              <w:rPr>
                <w:sz w:val="20"/>
                <w:szCs w:val="20"/>
                <w:color w:val="auto"/>
              </w:rPr>
            </w:pPr>
            <w:r>
              <w:rPr>
                <w:rFonts w:ascii="Arial" w:cs="Arial" w:eastAsia="Arial" w:hAnsi="Arial"/>
                <w:sz w:val="16"/>
                <w:szCs w:val="16"/>
                <w:b w:val="1"/>
                <w:bCs w:val="1"/>
                <w:color w:val="auto"/>
              </w:rPr>
              <w:t>USE OF PROCEEDS</w:t>
            </w: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1180" w:type="dxa"/>
            <w:vAlign w:val="bottom"/>
          </w:tcPr>
          <w:p>
            <w:pPr>
              <w:spacing w:after="0"/>
              <w:rPr>
                <w:sz w:val="24"/>
                <w:szCs w:val="24"/>
                <w:color w:val="auto"/>
              </w:rPr>
            </w:pPr>
          </w:p>
        </w:tc>
        <w:tc>
          <w:tcPr>
            <w:tcW w:w="8300" w:type="dxa"/>
            <w:vAlign w:val="bottom"/>
            <w:gridSpan w:val="4"/>
          </w:tcPr>
          <w:p>
            <w:pPr>
              <w:ind w:left="20"/>
              <w:spacing w:after="0"/>
              <w:rPr>
                <w:sz w:val="20"/>
                <w:szCs w:val="20"/>
                <w:color w:val="auto"/>
              </w:rPr>
            </w:pPr>
            <w:r>
              <w:rPr>
                <w:rFonts w:ascii="Arial" w:cs="Arial" w:eastAsia="Arial" w:hAnsi="Arial"/>
                <w:sz w:val="16"/>
                <w:szCs w:val="16"/>
                <w:color w:val="auto"/>
                <w:w w:val="91"/>
              </w:rPr>
              <w:t>We estimate that the net proceeds to us from the sale of the shares of our common stock in this offering will be approximately $</w:t>
            </w:r>
          </w:p>
        </w:tc>
        <w:tc>
          <w:tcPr>
            <w:tcW w:w="920" w:type="dxa"/>
            <w:vAlign w:val="bottom"/>
          </w:tcPr>
          <w:p>
            <w:pPr>
              <w:ind w:left="260"/>
              <w:spacing w:after="0"/>
              <w:rPr>
                <w:sz w:val="20"/>
                <w:szCs w:val="20"/>
                <w:color w:val="auto"/>
              </w:rPr>
            </w:pPr>
            <w:r>
              <w:rPr>
                <w:rFonts w:ascii="Arial" w:cs="Arial" w:eastAsia="Arial" w:hAnsi="Arial"/>
                <w:sz w:val="16"/>
                <w:szCs w:val="16"/>
                <w:color w:val="auto"/>
                <w:w w:val="93"/>
              </w:rPr>
              <w:t>million, or</w:t>
            </w:r>
          </w:p>
        </w:tc>
      </w:tr>
      <w:tr>
        <w:trPr>
          <w:trHeight w:val="189"/>
        </w:trPr>
        <w:tc>
          <w:tcPr>
            <w:tcW w:w="2160" w:type="dxa"/>
            <w:vAlign w:val="bottom"/>
            <w:gridSpan w:val="2"/>
          </w:tcPr>
          <w:p>
            <w:pPr>
              <w:ind w:left="820"/>
              <w:spacing w:after="0"/>
              <w:rPr>
                <w:sz w:val="20"/>
                <w:szCs w:val="20"/>
                <w:color w:val="auto"/>
              </w:rPr>
            </w:pPr>
            <w:r>
              <w:rPr>
                <w:rFonts w:ascii="Arial" w:cs="Arial" w:eastAsia="Arial" w:hAnsi="Arial"/>
                <w:sz w:val="16"/>
                <w:szCs w:val="16"/>
                <w:color w:val="auto"/>
              </w:rPr>
              <w:t>approximately $</w:t>
            </w:r>
          </w:p>
        </w:tc>
        <w:tc>
          <w:tcPr>
            <w:tcW w:w="8240" w:type="dxa"/>
            <w:vAlign w:val="bottom"/>
            <w:gridSpan w:val="4"/>
          </w:tcPr>
          <w:p>
            <w:pPr>
              <w:ind w:left="180"/>
              <w:spacing w:after="0"/>
              <w:rPr>
                <w:sz w:val="20"/>
                <w:szCs w:val="20"/>
                <w:color w:val="auto"/>
              </w:rPr>
            </w:pPr>
            <w:r>
              <w:rPr>
                <w:rFonts w:ascii="Arial" w:cs="Arial" w:eastAsia="Arial" w:hAnsi="Arial"/>
                <w:sz w:val="16"/>
                <w:szCs w:val="16"/>
                <w:color w:val="auto"/>
                <w:w w:val="93"/>
              </w:rPr>
              <w:t>million if the underwriters exercise their option to purchase additional shares in full, based upon the assumed initial public</w:t>
            </w:r>
          </w:p>
        </w:tc>
      </w:tr>
      <w:tr>
        <w:trPr>
          <w:trHeight w:val="189"/>
        </w:trPr>
        <w:tc>
          <w:tcPr>
            <w:tcW w:w="2160" w:type="dxa"/>
            <w:vAlign w:val="bottom"/>
            <w:gridSpan w:val="2"/>
          </w:tcPr>
          <w:p>
            <w:pPr>
              <w:ind w:left="820"/>
              <w:spacing w:after="0"/>
              <w:rPr>
                <w:sz w:val="20"/>
                <w:szCs w:val="20"/>
                <w:color w:val="auto"/>
              </w:rPr>
            </w:pPr>
            <w:r>
              <w:rPr>
                <w:rFonts w:ascii="Arial" w:cs="Arial" w:eastAsia="Arial" w:hAnsi="Arial"/>
                <w:sz w:val="16"/>
                <w:szCs w:val="16"/>
                <w:color w:val="auto"/>
              </w:rPr>
              <w:t>offering price of $</w:t>
            </w:r>
          </w:p>
        </w:tc>
        <w:tc>
          <w:tcPr>
            <w:tcW w:w="8240" w:type="dxa"/>
            <w:vAlign w:val="bottom"/>
            <w:gridSpan w:val="4"/>
          </w:tcPr>
          <w:p>
            <w:pPr>
              <w:ind w:left="300"/>
              <w:spacing w:after="0"/>
              <w:rPr>
                <w:sz w:val="20"/>
                <w:szCs w:val="20"/>
                <w:color w:val="auto"/>
              </w:rPr>
            </w:pPr>
            <w:r>
              <w:rPr>
                <w:rFonts w:ascii="Arial" w:cs="Arial" w:eastAsia="Arial" w:hAnsi="Arial"/>
                <w:sz w:val="16"/>
                <w:szCs w:val="16"/>
                <w:color w:val="auto"/>
                <w:w w:val="93"/>
              </w:rPr>
              <w:t>per share, which is the midpoint of the price range set forth on the cover page of this prospectus, and after deducting the</w:t>
            </w:r>
          </w:p>
        </w:tc>
      </w:tr>
      <w:tr>
        <w:trPr>
          <w:trHeight w:val="200"/>
        </w:trPr>
        <w:tc>
          <w:tcPr>
            <w:tcW w:w="6520" w:type="dxa"/>
            <w:vAlign w:val="bottom"/>
            <w:gridSpan w:val="4"/>
          </w:tcPr>
          <w:p>
            <w:pPr>
              <w:ind w:left="820"/>
              <w:spacing w:after="0"/>
              <w:rPr>
                <w:sz w:val="20"/>
                <w:szCs w:val="20"/>
                <w:color w:val="auto"/>
              </w:rPr>
            </w:pPr>
            <w:r>
              <w:rPr>
                <w:rFonts w:ascii="Arial" w:cs="Arial" w:eastAsia="Arial" w:hAnsi="Arial"/>
                <w:sz w:val="16"/>
                <w:szCs w:val="16"/>
                <w:color w:val="auto"/>
                <w:w w:val="90"/>
              </w:rPr>
              <w:t>underwriting discounts and commissions and estimated offering expenses payable by us.</w:t>
            </w:r>
          </w:p>
        </w:tc>
        <w:tc>
          <w:tcPr>
            <w:tcW w:w="29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66"/>
        </w:trPr>
        <w:tc>
          <w:tcPr>
            <w:tcW w:w="1180" w:type="dxa"/>
            <w:vAlign w:val="bottom"/>
          </w:tcPr>
          <w:p>
            <w:pPr>
              <w:spacing w:after="0"/>
              <w:rPr>
                <w:sz w:val="24"/>
                <w:szCs w:val="24"/>
                <w:color w:val="auto"/>
              </w:rPr>
            </w:pPr>
          </w:p>
        </w:tc>
        <w:tc>
          <w:tcPr>
            <w:tcW w:w="5340" w:type="dxa"/>
            <w:vAlign w:val="bottom"/>
            <w:gridSpan w:val="3"/>
          </w:tcPr>
          <w:p>
            <w:pPr>
              <w:ind w:left="20"/>
              <w:spacing w:after="0"/>
              <w:rPr>
                <w:sz w:val="20"/>
                <w:szCs w:val="20"/>
                <w:color w:val="auto"/>
              </w:rPr>
            </w:pPr>
            <w:r>
              <w:rPr>
                <w:rFonts w:ascii="Arial" w:cs="Arial" w:eastAsia="Arial" w:hAnsi="Arial"/>
                <w:sz w:val="16"/>
                <w:szCs w:val="16"/>
                <w:color w:val="auto"/>
                <w:w w:val="94"/>
              </w:rPr>
              <w:t>Each $1.00 increase or decrease in the assumed initial public offering price of $</w:t>
            </w:r>
          </w:p>
        </w:tc>
        <w:tc>
          <w:tcPr>
            <w:tcW w:w="3880" w:type="dxa"/>
            <w:vAlign w:val="bottom"/>
            <w:gridSpan w:val="2"/>
          </w:tcPr>
          <w:p>
            <w:pPr>
              <w:ind w:left="160"/>
              <w:spacing w:after="0"/>
              <w:rPr>
                <w:sz w:val="20"/>
                <w:szCs w:val="20"/>
                <w:color w:val="auto"/>
              </w:rPr>
            </w:pPr>
            <w:r>
              <w:rPr>
                <w:rFonts w:ascii="Arial" w:cs="Arial" w:eastAsia="Arial" w:hAnsi="Arial"/>
                <w:sz w:val="16"/>
                <w:szCs w:val="16"/>
                <w:color w:val="auto"/>
                <w:w w:val="86"/>
              </w:rPr>
              <w:t>per share would increase or decrease, as applicable, the net</w:t>
            </w:r>
          </w:p>
        </w:tc>
      </w:tr>
      <w:tr>
        <w:trPr>
          <w:trHeight w:val="189"/>
        </w:trPr>
        <w:tc>
          <w:tcPr>
            <w:tcW w:w="4360" w:type="dxa"/>
            <w:vAlign w:val="bottom"/>
            <w:gridSpan w:val="3"/>
          </w:tcPr>
          <w:p>
            <w:pPr>
              <w:ind w:left="820"/>
              <w:spacing w:after="0"/>
              <w:rPr>
                <w:sz w:val="20"/>
                <w:szCs w:val="20"/>
                <w:color w:val="auto"/>
              </w:rPr>
            </w:pPr>
            <w:r>
              <w:rPr>
                <w:rFonts w:ascii="Arial" w:cs="Arial" w:eastAsia="Arial" w:hAnsi="Arial"/>
                <w:sz w:val="16"/>
                <w:szCs w:val="16"/>
                <w:color w:val="auto"/>
                <w:w w:val="95"/>
              </w:rPr>
              <w:t>proceeds to us from this offering by approximately $</w:t>
            </w:r>
          </w:p>
        </w:tc>
        <w:tc>
          <w:tcPr>
            <w:tcW w:w="6040" w:type="dxa"/>
            <w:vAlign w:val="bottom"/>
            <w:gridSpan w:val="3"/>
          </w:tcPr>
          <w:p>
            <w:pPr>
              <w:ind w:left="240"/>
              <w:spacing w:after="0"/>
              <w:rPr>
                <w:sz w:val="20"/>
                <w:szCs w:val="20"/>
                <w:color w:val="auto"/>
              </w:rPr>
            </w:pPr>
            <w:r>
              <w:rPr>
                <w:rFonts w:ascii="Arial" w:cs="Arial" w:eastAsia="Arial" w:hAnsi="Arial"/>
                <w:sz w:val="16"/>
                <w:szCs w:val="16"/>
                <w:color w:val="auto"/>
                <w:w w:val="89"/>
              </w:rPr>
              <w:t>million, assuming the number of shares offered by us, as set forth on the cover page of this</w:t>
            </w:r>
          </w:p>
        </w:tc>
      </w:tr>
      <w:tr>
        <w:trPr>
          <w:trHeight w:val="189"/>
        </w:trPr>
        <w:tc>
          <w:tcPr>
            <w:tcW w:w="10400" w:type="dxa"/>
            <w:vAlign w:val="bottom"/>
            <w:gridSpan w:val="6"/>
          </w:tcPr>
          <w:p>
            <w:pPr>
              <w:ind w:left="820"/>
              <w:spacing w:after="0"/>
              <w:rPr>
                <w:sz w:val="20"/>
                <w:szCs w:val="20"/>
                <w:color w:val="auto"/>
              </w:rPr>
            </w:pPr>
            <w:r>
              <w:rPr>
                <w:rFonts w:ascii="Arial" w:cs="Arial" w:eastAsia="Arial" w:hAnsi="Arial"/>
                <w:sz w:val="16"/>
                <w:szCs w:val="16"/>
                <w:color w:val="auto"/>
                <w:w w:val="93"/>
              </w:rPr>
              <w:t>prospectus, remains the same, and after deducting the underwriting discounts and commissions and estimated offering expenses payable by us.</w:t>
            </w:r>
          </w:p>
        </w:tc>
      </w:tr>
      <w:tr>
        <w:trPr>
          <w:trHeight w:val="189"/>
        </w:trPr>
        <w:tc>
          <w:tcPr>
            <w:tcW w:w="10400" w:type="dxa"/>
            <w:vAlign w:val="bottom"/>
            <w:gridSpan w:val="6"/>
          </w:tcPr>
          <w:p>
            <w:pPr>
              <w:ind w:left="820"/>
              <w:spacing w:after="0"/>
              <w:rPr>
                <w:sz w:val="20"/>
                <w:szCs w:val="20"/>
                <w:color w:val="auto"/>
              </w:rPr>
            </w:pPr>
            <w:r>
              <w:rPr>
                <w:rFonts w:ascii="Arial" w:cs="Arial" w:eastAsia="Arial" w:hAnsi="Arial"/>
                <w:sz w:val="16"/>
                <w:szCs w:val="16"/>
                <w:color w:val="auto"/>
                <w:w w:val="92"/>
              </w:rPr>
              <w:t>Similarly, each increase or decrease of 1.0 million shares in the number of shares offered by us would increase or decrease, as applicable, the net</w:t>
            </w:r>
          </w:p>
        </w:tc>
      </w:tr>
      <w:tr>
        <w:trPr>
          <w:trHeight w:val="200"/>
        </w:trPr>
        <w:tc>
          <w:tcPr>
            <w:tcW w:w="4360" w:type="dxa"/>
            <w:vAlign w:val="bottom"/>
            <w:gridSpan w:val="3"/>
          </w:tcPr>
          <w:p>
            <w:pPr>
              <w:ind w:left="820"/>
              <w:spacing w:after="0"/>
              <w:rPr>
                <w:sz w:val="20"/>
                <w:szCs w:val="20"/>
                <w:color w:val="auto"/>
              </w:rPr>
            </w:pPr>
            <w:r>
              <w:rPr>
                <w:rFonts w:ascii="Arial" w:cs="Arial" w:eastAsia="Arial" w:hAnsi="Arial"/>
                <w:sz w:val="16"/>
                <w:szCs w:val="16"/>
                <w:color w:val="auto"/>
                <w:w w:val="95"/>
              </w:rPr>
              <w:t>proceeds to us from this offering by approximately $</w:t>
            </w:r>
          </w:p>
        </w:tc>
        <w:tc>
          <w:tcPr>
            <w:tcW w:w="6040" w:type="dxa"/>
            <w:vAlign w:val="bottom"/>
            <w:gridSpan w:val="3"/>
          </w:tcPr>
          <w:p>
            <w:pPr>
              <w:ind w:left="240"/>
              <w:spacing w:after="0"/>
              <w:rPr>
                <w:sz w:val="20"/>
                <w:szCs w:val="20"/>
                <w:color w:val="auto"/>
              </w:rPr>
            </w:pPr>
            <w:r>
              <w:rPr>
                <w:rFonts w:ascii="Arial" w:cs="Arial" w:eastAsia="Arial" w:hAnsi="Arial"/>
                <w:sz w:val="16"/>
                <w:szCs w:val="16"/>
                <w:color w:val="auto"/>
                <w:w w:val="95"/>
              </w:rPr>
              <w:t>million, assuming the assumed initial public offering price remains the same, and after</w:t>
            </w:r>
          </w:p>
        </w:tc>
      </w:tr>
    </w:tbl>
    <w:p>
      <w:pPr>
        <w:ind w:left="8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deducting the underwriting discounts and commissions and estimated offering expenses payable by us.</w:t>
      </w:r>
    </w:p>
    <w:p>
      <w:pPr>
        <w:spacing w:after="0" w:line="182" w:lineRule="exact"/>
        <w:rPr>
          <w:sz w:val="20"/>
          <w:szCs w:val="20"/>
          <w:color w:val="auto"/>
        </w:rPr>
      </w:pPr>
    </w:p>
    <w:p>
      <w:pPr>
        <w:jc w:val="both"/>
        <w:ind w:left="820" w:right="160" w:firstLine="385"/>
        <w:spacing w:after="0" w:line="256" w:lineRule="auto"/>
        <w:rPr>
          <w:sz w:val="20"/>
          <w:szCs w:val="20"/>
          <w:color w:val="auto"/>
        </w:rPr>
      </w:pPr>
      <w:r>
        <w:rPr>
          <w:rFonts w:ascii="Arial" w:cs="Arial" w:eastAsia="Arial" w:hAnsi="Arial"/>
          <w:sz w:val="16"/>
          <w:szCs w:val="16"/>
          <w:color w:val="auto"/>
        </w:rPr>
        <w:t>The principal purposes of this offering are to obtain additional capital to support our operations, establish a public market for our common stock and facilitate our future access to the public capital markets. We currently intend to use the net proceeds from this offering, together with our existing cash and cash equivalents, as follows:</w:t>
      </w:r>
    </w:p>
    <w:p>
      <w:pPr>
        <w:spacing w:after="0" w:line="83" w:lineRule="exact"/>
        <w:rPr>
          <w:sz w:val="20"/>
          <w:szCs w:val="20"/>
          <w:color w:val="auto"/>
        </w:rPr>
      </w:pPr>
    </w:p>
    <w:tbl>
      <w:tblPr>
        <w:tblLayout w:type="fixed"/>
        <w:tblInd w:w="1200" w:type="dxa"/>
        <w:tblCellMar>
          <w:top w:w="0" w:type="dxa"/>
          <w:left w:w="0" w:type="dxa"/>
          <w:bottom w:w="0" w:type="dxa"/>
          <w:right w:w="0" w:type="dxa"/>
        </w:tblCellMar>
      </w:tblPr>
      <w:tr>
        <w:trPr>
          <w:trHeight w:val="189"/>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0"/>
              </w:rPr>
              <w:t>million to fund our ongoing and planned preclinical and clinical development of our product</w:t>
            </w:r>
          </w:p>
        </w:tc>
      </w:tr>
      <w:tr>
        <w:trPr>
          <w:trHeight w:val="200"/>
        </w:trPr>
        <w:tc>
          <w:tcPr>
            <w:tcW w:w="260" w:type="dxa"/>
            <w:vAlign w:val="bottom"/>
          </w:tcPr>
          <w:p>
            <w:pPr>
              <w:spacing w:after="0"/>
              <w:rPr>
                <w:sz w:val="17"/>
                <w:szCs w:val="17"/>
                <w:color w:val="auto"/>
              </w:rPr>
            </w:pPr>
          </w:p>
        </w:tc>
        <w:tc>
          <w:tcPr>
            <w:tcW w:w="8800" w:type="dxa"/>
            <w:vAlign w:val="bottom"/>
            <w:gridSpan w:val="3"/>
          </w:tcPr>
          <w:p>
            <w:pPr>
              <w:ind w:left="200"/>
              <w:spacing w:after="0"/>
              <w:rPr>
                <w:sz w:val="20"/>
                <w:szCs w:val="20"/>
                <w:color w:val="auto"/>
              </w:rPr>
            </w:pPr>
            <w:r>
              <w:rPr>
                <w:rFonts w:ascii="Arial" w:cs="Arial" w:eastAsia="Arial" w:hAnsi="Arial"/>
                <w:sz w:val="16"/>
                <w:szCs w:val="16"/>
                <w:color w:val="auto"/>
              </w:rPr>
              <w:t>candidate TN-201 in our MYBPC3 program;</w:t>
            </w:r>
          </w:p>
        </w:tc>
      </w:tr>
      <w:tr>
        <w:trPr>
          <w:trHeight w:val="283"/>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0"/>
              </w:rPr>
              <w:t>million to fund our ongoing and planned preclinical and clinical development of our product</w:t>
            </w:r>
          </w:p>
        </w:tc>
      </w:tr>
      <w:tr>
        <w:trPr>
          <w:trHeight w:val="200"/>
        </w:trPr>
        <w:tc>
          <w:tcPr>
            <w:tcW w:w="260" w:type="dxa"/>
            <w:vAlign w:val="bottom"/>
          </w:tcPr>
          <w:p>
            <w:pPr>
              <w:spacing w:after="0"/>
              <w:rPr>
                <w:sz w:val="17"/>
                <w:szCs w:val="17"/>
                <w:color w:val="auto"/>
              </w:rPr>
            </w:pPr>
          </w:p>
        </w:tc>
        <w:tc>
          <w:tcPr>
            <w:tcW w:w="8800" w:type="dxa"/>
            <w:vAlign w:val="bottom"/>
            <w:gridSpan w:val="3"/>
          </w:tcPr>
          <w:p>
            <w:pPr>
              <w:ind w:left="200"/>
              <w:spacing w:after="0"/>
              <w:rPr>
                <w:sz w:val="20"/>
                <w:szCs w:val="20"/>
                <w:color w:val="auto"/>
              </w:rPr>
            </w:pPr>
            <w:r>
              <w:rPr>
                <w:rFonts w:ascii="Arial" w:cs="Arial" w:eastAsia="Arial" w:hAnsi="Arial"/>
                <w:sz w:val="16"/>
                <w:szCs w:val="16"/>
                <w:color w:val="auto"/>
              </w:rPr>
              <w:t>candidate TYA-11631 in our HDAC6i program;</w:t>
            </w:r>
          </w:p>
        </w:tc>
      </w:tr>
      <w:tr>
        <w:trPr>
          <w:trHeight w:val="283"/>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w w:val="96"/>
              </w:rPr>
              <w:t>million to fund the continued development of our other programs, including our PKP2,</w:t>
            </w:r>
          </w:p>
        </w:tc>
      </w:tr>
      <w:tr>
        <w:trPr>
          <w:trHeight w:val="200"/>
        </w:trPr>
        <w:tc>
          <w:tcPr>
            <w:tcW w:w="260" w:type="dxa"/>
            <w:vAlign w:val="bottom"/>
          </w:tcPr>
          <w:p>
            <w:pPr>
              <w:spacing w:after="0"/>
              <w:rPr>
                <w:sz w:val="17"/>
                <w:szCs w:val="17"/>
                <w:color w:val="auto"/>
              </w:rPr>
            </w:pPr>
          </w:p>
        </w:tc>
        <w:tc>
          <w:tcPr>
            <w:tcW w:w="2880" w:type="dxa"/>
            <w:vAlign w:val="bottom"/>
            <w:gridSpan w:val="2"/>
          </w:tcPr>
          <w:p>
            <w:pPr>
              <w:ind w:left="200"/>
              <w:spacing w:after="0"/>
              <w:rPr>
                <w:sz w:val="20"/>
                <w:szCs w:val="20"/>
                <w:color w:val="auto"/>
              </w:rPr>
            </w:pPr>
            <w:r>
              <w:rPr>
                <w:rFonts w:ascii="Arial" w:cs="Arial" w:eastAsia="Arial" w:hAnsi="Arial"/>
                <w:sz w:val="16"/>
                <w:szCs w:val="16"/>
                <w:color w:val="auto"/>
                <w:w w:val="92"/>
              </w:rPr>
              <w:t>DWORF and Reprogramming programs;</w:t>
            </w:r>
          </w:p>
        </w:tc>
        <w:tc>
          <w:tcPr>
            <w:tcW w:w="5920" w:type="dxa"/>
            <w:vAlign w:val="bottom"/>
          </w:tcPr>
          <w:p>
            <w:pPr>
              <w:spacing w:after="0"/>
              <w:rPr>
                <w:sz w:val="17"/>
                <w:szCs w:val="17"/>
                <w:color w:val="auto"/>
              </w:rPr>
            </w:pPr>
          </w:p>
        </w:tc>
      </w:tr>
      <w:tr>
        <w:trPr>
          <w:trHeight w:val="29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1480" w:type="dxa"/>
            <w:vAlign w:val="bottom"/>
          </w:tcPr>
          <w:p>
            <w:pPr>
              <w:ind w:left="200"/>
              <w:spacing w:after="0"/>
              <w:rPr>
                <w:sz w:val="20"/>
                <w:szCs w:val="20"/>
                <w:color w:val="auto"/>
              </w:rPr>
            </w:pPr>
            <w:r>
              <w:rPr>
                <w:rFonts w:ascii="Arial" w:cs="Arial" w:eastAsia="Arial" w:hAnsi="Arial"/>
                <w:sz w:val="16"/>
                <w:szCs w:val="16"/>
                <w:color w:val="auto"/>
              </w:rPr>
              <w:t>approximately $</w:t>
            </w:r>
          </w:p>
        </w:tc>
        <w:tc>
          <w:tcPr>
            <w:tcW w:w="1400" w:type="dxa"/>
            <w:vAlign w:val="bottom"/>
          </w:tcPr>
          <w:p>
            <w:pPr>
              <w:ind w:left="260"/>
              <w:spacing w:after="0"/>
              <w:rPr>
                <w:sz w:val="20"/>
                <w:szCs w:val="20"/>
                <w:color w:val="auto"/>
              </w:rPr>
            </w:pPr>
            <w:r>
              <w:rPr>
                <w:rFonts w:ascii="Arial" w:cs="Arial" w:eastAsia="Arial" w:hAnsi="Arial"/>
                <w:sz w:val="16"/>
                <w:szCs w:val="16"/>
                <w:color w:val="auto"/>
              </w:rPr>
              <w:t>million to $</w:t>
            </w:r>
          </w:p>
        </w:tc>
        <w:tc>
          <w:tcPr>
            <w:tcW w:w="5920" w:type="dxa"/>
            <w:vAlign w:val="bottom"/>
          </w:tcPr>
          <w:p>
            <w:pPr>
              <w:ind w:left="100"/>
              <w:spacing w:after="0"/>
              <w:rPr>
                <w:sz w:val="20"/>
                <w:szCs w:val="20"/>
                <w:color w:val="auto"/>
              </w:rPr>
            </w:pPr>
            <w:r>
              <w:rPr>
                <w:rFonts w:ascii="Arial" w:cs="Arial" w:eastAsia="Arial" w:hAnsi="Arial"/>
                <w:sz w:val="16"/>
                <w:szCs w:val="16"/>
                <w:color w:val="auto"/>
              </w:rPr>
              <w:t>million to fund the expansion of our manufacturing capabilities and facilities; and</w:t>
            </w:r>
          </w:p>
        </w:tc>
      </w:tr>
    </w:tbl>
    <w:p>
      <w:pPr>
        <w:spacing w:after="0" w:line="95" w:lineRule="exact"/>
        <w:rPr>
          <w:sz w:val="20"/>
          <w:szCs w:val="20"/>
          <w:color w:val="auto"/>
        </w:rPr>
      </w:pPr>
    </w:p>
    <w:p>
      <w:pPr>
        <w:ind w:left="1660" w:hanging="469"/>
        <w:spacing w:after="0"/>
        <w:tabs>
          <w:tab w:leader="none" w:pos="1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remaining amounts, if any, for working capital and other general corporate purposes.</w:t>
      </w:r>
    </w:p>
    <w:p>
      <w:pPr>
        <w:spacing w:after="0" w:line="193"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Our expected use of the net proceeds from this offering represents our intentions based upon our current plans and business conditions. As of the date of this prospectus, we cannot predict with certainty all of the particular uses for the net proceeds to be received upon the completion of this offering or the amounts that we will actually spend on the uses set forth above and we may require additional funds in order to fully accomplish the specified uses listed above. We believe opportunities may exist from time to time to expand our current business through licenses with or acquisitions of, or investments in, complementary businesses, products, intellectual property or technologies. While we have no current agreements, commitments or understandings for any specific licenses, acquisitions or investments at this time, we may use a portion of the net proceeds for these purposes. As a result, our management will have broad discretion over the use of the net proceeds from this offering.</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Based on our current operating plan, we believe that the net proceeds from this offering, together with our existing cash and cash equivalents, will</w:t>
      </w:r>
    </w:p>
    <w:p>
      <w:pPr>
        <w:spacing w:after="0" w:line="51" w:lineRule="exact"/>
        <w:rPr>
          <w:sz w:val="20"/>
          <w:szCs w:val="20"/>
          <w:color w:val="auto"/>
        </w:rPr>
      </w:pPr>
    </w:p>
    <w:p>
      <w:pPr>
        <w:ind w:left="820"/>
        <w:spacing w:after="0" w:line="247" w:lineRule="auto"/>
        <w:rPr>
          <w:sz w:val="20"/>
          <w:szCs w:val="20"/>
          <w:color w:val="auto"/>
        </w:rPr>
      </w:pPr>
      <w:r>
        <w:rPr>
          <w:rFonts w:ascii="Arial" w:cs="Arial" w:eastAsia="Arial" w:hAnsi="Arial"/>
          <w:sz w:val="16"/>
          <w:szCs w:val="16"/>
          <w:color w:val="auto"/>
        </w:rPr>
        <w:t>be sufficient to fund our operating expenses and capital expenditures . The net proceeds from this offering, together with our existing cash and cash equivalents, will not be sufficient to fund any of our product candidates through regulatory approval, and we anticipate needing to raise additional capital to complete the development of and commercialize our product candidates. It is difficult to predict the cost and timing required to complete development and obtain regulatory approval of, and commercialize, our product candidates due to, among other factors, our lack of experience as a company with initiating, conducting and completing clinical trials, and uncertainty regarding the scope and design of clinical trials required to obtain regulatory approval for our product candidates, the rate of subject</w:t>
      </w:r>
    </w:p>
    <w:p>
      <w:pPr>
        <w:spacing w:after="0" w:line="11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420"/>
          </w:cols>
          <w:pgMar w:left="320" w:top="403" w:right="115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23" w:lineRule="auto"/>
        <w:rPr>
          <w:sz w:val="20"/>
          <w:szCs w:val="20"/>
          <w:color w:val="auto"/>
        </w:rPr>
      </w:pPr>
      <w:r>
        <w:rPr>
          <w:rFonts w:ascii="Arial" w:cs="Arial" w:eastAsia="Arial" w:hAnsi="Arial"/>
          <w:sz w:val="13"/>
          <w:szCs w:val="13"/>
          <w:color w:val="auto"/>
        </w:rPr>
        <w:t>enrollment in our planned clinical trials, filing requirements with various regulatory agencies, clinical trial results, and the actual costs of manufacturing, supplying and commercializing our product candidates. The amounts and timing of our expenditures will depend upon numerous factors including the cost and results of our research and development efforts, the timing, cost and success of preclinical studies and any clinical trials we may commence in the future, the timing of regulatory submissions, our ability to obtain additional financing, the amount of cash obtained through our existing collaborations and future collaborations, if any, and any unforeseen cash needs. We also may elect to raise additional capital opportunistically.</w:t>
      </w:r>
    </w:p>
    <w:p>
      <w:pPr>
        <w:spacing w:after="0" w:line="126" w:lineRule="exact"/>
        <w:rPr>
          <w:sz w:val="20"/>
          <w:szCs w:val="20"/>
          <w:color w:val="auto"/>
        </w:rPr>
      </w:pPr>
    </w:p>
    <w:p>
      <w:pPr>
        <w:jc w:val="both"/>
        <w:ind w:left="820" w:right="60" w:firstLine="385"/>
        <w:spacing w:after="0" w:line="256" w:lineRule="auto"/>
        <w:rPr>
          <w:sz w:val="20"/>
          <w:szCs w:val="20"/>
          <w:color w:val="auto"/>
        </w:rPr>
      </w:pPr>
      <w:r>
        <w:rPr>
          <w:rFonts w:ascii="Arial" w:cs="Arial" w:eastAsia="Arial" w:hAnsi="Arial"/>
          <w:sz w:val="16"/>
          <w:szCs w:val="16"/>
          <w:color w:val="auto"/>
        </w:rPr>
        <w:t>Pending their use, we intend to invest the net proceeds of this offering in short- and intermediate-term interest-bearing obligations, including U.S. government money market funds, U.S. Treasury obligations, U.S. agency and government-sponsored entity obligations, corporate debt obligations, and taxable and tax-exempt municipal obligations.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420"/>
          </w:cols>
          <w:pgMar w:left="320" w:top="418" w:right="115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DIVIDEND POLICY</w:t>
      </w:r>
    </w:p>
    <w:p>
      <w:pPr>
        <w:spacing w:after="0" w:line="197"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9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0400"/>
          </w:cols>
          <w:pgMar w:left="320" w:top="418" w:right="117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CAPITALIZATION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our cash and cash equivalents and capitalization as of March 31, 2021:</w:t>
      </w:r>
    </w:p>
    <w:p>
      <w:pPr>
        <w:spacing w:after="0" w:line="111" w:lineRule="exact"/>
        <w:rPr>
          <w:sz w:val="20"/>
          <w:szCs w:val="20"/>
          <w:color w:val="auto"/>
        </w:rPr>
      </w:pPr>
    </w:p>
    <w:p>
      <w:pPr>
        <w:ind w:left="1660" w:hanging="469"/>
        <w:spacing w:after="0"/>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10" w:lineRule="exact"/>
        <w:rPr>
          <w:rFonts w:ascii="Arial" w:cs="Arial" w:eastAsia="Arial" w:hAnsi="Arial"/>
          <w:sz w:val="16"/>
          <w:szCs w:val="16"/>
          <w:color w:val="auto"/>
        </w:rPr>
      </w:pPr>
    </w:p>
    <w:p>
      <w:pPr>
        <w:ind w:left="1660" w:right="40" w:hanging="469"/>
        <w:spacing w:after="0" w:line="251" w:lineRule="auto"/>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on a pro forma basis to give effect to: (i) the automatic conversion of all outstanding shares of our convertible preferred stock into an aggregate of 156,613,818 shares of our common stock immediately prior to the completion of this offering, as if such conversion had occurred on March 31, 2021; (ii) the related reclassification of our convertible preferred stock aggregate carrying value to permanent equity; and (iii) the filing and effectiveness of our amended and restated certificate of incorporation immediately prior to the closing of this offering; and</w:t>
      </w:r>
    </w:p>
    <w:p>
      <w:pPr>
        <w:sectPr>
          <w:pgSz w:w="11900" w:h="16838" w:orient="portrait"/>
          <w:cols w:equalWidth="0" w:num="1">
            <w:col w:w="10440"/>
          </w:cols>
          <w:pgMar w:left="320" w:top="418" w:right="1139" w:bottom="1440" w:gutter="0" w:footer="0" w:header="0"/>
        </w:sectPr>
      </w:pPr>
    </w:p>
    <w:p>
      <w:pPr>
        <w:spacing w:after="0" w:line="87"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spacing w:after="0" w:line="281" w:lineRule="auto"/>
        <w:rPr>
          <w:sz w:val="20"/>
          <w:szCs w:val="20"/>
          <w:color w:val="auto"/>
        </w:rPr>
      </w:pPr>
      <w:r>
        <w:rPr>
          <w:rFonts w:ascii="Arial" w:cs="Arial" w:eastAsia="Arial" w:hAnsi="Arial"/>
          <w:sz w:val="15"/>
          <w:szCs w:val="15"/>
          <w:color w:val="auto"/>
        </w:rPr>
        <w:t>on a pro forma as adjusted basis to give further effect to the sale by us of shares of our common stock in this offering, at an assumed initial public offering price of $ per share (which is the midpoint of the estimated price range set forth on the cover page of this prospectus), and after deducting underwriting discounts and commissions and estimated offering expenses payable by us.</w:t>
      </w:r>
    </w:p>
    <w:p>
      <w:pPr>
        <w:spacing w:after="0" w:line="149" w:lineRule="exact"/>
        <w:rPr>
          <w:sz w:val="20"/>
          <w:szCs w:val="20"/>
          <w:color w:val="auto"/>
        </w:rPr>
      </w:pPr>
    </w:p>
    <w:p>
      <w:pPr>
        <w:sectPr>
          <w:pgSz w:w="11900" w:h="16838" w:orient="portrait"/>
          <w:cols w:equalWidth="0" w:num="2">
            <w:col w:w="1240" w:space="420"/>
            <w:col w:w="8780"/>
          </w:cols>
          <w:pgMar w:left="320" w:top="418" w:right="1139" w:bottom="1440" w:gutter="0" w:footer="0" w:header="0"/>
          <w:type w:val="continuous"/>
        </w:sectPr>
      </w:pPr>
    </w:p>
    <w:p>
      <w:pPr>
        <w:ind w:left="820" w:right="240" w:firstLine="385"/>
        <w:spacing w:after="0" w:line="253" w:lineRule="auto"/>
        <w:rPr>
          <w:sz w:val="20"/>
          <w:szCs w:val="20"/>
          <w:color w:val="auto"/>
        </w:rPr>
      </w:pPr>
      <w:r>
        <w:rPr>
          <w:rFonts w:ascii="Arial" w:cs="Arial" w:eastAsia="Arial" w:hAnsi="Arial"/>
          <w:sz w:val="16"/>
          <w:szCs w:val="16"/>
          <w:color w:val="auto"/>
        </w:rPr>
        <w:t>Our capitalization following the closing of this offering will depend on the actual initial public offering price and other terms of this offering determined at pricing. You should read this information in conjunction with our financial statements and the related notes appearing elsewhere in this prospectus, the section titled “Management’s Discussion and Analysis of Financial Condition and Results of Operations”, and other financial information contained in this prospectus.</w:t>
      </w:r>
    </w:p>
    <w:p>
      <w:pPr>
        <w:spacing w:after="0" w:line="18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8"/>
              </w:rPr>
              <w:t>As of March 31, 2021</w:t>
            </w: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500" w:type="dxa"/>
            <w:vAlign w:val="bottom"/>
            <w:gridSpan w:val="7"/>
          </w:tcPr>
          <w:p>
            <w:pPr>
              <w:jc w:val="center"/>
              <w:spacing w:after="0" w:line="102" w:lineRule="exact"/>
              <w:rPr>
                <w:sz w:val="20"/>
                <w:szCs w:val="20"/>
                <w:color w:val="auto"/>
              </w:rPr>
            </w:pPr>
            <w:r>
              <w:rPr>
                <w:rFonts w:ascii="Arial" w:cs="Arial" w:eastAsia="Arial" w:hAnsi="Arial"/>
                <w:sz w:val="10"/>
                <w:szCs w:val="10"/>
                <w:b w:val="1"/>
                <w:bCs w:val="1"/>
                <w:color w:val="auto"/>
              </w:rPr>
              <w:t>(in thousands, except share and per</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share data)</w:t>
            </w:r>
          </w:p>
        </w:tc>
        <w:tc>
          <w:tcPr>
            <w:tcW w:w="60" w:type="dxa"/>
            <w:vAlign w:val="bottom"/>
          </w:tcPr>
          <w:p>
            <w:pPr>
              <w:spacing w:after="0"/>
              <w:rPr>
                <w:sz w:val="14"/>
                <w:szCs w:val="14"/>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3"/>
                <w:szCs w:val="13"/>
                <w:b w:val="1"/>
                <w:bCs w:val="1"/>
                <w:color w:val="auto"/>
                <w:w w:val="82"/>
              </w:rPr>
              <w:t>Pro</w:t>
            </w:r>
          </w:p>
        </w:tc>
        <w:tc>
          <w:tcPr>
            <w:tcW w:w="0" w:type="dxa"/>
            <w:vAlign w:val="bottom"/>
          </w:tcPr>
          <w:p>
            <w:pPr>
              <w:spacing w:after="0"/>
              <w:rPr>
                <w:sz w:val="1"/>
                <w:szCs w:val="1"/>
                <w:color w:val="auto"/>
              </w:rPr>
            </w:pPr>
          </w:p>
        </w:tc>
      </w:tr>
      <w:tr>
        <w:trPr>
          <w:trHeight w:val="97"/>
        </w:trPr>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6"/>
              </w:rPr>
              <w:t>Forma as</w:t>
            </w: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Actual</w:t>
            </w:r>
          </w:p>
        </w:tc>
        <w:tc>
          <w:tcPr>
            <w:tcW w:w="3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adjusted</w:t>
            </w:r>
            <w:r>
              <w:rPr>
                <w:rFonts w:ascii="Arial" w:cs="Arial" w:eastAsia="Arial" w:hAnsi="Arial"/>
                <w:sz w:val="10"/>
                <w:szCs w:val="10"/>
                <w:b w:val="1"/>
                <w:bCs w:val="1"/>
                <w:color w:val="auto"/>
                <w:w w:val="88"/>
              </w:rPr>
              <w:t>(1)</w:t>
            </w:r>
          </w:p>
        </w:tc>
        <w:tc>
          <w:tcPr>
            <w:tcW w:w="0" w:type="dxa"/>
            <w:vAlign w:val="bottom"/>
          </w:tcPr>
          <w:p>
            <w:pPr>
              <w:spacing w:after="0"/>
              <w:rPr>
                <w:sz w:val="1"/>
                <w:szCs w:val="1"/>
                <w:color w:val="auto"/>
              </w:rPr>
            </w:pPr>
          </w:p>
        </w:tc>
      </w:tr>
      <w:tr>
        <w:trPr>
          <w:trHeight w:val="180"/>
        </w:trPr>
        <w:tc>
          <w:tcPr>
            <w:tcW w:w="214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Cash and cash equivalents</w:t>
            </w:r>
          </w:p>
        </w:tc>
        <w:tc>
          <w:tcPr>
            <w:tcW w:w="1460" w:type="dxa"/>
            <w:vAlign w:val="bottom"/>
            <w:tcBorders>
              <w:top w:val="single" w:sz="8" w:color="CCEEFF"/>
            </w:tcBorders>
            <w:shd w:val="clear" w:color="auto" w:fill="CCEEFF"/>
          </w:tcPr>
          <w:p>
            <w:pPr>
              <w:spacing w:after="0"/>
              <w:rPr>
                <w:sz w:val="15"/>
                <w:szCs w:val="15"/>
                <w:color w:val="auto"/>
              </w:rPr>
            </w:pPr>
          </w:p>
        </w:tc>
        <w:tc>
          <w:tcPr>
            <w:tcW w:w="27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2"/>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u w:val="single" w:color="auto"/>
                <w:color w:val="auto"/>
                <w:w w:val="83"/>
              </w:rPr>
              <w:t>$</w:t>
            </w:r>
            <w:r>
              <w:rPr>
                <w:rFonts w:ascii="Arial" w:cs="Arial" w:eastAsia="Arial" w:hAnsi="Arial"/>
                <w:sz w:val="16"/>
                <w:szCs w:val="16"/>
                <w:color w:val="auto"/>
                <w:w w:val="83"/>
              </w:rPr>
              <w:t>128,439</w:t>
            </w: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80" w:type="dxa"/>
            <w:vAlign w:val="bottom"/>
            <w:gridSpan w:val="6"/>
          </w:tcPr>
          <w:p>
            <w:pPr>
              <w:spacing w:after="0" w:line="163" w:lineRule="exact"/>
              <w:rPr>
                <w:sz w:val="20"/>
                <w:szCs w:val="20"/>
                <w:color w:val="auto"/>
              </w:rPr>
            </w:pPr>
            <w:r>
              <w:rPr>
                <w:rFonts w:ascii="Arial" w:cs="Arial" w:eastAsia="Arial" w:hAnsi="Arial"/>
                <w:sz w:val="16"/>
                <w:szCs w:val="16"/>
                <w:color w:val="auto"/>
                <w:w w:val="95"/>
              </w:rPr>
              <w:t>Convertible preferred stock, par value $0.0001; 156,613,818 shares authorized, issued and outstanding,</w:t>
            </w: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340" w:type="dxa"/>
            <w:vAlign w:val="bottom"/>
            <w:gridSpan w:val="4"/>
          </w:tcPr>
          <w:p>
            <w:pPr>
              <w:ind w:left="160"/>
              <w:spacing w:after="0"/>
              <w:rPr>
                <w:sz w:val="20"/>
                <w:szCs w:val="20"/>
                <w:color w:val="auto"/>
              </w:rPr>
            </w:pPr>
            <w:r>
              <w:rPr>
                <w:rFonts w:ascii="Arial" w:cs="Arial" w:eastAsia="Arial" w:hAnsi="Arial"/>
                <w:sz w:val="16"/>
                <w:szCs w:val="16"/>
                <w:color w:val="auto"/>
                <w:w w:val="95"/>
              </w:rPr>
              <w:t>actual; no shares authorized, issued and outstanding, pro forma and pro forma as adjusted</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240,735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Stockholders’ (deficit) equity:</w:t>
            </w:r>
          </w:p>
        </w:tc>
        <w:tc>
          <w:tcPr>
            <w:tcW w:w="1460" w:type="dxa"/>
            <w:vAlign w:val="bottom"/>
            <w:shd w:val="clear" w:color="auto" w:fill="CCEEFF"/>
          </w:tcPr>
          <w:p>
            <w:pPr>
              <w:spacing w:after="0"/>
              <w:rPr>
                <w:sz w:val="16"/>
                <w:szCs w:val="16"/>
                <w:color w:val="auto"/>
              </w:rPr>
            </w:pPr>
          </w:p>
        </w:tc>
        <w:tc>
          <w:tcPr>
            <w:tcW w:w="2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340" w:type="dxa"/>
            <w:vAlign w:val="bottom"/>
            <w:gridSpan w:val="4"/>
          </w:tcPr>
          <w:p>
            <w:pPr>
              <w:ind w:left="300"/>
              <w:spacing w:after="0" w:line="176" w:lineRule="exact"/>
              <w:rPr>
                <w:sz w:val="20"/>
                <w:szCs w:val="20"/>
                <w:color w:val="auto"/>
              </w:rPr>
            </w:pPr>
            <w:r>
              <w:rPr>
                <w:rFonts w:ascii="Arial" w:cs="Arial" w:eastAsia="Arial" w:hAnsi="Arial"/>
                <w:sz w:val="16"/>
                <w:szCs w:val="16"/>
                <w:color w:val="auto"/>
                <w:w w:val="95"/>
              </w:rPr>
              <w:t>Preferred stock, par value $0.0001; no shares authorized, issued and outstanding, actual;</w:t>
            </w:r>
          </w:p>
        </w:tc>
        <w:tc>
          <w:tcPr>
            <w:tcW w:w="1380" w:type="dxa"/>
            <w:vAlign w:val="bottom"/>
            <w:gridSpan w:val="4"/>
          </w:tcPr>
          <w:p>
            <w:pPr>
              <w:jc w:val="right"/>
              <w:ind w:right="960"/>
              <w:spacing w:after="0" w:line="176" w:lineRule="exact"/>
              <w:rPr>
                <w:sz w:val="20"/>
                <w:szCs w:val="20"/>
                <w:color w:val="auto"/>
              </w:rPr>
            </w:pPr>
            <w:r>
              <w:rPr>
                <w:rFonts w:ascii="Arial" w:cs="Arial" w:eastAsia="Arial" w:hAnsi="Arial"/>
                <w:sz w:val="16"/>
                <w:szCs w:val="16"/>
                <w:color w:val="auto"/>
                <w:w w:val="83"/>
              </w:rPr>
              <w:t>shares</w:t>
            </w: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340" w:type="dxa"/>
            <w:vAlign w:val="bottom"/>
            <w:gridSpan w:val="4"/>
          </w:tcPr>
          <w:p>
            <w:pPr>
              <w:ind w:left="460"/>
              <w:spacing w:after="0"/>
              <w:rPr>
                <w:sz w:val="20"/>
                <w:szCs w:val="20"/>
                <w:color w:val="auto"/>
              </w:rPr>
            </w:pPr>
            <w:r>
              <w:rPr>
                <w:rFonts w:ascii="Arial" w:cs="Arial" w:eastAsia="Arial" w:hAnsi="Arial"/>
                <w:sz w:val="16"/>
                <w:szCs w:val="16"/>
                <w:color w:val="auto"/>
                <w:w w:val="99"/>
              </w:rPr>
              <w:t>authorized, no shares issued and outstanding, pro forma and pro forma as adjusted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340" w:type="dxa"/>
            <w:vAlign w:val="bottom"/>
            <w:gridSpan w:val="4"/>
            <w:shd w:val="clear" w:color="auto" w:fill="CCEEFF"/>
          </w:tcPr>
          <w:p>
            <w:pPr>
              <w:ind w:left="300"/>
              <w:spacing w:after="0" w:line="177" w:lineRule="exact"/>
              <w:rPr>
                <w:sz w:val="20"/>
                <w:szCs w:val="20"/>
                <w:color w:val="auto"/>
              </w:rPr>
            </w:pPr>
            <w:r>
              <w:rPr>
                <w:rFonts w:ascii="Arial" w:cs="Arial" w:eastAsia="Arial" w:hAnsi="Arial"/>
                <w:sz w:val="16"/>
                <w:szCs w:val="16"/>
                <w:color w:val="auto"/>
                <w:w w:val="87"/>
              </w:rPr>
              <w:t>Common stock, par value $0.0001; 181,980,000 shares authorized, 7,334,861 shares issued and</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outstanding, actual;</w:t>
            </w:r>
          </w:p>
        </w:tc>
        <w:tc>
          <w:tcPr>
            <w:tcW w:w="146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shares authorized,</w:t>
            </w:r>
          </w:p>
        </w:tc>
        <w:tc>
          <w:tcPr>
            <w:tcW w:w="4120" w:type="dxa"/>
            <w:vAlign w:val="bottom"/>
            <w:gridSpan w:val="5"/>
            <w:shd w:val="clear" w:color="auto" w:fill="CCEEFF"/>
          </w:tcPr>
          <w:p>
            <w:pPr>
              <w:jc w:val="right"/>
              <w:ind w:right="1260"/>
              <w:spacing w:after="0"/>
              <w:rPr>
                <w:sz w:val="20"/>
                <w:szCs w:val="20"/>
                <w:color w:val="auto"/>
              </w:rPr>
            </w:pPr>
            <w:r>
              <w:rPr>
                <w:rFonts w:ascii="Arial" w:cs="Arial" w:eastAsia="Arial" w:hAnsi="Arial"/>
                <w:sz w:val="16"/>
                <w:szCs w:val="16"/>
                <w:color w:val="auto"/>
                <w:w w:val="95"/>
              </w:rPr>
              <w:t>shares issued and outstanding, pro forma;</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4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w w:val="89"/>
              </w:rPr>
              <w:t>shares authorized,</w:t>
            </w:r>
          </w:p>
        </w:tc>
        <w:tc>
          <w:tcPr>
            <w:tcW w:w="420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w w:val="98"/>
              </w:rPr>
              <w:t>shares issued and outstanding, pro forma as adjusted</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gridSpan w:val="2"/>
          </w:tcPr>
          <w:p>
            <w:pPr>
              <w:ind w:left="300"/>
              <w:spacing w:after="0"/>
              <w:rPr>
                <w:sz w:val="20"/>
                <w:szCs w:val="20"/>
                <w:color w:val="auto"/>
              </w:rPr>
            </w:pPr>
            <w:r>
              <w:rPr>
                <w:rFonts w:ascii="Arial" w:cs="Arial" w:eastAsia="Arial" w:hAnsi="Arial"/>
                <w:sz w:val="16"/>
                <w:szCs w:val="16"/>
                <w:color w:val="auto"/>
              </w:rPr>
              <w:t>Additional paid-in capital</w:t>
            </w:r>
          </w:p>
        </w:tc>
        <w:tc>
          <w:tcPr>
            <w:tcW w:w="14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2,053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6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Notes receivable from stockholders</w:t>
            </w:r>
          </w:p>
        </w:tc>
        <w:tc>
          <w:tcPr>
            <w:tcW w:w="274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(87)</w:t>
            </w:r>
          </w:p>
        </w:tc>
        <w:tc>
          <w:tcPr>
            <w:tcW w:w="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40" w:type="dxa"/>
            <w:vAlign w:val="bottom"/>
            <w:gridSpan w:val="2"/>
          </w:tcPr>
          <w:p>
            <w:pPr>
              <w:ind w:left="300"/>
              <w:spacing w:after="0"/>
              <w:rPr>
                <w:sz w:val="20"/>
                <w:szCs w:val="20"/>
                <w:color w:val="auto"/>
              </w:rPr>
            </w:pPr>
            <w:r>
              <w:rPr>
                <w:rFonts w:ascii="Arial" w:cs="Arial" w:eastAsia="Arial" w:hAnsi="Arial"/>
                <w:sz w:val="16"/>
                <w:szCs w:val="16"/>
                <w:color w:val="auto"/>
              </w:rPr>
              <w:t>Accumulated deficit</w:t>
            </w:r>
          </w:p>
        </w:tc>
        <w:tc>
          <w:tcPr>
            <w:tcW w:w="14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(95,910)</w:t>
            </w: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600" w:type="dxa"/>
            <w:vAlign w:val="bottom"/>
            <w:gridSpan w:val="3"/>
            <w:shd w:val="clear" w:color="auto" w:fill="CCEEFF"/>
          </w:tcPr>
          <w:p>
            <w:pPr>
              <w:ind w:left="620"/>
              <w:spacing w:after="0"/>
              <w:rPr>
                <w:sz w:val="20"/>
                <w:szCs w:val="20"/>
                <w:color w:val="auto"/>
              </w:rPr>
            </w:pPr>
            <w:r>
              <w:rPr>
                <w:rFonts w:ascii="Arial" w:cs="Arial" w:eastAsia="Arial" w:hAnsi="Arial"/>
                <w:sz w:val="16"/>
                <w:szCs w:val="16"/>
                <w:color w:val="auto"/>
              </w:rPr>
              <w:t>Total stockholders’ (deficit) equity</w:t>
            </w:r>
          </w:p>
        </w:tc>
        <w:tc>
          <w:tcPr>
            <w:tcW w:w="274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 (93,943)</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140" w:type="dxa"/>
            <w:vAlign w:val="bottom"/>
            <w:gridSpan w:val="2"/>
          </w:tcPr>
          <w:p>
            <w:pPr>
              <w:ind w:left="620"/>
              <w:spacing w:after="0"/>
              <w:rPr>
                <w:sz w:val="20"/>
                <w:szCs w:val="20"/>
                <w:color w:val="auto"/>
              </w:rPr>
            </w:pPr>
            <w:r>
              <w:rPr>
                <w:rFonts w:ascii="Arial" w:cs="Arial" w:eastAsia="Arial" w:hAnsi="Arial"/>
                <w:sz w:val="16"/>
                <w:szCs w:val="16"/>
                <w:color w:val="auto"/>
              </w:rPr>
              <w:t>Total capitalization</w:t>
            </w:r>
          </w:p>
        </w:tc>
        <w:tc>
          <w:tcPr>
            <w:tcW w:w="14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3"/>
              </w:rPr>
              <w:t>$</w:t>
            </w:r>
            <w:r>
              <w:rPr>
                <w:rFonts w:ascii="Arial" w:cs="Arial" w:eastAsia="Arial" w:hAnsi="Arial"/>
                <w:sz w:val="16"/>
                <w:szCs w:val="16"/>
                <w:color w:val="auto"/>
                <w:w w:val="83"/>
              </w:rPr>
              <w:t>146,792</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10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200" w:hanging="386"/>
        <w:spacing w:after="0" w:line="192" w:lineRule="auto"/>
        <w:tabs>
          <w:tab w:leader="none" w:pos="1200" w:val="left"/>
        </w:tabs>
        <w:numPr>
          <w:ilvl w:val="0"/>
          <w:numId w:val="67"/>
        </w:numPr>
        <w:rPr>
          <w:rFonts w:ascii="Arial" w:cs="Arial" w:eastAsia="Arial" w:hAnsi="Arial"/>
          <w:sz w:val="4"/>
          <w:szCs w:val="4"/>
          <w:color w:val="auto"/>
        </w:rPr>
      </w:pPr>
      <w:r>
        <w:rPr>
          <w:rFonts w:ascii="Arial" w:cs="Arial" w:eastAsia="Arial" w:hAnsi="Arial"/>
          <w:sz w:val="4"/>
          <w:szCs w:val="4"/>
          <w:color w:val="auto"/>
        </w:rPr>
        <w:t>Each $1.00 increase (decrease) in the assumed initial public offering price per share would increase (decrease) pro forma as adjusted amount of</w:t>
      </w:r>
    </w:p>
    <w:p>
      <w:pPr>
        <w:spacing w:after="0" w:line="175" w:lineRule="exact"/>
        <w:rPr>
          <w:sz w:val="20"/>
          <w:szCs w:val="20"/>
          <w:color w:val="auto"/>
        </w:rPr>
      </w:pPr>
    </w:p>
    <w:p>
      <w:pPr>
        <w:ind w:left="1200" w:right="220"/>
        <w:spacing w:after="0" w:line="300" w:lineRule="auto"/>
        <w:rPr>
          <w:sz w:val="20"/>
          <w:szCs w:val="20"/>
          <w:color w:val="auto"/>
        </w:rPr>
      </w:pPr>
      <w:r>
        <w:rPr>
          <w:rFonts w:ascii="Arial" w:cs="Arial" w:eastAsia="Arial" w:hAnsi="Arial"/>
          <w:sz w:val="15"/>
          <w:szCs w:val="15"/>
          <w:color w:val="auto"/>
        </w:rPr>
        <w:t>each of our cash and cash equivalents, additional paid-in capital, total stockholders’ equity and total capitalization by $ million, and after deducting underwriting discounts and commissions and estimated offering expenses payable by us. Similarly, each increase</w:t>
      </w:r>
    </w:p>
    <w:p>
      <w:pPr>
        <w:spacing w:after="0" w:line="76"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440"/>
          </w:cols>
          <w:pgMar w:left="320" w:top="418" w:right="113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(decrease) of 1,000,000 shares in the number of shares offered by us would increase (decrease) our cash and cash equivalents, additional paid-in</w:t>
      </w:r>
    </w:p>
    <w:p>
      <w:pPr>
        <w:spacing w:after="0" w:line="51" w:lineRule="exact"/>
        <w:rPr>
          <w:sz w:val="20"/>
          <w:szCs w:val="20"/>
          <w:color w:val="auto"/>
        </w:rPr>
      </w:pPr>
    </w:p>
    <w:p>
      <w:pPr>
        <w:ind w:left="1200" w:right="220"/>
        <w:spacing w:after="0" w:line="252" w:lineRule="auto"/>
        <w:rPr>
          <w:sz w:val="20"/>
          <w:szCs w:val="20"/>
          <w:color w:val="auto"/>
        </w:rPr>
      </w:pPr>
      <w:r>
        <w:rPr>
          <w:rFonts w:ascii="Arial" w:cs="Arial" w:eastAsia="Arial" w:hAnsi="Arial"/>
          <w:sz w:val="16"/>
          <w:szCs w:val="16"/>
          <w:color w:val="auto"/>
        </w:rPr>
        <w:t>capital, total stockholders’ equity and total capitalization by $ million, and after deducting underwriting discounts and commissions and estimated offering expenses payable by us.</w:t>
      </w:r>
    </w:p>
    <w:p>
      <w:pPr>
        <w:spacing w:after="0" w:line="168" w:lineRule="exact"/>
        <w:rPr>
          <w:sz w:val="20"/>
          <w:szCs w:val="20"/>
          <w:color w:val="auto"/>
        </w:rPr>
      </w:pPr>
    </w:p>
    <w:p>
      <w:pPr>
        <w:ind w:left="820" w:right="500" w:firstLine="385"/>
        <w:spacing w:after="0" w:line="256" w:lineRule="auto"/>
        <w:rPr>
          <w:sz w:val="20"/>
          <w:szCs w:val="20"/>
          <w:color w:val="auto"/>
        </w:rPr>
      </w:pPr>
      <w:r>
        <w:rPr>
          <w:rFonts w:ascii="Arial" w:cs="Arial" w:eastAsia="Arial" w:hAnsi="Arial"/>
          <w:sz w:val="16"/>
          <w:szCs w:val="16"/>
          <w:color w:val="auto"/>
        </w:rPr>
        <w:t>The number of shares of our common stock issued and outstanding, pro forma and pro forma as adjusted, in the table above are based on 163,948,679 shares of our common stock outstanding as of March 31, 2021 (including conversion of all of our outstanding shares of convertible preferred stock into 156,613,818 shares of our common stock), and excludes:</w:t>
      </w:r>
    </w:p>
    <w:p>
      <w:pPr>
        <w:spacing w:after="0" w:line="83" w:lineRule="exact"/>
        <w:rPr>
          <w:sz w:val="20"/>
          <w:szCs w:val="20"/>
          <w:color w:val="auto"/>
        </w:rPr>
      </w:pPr>
    </w:p>
    <w:p>
      <w:pPr>
        <w:ind w:left="1660" w:right="60" w:hanging="469"/>
        <w:spacing w:after="0" w:line="266" w:lineRule="auto"/>
        <w:tabs>
          <w:tab w:leader="none" w:pos="1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10,368,032 shares of our common stock issuable upon the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2140" w:hanging="949"/>
        <w:spacing w:after="0"/>
        <w:tabs>
          <w:tab w:leader="none" w:pos="2140" w:val="left"/>
        </w:tabs>
        <w:numPr>
          <w:ilvl w:val="0"/>
          <w:numId w:val="68"/>
        </w:numPr>
        <w:rPr>
          <w:rFonts w:ascii="Arial" w:cs="Arial" w:eastAsia="Arial" w:hAnsi="Arial"/>
          <w:sz w:val="13"/>
          <w:szCs w:val="13"/>
          <w:color w:val="auto"/>
        </w:rPr>
      </w:pPr>
      <w:r>
        <w:rPr>
          <w:rFonts w:ascii="Arial" w:cs="Arial" w:eastAsia="Arial" w:hAnsi="Arial"/>
          <w:sz w:val="13"/>
          <w:szCs w:val="13"/>
          <w:color w:val="auto"/>
        </w:rPr>
        <w:t>shares of our common stock issuable upon the exercise of options granted subsequent to March 31, 2021, with a weighted-average</w:t>
      </w:r>
    </w:p>
    <w:p>
      <w:pPr>
        <w:spacing w:after="0" w:line="51" w:lineRule="exact"/>
        <w:rPr>
          <w:sz w:val="20"/>
          <w:szCs w:val="20"/>
          <w:color w:val="auto"/>
        </w:rPr>
      </w:pPr>
    </w:p>
    <w:p>
      <w:pPr>
        <w:ind w:left="1660"/>
        <w:spacing w:after="0"/>
        <w:tabs>
          <w:tab w:leader="none" w:pos="3420" w:val="left"/>
        </w:tabs>
        <w:rPr>
          <w:sz w:val="20"/>
          <w:szCs w:val="20"/>
          <w:color w:val="auto"/>
        </w:rPr>
      </w:pPr>
      <w:r>
        <w:rPr>
          <w:rFonts w:ascii="Arial" w:cs="Arial" w:eastAsia="Arial" w:hAnsi="Arial"/>
          <w:sz w:val="16"/>
          <w:szCs w:val="16"/>
          <w:color w:val="auto"/>
        </w:rPr>
        <w:t>exercise price of $</w:t>
      </w:r>
      <w:r>
        <w:rPr>
          <w:sz w:val="20"/>
          <w:szCs w:val="20"/>
          <w:color w:val="auto"/>
        </w:rPr>
        <w:tab/>
      </w:r>
      <w:r>
        <w:rPr>
          <w:rFonts w:ascii="Arial" w:cs="Arial" w:eastAsia="Arial" w:hAnsi="Arial"/>
          <w:sz w:val="13"/>
          <w:szCs w:val="13"/>
          <w:color w:val="auto"/>
        </w:rPr>
        <w:t>per share;</w:t>
      </w:r>
    </w:p>
    <w:p>
      <w:pPr>
        <w:spacing w:after="0" w:line="99" w:lineRule="exact"/>
        <w:rPr>
          <w:sz w:val="20"/>
          <w:szCs w:val="20"/>
          <w:color w:val="auto"/>
        </w:rPr>
      </w:pPr>
    </w:p>
    <w:p>
      <w:pPr>
        <w:ind w:left="1660" w:right="60" w:hanging="469"/>
        <w:spacing w:after="0" w:line="266" w:lineRule="auto"/>
        <w:tabs>
          <w:tab w:leader="none" w:pos="1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2,275,357 shares of our common stock reserved for future grant or issuance under our Amended and Restated 2016 Equity Incentive Plan as of March 31, 2021;</w:t>
      </w:r>
    </w:p>
    <w:p>
      <w:pPr>
        <w:spacing w:after="0" w:line="75" w:lineRule="exact"/>
        <w:rPr>
          <w:rFonts w:ascii="Arial" w:cs="Arial" w:eastAsia="Arial" w:hAnsi="Arial"/>
          <w:sz w:val="16"/>
          <w:szCs w:val="16"/>
          <w:color w:val="auto"/>
        </w:rPr>
      </w:pPr>
    </w:p>
    <w:p>
      <w:pPr>
        <w:ind w:left="1660" w:hanging="469"/>
        <w:spacing w:after="0" w:line="343" w:lineRule="auto"/>
        <w:tabs>
          <w:tab w:leader="none" w:pos="2131" w:val="left"/>
        </w:tabs>
        <w:numPr>
          <w:ilvl w:val="0"/>
          <w:numId w:val="69"/>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31" w:lineRule="exact"/>
        <w:rPr>
          <w:rFonts w:ascii="Arial" w:cs="Arial" w:eastAsia="Arial" w:hAnsi="Arial"/>
          <w:sz w:val="13"/>
          <w:szCs w:val="13"/>
          <w:color w:val="auto"/>
        </w:rPr>
      </w:pPr>
    </w:p>
    <w:p>
      <w:pPr>
        <w:ind w:left="1660" w:right="80" w:hanging="469"/>
        <w:spacing w:after="0" w:line="281" w:lineRule="auto"/>
        <w:tabs>
          <w:tab w:leader="none" w:pos="2289" w:val="left"/>
        </w:tabs>
        <w:numPr>
          <w:ilvl w:val="0"/>
          <w:numId w:val="69"/>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9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380"/>
          </w:cols>
          <w:pgMar w:left="320" w:top="418" w:right="119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DILUTION</w:t>
      </w:r>
    </w:p>
    <w:p>
      <w:pPr>
        <w:spacing w:after="0" w:line="197" w:lineRule="exact"/>
        <w:rPr>
          <w:sz w:val="20"/>
          <w:szCs w:val="20"/>
          <w:color w:val="auto"/>
        </w:rPr>
      </w:pPr>
    </w:p>
    <w:p>
      <w:pPr>
        <w:ind w:left="820" w:right="180" w:firstLine="385"/>
        <w:spacing w:after="0" w:line="300" w:lineRule="auto"/>
        <w:rPr>
          <w:sz w:val="20"/>
          <w:szCs w:val="20"/>
          <w:color w:val="auto"/>
        </w:rPr>
      </w:pPr>
      <w:r>
        <w:rPr>
          <w:rFonts w:ascii="Arial" w:cs="Arial" w:eastAsia="Arial" w:hAnsi="Arial"/>
          <w:sz w:val="15"/>
          <w:szCs w:val="15"/>
          <w:color w:val="auto"/>
        </w:rPr>
        <w:t>If you invest in our common stock in this offering, your ownership will be immediately diluted to the extent of the difference between the initial public offering price per share and the pro forma as adjusted net tangible book value per share of our common stock after this offering.</w:t>
      </w:r>
    </w:p>
    <w:p>
      <w:pPr>
        <w:spacing w:after="0" w:line="135" w:lineRule="exact"/>
        <w:rPr>
          <w:sz w:val="20"/>
          <w:szCs w:val="20"/>
          <w:color w:val="auto"/>
        </w:rPr>
      </w:pPr>
    </w:p>
    <w:p>
      <w:pPr>
        <w:ind w:left="820" w:right="440" w:firstLine="385"/>
        <w:spacing w:after="0" w:line="343" w:lineRule="auto"/>
        <w:rPr>
          <w:sz w:val="20"/>
          <w:szCs w:val="20"/>
          <w:color w:val="auto"/>
        </w:rPr>
      </w:pPr>
      <w:r>
        <w:rPr>
          <w:rFonts w:ascii="Arial" w:cs="Arial" w:eastAsia="Arial" w:hAnsi="Arial"/>
          <w:sz w:val="13"/>
          <w:szCs w:val="13"/>
          <w:color w:val="auto"/>
        </w:rPr>
        <w:t>As of March 31, 2021, we had a historical net tangible book value (deficit) of $(94.0) million, or $(12.82) per share of common stock. Our historical net tangible book value (deficit) represents our total tangible assets, less our total liabilities and convertible preferred stock, which is not included within stockholders’ equity (deficit), divided by the total number of shares of our common stock outstanding as of March 31, 2021.</w:t>
      </w:r>
    </w:p>
    <w:p>
      <w:pPr>
        <w:spacing w:after="0" w:line="114"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Our pro forma net tangible book value as of March 31, 2021, was $ million, or $ per share. Pro forma net tangible book value per share represents our total tangible assets, less our total liabilities, divided by the total number of shares of common stock outstanding as of March 31, 2021, after giving effect to the conversion of our convertible preferred stock into an aggregate of 156,613,818 shares of our common stock.</w:t>
      </w:r>
    </w:p>
    <w:p>
      <w:pPr>
        <w:spacing w:after="0" w:line="149" w:lineRule="exact"/>
        <w:rPr>
          <w:sz w:val="20"/>
          <w:szCs w:val="20"/>
          <w:color w:val="auto"/>
        </w:rPr>
      </w:pPr>
    </w:p>
    <w:p>
      <w:pPr>
        <w:ind w:left="820" w:right="180" w:firstLine="385"/>
        <w:spacing w:after="0" w:line="270" w:lineRule="auto"/>
        <w:rPr>
          <w:sz w:val="20"/>
          <w:szCs w:val="20"/>
          <w:color w:val="auto"/>
        </w:rPr>
      </w:pPr>
      <w:r>
        <w:rPr>
          <w:rFonts w:ascii="Arial" w:cs="Arial" w:eastAsia="Arial" w:hAnsi="Arial"/>
          <w:sz w:val="15"/>
          <w:szCs w:val="15"/>
          <w:color w:val="auto"/>
        </w:rPr>
        <w:t>After giving further effect to the sale and issuance by us of the shares of our common stock in this offering at an assumed initial public offering price of $ per share (which is the midpoint of the estimated price range set forth on the cover page of this prospectus), and after</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deducting underwriting discounts and commissions and estimated offering expenses payable by us, our pro forma as adjusted net tangible book value as</w:t>
      </w:r>
    </w:p>
    <w:p>
      <w:pPr>
        <w:spacing w:after="0" w:line="327" w:lineRule="exact"/>
        <w:rPr>
          <w:sz w:val="20"/>
          <w:szCs w:val="20"/>
          <w:color w:val="auto"/>
        </w:rPr>
      </w:pPr>
    </w:p>
    <w:p>
      <w:pPr>
        <w:ind w:left="820" w:right="40"/>
        <w:spacing w:after="0" w:line="253" w:lineRule="auto"/>
        <w:rPr>
          <w:sz w:val="20"/>
          <w:szCs w:val="20"/>
          <w:color w:val="auto"/>
        </w:rPr>
      </w:pPr>
      <w:r>
        <w:rPr>
          <w:rFonts w:ascii="Arial" w:cs="Arial" w:eastAsia="Arial" w:hAnsi="Arial"/>
          <w:sz w:val="16"/>
          <w:szCs w:val="16"/>
          <w:color w:val="auto"/>
        </w:rPr>
        <w:t>of March 31, 2021 would be $ million, or $ per share. This represents an immediate increase in pro forma net tangible book value to our existing stockholders of $ per share and an immediate dilution to new investors of $ per share. Dilution per share to new investors</w:t>
      </w:r>
    </w:p>
    <w:p>
      <w:pPr>
        <w:spacing w:after="0" w:line="1" w:lineRule="exact"/>
        <w:rPr>
          <w:sz w:val="20"/>
          <w:szCs w:val="20"/>
          <w:color w:val="auto"/>
        </w:rPr>
      </w:pPr>
    </w:p>
    <w:p>
      <w:pPr>
        <w:ind w:left="820" w:right="120"/>
        <w:spacing w:after="0" w:line="284" w:lineRule="auto"/>
        <w:rPr>
          <w:sz w:val="20"/>
          <w:szCs w:val="20"/>
          <w:color w:val="auto"/>
        </w:rPr>
      </w:pPr>
      <w:r>
        <w:rPr>
          <w:rFonts w:ascii="Arial" w:cs="Arial" w:eastAsia="Arial" w:hAnsi="Arial"/>
          <w:sz w:val="15"/>
          <w:szCs w:val="15"/>
          <w:color w:val="auto"/>
        </w:rPr>
        <w:t>represents the difference between the price per share to be paid by new investors for the shares of common stock sold in this offering and the pro forma as adjusted net tangible book value per share immediately after this offering. The following table illustrates this per share dilution:</w:t>
      </w:r>
    </w:p>
    <w:p>
      <w:pPr>
        <w:spacing w:after="0" w:line="182" w:lineRule="exact"/>
        <w:rPr>
          <w:sz w:val="20"/>
          <w:szCs w:val="20"/>
          <w:color w:val="auto"/>
        </w:rPr>
      </w:pPr>
    </w:p>
    <w:tbl>
      <w:tblPr>
        <w:tblLayout w:type="fixed"/>
        <w:tblInd w:w="8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Assumed initial public offering price per share</w:t>
            </w:r>
          </w:p>
        </w:tc>
        <w:tc>
          <w:tcPr>
            <w:tcW w:w="178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Historical net tangible book value (deficit) per share as of March 31, 2021</w:t>
            </w:r>
          </w:p>
        </w:tc>
        <w:tc>
          <w:tcPr>
            <w:tcW w:w="1180" w:type="dxa"/>
            <w:vAlign w:val="bottom"/>
            <w:gridSpan w:val="3"/>
          </w:tcPr>
          <w:p>
            <w:pPr>
              <w:jc w:val="right"/>
              <w:ind w:right="240"/>
              <w:spacing w:after="0"/>
              <w:rPr>
                <w:sz w:val="20"/>
                <w:szCs w:val="20"/>
                <w:color w:val="auto"/>
              </w:rPr>
            </w:pPr>
            <w:r>
              <w:rPr>
                <w:rFonts w:ascii="Arial" w:cs="Arial" w:eastAsia="Arial" w:hAnsi="Arial"/>
                <w:sz w:val="16"/>
                <w:szCs w:val="16"/>
                <w:color w:val="auto"/>
              </w:rPr>
              <w:t>$(12.82)</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 forma increase in historical net tangible book value (deficit) per share as of March 31, 2021</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Pro forma net tangible book value per share as of March 31, 2021</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4"/>
              </w:rPr>
              <w:t>Increase in pro forma net tangible book value per share attributable to new investors participating in this offering</w:t>
            </w:r>
          </w:p>
        </w:tc>
        <w:tc>
          <w:tcPr>
            <w:tcW w:w="4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7780" w:type="dxa"/>
            <w:vAlign w:val="bottom"/>
          </w:tcPr>
          <w:p>
            <w:pPr>
              <w:ind w:left="280"/>
              <w:spacing w:after="0"/>
              <w:rPr>
                <w:sz w:val="20"/>
                <w:szCs w:val="20"/>
                <w:color w:val="auto"/>
              </w:rPr>
            </w:pPr>
            <w:r>
              <w:rPr>
                <w:rFonts w:ascii="Arial" w:cs="Arial" w:eastAsia="Arial" w:hAnsi="Arial"/>
                <w:sz w:val="16"/>
                <w:szCs w:val="16"/>
                <w:color w:val="auto"/>
              </w:rPr>
              <w:t>Pro forma as adjusted net tangible book value per share after this offering</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w w:val="98"/>
              </w:rPr>
              <w:t>Dilution in pro forma as adjusted net tangible book value per share to new investors participating in this offering</w:t>
            </w:r>
          </w:p>
        </w:tc>
        <w:tc>
          <w:tcPr>
            <w:tcW w:w="1780" w:type="dxa"/>
            <w:vAlign w:val="bottom"/>
            <w:gridSpan w:val="4"/>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dilution information discussed above is illustrative only and will change based on the actual initial public offering price and other terms of</w:t>
      </w:r>
    </w:p>
    <w:p>
      <w:pPr>
        <w:spacing w:after="0" w:line="51" w:lineRule="exact"/>
        <w:rPr>
          <w:sz w:val="20"/>
          <w:szCs w:val="20"/>
          <w:color w:val="auto"/>
        </w:rPr>
      </w:pPr>
    </w:p>
    <w:p>
      <w:pPr>
        <w:ind w:left="820" w:right="160"/>
        <w:spacing w:after="0" w:line="302" w:lineRule="auto"/>
        <w:rPr>
          <w:sz w:val="20"/>
          <w:szCs w:val="20"/>
          <w:color w:val="auto"/>
        </w:rPr>
      </w:pPr>
      <w:r>
        <w:rPr>
          <w:rFonts w:ascii="Arial" w:cs="Arial" w:eastAsia="Arial" w:hAnsi="Arial"/>
          <w:sz w:val="13"/>
          <w:szCs w:val="13"/>
          <w:color w:val="auto"/>
        </w:rPr>
        <w:t>this offering determined at pricing. Each $1.00 increase (decrease) in the assumed initial public offering price of $ per share (which is the midpoint of the estimated price range set forth on the cover page of this prospectus) would increase (decrease) pro forma as adjusted net tangible book</w:t>
      </w:r>
    </w:p>
    <w:p>
      <w:pPr>
        <w:spacing w:after="0" w:line="1" w:lineRule="exact"/>
        <w:rPr>
          <w:sz w:val="20"/>
          <w:szCs w:val="20"/>
          <w:color w:val="auto"/>
        </w:rPr>
      </w:pPr>
    </w:p>
    <w:p>
      <w:pPr>
        <w:ind w:left="820" w:right="40"/>
        <w:spacing w:after="0" w:line="302" w:lineRule="auto"/>
        <w:rPr>
          <w:sz w:val="20"/>
          <w:szCs w:val="20"/>
          <w:color w:val="auto"/>
        </w:rPr>
      </w:pPr>
      <w:r>
        <w:rPr>
          <w:rFonts w:ascii="Arial" w:cs="Arial" w:eastAsia="Arial" w:hAnsi="Arial"/>
          <w:sz w:val="13"/>
          <w:szCs w:val="13"/>
          <w:color w:val="auto"/>
        </w:rPr>
        <w:t>value per share to new investors by $ , and would increase (decrease) dilution per share to new investors in this offering by $ , assuming that the number of shares offered by us, as set forth on the cover page of this prospectus, remains the same, and after deducting underwriting discounts and commissions and estimated offering expenses payable by us. Similarly, each increase (decrease) of 1,000,000 shares in the number of shares offered</w:t>
      </w:r>
    </w:p>
    <w:p>
      <w:pPr>
        <w:spacing w:after="0" w:line="2" w:lineRule="exact"/>
        <w:rPr>
          <w:sz w:val="20"/>
          <w:szCs w:val="20"/>
          <w:color w:val="auto"/>
        </w:rPr>
      </w:pPr>
    </w:p>
    <w:p>
      <w:pPr>
        <w:ind w:left="820" w:right="220"/>
        <w:spacing w:after="0" w:line="249" w:lineRule="auto"/>
        <w:rPr>
          <w:sz w:val="20"/>
          <w:szCs w:val="20"/>
          <w:color w:val="auto"/>
        </w:rPr>
      </w:pPr>
      <w:r>
        <w:rPr>
          <w:rFonts w:ascii="Arial" w:cs="Arial" w:eastAsia="Arial" w:hAnsi="Arial"/>
          <w:sz w:val="16"/>
          <w:szCs w:val="16"/>
          <w:color w:val="auto"/>
        </w:rPr>
        <w:t>by us would increase (decrease) our pro forma as adjusted net tangible book value by approximately $ per share and increase (decrease) the dilution to new investors by $ per share, assuming the assumed initial public offering price remains the same, and after deducting underwriting discounts and commissions and estimated offering expenses payable by us.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440"/>
          </w:cols>
          <w:pgMar w:left="320" w:top="418" w:right="11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If the underwriters’ over-allotment option is exercised in full, the pro forma as adjusted net tangible book value per share of our common stock</w:t>
      </w:r>
    </w:p>
    <w:p>
      <w:pPr>
        <w:spacing w:after="0" w:line="51" w:lineRule="exact"/>
        <w:rPr>
          <w:sz w:val="20"/>
          <w:szCs w:val="20"/>
          <w:color w:val="auto"/>
        </w:rPr>
      </w:pPr>
    </w:p>
    <w:p>
      <w:pPr>
        <w:ind w:left="820"/>
        <w:spacing w:after="0"/>
        <w:tabs>
          <w:tab w:leader="none" w:pos="1960" w:val="left"/>
          <w:tab w:leader="none" w:pos="9800" w:val="left"/>
        </w:tabs>
        <w:rPr>
          <w:sz w:val="20"/>
          <w:szCs w:val="20"/>
          <w:color w:val="auto"/>
        </w:rPr>
      </w:pPr>
      <w:r>
        <w:rPr>
          <w:rFonts w:ascii="Arial" w:cs="Arial" w:eastAsia="Arial" w:hAnsi="Arial"/>
          <w:sz w:val="16"/>
          <w:szCs w:val="16"/>
          <w:color w:val="auto"/>
        </w:rPr>
        <w:t>would be $</w:t>
      </w:r>
      <w:r>
        <w:rPr>
          <w:sz w:val="20"/>
          <w:szCs w:val="20"/>
          <w:color w:val="auto"/>
        </w:rPr>
        <w:tab/>
      </w:r>
      <w:r>
        <w:rPr>
          <w:rFonts w:ascii="Arial" w:cs="Arial" w:eastAsia="Arial" w:hAnsi="Arial"/>
          <w:sz w:val="16"/>
          <w:szCs w:val="16"/>
          <w:color w:val="auto"/>
        </w:rPr>
        <w:t>per share, and the dilution in pro forma net tangible book value per share to new investors in this offering would be $</w:t>
      </w:r>
      <w:r>
        <w:rPr>
          <w:sz w:val="20"/>
          <w:szCs w:val="20"/>
          <w:color w:val="auto"/>
        </w:rPr>
        <w:tab/>
      </w:r>
      <w:r>
        <w:rPr>
          <w:rFonts w:ascii="Arial" w:cs="Arial" w:eastAsia="Arial" w:hAnsi="Arial"/>
          <w:sz w:val="13"/>
          <w:szCs w:val="13"/>
          <w:color w:val="auto"/>
        </w:rPr>
        <w:t>per share,</w:t>
      </w:r>
    </w:p>
    <w:p>
      <w:pPr>
        <w:spacing w:after="0" w:line="5" w:lineRule="exact"/>
        <w:rPr>
          <w:sz w:val="20"/>
          <w:szCs w:val="20"/>
          <w:color w:val="auto"/>
        </w:rPr>
      </w:pPr>
    </w:p>
    <w:p>
      <w:pPr>
        <w:ind w:left="820" w:right="240"/>
        <w:spacing w:after="0" w:line="252" w:lineRule="auto"/>
        <w:rPr>
          <w:sz w:val="20"/>
          <w:szCs w:val="20"/>
          <w:color w:val="auto"/>
        </w:rPr>
      </w:pPr>
      <w:r>
        <w:rPr>
          <w:rFonts w:ascii="Arial" w:cs="Arial" w:eastAsia="Arial" w:hAnsi="Arial"/>
          <w:sz w:val="16"/>
          <w:szCs w:val="16"/>
          <w:color w:val="auto"/>
        </w:rPr>
        <w:t>in each case assuming an initial public offering price of $ per share, which is the midpoint of the price range set forth on the cover page of this prospectus.</w:t>
      </w:r>
    </w:p>
    <w:p>
      <w:pPr>
        <w:spacing w:after="0" w:line="168"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The following table summarizes, as of March 31, 2021, on a pro forma as adjusted basis, the number of shares of common stock purchased from us, the total consideration paid, or to be paid, and the average price per share paid, or to be paid, by existing stockholders and by the new investors, at an</w:t>
      </w:r>
    </w:p>
    <w:p>
      <w:pPr>
        <w:spacing w:after="0" w:line="1" w:lineRule="exact"/>
        <w:rPr>
          <w:sz w:val="20"/>
          <w:szCs w:val="20"/>
          <w:color w:val="auto"/>
        </w:rPr>
      </w:pPr>
    </w:p>
    <w:p>
      <w:pPr>
        <w:ind w:left="820" w:right="20"/>
        <w:spacing w:after="0" w:line="252" w:lineRule="auto"/>
        <w:rPr>
          <w:sz w:val="20"/>
          <w:szCs w:val="20"/>
          <w:color w:val="auto"/>
        </w:rPr>
      </w:pPr>
      <w:r>
        <w:rPr>
          <w:rFonts w:ascii="Arial" w:cs="Arial" w:eastAsia="Arial" w:hAnsi="Arial"/>
          <w:sz w:val="16"/>
          <w:szCs w:val="16"/>
          <w:color w:val="auto"/>
        </w:rPr>
        <w:t>assumed initial public offering price of $ per share, the midpoint of the estimated initial public offering range set forth on the cover page of this prospectus, before deducting underwriting discounts and commissions and offering expenses payable by us:</w:t>
      </w:r>
    </w:p>
    <w:p>
      <w:pPr>
        <w:spacing w:after="0" w:line="173"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5540" w:type="dxa"/>
            <w:vAlign w:val="bottom"/>
          </w:tcPr>
          <w:p>
            <w:pPr>
              <w:spacing w:after="0"/>
              <w:rPr>
                <w:sz w:val="13"/>
                <w:szCs w:val="1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b w:val="1"/>
                <w:bCs w:val="1"/>
                <w:color w:val="auto"/>
                <w:w w:val="78"/>
              </w:rPr>
              <w:t>Shares</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Average</w:t>
            </w:r>
          </w:p>
        </w:tc>
      </w:tr>
      <w:tr>
        <w:trPr>
          <w:trHeight w:val="141"/>
        </w:trPr>
        <w:tc>
          <w:tcPr>
            <w:tcW w:w="5540" w:type="dxa"/>
            <w:vAlign w:val="bottom"/>
          </w:tcPr>
          <w:p>
            <w:pPr>
              <w:spacing w:after="0"/>
              <w:rPr>
                <w:sz w:val="12"/>
                <w:szCs w:val="12"/>
                <w:color w:val="auto"/>
              </w:rPr>
            </w:pPr>
          </w:p>
        </w:tc>
        <w:tc>
          <w:tcPr>
            <w:tcW w:w="1520" w:type="dxa"/>
            <w:vAlign w:val="bottom"/>
            <w:gridSpan w:val="5"/>
          </w:tcPr>
          <w:p>
            <w:pPr>
              <w:jc w:val="right"/>
              <w:ind w:right="547"/>
              <w:spacing w:after="0" w:line="142" w:lineRule="exact"/>
              <w:rPr>
                <w:sz w:val="20"/>
                <w:szCs w:val="20"/>
                <w:color w:val="auto"/>
              </w:rPr>
            </w:pPr>
            <w:r>
              <w:rPr>
                <w:rFonts w:ascii="Arial" w:cs="Arial" w:eastAsia="Arial" w:hAnsi="Arial"/>
                <w:sz w:val="13"/>
                <w:szCs w:val="13"/>
                <w:b w:val="1"/>
                <w:bCs w:val="1"/>
                <w:color w:val="auto"/>
              </w:rPr>
              <w:t>Purchased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4"/>
          </w:tcPr>
          <w:p>
            <w:pPr>
              <w:ind w:left="60"/>
              <w:spacing w:after="0" w:line="142" w:lineRule="exact"/>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2"/>
                <w:szCs w:val="12"/>
                <w:color w:val="auto"/>
              </w:rPr>
            </w:pPr>
          </w:p>
        </w:tc>
        <w:tc>
          <w:tcPr>
            <w:tcW w:w="64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88"/>
              </w:rPr>
              <w:t>Price Per</w:t>
            </w:r>
          </w:p>
        </w:tc>
      </w:tr>
      <w:tr>
        <w:trPr>
          <w:trHeight w:val="121"/>
        </w:trPr>
        <w:tc>
          <w:tcPr>
            <w:tcW w:w="5540" w:type="dxa"/>
            <w:vAlign w:val="bottom"/>
          </w:tcPr>
          <w:p>
            <w:pPr>
              <w:spacing w:after="0"/>
              <w:rPr>
                <w:sz w:val="10"/>
                <w:szCs w:val="10"/>
                <w:color w:val="auto"/>
              </w:rPr>
            </w:pPr>
          </w:p>
        </w:tc>
        <w:tc>
          <w:tcPr>
            <w:tcW w:w="800" w:type="dxa"/>
            <w:vAlign w:val="bottom"/>
            <w:tcBorders>
              <w:top w:val="single" w:sz="8" w:color="auto"/>
            </w:tcBorders>
            <w:gridSpan w:val="2"/>
          </w:tcPr>
          <w:p>
            <w:pPr>
              <w:ind w:left="40"/>
              <w:spacing w:after="0" w:line="122" w:lineRule="exact"/>
              <w:rPr>
                <w:sz w:val="20"/>
                <w:szCs w:val="20"/>
                <w:color w:val="auto"/>
              </w:rPr>
            </w:pPr>
            <w:r>
              <w:rPr>
                <w:rFonts w:ascii="Arial" w:cs="Arial" w:eastAsia="Arial" w:hAnsi="Arial"/>
                <w:sz w:val="13"/>
                <w:szCs w:val="13"/>
                <w:b w:val="1"/>
                <w:bCs w:val="1"/>
                <w:color w:val="auto"/>
              </w:rPr>
              <w:t>Number</w:t>
            </w:r>
          </w:p>
        </w:tc>
        <w:tc>
          <w:tcPr>
            <w:tcW w:w="4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7"/>
              </w:rPr>
              <w:t>Percent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b w:val="1"/>
                <w:bCs w:val="1"/>
                <w:color w:val="auto"/>
              </w:rPr>
              <w:t>Amount</w:t>
            </w:r>
          </w:p>
        </w:tc>
        <w:tc>
          <w:tcPr>
            <w:tcW w:w="720" w:type="dxa"/>
            <w:vAlign w:val="bottom"/>
            <w:tcBorders>
              <w:top w:val="single" w:sz="8" w:color="auto"/>
            </w:tcBorders>
            <w:gridSpan w:val="2"/>
          </w:tcPr>
          <w:p>
            <w:pPr>
              <w:ind w:left="300"/>
              <w:spacing w:after="0" w:line="122" w:lineRule="exact"/>
              <w:rPr>
                <w:sz w:val="20"/>
                <w:szCs w:val="20"/>
                <w:color w:val="auto"/>
              </w:rPr>
            </w:pPr>
            <w:r>
              <w:rPr>
                <w:rFonts w:ascii="Arial" w:cs="Arial" w:eastAsia="Arial" w:hAnsi="Arial"/>
                <w:sz w:val="13"/>
                <w:szCs w:val="13"/>
                <w:b w:val="1"/>
                <w:bCs w:val="1"/>
                <w:color w:val="auto"/>
                <w:w w:val="83"/>
              </w:rPr>
              <w:t>Percent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2"/>
              </w:rPr>
              <w:t>Share</w:t>
            </w:r>
          </w:p>
        </w:tc>
      </w:tr>
      <w:tr>
        <w:trPr>
          <w:trHeight w:val="180"/>
        </w:trPr>
        <w:tc>
          <w:tcPr>
            <w:tcW w:w="55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Existing stockholders</w:t>
            </w: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0"/>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r>
      <w:tr>
        <w:trPr>
          <w:trHeight w:val="192"/>
        </w:trPr>
        <w:tc>
          <w:tcPr>
            <w:tcW w:w="5540" w:type="dxa"/>
            <w:vAlign w:val="bottom"/>
          </w:tcPr>
          <w:p>
            <w:pPr>
              <w:spacing w:after="0"/>
              <w:rPr>
                <w:sz w:val="20"/>
                <w:szCs w:val="20"/>
                <w:color w:val="auto"/>
              </w:rPr>
            </w:pPr>
            <w:r>
              <w:rPr>
                <w:rFonts w:ascii="Arial" w:cs="Arial" w:eastAsia="Arial" w:hAnsi="Arial"/>
                <w:sz w:val="16"/>
                <w:szCs w:val="16"/>
                <w:color w:val="auto"/>
              </w:rPr>
              <w:t>New investors</w:t>
            </w:r>
          </w:p>
        </w:tc>
        <w:tc>
          <w:tcPr>
            <w:tcW w:w="5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89"/>
        </w:trPr>
        <w:tc>
          <w:tcPr>
            <w:tcW w:w="55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87"/>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87"/>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3"/>
        </w:trPr>
        <w:tc>
          <w:tcPr>
            <w:tcW w:w="5540" w:type="dxa"/>
            <w:vAlign w:val="bottom"/>
          </w:tcPr>
          <w:p>
            <w:pPr>
              <w:ind w:left="380"/>
              <w:spacing w:after="0"/>
              <w:rPr>
                <w:sz w:val="20"/>
                <w:szCs w:val="20"/>
                <w:color w:val="auto"/>
              </w:rPr>
            </w:pPr>
            <w:r>
              <w:rPr>
                <w:rFonts w:ascii="Arial" w:cs="Arial" w:eastAsia="Arial" w:hAnsi="Arial"/>
                <w:sz w:val="16"/>
                <w:szCs w:val="16"/>
                <w:color w:val="auto"/>
                <w:w w:val="92"/>
              </w:rPr>
              <w:t>Each $1.00 increase (decrease) in the assumed initial public offering price of $</w:t>
            </w:r>
          </w:p>
        </w:tc>
        <w:tc>
          <w:tcPr>
            <w:tcW w:w="4080" w:type="dxa"/>
            <w:vAlign w:val="bottom"/>
            <w:gridSpan w:val="14"/>
          </w:tcPr>
          <w:p>
            <w:pPr>
              <w:ind w:left="260"/>
              <w:spacing w:after="0"/>
              <w:rPr>
                <w:sz w:val="20"/>
                <w:szCs w:val="20"/>
                <w:color w:val="auto"/>
              </w:rPr>
            </w:pPr>
            <w:r>
              <w:rPr>
                <w:rFonts w:ascii="Arial" w:cs="Arial" w:eastAsia="Arial" w:hAnsi="Arial"/>
                <w:sz w:val="16"/>
                <w:szCs w:val="16"/>
                <w:color w:val="auto"/>
                <w:w w:val="98"/>
              </w:rPr>
              <w:t>per share (which is the midpoint of the estimated initial</w:t>
            </w:r>
          </w:p>
        </w:tc>
      </w:tr>
    </w:tbl>
    <w:p>
      <w:pPr>
        <w:ind w:left="820"/>
        <w:spacing w:after="0"/>
        <w:rPr>
          <w:sz w:val="20"/>
          <w:szCs w:val="20"/>
          <w:color w:val="auto"/>
        </w:rPr>
      </w:pPr>
      <w:r>
        <w:rPr>
          <w:rFonts w:ascii="Arial" w:cs="Arial" w:eastAsia="Arial" w:hAnsi="Arial"/>
          <w:sz w:val="13"/>
          <w:szCs w:val="13"/>
          <w:color w:val="auto"/>
        </w:rPr>
        <w:t>public offering price range set forth on the cover page of this prospectus), would increase (decrease) the total consideration paid by new investors and</w:t>
      </w:r>
    </w:p>
    <w:p>
      <w:pPr>
        <w:spacing w:after="0" w:line="39" w:lineRule="exact"/>
        <w:rPr>
          <w:sz w:val="20"/>
          <w:szCs w:val="20"/>
          <w:color w:val="auto"/>
        </w:rPr>
      </w:pPr>
    </w:p>
    <w:p>
      <w:pPr>
        <w:ind w:left="820" w:right="140"/>
        <w:spacing w:after="0" w:line="249" w:lineRule="auto"/>
        <w:rPr>
          <w:sz w:val="20"/>
          <w:szCs w:val="20"/>
          <w:color w:val="auto"/>
        </w:rPr>
      </w:pPr>
      <w:r>
        <w:rPr>
          <w:rFonts w:ascii="Arial" w:cs="Arial" w:eastAsia="Arial" w:hAnsi="Arial"/>
          <w:sz w:val="16"/>
          <w:szCs w:val="16"/>
          <w:color w:val="auto"/>
        </w:rPr>
        <w:t>total consideration paid by all stockholders by approximately $ million, assuming that the number of shares offered by us, as set forth on the cover page of this prospectus, remains the same, and after deducting underwriting discounts and commissions and estimated offering expenses payable by us.</w:t>
      </w:r>
    </w:p>
    <w:p>
      <w:pPr>
        <w:spacing w:after="0" w:line="171"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above table assumes no exercise of the underwriters’ over-allotment option. If the underwriters’ over-allotment option were exercised in full, our existing stockholders would own % and our new investors would own % of the total number of shares of our common stock outstanding upon completion of this offering.</w:t>
      </w:r>
    </w:p>
    <w:p>
      <w:pPr>
        <w:spacing w:after="0" w:line="166" w:lineRule="exact"/>
        <w:rPr>
          <w:sz w:val="20"/>
          <w:szCs w:val="20"/>
          <w:color w:val="auto"/>
        </w:rPr>
      </w:pPr>
    </w:p>
    <w:p>
      <w:pPr>
        <w:jc w:val="both"/>
        <w:ind w:left="820" w:right="240" w:firstLine="385"/>
        <w:spacing w:after="0" w:line="256" w:lineRule="auto"/>
        <w:rPr>
          <w:sz w:val="20"/>
          <w:szCs w:val="20"/>
          <w:color w:val="auto"/>
        </w:rPr>
      </w:pPr>
      <w:r>
        <w:rPr>
          <w:rFonts w:ascii="Arial" w:cs="Arial" w:eastAsia="Arial" w:hAnsi="Arial"/>
          <w:sz w:val="16"/>
          <w:szCs w:val="16"/>
          <w:color w:val="auto"/>
        </w:rPr>
        <w:t>The number of shares of our common stock issued and outstanding, in the tables above are based on 163,948,679 shares of our common stock outstanding as of March 31, 2021 (including conversion of all of our outstanding shares of convertible preferred stock into 156,613,818 shares of our common stock), and excludes:</w:t>
      </w:r>
    </w:p>
    <w:p>
      <w:pPr>
        <w:spacing w:after="0" w:line="83" w:lineRule="exact"/>
        <w:rPr>
          <w:sz w:val="20"/>
          <w:szCs w:val="20"/>
          <w:color w:val="auto"/>
        </w:rPr>
      </w:pPr>
    </w:p>
    <w:p>
      <w:pPr>
        <w:ind w:left="1660" w:right="120" w:hanging="469"/>
        <w:spacing w:after="0" w:line="266" w:lineRule="auto"/>
        <w:tabs>
          <w:tab w:leader="none" w:pos="1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10,368,032 shares of our common stock issuable upon the exercise of options outstanding as of March 31, 2021, with a weighted-average exercise price of $0.51 per share;</w:t>
      </w:r>
    </w:p>
    <w:p>
      <w:pPr>
        <w:spacing w:after="0" w:line="75" w:lineRule="exact"/>
        <w:rPr>
          <w:rFonts w:ascii="Arial" w:cs="Arial" w:eastAsia="Arial" w:hAnsi="Arial"/>
          <w:sz w:val="16"/>
          <w:szCs w:val="16"/>
          <w:color w:val="auto"/>
        </w:rPr>
      </w:pPr>
    </w:p>
    <w:p>
      <w:pPr>
        <w:ind w:left="2140" w:hanging="949"/>
        <w:spacing w:after="0"/>
        <w:tabs>
          <w:tab w:leader="none" w:pos="21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shares of our common stock issuable upon the exercise of options granted subsequent to March 31, 2021, with a weighted-average</w:t>
      </w:r>
    </w:p>
    <w:p>
      <w:pPr>
        <w:spacing w:after="0" w:line="51" w:lineRule="exact"/>
        <w:rPr>
          <w:sz w:val="20"/>
          <w:szCs w:val="20"/>
          <w:color w:val="auto"/>
        </w:rPr>
      </w:pPr>
    </w:p>
    <w:p>
      <w:pPr>
        <w:ind w:left="1660"/>
        <w:spacing w:after="0"/>
        <w:tabs>
          <w:tab w:leader="none" w:pos="3280" w:val="left"/>
        </w:tabs>
        <w:rPr>
          <w:sz w:val="20"/>
          <w:szCs w:val="20"/>
          <w:color w:val="auto"/>
        </w:rPr>
      </w:pPr>
      <w:r>
        <w:rPr>
          <w:rFonts w:ascii="Arial" w:cs="Arial" w:eastAsia="Arial" w:hAnsi="Arial"/>
          <w:sz w:val="16"/>
          <w:szCs w:val="16"/>
          <w:color w:val="auto"/>
        </w:rPr>
        <w:t>exercise price of $</w:t>
      </w:r>
      <w:r>
        <w:rPr>
          <w:sz w:val="20"/>
          <w:szCs w:val="20"/>
          <w:color w:val="auto"/>
        </w:rPr>
        <w:tab/>
      </w:r>
      <w:r>
        <w:rPr>
          <w:rFonts w:ascii="Arial" w:cs="Arial" w:eastAsia="Arial" w:hAnsi="Arial"/>
          <w:sz w:val="13"/>
          <w:szCs w:val="13"/>
          <w:color w:val="auto"/>
        </w:rPr>
        <w:t>per share;</w:t>
      </w:r>
    </w:p>
    <w:p>
      <w:pPr>
        <w:spacing w:after="0" w:line="99" w:lineRule="exact"/>
        <w:rPr>
          <w:sz w:val="20"/>
          <w:szCs w:val="20"/>
          <w:color w:val="auto"/>
        </w:rPr>
      </w:pPr>
    </w:p>
    <w:p>
      <w:pPr>
        <w:ind w:left="1660" w:right="120" w:hanging="469"/>
        <w:spacing w:after="0" w:line="266" w:lineRule="auto"/>
        <w:tabs>
          <w:tab w:leader="none" w:pos="1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2,275,357 shares of our common stock reserved for future grant or issuance under our Amended and Restated 2016 Equity Incentive Plan as of March 31, 2021;</w:t>
      </w:r>
    </w:p>
    <w:p>
      <w:pPr>
        <w:spacing w:after="0" w:line="75" w:lineRule="exact"/>
        <w:rPr>
          <w:rFonts w:ascii="Arial" w:cs="Arial" w:eastAsia="Arial" w:hAnsi="Arial"/>
          <w:sz w:val="16"/>
          <w:szCs w:val="16"/>
          <w:color w:val="auto"/>
        </w:rPr>
      </w:pPr>
    </w:p>
    <w:p>
      <w:pPr>
        <w:ind w:left="1660" w:right="60" w:hanging="469"/>
        <w:spacing w:after="0" w:line="343" w:lineRule="auto"/>
        <w:tabs>
          <w:tab w:leader="none" w:pos="2131" w:val="left"/>
        </w:tabs>
        <w:numPr>
          <w:ilvl w:val="0"/>
          <w:numId w:val="71"/>
        </w:numPr>
        <w:rPr>
          <w:rFonts w:ascii="Arial" w:cs="Arial" w:eastAsia="Arial" w:hAnsi="Arial"/>
          <w:sz w:val="13"/>
          <w:szCs w:val="13"/>
          <w:color w:val="auto"/>
        </w:rPr>
      </w:pPr>
      <w:r>
        <w:rPr>
          <w:rFonts w:ascii="Arial" w:cs="Arial" w:eastAsia="Arial" w:hAnsi="Arial"/>
          <w:sz w:val="13"/>
          <w:szCs w:val="13"/>
          <w:color w:val="auto"/>
        </w:rPr>
        <w:t>shares of our common stock reserved for future issuance under our 2021 Equity Incentive Plan, which will become effective on the business day immediately prior to the date of effectiveness of the registration statement of which this prospectus forms a part, as well as any automatic increases in the number of shares of our common stock reserved for future issuance pursuant to this plan; and</w:t>
      </w:r>
    </w:p>
    <w:p>
      <w:pPr>
        <w:spacing w:after="0" w:line="31" w:lineRule="exact"/>
        <w:rPr>
          <w:rFonts w:ascii="Arial" w:cs="Arial" w:eastAsia="Arial" w:hAnsi="Arial"/>
          <w:sz w:val="13"/>
          <w:szCs w:val="13"/>
          <w:color w:val="auto"/>
        </w:rPr>
      </w:pPr>
    </w:p>
    <w:p>
      <w:pPr>
        <w:ind w:left="1660" w:right="140" w:hanging="469"/>
        <w:spacing w:after="0" w:line="281" w:lineRule="auto"/>
        <w:tabs>
          <w:tab w:leader="none" w:pos="2131" w:val="left"/>
        </w:tabs>
        <w:numPr>
          <w:ilvl w:val="0"/>
          <w:numId w:val="71"/>
        </w:numPr>
        <w:rPr>
          <w:rFonts w:ascii="Arial" w:cs="Arial" w:eastAsia="Arial" w:hAnsi="Arial"/>
          <w:sz w:val="15"/>
          <w:szCs w:val="15"/>
          <w:color w:val="auto"/>
        </w:rPr>
      </w:pPr>
      <w:r>
        <w:rPr>
          <w:rFonts w:ascii="Arial" w:cs="Arial" w:eastAsia="Arial" w:hAnsi="Arial"/>
          <w:sz w:val="15"/>
          <w:szCs w:val="15"/>
          <w:color w:val="auto"/>
        </w:rPr>
        <w:t>shares of common stock reserved for future issuance under our 2021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3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440"/>
          </w:cols>
          <w:pgMar w:left="320" w:top="418" w:right="11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To the extent that stock options are exercised, new stock options are issued under our equity incentive plan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0400"/>
          </w:cols>
          <w:pgMar w:left="320" w:top="418" w:right="117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SELECTED FINANCIAL DATA</w:t>
      </w:r>
    </w:p>
    <w:p>
      <w:pPr>
        <w:spacing w:after="0" w:line="197"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The following tables set forth our selected financial data for the periods and as of the dates indicated. We have derived the selected statements of operations data for the years ended December 31, 2019 and 2020, and the selected balance sheet data as of December 31, 2019 and 2020, from our audited financial statements appearing elsewhere in this prospectus. The selected statements of operations data for the three months ended March 31, 2020 and 2021 and the selected balance sheet data as of March 31, 2021 are derived from our unaudited interim condensed financial statements included elsewhere in this prospectus. We have prepared the unaudited interim condensed financial statements on the same basis as the audited financial statements. We have included, in our opinion, all adjustments, consisting only of normal recurring adjustments that we consider necessary for a fair presentation of the financial information set forth in those unaudited interim condensed financial statements.</w:t>
      </w:r>
    </w:p>
    <w:p>
      <w:pPr>
        <w:spacing w:after="0" w:line="131"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You should read the following selected financial data together with the section titled “Management’s Discussion and Analysis of Financial Condition and Results of Operations” and our financial statements and the related notes appearing elsewhere in this prospectus. The selected financial data in this section are not intended to replace our financial statements and are qualified in their entirety by our financial statements and related notes appearing elsewhere in this prospectus. Our historical results are not necessarily indicative of our future results, and our results for the three months ended March 31, 2021 are not necessarily indicative of results to be expected for the full year.</w:t>
      </w:r>
    </w:p>
    <w:p>
      <w:pPr>
        <w:spacing w:after="0" w:line="151"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4"/>
          </w:tcPr>
          <w:p>
            <w:pPr>
              <w:jc w:val="right"/>
              <w:ind w:right="49"/>
              <w:spacing w:after="0"/>
              <w:rPr>
                <w:sz w:val="20"/>
                <w:szCs w:val="20"/>
                <w:color w:val="auto"/>
              </w:rPr>
            </w:pPr>
            <w:r>
              <w:rPr>
                <w:rFonts w:ascii="Arial" w:cs="Arial" w:eastAsia="Arial" w:hAnsi="Arial"/>
                <w:sz w:val="13"/>
                <w:szCs w:val="13"/>
                <w:b w:val="1"/>
                <w:bCs w:val="1"/>
                <w:color w:val="auto"/>
              </w:rPr>
              <w:t>Year Ended</w:t>
            </w: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6"/>
          </w:tcPr>
          <w:p>
            <w:pPr>
              <w:jc w:val="right"/>
              <w:ind w:right="381"/>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December 31,</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31,</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w w:val="96"/>
              </w:rPr>
              <w:t>2020</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0" w:type="dxa"/>
            <w:vAlign w:val="bottom"/>
            <w:gridSpan w:val="8"/>
          </w:tcPr>
          <w:p>
            <w:pPr>
              <w:jc w:val="right"/>
              <w:ind w:right="1"/>
              <w:spacing w:after="0" w:line="122" w:lineRule="exact"/>
              <w:rPr>
                <w:sz w:val="20"/>
                <w:szCs w:val="20"/>
                <w:color w:val="auto"/>
              </w:rPr>
            </w:pPr>
            <w:r>
              <w:rPr>
                <w:rFonts w:ascii="Arial" w:cs="Arial" w:eastAsia="Arial" w:hAnsi="Arial"/>
                <w:sz w:val="13"/>
                <w:szCs w:val="13"/>
                <w:b w:val="1"/>
                <w:bCs w:val="1"/>
                <w:color w:val="auto"/>
                <w:w w:val="85"/>
              </w:rPr>
              <w:t>(in thousands, except share and per share data)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23,148</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31,099</w:t>
            </w:r>
          </w:p>
        </w:tc>
        <w:tc>
          <w:tcPr>
            <w:tcW w:w="2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3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General and administrative</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1,969</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Total operating expenses</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27,712</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38,912</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9,266</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(27,712)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7"/>
              </w:rPr>
              <w:t>(38,912)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(9,266)</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1"/>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5140" w:type="dxa"/>
            <w:vAlign w:val="bottom"/>
            <w:gridSpan w:val="2"/>
          </w:tcPr>
          <w:p>
            <w:pPr>
              <w:ind w:left="300"/>
              <w:spacing w:after="0"/>
              <w:rPr>
                <w:sz w:val="20"/>
                <w:szCs w:val="20"/>
                <w:color w:val="auto"/>
              </w:rPr>
            </w:pPr>
            <w:r>
              <w:rPr>
                <w:rFonts w:ascii="Arial" w:cs="Arial" w:eastAsia="Arial" w:hAnsi="Arial"/>
                <w:sz w:val="16"/>
                <w:szCs w:val="16"/>
                <w:color w:val="auto"/>
              </w:rPr>
              <w:t>Other income (expense), net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1,017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Total other income (expense), net</w:t>
            </w: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Net loss before income tax expense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7"/>
              </w:rPr>
              <w:t>(38,395)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(9,051)</w:t>
            </w: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41"/>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51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(26,231</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3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(38,395</w:t>
            </w:r>
          </w:p>
        </w:tc>
        <w:tc>
          <w:tcPr>
            <w:tcW w:w="240" w:type="dxa"/>
            <w:vAlign w:val="bottom"/>
          </w:tcPr>
          <w:p>
            <w:pPr>
              <w:jc w:val="right"/>
              <w:ind w:right="16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(9,051</w:t>
            </w:r>
          </w:p>
        </w:tc>
        <w:tc>
          <w:tcPr>
            <w:tcW w:w="360" w:type="dxa"/>
            <w:vAlign w:val="bottom"/>
          </w:tcPr>
          <w:p>
            <w:pPr>
              <w:jc w:val="right"/>
              <w:ind w:right="281"/>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gridSpan w:val="2"/>
            <w:shd w:val="clear" w:color="auto" w:fill="CCEEFF"/>
          </w:tcPr>
          <w:p>
            <w:pPr>
              <w:spacing w:after="0" w:line="176" w:lineRule="exact"/>
              <w:rPr>
                <w:sz w:val="20"/>
                <w:szCs w:val="20"/>
                <w:color w:val="auto"/>
              </w:rPr>
            </w:pPr>
            <w:r>
              <w:rPr>
                <w:rFonts w:ascii="Arial" w:cs="Arial" w:eastAsia="Arial" w:hAnsi="Arial"/>
                <w:sz w:val="16"/>
                <w:szCs w:val="16"/>
                <w:color w:val="auto"/>
              </w:rPr>
              <w:t>Net loss per share, basic and diluted</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
              <w:spacing w:after="0" w:line="176" w:lineRule="exact"/>
              <w:rPr>
                <w:sz w:val="20"/>
                <w:szCs w:val="20"/>
                <w:color w:val="auto"/>
              </w:rPr>
            </w:pPr>
            <w:r>
              <w:rPr>
                <w:rFonts w:ascii="Arial" w:cs="Arial" w:eastAsia="Arial" w:hAnsi="Arial"/>
                <w:sz w:val="16"/>
                <w:szCs w:val="16"/>
                <w:color w:val="auto"/>
              </w:rPr>
              <w:t>(5.78)</w:t>
            </w:r>
          </w:p>
        </w:tc>
        <w:tc>
          <w:tcPr>
            <w:tcW w:w="540" w:type="dxa"/>
            <w:vAlign w:val="bottom"/>
            <w:gridSpan w:val="2"/>
            <w:shd w:val="clear" w:color="auto" w:fill="CCEEFF"/>
          </w:tcPr>
          <w:p>
            <w:pPr>
              <w:jc w:val="right"/>
              <w:ind w:right="69"/>
              <w:spacing w:after="0" w:line="176"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1"/>
              <w:spacing w:after="0" w:line="176" w:lineRule="exact"/>
              <w:rPr>
                <w:sz w:val="20"/>
                <w:szCs w:val="20"/>
                <w:color w:val="auto"/>
              </w:rPr>
            </w:pPr>
            <w:r>
              <w:rPr>
                <w:rFonts w:ascii="Arial" w:cs="Arial" w:eastAsia="Arial" w:hAnsi="Arial"/>
                <w:sz w:val="16"/>
                <w:szCs w:val="16"/>
                <w:color w:val="auto"/>
              </w:rPr>
              <w:t>(6.58)</w:t>
            </w:r>
          </w:p>
        </w:tc>
        <w:tc>
          <w:tcPr>
            <w:tcW w:w="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81"/>
              <w:spacing w:after="0" w:line="176" w:lineRule="exact"/>
              <w:rPr>
                <w:sz w:val="20"/>
                <w:szCs w:val="20"/>
                <w:color w:val="auto"/>
              </w:rPr>
            </w:pPr>
            <w:r>
              <w:rPr>
                <w:rFonts w:ascii="Arial" w:cs="Arial" w:eastAsia="Arial" w:hAnsi="Arial"/>
                <w:sz w:val="16"/>
                <w:szCs w:val="16"/>
                <w:color w:val="auto"/>
              </w:rPr>
              <w:t>(1.69)</w:t>
            </w:r>
          </w:p>
        </w:tc>
        <w:tc>
          <w:tcPr>
            <w:tcW w:w="1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color w:val="auto"/>
                <w:w w:val="97"/>
              </w:rPr>
              <w:t>Weighted-average shares used in computing net loss per share, basic and</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40" w:type="dxa"/>
            <w:vAlign w:val="bottom"/>
            <w:gridSpan w:val="2"/>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4,534,692</w:t>
            </w:r>
          </w:p>
        </w:tc>
        <w:tc>
          <w:tcPr>
            <w:tcW w:w="8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color w:val="auto"/>
              </w:rPr>
              <w:t>5,832,594</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4"/>
              </w:rPr>
              <w:t>5,351,978</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87"/>
              </w:rPr>
              <w:t>6,586,917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4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Pro forma net loss per share, basic and diluted</w:t>
            </w:r>
            <w:r>
              <w:rPr>
                <w:rFonts w:ascii="Arial" w:cs="Arial" w:eastAsia="Arial" w:hAnsi="Arial"/>
                <w:sz w:val="13"/>
                <w:szCs w:val="13"/>
                <w:color w:val="auto"/>
              </w:rPr>
              <w:t>(1)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69"/>
              <w:spacing w:after="0" w:line="177" w:lineRule="exact"/>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line="177"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6"/>
                <w:szCs w:val="16"/>
                <w:color w:val="auto"/>
                <w:w w:val="90"/>
              </w:rPr>
              <w:t>Weighted-average shares used in computing pro forma net loss per share, basic</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140" w:type="dxa"/>
            <w:vAlign w:val="bottom"/>
            <w:gridSpan w:val="2"/>
          </w:tcPr>
          <w:p>
            <w:pPr>
              <w:ind w:left="160"/>
              <w:spacing w:after="0"/>
              <w:rPr>
                <w:sz w:val="20"/>
                <w:szCs w:val="20"/>
                <w:color w:val="auto"/>
              </w:rPr>
            </w:pPr>
            <w:r>
              <w:rPr>
                <w:rFonts w:ascii="Arial" w:cs="Arial" w:eastAsia="Arial" w:hAnsi="Arial"/>
                <w:sz w:val="16"/>
                <w:szCs w:val="16"/>
                <w:color w:val="auto"/>
              </w:rPr>
              <w:t>and diluted</w:t>
            </w:r>
            <w:r>
              <w:rPr>
                <w:rFonts w:ascii="Arial" w:cs="Arial" w:eastAsia="Arial" w:hAnsi="Arial"/>
                <w:sz w:val="13"/>
                <w:szCs w:val="13"/>
                <w:color w:val="auto"/>
              </w:rPr>
              <w:t>(1)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04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200" w:right="160" w:hanging="386"/>
        <w:spacing w:after="0" w:line="253" w:lineRule="auto"/>
        <w:tabs>
          <w:tab w:leader="none" w:pos="1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unaudited pro forma net loss per share for the year ended December 31, 2020 and the three months ended March 31, 2021 was computed using the weighted-average number of shares of common stock outstanding, including the pro forma effect of the conversation of all outstanding shares of our convertible preferred stock into shares of common stock, as if such conversion had occurred at the beginning of the period, or their issuance dates, if later.</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0440"/>
          </w:cols>
          <w:pgMar w:left="320" w:top="418" w:right="11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2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As of December 31,</w:t>
            </w:r>
          </w:p>
        </w:tc>
        <w:tc>
          <w:tcPr>
            <w:tcW w:w="1080" w:type="dxa"/>
            <w:vAlign w:val="bottom"/>
            <w:gridSpan w:val="4"/>
          </w:tcPr>
          <w:p>
            <w:pPr>
              <w:ind w:left="120"/>
              <w:spacing w:after="0"/>
              <w:rPr>
                <w:sz w:val="20"/>
                <w:szCs w:val="20"/>
                <w:color w:val="auto"/>
              </w:rPr>
            </w:pPr>
            <w:r>
              <w:rPr>
                <w:rFonts w:ascii="Arial" w:cs="Arial" w:eastAsia="Arial" w:hAnsi="Arial"/>
                <w:sz w:val="13"/>
                <w:szCs w:val="13"/>
                <w:b w:val="1"/>
                <w:bCs w:val="1"/>
                <w:color w:val="auto"/>
                <w:w w:val="97"/>
              </w:rPr>
              <w:t>As of March 31,</w:t>
            </w:r>
          </w:p>
        </w:tc>
      </w:tr>
      <w:tr>
        <w:trPr>
          <w:trHeight w:val="121"/>
        </w:trPr>
        <w:tc>
          <w:tcPr>
            <w:tcW w:w="2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Borders>
              <w:top w:val="single" w:sz="8" w:color="auto"/>
              <w:bottom w:val="single" w:sz="8" w:color="auto"/>
            </w:tcBorders>
          </w:tcPr>
          <w:p>
            <w:pPr>
              <w:jc w:val="right"/>
              <w:ind w:right="377"/>
              <w:spacing w:after="0" w:line="122" w:lineRule="exact"/>
              <w:rPr>
                <w:sz w:val="20"/>
                <w:szCs w:val="20"/>
                <w:color w:val="auto"/>
              </w:rPr>
            </w:pPr>
            <w:r>
              <w:rPr>
                <w:rFonts w:ascii="Arial" w:cs="Arial" w:eastAsia="Arial" w:hAnsi="Arial"/>
                <w:sz w:val="13"/>
                <w:szCs w:val="13"/>
                <w:b w:val="1"/>
                <w:bCs w:val="1"/>
                <w:color w:val="auto"/>
              </w:rPr>
              <w:t>2019</w:t>
            </w:r>
          </w:p>
        </w:tc>
        <w:tc>
          <w:tcPr>
            <w:tcW w:w="820" w:type="dxa"/>
            <w:vAlign w:val="bottom"/>
            <w:tcBorders>
              <w:top w:val="single" w:sz="8" w:color="auto"/>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22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r>
      <w:tr>
        <w:trPr>
          <w:trHeight w:val="121"/>
        </w:trPr>
        <w:tc>
          <w:tcPr>
            <w:tcW w:w="2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60" w:type="dxa"/>
            <w:vAlign w:val="bottom"/>
            <w:gridSpan w:val="2"/>
          </w:tcPr>
          <w:p>
            <w:pPr>
              <w:jc w:val="right"/>
              <w:ind w:right="140"/>
              <w:spacing w:after="0" w:line="12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1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$ 23,872</w:t>
            </w:r>
          </w:p>
        </w:tc>
        <w:tc>
          <w:tcPr>
            <w:tcW w:w="820" w:type="dxa"/>
            <w:vAlign w:val="bottom"/>
          </w:tcPr>
          <w:p>
            <w:pPr>
              <w:jc w:val="right"/>
              <w:spacing w:after="0"/>
              <w:rPr>
                <w:sz w:val="20"/>
                <w:szCs w:val="20"/>
                <w:color w:val="auto"/>
              </w:rPr>
            </w:pPr>
            <w:r>
              <w:rPr>
                <w:rFonts w:ascii="Arial" w:cs="Arial" w:eastAsia="Arial" w:hAnsi="Arial"/>
                <w:sz w:val="16"/>
                <w:szCs w:val="16"/>
                <w:color w:val="auto"/>
              </w:rPr>
              <w:t>$128,535</w:t>
            </w:r>
          </w:p>
        </w:tc>
        <w:tc>
          <w:tcPr>
            <w:tcW w:w="340" w:type="dxa"/>
            <w:vAlign w:val="bottom"/>
          </w:tcPr>
          <w:p>
            <w:pPr>
              <w:spacing w:after="0"/>
              <w:rPr>
                <w:sz w:val="16"/>
                <w:szCs w:val="16"/>
                <w:color w:val="auto"/>
              </w:rPr>
            </w:pPr>
          </w:p>
        </w:tc>
        <w:tc>
          <w:tcPr>
            <w:tcW w:w="3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128,439</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r>
              <w:rPr>
                <w:rFonts w:ascii="Arial" w:cs="Arial" w:eastAsia="Arial" w:hAnsi="Arial"/>
                <w:sz w:val="13"/>
                <w:szCs w:val="13"/>
                <w:color w:val="auto"/>
              </w:rPr>
              <w:t>(1)</w:t>
            </w:r>
          </w:p>
        </w:tc>
        <w:tc>
          <w:tcPr>
            <w:tcW w:w="2060" w:type="dxa"/>
            <w:vAlign w:val="bottom"/>
            <w:gridSpan w:val="2"/>
            <w:shd w:val="clear" w:color="auto" w:fill="CCEEFF"/>
          </w:tcPr>
          <w:p>
            <w:pPr>
              <w:jc w:val="right"/>
              <w:ind w:right="197"/>
              <w:spacing w:after="0"/>
              <w:rPr>
                <w:sz w:val="20"/>
                <w:szCs w:val="20"/>
                <w:color w:val="auto"/>
              </w:rPr>
            </w:pPr>
            <w:r>
              <w:rPr>
                <w:rFonts w:ascii="Arial" w:cs="Arial" w:eastAsia="Arial" w:hAnsi="Arial"/>
                <w:sz w:val="16"/>
                <w:szCs w:val="16"/>
                <w:color w:val="auto"/>
              </w:rPr>
              <w:t>23,622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124,923</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123,840</w:t>
            </w: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Total assets</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38,001</w:t>
            </w:r>
          </w:p>
        </w:tc>
        <w:tc>
          <w:tcPr>
            <w:tcW w:w="820" w:type="dxa"/>
            <w:vAlign w:val="bottom"/>
          </w:tcPr>
          <w:p>
            <w:pPr>
              <w:jc w:val="right"/>
              <w:spacing w:after="0"/>
              <w:rPr>
                <w:sz w:val="20"/>
                <w:szCs w:val="20"/>
                <w:color w:val="auto"/>
              </w:rPr>
            </w:pPr>
            <w:r>
              <w:rPr>
                <w:rFonts w:ascii="Arial" w:cs="Arial" w:eastAsia="Arial" w:hAnsi="Arial"/>
                <w:sz w:val="16"/>
                <w:szCs w:val="16"/>
                <w:color w:val="auto"/>
              </w:rPr>
              <w:t>148,161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159,757</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2060" w:type="dxa"/>
            <w:vAlign w:val="bottom"/>
            <w:gridSpan w:val="2"/>
            <w:shd w:val="clear" w:color="auto" w:fill="CCEEFF"/>
          </w:tcPr>
          <w:p>
            <w:pPr>
              <w:jc w:val="right"/>
              <w:ind w:right="197"/>
              <w:spacing w:after="0"/>
              <w:rPr>
                <w:sz w:val="20"/>
                <w:szCs w:val="20"/>
                <w:color w:val="auto"/>
              </w:rPr>
            </w:pPr>
            <w:r>
              <w:rPr>
                <w:rFonts w:ascii="Arial" w:cs="Arial" w:eastAsia="Arial" w:hAnsi="Arial"/>
                <w:sz w:val="16"/>
                <w:szCs w:val="16"/>
                <w:color w:val="auto"/>
              </w:rPr>
              <w:t>73,042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220,754</w:t>
            </w: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240,735</w:t>
            </w:r>
          </w:p>
        </w:tc>
        <w:tc>
          <w:tcPr>
            <w:tcW w:w="100" w:type="dxa"/>
            <w:vAlign w:val="bottom"/>
            <w:shd w:val="clear" w:color="auto" w:fill="CCEEFF"/>
          </w:tcPr>
          <w:p>
            <w:pPr>
              <w:spacing w:after="0"/>
              <w:rPr>
                <w:sz w:val="16"/>
                <w:szCs w:val="16"/>
                <w:color w:val="auto"/>
              </w:rPr>
            </w:pPr>
          </w:p>
        </w:tc>
      </w:tr>
      <w:tr>
        <w:trPr>
          <w:trHeight w:val="189"/>
        </w:trPr>
        <w:tc>
          <w:tcPr>
            <w:tcW w:w="29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060" w:type="dxa"/>
            <w:vAlign w:val="bottom"/>
            <w:gridSpan w:val="2"/>
          </w:tcPr>
          <w:p>
            <w:pPr>
              <w:jc w:val="right"/>
              <w:ind w:right="197"/>
              <w:spacing w:after="0"/>
              <w:rPr>
                <w:sz w:val="20"/>
                <w:szCs w:val="20"/>
                <w:color w:val="auto"/>
              </w:rPr>
            </w:pPr>
            <w:r>
              <w:rPr>
                <w:rFonts w:ascii="Arial" w:cs="Arial" w:eastAsia="Arial" w:hAnsi="Arial"/>
                <w:sz w:val="16"/>
                <w:szCs w:val="16"/>
                <w:color w:val="auto"/>
              </w:rPr>
              <w:t>763</w:t>
            </w:r>
          </w:p>
        </w:tc>
        <w:tc>
          <w:tcPr>
            <w:tcW w:w="820" w:type="dxa"/>
            <w:vAlign w:val="bottom"/>
          </w:tcPr>
          <w:p>
            <w:pPr>
              <w:jc w:val="right"/>
              <w:spacing w:after="0"/>
              <w:rPr>
                <w:sz w:val="20"/>
                <w:szCs w:val="20"/>
                <w:color w:val="auto"/>
              </w:rPr>
            </w:pPr>
            <w:r>
              <w:rPr>
                <w:rFonts w:ascii="Arial" w:cs="Arial" w:eastAsia="Arial" w:hAnsi="Arial"/>
                <w:sz w:val="16"/>
                <w:szCs w:val="16"/>
                <w:color w:val="auto"/>
              </w:rPr>
              <w:t>1,583</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6"/>
                <w:szCs w:val="16"/>
                <w:color w:val="auto"/>
              </w:rPr>
            </w:pPr>
          </w:p>
        </w:tc>
      </w:tr>
      <w:tr>
        <w:trPr>
          <w:trHeight w:val="18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2060" w:type="dxa"/>
            <w:vAlign w:val="bottom"/>
            <w:gridSpan w:val="2"/>
            <w:shd w:val="clear" w:color="auto" w:fill="CCEEFF"/>
          </w:tcPr>
          <w:p>
            <w:pPr>
              <w:jc w:val="right"/>
              <w:ind w:right="157"/>
              <w:spacing w:after="0"/>
              <w:rPr>
                <w:sz w:val="20"/>
                <w:szCs w:val="20"/>
                <w:color w:val="auto"/>
              </w:rPr>
            </w:pPr>
            <w:r>
              <w:rPr>
                <w:rFonts w:ascii="Arial" w:cs="Arial" w:eastAsia="Arial" w:hAnsi="Arial"/>
                <w:sz w:val="16"/>
                <w:szCs w:val="16"/>
                <w:color w:val="auto"/>
              </w:rPr>
              <w:t>(44,417)</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(95,910)</w:t>
            </w:r>
          </w:p>
        </w:tc>
      </w:tr>
      <w:tr>
        <w:trPr>
          <w:trHeight w:val="200"/>
        </w:trPr>
        <w:tc>
          <w:tcPr>
            <w:tcW w:w="2920" w:type="dxa"/>
            <w:vAlign w:val="bottom"/>
          </w:tcPr>
          <w:p>
            <w:pPr>
              <w:spacing w:after="0"/>
              <w:rPr>
                <w:sz w:val="20"/>
                <w:szCs w:val="20"/>
                <w:color w:val="auto"/>
              </w:rPr>
            </w:pPr>
            <w:r>
              <w:rPr>
                <w:rFonts w:ascii="Arial" w:cs="Arial" w:eastAsia="Arial" w:hAnsi="Arial"/>
                <w:sz w:val="16"/>
                <w:szCs w:val="16"/>
                <w:color w:val="auto"/>
              </w:rPr>
              <w:t>Total stockholders’ deficit</w:t>
            </w:r>
          </w:p>
        </w:tc>
        <w:tc>
          <w:tcPr>
            <w:tcW w:w="2060" w:type="dxa"/>
            <w:vAlign w:val="bottom"/>
            <w:gridSpan w:val="2"/>
          </w:tcPr>
          <w:p>
            <w:pPr>
              <w:jc w:val="right"/>
              <w:ind w:right="157"/>
              <w:spacing w:after="0"/>
              <w:rPr>
                <w:sz w:val="20"/>
                <w:szCs w:val="20"/>
                <w:color w:val="auto"/>
              </w:rPr>
            </w:pPr>
            <w:r>
              <w:rPr>
                <w:rFonts w:ascii="Arial" w:cs="Arial" w:eastAsia="Arial" w:hAnsi="Arial"/>
                <w:sz w:val="16"/>
                <w:szCs w:val="16"/>
                <w:color w:val="auto"/>
              </w:rPr>
              <w:t>(43,739)</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color w:val="auto"/>
              </w:rPr>
              <w:t>(81,315)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(93,943)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67945</wp:posOffset>
            </wp:positionV>
            <wp:extent cx="666115"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21" w:lineRule="exact"/>
        <w:rPr>
          <w:sz w:val="20"/>
          <w:szCs w:val="20"/>
          <w:color w:val="auto"/>
        </w:rPr>
      </w:pPr>
    </w:p>
    <w:p>
      <w:pPr>
        <w:ind w:left="1200" w:hanging="386"/>
        <w:spacing w:after="0" w:line="266" w:lineRule="auto"/>
        <w:tabs>
          <w:tab w:leader="none" w:pos="12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define working capital as current assets less current liabilities. See our financial statements included elsewhere in this prospectus for further details regarding our current assets and current liabilities.</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220"/>
          </w:cols>
          <w:pgMar w:left="320" w:top="418" w:right="135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1560"/>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197"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i w:val="1"/>
          <w:iCs w:val="1"/>
          <w:color w:val="auto"/>
        </w:rPr>
        <w:t>The following discussion of our financial condition and results of operations should be read together with the section titled “Selected Financial Data,” and our financial statements and related notes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 titled “Risk Factors.” Our historical results are not necessarily indicative of the results that may be expected for any period in the future. See also the section of this prospectus titled “Special Note Regarding Forward-Looking Statements.”</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jc w:val="both"/>
        <w:ind w:left="820" w:right="160" w:firstLine="385"/>
        <w:spacing w:after="0" w:line="343" w:lineRule="auto"/>
        <w:rPr>
          <w:sz w:val="20"/>
          <w:szCs w:val="20"/>
          <w:color w:val="auto"/>
        </w:rPr>
      </w:pPr>
      <w:r>
        <w:rPr>
          <w:rFonts w:ascii="Arial" w:cs="Arial" w:eastAsia="Arial" w:hAnsi="Arial"/>
          <w:sz w:val="13"/>
          <w:szCs w:val="13"/>
          <w:color w:val="auto"/>
        </w:rPr>
        <w:t>We are a biotechnology company headquartered in South San Francisco, California focused on discovering, developing and delivering curative therapies that address the underlying drivers of heart disease. We are advancing a pipeline of disease-modifying therapies developed using our product platforms and core internal capabilities to target defined sub-populations of patients with rare or highly prevalent forms of heart disease.</w:t>
      </w:r>
    </w:p>
    <w:p>
      <w:pPr>
        <w:spacing w:after="0" w:line="114"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We were incorporated in August 2016 and commenced operations thereafter. Our operations to date have included developing our Gene Therapy, Cellular Regeneration and Precision Medicine platforms, identifying and developing product candidates, conducting preclinical studies, acquiring technology, organizing and recruiting management and technical staff, conducting business planning, establishing our intellectual property portfolio, raising capital, and providing general and administrative support for these operations. All of our programs are currently in the preclinical stage and we do not have any products approved for sale. We have not generated any revenue.</w:t>
      </w:r>
    </w:p>
    <w:p>
      <w:pPr>
        <w:spacing w:after="0" w:line="154"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color w:val="auto"/>
        </w:rPr>
        <w:t>Since our inception, we have incurred net losses each year and we expect to continue to incur significant and increasing losses for the foreseeable future as we continue to advance our platforms, programs and product candidates, and as we transition to operating as a public company. Our net losses may fluctuate significantly from period to period, depending on the timing of expenditures on our research and development activities. Our net losses were $26.2 million and $38.4 million for the years ended December 31, 2019 and 2020, respectively, and $9.1 million and $13.1 million for the three months ended March 31, 2020 and 2021, respectively. As of March 31, 2021, we had an accumulated deficit of $95.9 million. Our net losses resulted primarily from our research and development programs and, to a lesser extent, general and administrative costs associated with our operations.</w:t>
      </w:r>
    </w:p>
    <w:p>
      <w:pPr>
        <w:spacing w:after="0" w:line="128" w:lineRule="exact"/>
        <w:rPr>
          <w:sz w:val="20"/>
          <w:szCs w:val="20"/>
          <w:color w:val="auto"/>
        </w:rPr>
      </w:pPr>
    </w:p>
    <w:p>
      <w:pPr>
        <w:ind w:left="820" w:right="380" w:firstLine="385"/>
        <w:spacing w:after="0" w:line="275" w:lineRule="auto"/>
        <w:rPr>
          <w:sz w:val="20"/>
          <w:szCs w:val="20"/>
          <w:color w:val="auto"/>
        </w:rPr>
      </w:pPr>
      <w:r>
        <w:rPr>
          <w:rFonts w:ascii="Arial" w:cs="Arial" w:eastAsia="Arial" w:hAnsi="Arial"/>
          <w:sz w:val="15"/>
          <w:szCs w:val="15"/>
          <w:color w:val="auto"/>
        </w:rPr>
        <w:t>We have not generated any revenue from product sales or other sources since inception. Our ability to generate product revenue sufficient to achieve profitability, if ever, will depend heavily on the successful completion and eventual commercialization of our product candidates which we expect, if it ever occurs, will take a number of years. In addition, we have leased approximately 94,000 square feet in the San Francisco Bay Area intended for future manufacturing and office space as we invest in our manufacturing capabilities.</w:t>
      </w:r>
    </w:p>
    <w:p>
      <w:pPr>
        <w:spacing w:after="0" w:line="15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w:t>
      </w:r>
    </w:p>
    <w:p>
      <w:pPr>
        <w:spacing w:after="0" w:line="166"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We will need substantial additional funding in the future to finance our operations, including the commercialization of any product candidates that may be approved by the FDA or comparable foreign regulatory authorities. Until such time, if ever, as we can generate significant product revenue, we expect to finance our</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0440"/>
          </w:cols>
          <w:pgMar w:left="320" w:top="418" w:right="11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7" w:lineRule="auto"/>
        <w:rPr>
          <w:sz w:val="20"/>
          <w:szCs w:val="20"/>
          <w:color w:val="auto"/>
        </w:rPr>
      </w:pPr>
      <w:r>
        <w:rPr>
          <w:rFonts w:ascii="Arial" w:cs="Arial" w:eastAsia="Arial" w:hAnsi="Arial"/>
          <w:sz w:val="15"/>
          <w:szCs w:val="15"/>
          <w:color w:val="auto"/>
        </w:rPr>
        <w:t>operations with our existing cash and cash equivalents, the net proceeds from this offering, any future equity or debt financings, and upfront and milestone and royalty payments, if any, received under future licenses or collaborations or other arrangements with other companies, or other sources of financing. We may not be able to raise additional capital on terms acceptable to us or at all. If we are unable to raise additional capital on acceptable terms when needed, our business, results of operations, and financial condition would be adversely affected, and we may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Medical Center (UTSW) License Agreement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In January 2020, we entered into a license agreement with UTSW (UTSW License), pursuant to which UTSW granted us a royalty-bearing</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exclusive and sublicensable patent license and a non-exclusive, non-sublicensable license for mutually agreed upon development activities. Under the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5"/>
          <w:szCs w:val="15"/>
          <w:color w:val="auto"/>
        </w:rPr>
        <w:t>UTSW License, we are obligated to pay UTSW (i) a non-refundable upfront license fee of $0.1 million, (ii) milestone payments up to a total of</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$14.8 million in aggregate, which are contingent upon achieving specific development and commercialization milestone events, and (iii) royalties on</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future net sales of each royalty-bearing product ranging in the low-single digits.</w:t>
      </w:r>
    </w:p>
    <w:p>
      <w:pPr>
        <w:spacing w:after="0" w:line="182" w:lineRule="exact"/>
        <w:rPr>
          <w:sz w:val="20"/>
          <w:szCs w:val="20"/>
          <w:color w:val="auto"/>
        </w:rPr>
      </w:pPr>
    </w:p>
    <w:p>
      <w:pPr>
        <w:ind w:left="820" w:right="220" w:firstLine="385"/>
        <w:spacing w:after="0" w:line="383" w:lineRule="auto"/>
        <w:rPr>
          <w:sz w:val="20"/>
          <w:szCs w:val="20"/>
          <w:color w:val="auto"/>
        </w:rPr>
      </w:pPr>
      <w:r>
        <w:rPr>
          <w:rFonts w:ascii="Arial" w:cs="Arial" w:eastAsia="Arial" w:hAnsi="Arial"/>
          <w:sz w:val="13"/>
          <w:szCs w:val="13"/>
          <w:color w:val="auto"/>
        </w:rPr>
        <w:t>During the year ended December 31, 2020, we recorded research and development expenses of $0.1 million related to the upfront license fee payable pursuant to the UTSW License. As of March 31, 2021, we have not recognized any milestone or royalty payments under the UTSW License.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COVID-19</w:t>
      </w:r>
    </w:p>
    <w:p>
      <w:pPr>
        <w:spacing w:after="0" w:line="99"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As a result of the COVID-19 pandemic, we could experience disruptions that could severely impact our business. Potential impacts to our business include disruptions or restrictions on our employees’ ability to effectively conduct their work. In addition, some of our suppliers of certain lab materials, or service providers used in the performance of our research activities, are located in areas impacted by COVID-19, which could limit our ability to achieve planned progress. COVID-19 could adversely affect the economy and financial markets, resulting in an economic downturn that could affect our financing prospects. Any of the foregoing could harm our business and we cannot anticipate all of the ways in which health epidemics such as COVID-19 could adversely impact our business.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the section titled “Risk Factors.”</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Components of Operating Results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99" w:lineRule="exact"/>
        <w:rPr>
          <w:sz w:val="20"/>
          <w:szCs w:val="20"/>
          <w:color w:val="auto"/>
        </w:rPr>
      </w:pPr>
    </w:p>
    <w:p>
      <w:pPr>
        <w:ind w:left="820" w:right="380" w:firstLine="385"/>
        <w:spacing w:after="0" w:line="329" w:lineRule="auto"/>
        <w:rPr>
          <w:sz w:val="20"/>
          <w:szCs w:val="20"/>
          <w:color w:val="auto"/>
        </w:rPr>
      </w:pPr>
      <w:r>
        <w:rPr>
          <w:rFonts w:ascii="Arial" w:cs="Arial" w:eastAsia="Arial" w:hAnsi="Arial"/>
          <w:sz w:val="13"/>
          <w:szCs w:val="13"/>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personnel-related costs (including salaries, benefits, travel and stock-based compensation for employees engaged in research and development functions), laboratory supplies and other non-capital equipment utilized for in-house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0420"/>
          </w:cols>
          <w:pgMar w:left="320" w:top="418" w:right="115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275" w:lineRule="auto"/>
        <w:rPr>
          <w:sz w:val="20"/>
          <w:szCs w:val="20"/>
          <w:color w:val="auto"/>
        </w:rPr>
      </w:pPr>
      <w:r>
        <w:rPr>
          <w:rFonts w:ascii="Arial" w:cs="Arial" w:eastAsia="Arial" w:hAnsi="Arial"/>
          <w:sz w:val="15"/>
          <w:szCs w:val="15"/>
          <w:color w:val="auto"/>
        </w:rPr>
        <w:t>research, allocated facilities and overhead costs. External research and development expenses include, among others, amounts incurred to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153"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Amounts recorded for external goods or services incurred for research and development activities that have not yet been invoiced often represent estimates. We do not currently have projects that require estimates for percentage of completion and we record estimates for amounts due but not yet invoiced based on input from external service providers.</w:t>
      </w:r>
    </w:p>
    <w:p>
      <w:pPr>
        <w:spacing w:after="0" w:line="166"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20" w:firstLine="385"/>
        <w:spacing w:after="0" w:line="253" w:lineRule="auto"/>
        <w:rPr>
          <w:sz w:val="20"/>
          <w:szCs w:val="20"/>
          <w:color w:val="auto"/>
        </w:rPr>
      </w:pPr>
      <w:r>
        <w:rPr>
          <w:rFonts w:ascii="Arial" w:cs="Arial" w:eastAsia="Arial" w:hAnsi="Arial"/>
          <w:sz w:val="16"/>
          <w:szCs w:val="16"/>
          <w:color w:val="auto"/>
        </w:rPr>
        <w:t>General and administrative expenses consist of personnel-related costs (including salaries, benefits, travel and stock-based compensation for our employees in executive, finance and other administrative functions), legal fees, professional fees incurred for accounting, audit, and tax services, recruiting costs, and facility costs not otherwise included in research and development expenses. Legal fees include those related to corporate and intellectual property related matters.</w:t>
      </w:r>
    </w:p>
    <w:p>
      <w:pPr>
        <w:spacing w:after="0" w:line="167"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We expect that our general and administrative expenses will increase for the foreseeable future to support our continued research and development activities, general operations, future business development opportunities and professional fees. In addition, we expect to incur additional expenses associated with operating as a public company, including legal, accounting, insurance, exchange listing, SEC compliance, and investor relations costs.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Interest income primarily consists of interest earned on our cash, cash equivalents and investment balances.</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ind w:left="820" w:right="180" w:firstLine="385"/>
        <w:spacing w:after="0" w:line="272" w:lineRule="auto"/>
        <w:rPr>
          <w:sz w:val="20"/>
          <w:szCs w:val="20"/>
          <w:color w:val="auto"/>
        </w:rPr>
      </w:pPr>
      <w:r>
        <w:rPr>
          <w:rFonts w:ascii="Arial" w:cs="Arial" w:eastAsia="Arial" w:hAnsi="Arial"/>
          <w:sz w:val="15"/>
          <w:szCs w:val="15"/>
          <w:color w:val="auto"/>
        </w:rPr>
        <w:t>The change in fair value of our convertible preferred stock tranche liability fluctuates based on remeasurements at each reporting period. Our convertible preferred stock tranche liability stems from our obligation to issue additional shares to investors upon the second and third closings of our Series B convertible preferred stock. Until settlement, fluctuations in the fair value of a convertible preferred stock tranche liability are based on the remeasurement at each reporting period. Our convertible preferred stock tranche liability was settled on the second and third closings of our Series B convertible preferred stock financing in March and August 2020, respectively.</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Other income (expense), net primarily consists of sublease income for a portion of our facilities in South San Francisco during 2019 and 2020.</w:t>
      </w:r>
    </w:p>
    <w:p>
      <w:pPr>
        <w:spacing w:after="0" w:line="200" w:lineRule="exact"/>
        <w:rPr>
          <w:sz w:val="20"/>
          <w:szCs w:val="20"/>
          <w:color w:val="auto"/>
        </w:rPr>
      </w:pPr>
    </w:p>
    <w:p>
      <w:pPr>
        <w:spacing w:after="0" w:line="28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0400"/>
          </w:cols>
          <w:pgMar w:left="320" w:top="418" w:right="117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Results of Operations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Comparison of the Three Months Ended March 31, 2020 and 2021</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w w:val="91"/>
              </w:rPr>
              <w:t>Three Months Ended</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March 31,</w:t>
            </w:r>
          </w:p>
        </w:tc>
        <w:tc>
          <w:tcPr>
            <w:tcW w:w="660" w:type="dxa"/>
            <w:vAlign w:val="bottom"/>
            <w:gridSpan w:val="2"/>
          </w:tcPr>
          <w:p>
            <w:pPr>
              <w:jc w:val="right"/>
              <w:ind w:right="14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8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85"/>
              <w:spacing w:after="0" w:line="122" w:lineRule="exact"/>
              <w:rPr>
                <w:sz w:val="20"/>
                <w:szCs w:val="20"/>
                <w:color w:val="auto"/>
              </w:rPr>
            </w:pPr>
            <w:r>
              <w:rPr>
                <w:rFonts w:ascii="Arial" w:cs="Arial" w:eastAsia="Arial" w:hAnsi="Arial"/>
                <w:sz w:val="13"/>
                <w:szCs w:val="13"/>
                <w:b w:val="1"/>
                <w:bCs w:val="1"/>
                <w:color w:val="auto"/>
                <w:w w:val="96"/>
              </w:rPr>
              <w:t>2020</w:t>
            </w:r>
          </w:p>
        </w:tc>
        <w:tc>
          <w:tcPr>
            <w:tcW w:w="1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103"/>
              <w:spacing w:after="0" w:line="122" w:lineRule="exact"/>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3"/>
                <w:szCs w:val="13"/>
                <w:b w:val="1"/>
                <w:bCs w:val="1"/>
                <w:color w:val="auto"/>
                <w:w w:val="92"/>
              </w:rPr>
              <w:t>Change</w:t>
            </w:r>
          </w:p>
        </w:tc>
        <w:tc>
          <w:tcPr>
            <w:tcW w:w="800" w:type="dxa"/>
            <w:vAlign w:val="bottom"/>
            <w:gridSpan w:val="3"/>
          </w:tcPr>
          <w:p>
            <w:pPr>
              <w:jc w:val="center"/>
              <w:ind w:right="60"/>
              <w:spacing w:after="0" w:line="122" w:lineRule="exact"/>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right"/>
              <w:ind w:right="160"/>
              <w:spacing w:after="0" w:line="122"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7,297</w:t>
            </w: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9,590</w:t>
            </w: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$ 2,293</w:t>
            </w:r>
          </w:p>
        </w:tc>
        <w:tc>
          <w:tcPr>
            <w:tcW w:w="20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600"/>
              <w:spacing w:after="0"/>
              <w:rPr>
                <w:sz w:val="20"/>
                <w:szCs w:val="20"/>
                <w:color w:val="auto"/>
              </w:rPr>
            </w:pPr>
            <w:r>
              <w:rPr>
                <w:rFonts w:ascii="Arial" w:cs="Arial" w:eastAsia="Arial" w:hAnsi="Arial"/>
                <w:sz w:val="16"/>
                <w:szCs w:val="16"/>
                <w:color w:val="auto"/>
              </w:rPr>
              <w:t>Total operating expenses</w:t>
            </w: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9,266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13,105</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3,839</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(9,266)</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(13,105)</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(3,839)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(48)</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(179)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vMerge w:val="restart"/>
          </w:tcPr>
          <w:p>
            <w:pPr>
              <w:ind w:left="600"/>
              <w:spacing w:after="0"/>
              <w:rPr>
                <w:sz w:val="20"/>
                <w:szCs w:val="20"/>
                <w:color w:val="auto"/>
              </w:rPr>
            </w:pPr>
            <w:r>
              <w:rPr>
                <w:rFonts w:ascii="Arial" w:cs="Arial" w:eastAsia="Arial" w:hAnsi="Arial"/>
                <w:sz w:val="16"/>
                <w:szCs w:val="16"/>
                <w:color w:val="auto"/>
              </w:rPr>
              <w:t>Total other income (expense), net</w:t>
            </w: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(208)</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4"/>
              </w:rPr>
              <w:t>(9,051)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7"/>
              </w:rPr>
              <w:t>(13,098)</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(4,047)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research and development expenses for the periods presented.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0"/>
        </w:trPr>
        <w:tc>
          <w:tcPr>
            <w:tcW w:w="45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jc w:val="right"/>
              <w:ind w:right="109"/>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r>
      <w:tr>
        <w:trPr>
          <w:trHeight w:val="121"/>
        </w:trPr>
        <w:tc>
          <w:tcPr>
            <w:tcW w:w="4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87"/>
              <w:spacing w:after="0" w:line="122" w:lineRule="exact"/>
              <w:rPr>
                <w:sz w:val="20"/>
                <w:szCs w:val="20"/>
                <w:color w:val="auto"/>
              </w:rPr>
            </w:pPr>
            <w:r>
              <w:rPr>
                <w:rFonts w:ascii="Arial" w:cs="Arial" w:eastAsia="Arial" w:hAnsi="Arial"/>
                <w:sz w:val="13"/>
                <w:szCs w:val="13"/>
                <w:b w:val="1"/>
                <w:bCs w:val="1"/>
                <w:color w:val="auto"/>
                <w:w w:val="89"/>
              </w:rPr>
              <w:t>2020</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84"/>
              <w:spacing w:after="0" w:line="122" w:lineRule="exact"/>
              <w:rPr>
                <w:sz w:val="20"/>
                <w:szCs w:val="20"/>
                <w:color w:val="auto"/>
              </w:rPr>
            </w:pPr>
            <w:r>
              <w:rPr>
                <w:rFonts w:ascii="Arial" w:cs="Arial" w:eastAsia="Arial" w:hAnsi="Arial"/>
                <w:sz w:val="13"/>
                <w:szCs w:val="13"/>
                <w:b w:val="1"/>
                <w:bCs w:val="1"/>
                <w:color w:val="auto"/>
                <w:w w:val="96"/>
              </w:rPr>
              <w:t>2021</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right"/>
              <w:ind w:right="260"/>
              <w:spacing w:after="0" w:line="122" w:lineRule="exact"/>
              <w:rPr>
                <w:sz w:val="20"/>
                <w:szCs w:val="20"/>
                <w:color w:val="auto"/>
              </w:rPr>
            </w:pPr>
            <w:r>
              <w:rPr>
                <w:rFonts w:ascii="Arial" w:cs="Arial" w:eastAsia="Arial" w:hAnsi="Arial"/>
                <w:sz w:val="13"/>
                <w:szCs w:val="13"/>
                <w:b w:val="1"/>
                <w:bCs w:val="1"/>
                <w:color w:val="auto"/>
                <w:w w:val="79"/>
              </w:rPr>
              <w:t>Change</w:t>
            </w:r>
          </w:p>
        </w:tc>
        <w:tc>
          <w:tcPr>
            <w:tcW w:w="840" w:type="dxa"/>
            <w:vAlign w:val="bottom"/>
            <w:gridSpan w:val="3"/>
          </w:tcPr>
          <w:p>
            <w:pPr>
              <w:jc w:val="center"/>
              <w:ind w:right="20"/>
              <w:spacing w:after="0" w:line="122" w:lineRule="exact"/>
              <w:rPr>
                <w:sz w:val="20"/>
                <w:szCs w:val="20"/>
                <w:color w:val="auto"/>
              </w:rPr>
            </w:pPr>
            <w:r>
              <w:rPr>
                <w:rFonts w:ascii="Arial" w:cs="Arial" w:eastAsia="Arial" w:hAnsi="Arial"/>
                <w:sz w:val="13"/>
                <w:szCs w:val="13"/>
                <w:b w:val="1"/>
                <w:bCs w:val="1"/>
                <w:color w:val="auto"/>
                <w:w w:val="88"/>
              </w:rPr>
              <w:t>Change</w:t>
            </w:r>
          </w:p>
        </w:tc>
      </w:tr>
      <w:tr>
        <w:trPr>
          <w:trHeight w:val="121"/>
        </w:trPr>
        <w:tc>
          <w:tcPr>
            <w:tcW w:w="45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4"/>
          </w:tcPr>
          <w:p>
            <w:pPr>
              <w:ind w:left="220"/>
              <w:spacing w:after="0" w:line="122" w:lineRule="exact"/>
              <w:rPr>
                <w:sz w:val="20"/>
                <w:szCs w:val="20"/>
                <w:color w:val="auto"/>
              </w:rPr>
            </w:pPr>
            <w:r>
              <w:rPr>
                <w:rFonts w:ascii="Arial" w:cs="Arial" w:eastAsia="Arial" w:hAnsi="Arial"/>
                <w:sz w:val="13"/>
                <w:szCs w:val="13"/>
                <w:b w:val="1"/>
                <w:bCs w:val="1"/>
                <w:color w:val="auto"/>
              </w:rPr>
              <w:t>(in thousands)</w:t>
            </w:r>
          </w:p>
        </w:tc>
        <w:tc>
          <w:tcPr>
            <w:tcW w:w="2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Facility and laboratory costs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4,096</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$1,495</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Personnel-related costs</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2,432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3,337</w:t>
            </w:r>
          </w:p>
        </w:tc>
        <w:tc>
          <w:tcPr>
            <w:tcW w:w="2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905</w:t>
            </w:r>
          </w:p>
        </w:tc>
        <w:tc>
          <w:tcPr>
            <w:tcW w:w="24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6"/>
                <w:szCs w:val="16"/>
                <w:color w:val="auto"/>
              </w:rPr>
              <w:t>External costs</w:t>
            </w: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2,043</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r>
      <w:tr>
        <w:trPr>
          <w:trHeight w:val="189"/>
        </w:trPr>
        <w:tc>
          <w:tcPr>
            <w:tcW w:w="4560" w:type="dxa"/>
            <w:vAlign w:val="bottom"/>
          </w:tcPr>
          <w:p>
            <w:pPr>
              <w:spacing w:after="0"/>
              <w:rPr>
                <w:sz w:val="20"/>
                <w:szCs w:val="20"/>
                <w:color w:val="auto"/>
              </w:rPr>
            </w:pPr>
            <w:r>
              <w:rPr>
                <w:rFonts w:ascii="Arial" w:cs="Arial" w:eastAsia="Arial" w:hAnsi="Arial"/>
                <w:sz w:val="16"/>
                <w:szCs w:val="16"/>
                <w:color w:val="auto"/>
              </w:rPr>
              <w:t>Other research and development expenses</w:t>
            </w: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307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(193)</w:t>
            </w:r>
          </w:p>
        </w:tc>
        <w:tc>
          <w:tcPr>
            <w:tcW w:w="840" w:type="dxa"/>
            <w:vAlign w:val="bottom"/>
            <w:gridSpan w:val="3"/>
          </w:tcPr>
          <w:p>
            <w:pPr>
              <w:jc w:val="right"/>
              <w:ind w:right="40"/>
              <w:spacing w:after="0"/>
              <w:rPr>
                <w:sz w:val="20"/>
                <w:szCs w:val="20"/>
                <w:color w:val="auto"/>
              </w:rPr>
            </w:pPr>
            <w:r>
              <w:rPr>
                <w:rFonts w:ascii="Arial" w:cs="Arial" w:eastAsia="Arial" w:hAnsi="Arial"/>
                <w:sz w:val="16"/>
                <w:szCs w:val="16"/>
                <w:color w:val="auto"/>
              </w:rPr>
              <w:t>(63)%</w:t>
            </w:r>
          </w:p>
        </w:tc>
      </w:tr>
      <w:tr>
        <w:trPr>
          <w:trHeight w:val="24"/>
        </w:trPr>
        <w:tc>
          <w:tcPr>
            <w:tcW w:w="4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89"/>
        </w:trPr>
        <w:tc>
          <w:tcPr>
            <w:tcW w:w="4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research and development expenses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9,590</w:t>
            </w:r>
          </w:p>
        </w:tc>
        <w:tc>
          <w:tcPr>
            <w:tcW w:w="2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2,293</w:t>
            </w:r>
          </w:p>
        </w:tc>
        <w:tc>
          <w:tcPr>
            <w:tcW w:w="24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r>
      <w:tr>
        <w:trPr>
          <w:trHeight w:val="20"/>
        </w:trPr>
        <w:tc>
          <w:tcPr>
            <w:tcW w:w="45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Research and development expenses were $7.3 million and $9.6 million for the three months ended March 31, 2020 and 2021, respectively. The increase of $2.3 million, or 31%, was primarily due to:</w:t>
      </w:r>
    </w:p>
    <w:p>
      <w:pPr>
        <w:spacing w:after="0" w:line="76" w:lineRule="exact"/>
        <w:rPr>
          <w:sz w:val="20"/>
          <w:szCs w:val="20"/>
          <w:color w:val="auto"/>
        </w:rPr>
      </w:pPr>
    </w:p>
    <w:p>
      <w:pPr>
        <w:ind w:left="1660" w:right="340" w:hanging="469"/>
        <w:spacing w:after="0" w:line="266" w:lineRule="auto"/>
        <w:tabs>
          <w:tab w:leader="none" w:pos="1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increase of $1.5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an increase of $0.9 million in personnel-related costs, including stock-based compensation, primarily due to growth in the number of our research and development employees as we expanded our research and development capabilities; and</w:t>
      </w:r>
    </w:p>
    <w:p>
      <w:pPr>
        <w:spacing w:after="0" w:line="75" w:lineRule="exact"/>
        <w:rPr>
          <w:rFonts w:ascii="Arial" w:cs="Arial" w:eastAsia="Arial" w:hAnsi="Arial"/>
          <w:sz w:val="16"/>
          <w:szCs w:val="16"/>
          <w:color w:val="auto"/>
        </w:rPr>
      </w:pPr>
    </w:p>
    <w:p>
      <w:pPr>
        <w:ind w:left="1660" w:right="320" w:hanging="469"/>
        <w:spacing w:after="0" w:line="300" w:lineRule="auto"/>
        <w:tabs>
          <w:tab w:leader="none" w:pos="16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an increase of $0.1 million in external costs, including amounts paid to CROs for research and development activities, consulting fees, preclinical studies and other external research expenses as we progressed development of our programs.</w:t>
      </w:r>
    </w:p>
    <w:p>
      <w:pPr>
        <w:spacing w:after="0" w:line="135" w:lineRule="exact"/>
        <w:rPr>
          <w:sz w:val="20"/>
          <w:szCs w:val="20"/>
          <w:color w:val="auto"/>
        </w:rPr>
      </w:pPr>
    </w:p>
    <w:p>
      <w:pPr>
        <w:jc w:val="center"/>
        <w:ind w:left="860" w:right="660"/>
        <w:spacing w:after="0" w:line="436" w:lineRule="auto"/>
        <w:rPr>
          <w:sz w:val="20"/>
          <w:szCs w:val="20"/>
          <w:color w:val="auto"/>
        </w:rPr>
      </w:pPr>
      <w:r>
        <w:rPr>
          <w:rFonts w:ascii="Arial" w:cs="Arial" w:eastAsia="Arial" w:hAnsi="Arial"/>
          <w:sz w:val="16"/>
          <w:szCs w:val="16"/>
          <w:color w:val="auto"/>
        </w:rPr>
        <w:t>These increases were partially offset by a decrease of $0.2 million in other research and development expenses, including licensing fees. 108</w:t>
      </w:r>
    </w:p>
    <w:p>
      <w:pPr>
        <w:sectPr>
          <w:pgSz w:w="11900" w:h="16838" w:orient="portrait"/>
          <w:cols w:equalWidth="0" w:num="1">
            <w:col w:w="10440"/>
          </w:cols>
          <w:pgMar w:left="320" w:top="418" w:right="11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00" w:firstLine="385"/>
        <w:spacing w:after="0" w:line="343" w:lineRule="auto"/>
        <w:rPr>
          <w:sz w:val="20"/>
          <w:szCs w:val="20"/>
          <w:color w:val="auto"/>
        </w:rPr>
      </w:pPr>
      <w:r>
        <w:rPr>
          <w:rFonts w:ascii="Arial" w:cs="Arial" w:eastAsia="Arial" w:hAnsi="Arial"/>
          <w:sz w:val="13"/>
          <w:szCs w:val="13"/>
          <w:color w:val="auto"/>
        </w:rPr>
        <w:t>General and administrative expenses were $2.0 million and $3.5 million for the three months ended March 31, 2020 and 2021, respectively. The increase of $1.5 million, or 79%, was primarily due to a $0.8 million increase in professional service expenses and a $0.6 million increase in personnel-related expenses, including stock-based compensation, as a result of increased headcount as we grew our operations.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Interest income was $57,000 and $9,000 for the three months ended March 31, 2020 and 2021, respectively. The decrease of $48,000, or 84%, was primarily due to a change in our investment portfolio mix.</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jc w:val="both"/>
        <w:ind w:left="820" w:right="20" w:firstLine="385"/>
        <w:spacing w:after="0" w:line="256" w:lineRule="auto"/>
        <w:rPr>
          <w:sz w:val="20"/>
          <w:szCs w:val="20"/>
          <w:color w:val="auto"/>
        </w:rPr>
      </w:pPr>
      <w:r>
        <w:rPr>
          <w:rFonts w:ascii="Arial" w:cs="Arial" w:eastAsia="Arial" w:hAnsi="Arial"/>
          <w:sz w:val="16"/>
          <w:szCs w:val="16"/>
          <w:color w:val="auto"/>
        </w:rPr>
        <w:t>The change in fair value of our convertible preferred stock tranche liability for the three months ended March 31, 2020 was attributable to changes in the fair value of the underlying Series B convertible preferred stock. There was no similar expense for the three months ended March 31, 2021 as our convertible preferred stock tranche liability was settled in 2020.</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Other income (expense), net of $0.2 million for the three months ended March 31, 2020 was primarily due to sublease income. We did not have any sublease agreements in place during the three months ended March 31, 2021.</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Comparison of the Years Ended December 31, 2019 and 2020</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results of operations for the periods presented.</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87"/>
              </w:rPr>
              <w:t>Year Ended December 31,</w:t>
            </w:r>
          </w:p>
        </w:tc>
        <w:tc>
          <w:tcPr>
            <w:tcW w:w="740" w:type="dxa"/>
            <w:vAlign w:val="bottom"/>
            <w:gridSpan w:val="2"/>
          </w:tcPr>
          <w:p>
            <w:pPr>
              <w:jc w:val="right"/>
              <w:ind w:right="18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24"/>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23"/>
              <w:spacing w:after="0" w:line="122" w:lineRule="exact"/>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6"/>
              </w:rPr>
              <w:t>Change</w:t>
            </w: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4"/>
          </w:tcPr>
          <w:p>
            <w:pPr>
              <w:jc w:val="right"/>
              <w:ind w:right="160"/>
              <w:spacing w:after="0" w:line="122" w:lineRule="exact"/>
              <w:rPr>
                <w:sz w:val="20"/>
                <w:szCs w:val="20"/>
                <w:color w:val="auto"/>
              </w:rPr>
            </w:pPr>
            <w:r>
              <w:rPr>
                <w:rFonts w:ascii="Arial" w:cs="Arial" w:eastAsia="Arial" w:hAnsi="Arial"/>
                <w:sz w:val="13"/>
                <w:szCs w:val="13"/>
                <w:b w:val="1"/>
                <w:bCs w:val="1"/>
                <w:color w:val="auto"/>
                <w:w w:val="95"/>
              </w:rPr>
              <w:t>(in thousands)</w:t>
            </w: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rPr>
              <w:t>Research and development</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23,148</w:t>
            </w:r>
          </w:p>
        </w:tc>
        <w:tc>
          <w:tcPr>
            <w:tcW w:w="160" w:type="dxa"/>
            <w:vAlign w:val="bottom"/>
          </w:tcPr>
          <w:p>
            <w:pPr>
              <w:spacing w:after="0"/>
              <w:rPr>
                <w:sz w:val="16"/>
                <w:szCs w:val="16"/>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31,099</w:t>
            </w: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7,951</w:t>
            </w:r>
          </w:p>
        </w:tc>
        <w:tc>
          <w:tcPr>
            <w:tcW w:w="20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6"/>
                <w:szCs w:val="16"/>
                <w:color w:val="auto"/>
              </w:rPr>
              <w:t>Total operating expenses</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27,712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38,912</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11,200</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(27,712)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(38,912)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(11,200)</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Other income (expense), net:</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Interest income</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tcPr>
          <w:p>
            <w:pPr>
              <w:ind w:left="100"/>
              <w:spacing w:after="0"/>
              <w:rPr>
                <w:sz w:val="20"/>
                <w:szCs w:val="20"/>
                <w:color w:val="auto"/>
              </w:rPr>
            </w:pPr>
            <w:r>
              <w:rPr>
                <w:rFonts w:ascii="Arial" w:cs="Arial" w:eastAsia="Arial" w:hAnsi="Arial"/>
                <w:sz w:val="16"/>
                <w:szCs w:val="16"/>
                <w:color w:val="auto"/>
                <w:w w:val="92"/>
              </w:rPr>
              <w:t>Change in fair value of convertible preferred stock tranche liability</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20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160"/>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income (expense), net</w:t>
            </w:r>
          </w:p>
        </w:tc>
        <w:tc>
          <w:tcPr>
            <w:tcW w:w="1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(662)</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6"/>
                <w:szCs w:val="16"/>
                <w:color w:val="auto"/>
              </w:rPr>
              <w:t>Total other income (expense), net</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1,481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517</w:t>
            </w: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(964)</w:t>
            </w:r>
          </w:p>
        </w:tc>
        <w:tc>
          <w:tcPr>
            <w:tcW w:w="2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3"/>
              </w:rPr>
              <w:t>(26,231)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(38,395)</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(12,164)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0" w:type="dxa"/>
            <w:vAlign w:val="bottom"/>
            <w:gridSpan w:val="2"/>
          </w:tcPr>
          <w:p>
            <w:pPr>
              <w:spacing w:after="0"/>
              <w:rPr>
                <w:sz w:val="20"/>
                <w:szCs w:val="20"/>
                <w:color w:val="auto"/>
              </w:rPr>
            </w:pPr>
            <w:r>
              <w:rPr>
                <w:rFonts w:ascii="Arial" w:cs="Arial" w:eastAsia="Arial" w:hAnsi="Arial"/>
                <w:sz w:val="16"/>
                <w:szCs w:val="16"/>
                <w:color w:val="auto"/>
              </w:rPr>
              <w:t>*</w:t>
            </w:r>
          </w:p>
        </w:tc>
        <w:tc>
          <w:tcPr>
            <w:tcW w:w="4400" w:type="dxa"/>
            <w:vAlign w:val="bottom"/>
            <w:gridSpan w:val="2"/>
          </w:tcPr>
          <w:p>
            <w:pPr>
              <w:ind w:left="180"/>
              <w:spacing w:after="0"/>
              <w:rPr>
                <w:sz w:val="20"/>
                <w:szCs w:val="20"/>
                <w:color w:val="auto"/>
              </w:rPr>
            </w:pPr>
            <w:r>
              <w:rPr>
                <w:rFonts w:ascii="Arial" w:cs="Arial" w:eastAsia="Arial" w:hAnsi="Arial"/>
                <w:sz w:val="16"/>
                <w:szCs w:val="16"/>
                <w:color w:val="auto"/>
              </w:rPr>
              <w:t>nmf—not meaningful</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60" w:type="dxa"/>
            <w:vAlign w:val="bottom"/>
          </w:tcPr>
          <w:p>
            <w:pPr>
              <w:jc w:val="right"/>
              <w:ind w:right="1061"/>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research and development expenses for the periods presented.</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3"/>
                <w:szCs w:val="13"/>
                <w:b w:val="1"/>
                <w:bCs w:val="1"/>
                <w:color w:val="auto"/>
                <w:w w:val="86"/>
              </w:rPr>
              <w:t>Year Ended December 31,</w:t>
            </w:r>
          </w:p>
        </w:tc>
        <w:tc>
          <w:tcPr>
            <w:tcW w:w="760" w:type="dxa"/>
            <w:vAlign w:val="bottom"/>
            <w:gridSpan w:val="2"/>
          </w:tcPr>
          <w:p>
            <w:pPr>
              <w:jc w:val="right"/>
              <w:ind w:right="129"/>
              <w:spacing w:after="0"/>
              <w:rPr>
                <w:sz w:val="20"/>
                <w:szCs w:val="20"/>
                <w:color w:val="auto"/>
              </w:rPr>
            </w:pPr>
            <w:r>
              <w:rPr>
                <w:rFonts w:ascii="Arial" w:cs="Arial" w:eastAsia="Arial" w:hAnsi="Arial"/>
                <w:sz w:val="13"/>
                <w:szCs w:val="13"/>
                <w:b w:val="1"/>
                <w:bCs w:val="1"/>
                <w:color w:val="auto"/>
              </w:rPr>
              <w:t>$</w:t>
            </w:r>
          </w:p>
        </w:tc>
        <w:tc>
          <w:tcPr>
            <w:tcW w:w="720" w:type="dxa"/>
            <w:vAlign w:val="bottom"/>
            <w:gridSpan w:val="2"/>
          </w:tcPr>
          <w:p>
            <w:pPr>
              <w:jc w:val="right"/>
              <w:ind w:right="61"/>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r>
      <w:tr>
        <w:trPr>
          <w:trHeight w:val="121"/>
        </w:trPr>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24"/>
              <w:spacing w:after="0" w:line="122" w:lineRule="exact"/>
              <w:rPr>
                <w:sz w:val="20"/>
                <w:szCs w:val="20"/>
                <w:color w:val="auto"/>
              </w:rPr>
            </w:pPr>
            <w:r>
              <w:rPr>
                <w:rFonts w:ascii="Arial" w:cs="Arial" w:eastAsia="Arial" w:hAnsi="Arial"/>
                <w:sz w:val="13"/>
                <w:szCs w:val="13"/>
                <w:b w:val="1"/>
                <w:bCs w:val="1"/>
                <w:color w:val="auto"/>
                <w:w w:val="96"/>
              </w:rPr>
              <w:t>2020</w:t>
            </w:r>
          </w:p>
        </w:tc>
        <w:tc>
          <w:tcPr>
            <w:tcW w:w="3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83"/>
              </w:rPr>
              <w:t>Change</w:t>
            </w:r>
          </w:p>
        </w:tc>
        <w:tc>
          <w:tcPr>
            <w:tcW w:w="900" w:type="dxa"/>
            <w:vAlign w:val="bottom"/>
            <w:gridSpan w:val="3"/>
          </w:tcPr>
          <w:p>
            <w:pPr>
              <w:jc w:val="center"/>
              <w:ind w:left="47"/>
              <w:spacing w:after="0" w:line="122" w:lineRule="exact"/>
              <w:rPr>
                <w:sz w:val="20"/>
                <w:szCs w:val="20"/>
                <w:color w:val="auto"/>
              </w:rPr>
            </w:pPr>
            <w:r>
              <w:rPr>
                <w:rFonts w:ascii="Arial" w:cs="Arial" w:eastAsia="Arial" w:hAnsi="Arial"/>
                <w:sz w:val="13"/>
                <w:szCs w:val="13"/>
                <w:b w:val="1"/>
                <w:bCs w:val="1"/>
                <w:color w:val="auto"/>
                <w:w w:val="88"/>
              </w:rPr>
              <w:t>Change</w:t>
            </w:r>
          </w:p>
        </w:tc>
      </w:tr>
      <w:tr>
        <w:trPr>
          <w:trHeight w:val="121"/>
        </w:trPr>
        <w:tc>
          <w:tcPr>
            <w:tcW w:w="46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3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Personnel-related costs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10,525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48%</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Facility and laboratory costs</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8,786</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11,798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3,012</w:t>
            </w: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34%</w:t>
            </w:r>
          </w:p>
        </w:tc>
      </w:t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External costs</w:t>
            </w: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w:t>
            </w:r>
          </w:p>
        </w:tc>
      </w:tr>
      <w:tr>
        <w:trPr>
          <w:trHeight w:val="189"/>
        </w:trPr>
        <w:tc>
          <w:tcPr>
            <w:tcW w:w="4640" w:type="dxa"/>
            <w:vAlign w:val="bottom"/>
          </w:tcPr>
          <w:p>
            <w:pPr>
              <w:spacing w:after="0"/>
              <w:rPr>
                <w:sz w:val="20"/>
                <w:szCs w:val="20"/>
                <w:color w:val="auto"/>
              </w:rPr>
            </w:pPr>
            <w:r>
              <w:rPr>
                <w:rFonts w:ascii="Arial" w:cs="Arial" w:eastAsia="Arial" w:hAnsi="Arial"/>
                <w:sz w:val="16"/>
                <w:szCs w:val="16"/>
                <w:color w:val="auto"/>
              </w:rPr>
              <w:t>Other research and development expenses</w:t>
            </w: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237</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586</w:t>
            </w:r>
          </w:p>
        </w:tc>
        <w:tc>
          <w:tcPr>
            <w:tcW w:w="3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349</w:t>
            </w:r>
          </w:p>
        </w:tc>
        <w:tc>
          <w:tcPr>
            <w:tcW w:w="32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147%</w:t>
            </w:r>
          </w:p>
        </w:tc>
      </w:tr>
      <w:tr>
        <w:trPr>
          <w:trHeight w:val="24"/>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89"/>
        </w:trPr>
        <w:tc>
          <w:tcPr>
            <w:tcW w:w="4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research and development expenses</w:t>
            </w:r>
          </w:p>
        </w:tc>
        <w:tc>
          <w:tcPr>
            <w:tcW w:w="17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31,099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7,951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Research and development expenses were $23.1 million and $31.1 million for the years ended December 31, 2019 and 2020, respectively. The increase of $8.0 million, or 34%, was primarily due to:</w:t>
      </w:r>
    </w:p>
    <w:p>
      <w:pPr>
        <w:spacing w:after="0" w:line="76" w:lineRule="exact"/>
        <w:rPr>
          <w:sz w:val="20"/>
          <w:szCs w:val="20"/>
          <w:color w:val="auto"/>
        </w:rPr>
      </w:pPr>
    </w:p>
    <w:p>
      <w:pPr>
        <w:ind w:left="1660" w:right="180" w:hanging="469"/>
        <w:spacing w:after="0" w:line="266" w:lineRule="auto"/>
        <w:tabs>
          <w:tab w:leader="none" w:pos="1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of $3.4 million in personnel-related costs, including stock-based compensation, primarily due to growth in the number of our research and development employees as we expanded our research and development capabilities;</w:t>
      </w:r>
    </w:p>
    <w:p>
      <w:pPr>
        <w:spacing w:after="0" w:line="75"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of $3.0 million in facility and laboratory costs, including laboratory supplies and materials and other allocated costs, as we ramped up our research and development operations;</w:t>
      </w:r>
    </w:p>
    <w:p>
      <w:pPr>
        <w:spacing w:after="0" w:line="75" w:lineRule="exact"/>
        <w:rPr>
          <w:rFonts w:ascii="Arial" w:cs="Arial" w:eastAsia="Arial" w:hAnsi="Arial"/>
          <w:sz w:val="16"/>
          <w:szCs w:val="16"/>
          <w:color w:val="auto"/>
        </w:rPr>
      </w:pPr>
    </w:p>
    <w:p>
      <w:pPr>
        <w:ind w:left="1660" w:right="320" w:hanging="469"/>
        <w:spacing w:after="0" w:line="300" w:lineRule="auto"/>
        <w:tabs>
          <w:tab w:leader="none" w:pos="1660" w:val="left"/>
        </w:tabs>
        <w:numPr>
          <w:ilvl w:val="0"/>
          <w:numId w:val="75"/>
        </w:numPr>
        <w:rPr>
          <w:rFonts w:ascii="Arial" w:cs="Arial" w:eastAsia="Arial" w:hAnsi="Arial"/>
          <w:sz w:val="15"/>
          <w:szCs w:val="15"/>
          <w:color w:val="auto"/>
        </w:rPr>
      </w:pPr>
      <w:r>
        <w:rPr>
          <w:rFonts w:ascii="Arial" w:cs="Arial" w:eastAsia="Arial" w:hAnsi="Arial"/>
          <w:sz w:val="15"/>
          <w:szCs w:val="15"/>
          <w:color w:val="auto"/>
        </w:rPr>
        <w:t>an increase of $1.2 million in external costs, including amounts paid to CROs for research and development activities, consulting fees, preclinical studies and other external research expenses as we progressed development of our programs; and</w:t>
      </w:r>
    </w:p>
    <w:p>
      <w:pPr>
        <w:spacing w:after="0" w:line="52" w:lineRule="exact"/>
        <w:rPr>
          <w:rFonts w:ascii="Arial" w:cs="Arial" w:eastAsia="Arial" w:hAnsi="Arial"/>
          <w:sz w:val="15"/>
          <w:szCs w:val="15"/>
          <w:color w:val="auto"/>
        </w:rPr>
      </w:pPr>
    </w:p>
    <w:p>
      <w:pPr>
        <w:ind w:left="1660" w:right="260" w:hanging="469"/>
        <w:spacing w:after="0" w:line="266" w:lineRule="auto"/>
        <w:tabs>
          <w:tab w:leader="none" w:pos="16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 increase of $0.3 million in other research and development expenses, including licensing fees, due to entering into additional license agreements in 2020.</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99" w:lineRule="exact"/>
        <w:rPr>
          <w:sz w:val="20"/>
          <w:szCs w:val="20"/>
          <w:color w:val="auto"/>
        </w:rPr>
      </w:pPr>
    </w:p>
    <w:p>
      <w:pPr>
        <w:ind w:left="820" w:right="160" w:firstLine="385"/>
        <w:spacing w:after="0" w:line="253" w:lineRule="auto"/>
        <w:rPr>
          <w:sz w:val="20"/>
          <w:szCs w:val="20"/>
          <w:color w:val="auto"/>
        </w:rPr>
      </w:pPr>
      <w:r>
        <w:rPr>
          <w:rFonts w:ascii="Arial" w:cs="Arial" w:eastAsia="Arial" w:hAnsi="Arial"/>
          <w:sz w:val="16"/>
          <w:szCs w:val="16"/>
          <w:color w:val="auto"/>
        </w:rPr>
        <w:t>General and administrative expenses were $4.6 million and $7.8 million for the years ended December 31, 2019 and 2020, respectively. The increase of $3.2 million, or 71%, was primarily due to a $1.4 million increase in personnel-related expenses, including stock-based compensation, as a result of higher headcount as we grew our operations, a $1.2 million increase in professional service expenses and a $0.3 million increase in facility related expenses to support the growth of our operations.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Interest Income</w:t>
      </w:r>
    </w:p>
    <w:p>
      <w:pPr>
        <w:spacing w:after="0" w:line="99" w:lineRule="exact"/>
        <w:rPr>
          <w:sz w:val="20"/>
          <w:szCs w:val="20"/>
          <w:color w:val="auto"/>
        </w:rPr>
      </w:pPr>
    </w:p>
    <w:p>
      <w:pPr>
        <w:ind w:left="820" w:right="60" w:firstLine="385"/>
        <w:spacing w:after="0" w:line="300" w:lineRule="auto"/>
        <w:rPr>
          <w:sz w:val="20"/>
          <w:szCs w:val="20"/>
          <w:color w:val="auto"/>
        </w:rPr>
      </w:pPr>
      <w:r>
        <w:rPr>
          <w:rFonts w:ascii="Arial" w:cs="Arial" w:eastAsia="Arial" w:hAnsi="Arial"/>
          <w:sz w:val="15"/>
          <w:szCs w:val="15"/>
          <w:color w:val="auto"/>
        </w:rPr>
        <w:t>Interest income was $0.5 million and $0.1 million for the years ended December 31, 2019 and 2020, respectively. The decrease of $0.4 million, or 81%, was primarily due to lower average interest rates in 2020 as compared to 2019 and a change in our investment portfolio mix.</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Change in Fair Value of Convertible Preferred Stock Tranche Liability</w:t>
      </w:r>
    </w:p>
    <w:p>
      <w:pPr>
        <w:spacing w:after="0" w:line="99"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The $0.1 million change in fair value of our convertible preferred stock tranche liability for the year ended December 31, 2020 was attributable to changes in the fair value of the underlying Series B convertible preferred stock.</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99"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color w:val="auto"/>
        </w:rPr>
        <w:t>Other income (expense), net was $1.0 million and $0.4 million for the years ended December 31, 2019 and 2020, respectively. The decrease in other income of $0.7 million, or 65%, was primarily due to a $0.6 million reduction in sublease income as a result of the expiration of one of our sublease agreements in the third quarter of 2019.</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0440"/>
          </w:cols>
          <w:pgMar w:left="320" w:top="418" w:right="11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Liquidity and Capital Resources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Sources of Liquidity</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Since our inception, we have not generated any revenue and we have incurred significant net losses and negative cash flows from operations. To date, we have funded our operations primarily from the sale and issuance of our convertible preferred stock. From our inception through March 31, 2021, we raised an aggregate of $247.9 million in gross proceeds from sales of our convertible preferred stock. As of March 31, 2021, we had cash and cash equivalents of $128.4 million and an accumulated deficit of $95.9 million.</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99" w:lineRule="exact"/>
        <w:rPr>
          <w:sz w:val="20"/>
          <w:szCs w:val="20"/>
          <w:color w:val="auto"/>
        </w:rPr>
      </w:pPr>
    </w:p>
    <w:p>
      <w:pPr>
        <w:ind w:left="820" w:right="280" w:firstLine="385"/>
        <w:spacing w:after="0" w:line="266" w:lineRule="auto"/>
        <w:rPr>
          <w:sz w:val="20"/>
          <w:szCs w:val="20"/>
          <w:color w:val="auto"/>
        </w:rPr>
      </w:pPr>
      <w:r>
        <w:rPr>
          <w:rFonts w:ascii="Arial" w:cs="Arial" w:eastAsia="Arial" w:hAnsi="Arial"/>
          <w:sz w:val="16"/>
          <w:szCs w:val="16"/>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continue to advance our Gene Therapy, Cellular Regeneration and Precision Medicine platforms;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continue preclinical development of our product candidates and initiate additional preclinical studies;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commence clinical trials of our product candidates;</w:t>
      </w:r>
    </w:p>
    <w:p>
      <w:pPr>
        <w:spacing w:after="0" w:line="110"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build out our manufacturing facilities and establish our manufacturing capabilities, including developing our contract development and manufacturing relationships;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acquire and license technologies aligned with our Gene Therapy, Cellular Regeneration and Precision Medicine platforms;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seek regulatory approval of our product candidates that successfully complete clinical trials;</w:t>
      </w:r>
    </w:p>
    <w:p>
      <w:pPr>
        <w:spacing w:after="0" w:line="110" w:lineRule="exact"/>
        <w:rPr>
          <w:rFonts w:ascii="Arial" w:cs="Arial" w:eastAsia="Arial" w:hAnsi="Arial"/>
          <w:sz w:val="16"/>
          <w:szCs w:val="16"/>
          <w:color w:val="auto"/>
        </w:rPr>
      </w:pPr>
    </w:p>
    <w:p>
      <w:pPr>
        <w:ind w:left="1660" w:right="300" w:hanging="469"/>
        <w:spacing w:after="0" w:line="266" w:lineRule="auto"/>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expand our operational, financial, and management systems and increase personnel, including personnel to support our preclinical and clinical development, manufacturing, and future commercialization efforts;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continue to develop, grow, perfect, enforce and defend our intellectual property portfolio; and</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incur additional legal, accounting, and other expenses in operating our business, including the additional costs associated with operating as a public company.</w:t>
      </w:r>
    </w:p>
    <w:p>
      <w:pPr>
        <w:spacing w:after="0" w:line="158" w:lineRule="exact"/>
        <w:rPr>
          <w:sz w:val="20"/>
          <w:szCs w:val="20"/>
          <w:color w:val="auto"/>
        </w:rPr>
      </w:pPr>
    </w:p>
    <w:p>
      <w:pPr>
        <w:ind w:left="820" w:right="80" w:firstLine="385"/>
        <w:spacing w:after="0" w:line="383" w:lineRule="auto"/>
        <w:rPr>
          <w:sz w:val="20"/>
          <w:szCs w:val="20"/>
          <w:color w:val="auto"/>
        </w:rPr>
      </w:pPr>
      <w:r>
        <w:rPr>
          <w:rFonts w:ascii="Arial" w:cs="Arial" w:eastAsia="Arial" w:hAnsi="Arial"/>
          <w:sz w:val="13"/>
          <w:szCs w:val="13"/>
          <w:color w:val="auto"/>
        </w:rPr>
        <w:t>Based on our current operating plan and without giving effect to the anticipated net proceeds from this offering, we believe that our existing cash and cash equivalents will be sufficient to meet our working capital and capital expenditure needs for at least the next twelve months.</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also believe that the anticipated net proceeds from this offering, together with our existing cash and cash equivalents, will be sufficient to fund</w:t>
      </w:r>
    </w:p>
    <w:p>
      <w:pPr>
        <w:spacing w:after="0" w:line="51" w:lineRule="exact"/>
        <w:rPr>
          <w:sz w:val="20"/>
          <w:szCs w:val="20"/>
          <w:color w:val="auto"/>
        </w:rPr>
      </w:pPr>
    </w:p>
    <w:p>
      <w:pPr>
        <w:ind w:left="820" w:right="420"/>
        <w:spacing w:after="0" w:line="249" w:lineRule="auto"/>
        <w:rPr>
          <w:sz w:val="20"/>
          <w:szCs w:val="20"/>
          <w:color w:val="auto"/>
        </w:rPr>
      </w:pPr>
      <w:r>
        <w:rPr>
          <w:rFonts w:ascii="Arial" w:cs="Arial" w:eastAsia="Arial" w:hAnsi="Arial"/>
          <w:sz w:val="16"/>
          <w:szCs w:val="16"/>
          <w:color w:val="auto"/>
        </w:rPr>
        <w:t>our planned operating expenses and capital expenditure requirements for . We have based this estimate on assumptions that may prove to be wrong, and we could utilize our available capital resources sooner than we expect. We may also raise additional financing on an opportunistic basis in the future. We expect to continue to expend significant resources for the foreseeable future.</w:t>
      </w:r>
    </w:p>
    <w:p>
      <w:pPr>
        <w:spacing w:after="0" w:line="171"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w:t>
      </w:r>
    </w:p>
    <w:p>
      <w:pPr>
        <w:spacing w:after="0" w:line="102"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0400"/>
          </w:cols>
          <w:pgMar w:left="320" w:top="418" w:right="117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spacing w:after="0" w:line="323" w:lineRule="auto"/>
        <w:rPr>
          <w:sz w:val="20"/>
          <w:szCs w:val="20"/>
          <w:color w:val="auto"/>
        </w:rPr>
      </w:pPr>
      <w:r>
        <w:rPr>
          <w:rFonts w:ascii="Arial" w:cs="Arial" w:eastAsia="Arial" w:hAnsi="Arial"/>
          <w:sz w:val="13"/>
          <w:szCs w:val="13"/>
          <w:color w:val="auto"/>
        </w:rPr>
        <w:t>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126" w:lineRule="exact"/>
        <w:rPr>
          <w:sz w:val="20"/>
          <w:szCs w:val="20"/>
          <w:color w:val="auto"/>
        </w:rPr>
      </w:pPr>
    </w:p>
    <w:p>
      <w:pPr>
        <w:ind w:left="820" w:right="140" w:firstLine="385"/>
        <w:spacing w:after="0" w:line="270" w:lineRule="auto"/>
        <w:rPr>
          <w:sz w:val="20"/>
          <w:szCs w:val="20"/>
          <w:color w:val="auto"/>
        </w:rPr>
      </w:pPr>
      <w:r>
        <w:rPr>
          <w:rFonts w:ascii="Arial" w:cs="Arial" w:eastAsia="Arial" w:hAnsi="Arial"/>
          <w:sz w:val="15"/>
          <w:szCs w:val="15"/>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 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25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Flows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cash flows for each of the periods indicated.</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96"/>
              </w:rPr>
              <w:t>Three Months Ended</w:t>
            </w:r>
          </w:p>
        </w:tc>
      </w:tr>
      <w:tr>
        <w:trPr>
          <w:trHeight w:val="150"/>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80" w:type="dxa"/>
            <w:vAlign w:val="bottom"/>
            <w:gridSpan w:val="7"/>
          </w:tcPr>
          <w:p>
            <w:pPr>
              <w:jc w:val="right"/>
              <w:ind w:right="240"/>
              <w:spacing w:after="0"/>
              <w:rPr>
                <w:sz w:val="20"/>
                <w:szCs w:val="20"/>
                <w:color w:val="auto"/>
              </w:rPr>
            </w:pPr>
            <w:r>
              <w:rPr>
                <w:rFonts w:ascii="Arial" w:cs="Arial" w:eastAsia="Arial" w:hAnsi="Arial"/>
                <w:sz w:val="13"/>
                <w:szCs w:val="13"/>
                <w:b w:val="1"/>
                <w:bCs w:val="1"/>
                <w:color w:val="auto"/>
                <w:w w:val="88"/>
              </w:rPr>
              <w:t>Year Ended December 31,</w:t>
            </w:r>
          </w:p>
        </w:tc>
        <w:tc>
          <w:tcPr>
            <w:tcW w:w="120" w:type="dxa"/>
            <w:vAlign w:val="bottom"/>
          </w:tcPr>
          <w:p>
            <w:pPr>
              <w:spacing w:after="0"/>
              <w:rPr>
                <w:sz w:val="13"/>
                <w:szCs w:val="13"/>
                <w:color w:val="auto"/>
              </w:rPr>
            </w:pPr>
          </w:p>
        </w:tc>
        <w:tc>
          <w:tcPr>
            <w:tcW w:w="148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March 31,</w:t>
            </w:r>
          </w:p>
        </w:tc>
      </w:tr>
      <w:tr>
        <w:trPr>
          <w:trHeight w:val="121"/>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7"/>
              <w:spacing w:after="0" w:line="12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73"/>
              <w:spacing w:after="0" w:line="12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5"/>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0"/>
                <w:szCs w:val="10"/>
                <w:color w:val="auto"/>
              </w:rPr>
            </w:pPr>
          </w:p>
        </w:tc>
      </w:tr>
      <w:tr>
        <w:trPr>
          <w:trHeight w:val="121"/>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right"/>
              <w:ind w:right="520"/>
              <w:spacing w:after="0" w:line="122" w:lineRule="exact"/>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280" w:type="dxa"/>
            <w:vAlign w:val="bottom"/>
          </w:tcPr>
          <w:p>
            <w:pPr>
              <w:ind w:left="280"/>
              <w:spacing w:after="0"/>
              <w:rPr>
                <w:sz w:val="20"/>
                <w:szCs w:val="20"/>
                <w:color w:val="auto"/>
              </w:rPr>
            </w:pPr>
            <w:r>
              <w:rPr>
                <w:rFonts w:ascii="Arial" w:cs="Arial" w:eastAsia="Arial" w:hAnsi="Arial"/>
                <w:sz w:val="16"/>
                <w:szCs w:val="16"/>
                <w:color w:val="auto"/>
              </w:rPr>
              <w:t>Operating activities</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(24,096)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(35,447)</w:t>
            </w:r>
          </w:p>
        </w:tc>
        <w:tc>
          <w:tcPr>
            <w:tcW w:w="800" w:type="dxa"/>
            <w:vAlign w:val="bottom"/>
            <w:gridSpan w:val="3"/>
          </w:tcPr>
          <w:p>
            <w:pPr>
              <w:jc w:val="right"/>
              <w:ind w:right="100"/>
              <w:spacing w:after="0"/>
              <w:rPr>
                <w:sz w:val="20"/>
                <w:szCs w:val="20"/>
                <w:color w:val="auto"/>
              </w:rPr>
            </w:pPr>
            <w:r>
              <w:rPr>
                <w:rFonts w:ascii="Arial" w:cs="Arial" w:eastAsia="Arial" w:hAnsi="Arial"/>
                <w:sz w:val="16"/>
                <w:szCs w:val="16"/>
                <w:color w:val="auto"/>
              </w:rPr>
              <w:t>$ (8,238)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(15,789)</w:t>
            </w: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Investing activities</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(4,323)</w:t>
            </w:r>
          </w:p>
        </w:tc>
      </w:tr>
      <w:tr>
        <w:trPr>
          <w:trHeight w:val="192"/>
        </w:trPr>
        <w:tc>
          <w:tcPr>
            <w:tcW w:w="20" w:type="dxa"/>
            <w:vAlign w:val="bottom"/>
          </w:tcPr>
          <w:p>
            <w:pPr>
              <w:spacing w:after="0"/>
              <w:rPr>
                <w:sz w:val="16"/>
                <w:szCs w:val="16"/>
                <w:color w:val="auto"/>
              </w:rPr>
            </w:pPr>
          </w:p>
        </w:tc>
        <w:tc>
          <w:tcPr>
            <w:tcW w:w="5280" w:type="dxa"/>
            <w:vAlign w:val="bottom"/>
          </w:tcPr>
          <w:p>
            <w:pPr>
              <w:ind w:left="280"/>
              <w:spacing w:after="0"/>
              <w:rPr>
                <w:sz w:val="20"/>
                <w:szCs w:val="20"/>
                <w:color w:val="auto"/>
              </w:rPr>
            </w:pPr>
            <w:r>
              <w:rPr>
                <w:rFonts w:ascii="Arial" w:cs="Arial" w:eastAsia="Arial" w:hAnsi="Arial"/>
                <w:sz w:val="16"/>
                <w:szCs w:val="16"/>
                <w:color w:val="auto"/>
              </w:rPr>
              <w:t>Financing activities</w:t>
            </w:r>
          </w:p>
        </w:tc>
        <w:tc>
          <w:tcPr>
            <w:tcW w:w="10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30,511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147,268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20,015</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104,811</w:t>
            </w:r>
          </w:p>
        </w:tc>
        <w:tc>
          <w:tcPr>
            <w:tcW w:w="1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24,750</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(97)</w:t>
            </w: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99" w:lineRule="exact"/>
        <w:rPr>
          <w:sz w:val="20"/>
          <w:szCs w:val="20"/>
          <w:color w:val="auto"/>
        </w:rPr>
      </w:pPr>
    </w:p>
    <w:p>
      <w:pPr>
        <w:ind w:left="820" w:right="360" w:firstLine="385"/>
        <w:spacing w:after="0" w:line="311" w:lineRule="auto"/>
        <w:rPr>
          <w:sz w:val="20"/>
          <w:szCs w:val="20"/>
          <w:color w:val="auto"/>
        </w:rPr>
      </w:pPr>
      <w:r>
        <w:rPr>
          <w:rFonts w:ascii="Arial" w:cs="Arial" w:eastAsia="Arial" w:hAnsi="Arial"/>
          <w:sz w:val="13"/>
          <w:szCs w:val="13"/>
          <w:color w:val="auto"/>
        </w:rPr>
        <w:t>Net cash used in operating activities for the three months ended March 31, 2021 was $15.8 million, which consisted primarily of a net loss of $13.1 million and a net change in net operating assets and liabilities of $4.0 million, partially offset by $1.3 million in non-cash charges.</w:t>
      </w:r>
    </w:p>
    <w:p>
      <w:pPr>
        <w:spacing w:after="0" w:line="1" w:lineRule="exact"/>
        <w:rPr>
          <w:sz w:val="20"/>
          <w:szCs w:val="20"/>
          <w:color w:val="auto"/>
        </w:rPr>
      </w:pPr>
    </w:p>
    <w:p>
      <w:pPr>
        <w:jc w:val="both"/>
        <w:ind w:left="820" w:right="80"/>
        <w:spacing w:after="0" w:line="302" w:lineRule="auto"/>
        <w:rPr>
          <w:sz w:val="20"/>
          <w:szCs w:val="20"/>
          <w:color w:val="auto"/>
        </w:rPr>
      </w:pPr>
      <w:r>
        <w:rPr>
          <w:rFonts w:ascii="Arial" w:cs="Arial" w:eastAsia="Arial" w:hAnsi="Arial"/>
          <w:sz w:val="13"/>
          <w:szCs w:val="13"/>
          <w:color w:val="auto"/>
        </w:rPr>
        <w:t>The non-cash charges primarily consisted of depreciation and amortization of $0.7 million, stock-based compensation of $0.4 million and the non-cash operating lease expense of $0.2 million. The change in net operating assets and liabilities was primarily due to an increase in other non-current assets of $3.3 million related to a security deposit for a lease entered into in February 2021, a decrease in accrued expenses and other current liabilities of</w:t>
      </w:r>
    </w:p>
    <w:p>
      <w:pPr>
        <w:spacing w:after="0" w:line="2"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$1.0 million and a decrease in operating lease liabilities of $0.4 million, partially offset by an increase in accounts payable of $0.6 million and a decrease in prepaid expenses and other current assets of $0.1 million.</w:t>
      </w:r>
    </w:p>
    <w:p>
      <w:pPr>
        <w:spacing w:after="0" w:line="168" w:lineRule="exact"/>
        <w:rPr>
          <w:sz w:val="20"/>
          <w:szCs w:val="20"/>
          <w:color w:val="auto"/>
        </w:rPr>
      </w:pPr>
    </w:p>
    <w:p>
      <w:pPr>
        <w:ind w:left="820" w:right="440" w:firstLine="385"/>
        <w:spacing w:after="0" w:line="270" w:lineRule="auto"/>
        <w:rPr>
          <w:sz w:val="20"/>
          <w:szCs w:val="20"/>
          <w:color w:val="auto"/>
        </w:rPr>
      </w:pPr>
      <w:r>
        <w:rPr>
          <w:rFonts w:ascii="Arial" w:cs="Arial" w:eastAsia="Arial" w:hAnsi="Arial"/>
          <w:sz w:val="15"/>
          <w:szCs w:val="15"/>
          <w:color w:val="auto"/>
        </w:rPr>
        <w:t>Net cash used in operating activities for the three months ended March 31, 2020 was $8.2 million, which consisted primarily of a net loss of $9.1 million and a net change in net operating assets and liabilities of $21,000, partially offset by $0.8 million in non-cash charges.</w:t>
      </w:r>
    </w:p>
    <w:p>
      <w:pPr>
        <w:spacing w:after="0" w:line="1" w:lineRule="exact"/>
        <w:rPr>
          <w:sz w:val="20"/>
          <w:szCs w:val="20"/>
          <w:color w:val="auto"/>
        </w:rPr>
      </w:pPr>
    </w:p>
    <w:p>
      <w:pPr>
        <w:ind w:left="820" w:right="40"/>
        <w:spacing w:after="0" w:line="323" w:lineRule="auto"/>
        <w:rPr>
          <w:sz w:val="20"/>
          <w:szCs w:val="20"/>
          <w:color w:val="auto"/>
        </w:rPr>
      </w:pPr>
      <w:r>
        <w:rPr>
          <w:rFonts w:ascii="Arial" w:cs="Arial" w:eastAsia="Arial" w:hAnsi="Arial"/>
          <w:sz w:val="13"/>
          <w:szCs w:val="13"/>
          <w:color w:val="auto"/>
        </w:rPr>
        <w:t>The non-cash charges primarily consisted of depreciation and amortization of $0.6 million and stock-based compensation of $0.2 million. The change in net operating assets and liabilities was primarily due to an increase in accounts payable of $0.7 million and a decrease in prepaid expenses and other current assets of $0.2 million, partially offset by a decrease in accrued expenses and other current liabilities of $0.5 million, a decrease in deferred rent and other lease liabilities of $0.2 million and an increase in other non-current assets of $0.2 million as we expanded our operations.</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0440"/>
          </w:cols>
          <w:pgMar w:left="320" w:top="418" w:right="11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70" w:lineRule="auto"/>
        <w:rPr>
          <w:sz w:val="20"/>
          <w:szCs w:val="20"/>
          <w:color w:val="auto"/>
        </w:rPr>
      </w:pPr>
      <w:r>
        <w:rPr>
          <w:rFonts w:ascii="Arial" w:cs="Arial" w:eastAsia="Arial" w:hAnsi="Arial"/>
          <w:sz w:val="15"/>
          <w:szCs w:val="15"/>
          <w:color w:val="auto"/>
        </w:rPr>
        <w:t>Net cash used in operating activities for the year ended December 31, 2020 was $35.4 million, which consisted primarily of a net loss of $38.4 million and a net change in net operating assets and liabilities of $0.2 million, partially offset by $3.2 million in non-cash charges. The non-cash charges primarily consisted of depreciation and amortization of $2.5 million and stock-based compensation of $0.7 million. The change in net operating assets and liabilities was primarily due to a decrease in deferred rent of $0.8 million, an increase in prepaid expenses and other current assets of $0.3 million and an increase in other non-current assets of $0.2 million, partially offset by an increase in accrued expenses and other current liabilities of $0.9 million and an increase in accounts payable of $0.1 million as we expanded our operations.</w:t>
      </w:r>
    </w:p>
    <w:p>
      <w:pPr>
        <w:spacing w:after="0" w:line="156"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Net cash used in operating activities for the year ended December 31, 2019 was $24.1 million, which consisted primarily of a net loss of $26.2 million and a net change in net operating assets and liabilities of $0.3 million, partially offset by $2.4 million in non-cash charges. The non-cash charges primarily consisted of depreciation and amortization of $2.0 million and stock-based compensation of $0.4 million. The change in net operating assets and liabilities was primarily due to a decrease in deferred rent of $0.7 million and increase in prepaid expenses and other current assets of $0.4 million, partially offset by an increase in accounts payable of $0.4 million and an increase in accrued expenses and other current liabilities of $0.5 million as we expanded our operations.</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99"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Net cash used in investing activities for the three months ended March 31, 2021 was $4.3 million, which consisted of purchases of property and equipment that primarily related to our manufacturing and office space in the San Francisco Bay Area.</w:t>
      </w:r>
    </w:p>
    <w:p>
      <w:pPr>
        <w:spacing w:after="0" w:line="158" w:lineRule="exact"/>
        <w:rPr>
          <w:sz w:val="20"/>
          <w:szCs w:val="20"/>
          <w:color w:val="auto"/>
        </w:rPr>
      </w:pPr>
    </w:p>
    <w:p>
      <w:pPr>
        <w:ind w:left="820" w:right="600" w:firstLine="385"/>
        <w:spacing w:after="0" w:line="300" w:lineRule="auto"/>
        <w:rPr>
          <w:sz w:val="20"/>
          <w:szCs w:val="20"/>
          <w:color w:val="auto"/>
        </w:rPr>
      </w:pPr>
      <w:r>
        <w:rPr>
          <w:rFonts w:ascii="Arial" w:cs="Arial" w:eastAsia="Arial" w:hAnsi="Arial"/>
          <w:sz w:val="15"/>
          <w:szCs w:val="15"/>
          <w:color w:val="auto"/>
        </w:rPr>
        <w:t>Net cash provided by investing activities for the three months ended March 31, 2020 was $2.3 million, which consisted of proceeds from maturities of marketable securities of $2.8 million, partially offset by purchases of property and equipment of $0.4 million.</w:t>
      </w:r>
    </w:p>
    <w:p>
      <w:pPr>
        <w:spacing w:after="0" w:line="135"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Net cash used in investing activities for the year ended December 31, 2020 was $7.0 million, which consisted of purchases of property and equipment of $9.8 million that primarily related to our manufacturing and office space in the San Francisco Bay Area, partially offset by proceeds from maturities of marketable securities of $2.8 million.</w:t>
      </w:r>
    </w:p>
    <w:p>
      <w:pPr>
        <w:spacing w:after="0" w:line="166" w:lineRule="exact"/>
        <w:rPr>
          <w:sz w:val="20"/>
          <w:szCs w:val="20"/>
          <w:color w:val="auto"/>
        </w:rPr>
      </w:pPr>
    </w:p>
    <w:p>
      <w:pPr>
        <w:ind w:left="820" w:right="500" w:firstLine="385"/>
        <w:spacing w:after="0" w:line="300" w:lineRule="auto"/>
        <w:rPr>
          <w:sz w:val="20"/>
          <w:szCs w:val="20"/>
          <w:color w:val="auto"/>
        </w:rPr>
      </w:pPr>
      <w:r>
        <w:rPr>
          <w:rFonts w:ascii="Arial" w:cs="Arial" w:eastAsia="Arial" w:hAnsi="Arial"/>
          <w:sz w:val="15"/>
          <w:szCs w:val="15"/>
          <w:color w:val="auto"/>
        </w:rPr>
        <w:t>Net cash used in investing activities for the year ended December 31, 2019 was $5.6 million, which consisted of purchases of property and equipment of $2.9 million and net purchases of and proceeds from maturities of marketable securities of $2.7 million.</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Net cash provided by financing activities for the three months ended March 31, 2021 was $20.0 million, which primarily consisted of net proceeds received from the issuance of our Series C convertible preferred stock.</w:t>
      </w:r>
    </w:p>
    <w:p>
      <w:pPr>
        <w:spacing w:after="0" w:line="15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Net cash provided by financing activities for the three months ended March 31, 2020 was $30.7 million, which primarily consisted of net proceeds received from the sale and issuance of our Series B convertible preferred stock.</w:t>
      </w:r>
    </w:p>
    <w:p>
      <w:pPr>
        <w:spacing w:after="0" w:line="158"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Net cash provided by financing activities for the year ended December 31, 2020 was $147.3 million, which consisted of net proceeds received from the sale and issuance of our Series B convertible preferred stock of $61.3 million and net proceeds received from the initial closing of our Series C convertible preferred stock of $86.0 million.</w:t>
      </w:r>
    </w:p>
    <w:p>
      <w:pPr>
        <w:spacing w:after="0" w:line="166" w:lineRule="exact"/>
        <w:rPr>
          <w:sz w:val="20"/>
          <w:szCs w:val="20"/>
          <w:color w:val="auto"/>
        </w:rPr>
      </w:pPr>
    </w:p>
    <w:p>
      <w:pPr>
        <w:ind w:left="820" w:right="20" w:firstLine="385"/>
        <w:spacing w:after="0" w:line="383" w:lineRule="auto"/>
        <w:rPr>
          <w:sz w:val="20"/>
          <w:szCs w:val="20"/>
          <w:color w:val="auto"/>
        </w:rPr>
      </w:pPr>
      <w:r>
        <w:rPr>
          <w:rFonts w:ascii="Arial" w:cs="Arial" w:eastAsia="Arial" w:hAnsi="Arial"/>
          <w:sz w:val="13"/>
          <w:szCs w:val="13"/>
          <w:color w:val="auto"/>
        </w:rPr>
        <w:t>Net cash provided by financing activities for the year ended December 31, 2019 was $30.5 million, which consisted of net proceeds received from the sale and issuance of our Series B convertible preferred stock of $30.4 million and proceeds from the exercise of stock options of $0.1 million.</w:t>
      </w:r>
    </w:p>
    <w:p>
      <w:pPr>
        <w:spacing w:after="0" w:line="3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0420"/>
          </w:cols>
          <w:pgMar w:left="320" w:top="418" w:right="115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Contractual Obligations and Other Commitments</w:t>
      </w:r>
    </w:p>
    <w:p>
      <w:pPr>
        <w:spacing w:after="0" w:line="103"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We enter into contracts in the normal course of business with contract research organizations for preclinical studies and other services, which are generally cancellable with limited notice.</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our contractual obligations and other commitments as of December 31, 2020:</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5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center"/>
              <w:ind w:left="73"/>
              <w:spacing w:after="0"/>
              <w:rPr>
                <w:sz w:val="20"/>
                <w:szCs w:val="20"/>
                <w:color w:val="auto"/>
              </w:rPr>
            </w:pPr>
            <w:r>
              <w:rPr>
                <w:rFonts w:ascii="Arial" w:cs="Arial" w:eastAsia="Arial" w:hAnsi="Arial"/>
                <w:sz w:val="13"/>
                <w:szCs w:val="13"/>
                <w:b w:val="1"/>
                <w:bCs w:val="1"/>
                <w:color w:val="auto"/>
                <w:w w:val="86"/>
              </w:rPr>
              <w:t>Payments Due by Period</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02"/>
        </w:trPr>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gridSpan w:val="2"/>
          </w:tcPr>
          <w:p>
            <w:pPr>
              <w:ind w:left="20"/>
              <w:spacing w:after="0" w:line="102" w:lineRule="exact"/>
              <w:rPr>
                <w:sz w:val="20"/>
                <w:szCs w:val="20"/>
                <w:color w:val="auto"/>
              </w:rPr>
            </w:pPr>
            <w:r>
              <w:rPr>
                <w:rFonts w:ascii="Arial" w:cs="Arial" w:eastAsia="Arial" w:hAnsi="Arial"/>
                <w:sz w:val="10"/>
                <w:szCs w:val="10"/>
                <w:b w:val="1"/>
                <w:bCs w:val="1"/>
                <w:color w:val="auto"/>
              </w:rPr>
              <w:t>More</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30"/>
        </w:trPr>
        <w:tc>
          <w:tcPr>
            <w:tcW w:w="5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right"/>
              <w:ind w:right="127"/>
              <w:spacing w:after="0" w:line="130" w:lineRule="exact"/>
              <w:rPr>
                <w:sz w:val="20"/>
                <w:szCs w:val="20"/>
                <w:color w:val="auto"/>
              </w:rPr>
            </w:pPr>
            <w:r>
              <w:rPr>
                <w:rFonts w:ascii="Arial" w:cs="Arial" w:eastAsia="Arial" w:hAnsi="Arial"/>
                <w:sz w:val="13"/>
                <w:szCs w:val="13"/>
                <w:b w:val="1"/>
                <w:bCs w:val="1"/>
                <w:color w:val="auto"/>
                <w:w w:val="94"/>
              </w:rPr>
              <w:t>Less</w:t>
            </w:r>
          </w:p>
        </w:tc>
        <w:tc>
          <w:tcPr>
            <w:tcW w:w="300" w:type="dxa"/>
            <w:vAlign w:val="bottom"/>
          </w:tcPr>
          <w:p>
            <w:pPr>
              <w:spacing w:after="0"/>
              <w:rPr>
                <w:sz w:val="11"/>
                <w:szCs w:val="11"/>
                <w:color w:val="auto"/>
              </w:rPr>
            </w:pPr>
          </w:p>
        </w:tc>
        <w:tc>
          <w:tcPr>
            <w:tcW w:w="4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2"/>
              </w:rPr>
              <w:t>1 to 3</w:t>
            </w:r>
          </w:p>
        </w:tc>
        <w:tc>
          <w:tcPr>
            <w:tcW w:w="34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3"/>
                <w:szCs w:val="13"/>
                <w:b w:val="1"/>
                <w:bCs w:val="1"/>
                <w:color w:val="auto"/>
              </w:rPr>
              <w:t>3 to 5</w:t>
            </w:r>
          </w:p>
        </w:tc>
        <w:tc>
          <w:tcPr>
            <w:tcW w:w="480" w:type="dxa"/>
            <w:vAlign w:val="bottom"/>
            <w:gridSpan w:val="3"/>
          </w:tcPr>
          <w:p>
            <w:pPr>
              <w:ind w:left="140"/>
              <w:spacing w:after="0" w:line="130" w:lineRule="exact"/>
              <w:rPr>
                <w:sz w:val="20"/>
                <w:szCs w:val="20"/>
                <w:color w:val="auto"/>
              </w:rPr>
            </w:pPr>
            <w:r>
              <w:rPr>
                <w:rFonts w:ascii="Arial" w:cs="Arial" w:eastAsia="Arial" w:hAnsi="Arial"/>
                <w:sz w:val="13"/>
                <w:szCs w:val="13"/>
                <w:b w:val="1"/>
                <w:bCs w:val="1"/>
                <w:color w:val="auto"/>
                <w:w w:val="83"/>
              </w:rPr>
              <w:t>than 5</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592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87"/>
              </w:rPr>
              <w:t>than 1 year</w:t>
            </w:r>
          </w:p>
        </w:tc>
        <w:tc>
          <w:tcPr>
            <w:tcW w:w="3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2"/>
              </w:rPr>
              <w:t>years</w:t>
            </w:r>
          </w:p>
        </w:tc>
        <w:tc>
          <w:tcPr>
            <w:tcW w:w="3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years</w:t>
            </w:r>
          </w:p>
        </w:tc>
        <w:tc>
          <w:tcPr>
            <w:tcW w:w="140" w:type="dxa"/>
            <w:vAlign w:val="bottom"/>
          </w:tcPr>
          <w:p>
            <w:pPr>
              <w:spacing w:after="0"/>
              <w:rPr>
                <w:sz w:val="13"/>
                <w:szCs w:val="13"/>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years</w:t>
            </w:r>
          </w:p>
        </w:tc>
        <w:tc>
          <w:tcPr>
            <w:tcW w:w="340" w:type="dxa"/>
            <w:vAlign w:val="bottom"/>
          </w:tcPr>
          <w:p>
            <w:pPr>
              <w:spacing w:after="0"/>
              <w:rPr>
                <w:sz w:val="13"/>
                <w:szCs w:val="13"/>
                <w:color w:val="auto"/>
              </w:rPr>
            </w:pPr>
          </w:p>
        </w:tc>
        <w:tc>
          <w:tcPr>
            <w:tcW w:w="56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r>
      <w:tr>
        <w:trPr>
          <w:trHeight w:val="121"/>
        </w:trPr>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3"/>
          </w:tcPr>
          <w:p>
            <w:pPr>
              <w:jc w:val="center"/>
              <w:ind w:right="40"/>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5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w:t>
            </w: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740" w:type="dxa"/>
            <w:vAlign w:val="bottom"/>
            <w:gridSpan w:val="2"/>
            <w:shd w:val="clear" w:color="auto" w:fill="CCEEFF"/>
          </w:tcPr>
          <w:p>
            <w:pPr>
              <w:jc w:val="center"/>
              <w:ind w:left="221"/>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4,489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3,362</w:t>
            </w:r>
          </w:p>
        </w:tc>
        <w:tc>
          <w:tcPr>
            <w:tcW w:w="1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87"/>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11,603</w:t>
            </w:r>
          </w:p>
        </w:tc>
        <w:tc>
          <w:tcPr>
            <w:tcW w:w="40" w:type="dxa"/>
            <w:vAlign w:val="bottom"/>
            <w:shd w:val="clear" w:color="auto" w:fill="CCEEFF"/>
          </w:tcPr>
          <w:p>
            <w:pPr>
              <w:spacing w:after="0"/>
              <w:rPr>
                <w:sz w:val="16"/>
                <w:szCs w:val="16"/>
                <w:color w:val="auto"/>
              </w:rPr>
            </w:pPr>
          </w:p>
        </w:tc>
      </w:tr>
      <w:tr>
        <w:trPr>
          <w:trHeight w:val="192"/>
        </w:trPr>
        <w:tc>
          <w:tcPr>
            <w:tcW w:w="592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3,752</w:t>
            </w:r>
          </w:p>
        </w:tc>
        <w:tc>
          <w:tcPr>
            <w:tcW w:w="3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4,489</w:t>
            </w:r>
          </w:p>
        </w:tc>
        <w:tc>
          <w:tcPr>
            <w:tcW w:w="34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1"/>
              </w:rPr>
              <w:t>$</w:t>
            </w:r>
            <w:r>
              <w:rPr>
                <w:rFonts w:ascii="Arial" w:cs="Arial" w:eastAsia="Arial" w:hAnsi="Arial"/>
                <w:sz w:val="16"/>
                <w:szCs w:val="16"/>
                <w:color w:val="auto"/>
                <w:w w:val="81"/>
              </w:rPr>
              <w:t>3,362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w w:val="87"/>
              </w:rPr>
              <w:t>—</w:t>
            </w:r>
          </w:p>
        </w:tc>
        <w:tc>
          <w:tcPr>
            <w:tcW w:w="340" w:type="dxa"/>
            <w:vAlign w:val="bottom"/>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2"/>
              </w:rPr>
              <w:t>$</w:t>
            </w:r>
            <w:r>
              <w:rPr>
                <w:rFonts w:ascii="Arial" w:cs="Arial" w:eastAsia="Arial" w:hAnsi="Arial"/>
                <w:sz w:val="16"/>
                <w:szCs w:val="16"/>
                <w:color w:val="auto"/>
                <w:w w:val="82"/>
              </w:rPr>
              <w:t>11,603</w:t>
            </w:r>
          </w:p>
        </w:tc>
        <w:tc>
          <w:tcPr>
            <w:tcW w:w="40" w:type="dxa"/>
            <w:vAlign w:val="bottom"/>
          </w:tcPr>
          <w:p>
            <w:pPr>
              <w:spacing w:after="0"/>
              <w:rPr>
                <w:sz w:val="16"/>
                <w:szCs w:val="16"/>
                <w:color w:val="auto"/>
              </w:rPr>
            </w:pPr>
          </w:p>
        </w:tc>
      </w:tr>
      <w:tr>
        <w:trPr>
          <w:trHeight w:val="20"/>
        </w:trPr>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The obligations noted above represent our operating lease obligations related to our leased facility currently occupied in South San Francisco, California, with a lease term that expires in May 2025. The table does not include the operating lease we entered into in the San Francisco Bay Area in February 2021 for our manufacturing facility, which commenced in May 2021 and has a ten-year term. Payments associated with this operating lease agreement will result in additional operating lease obligations not included in the above table of approximately $13.9 million plus operating expenses.</w:t>
      </w:r>
    </w:p>
    <w:p>
      <w:pPr>
        <w:spacing w:after="0" w:line="123" w:lineRule="exact"/>
        <w:rPr>
          <w:sz w:val="20"/>
          <w:szCs w:val="20"/>
          <w:color w:val="auto"/>
        </w:rPr>
      </w:pPr>
    </w:p>
    <w:p>
      <w:pPr>
        <w:ind w:left="820" w:right="100" w:firstLine="385"/>
        <w:spacing w:after="0" w:line="323" w:lineRule="auto"/>
        <w:rPr>
          <w:sz w:val="20"/>
          <w:szCs w:val="20"/>
          <w:color w:val="auto"/>
        </w:rPr>
      </w:pPr>
      <w:r>
        <w:rPr>
          <w:rFonts w:ascii="Arial" w:cs="Arial" w:eastAsia="Arial" w:hAnsi="Arial"/>
          <w:sz w:val="13"/>
          <w:szCs w:val="13"/>
          <w:color w:val="auto"/>
        </w:rPr>
        <w:t>We also enter into contracts in the normal course of business with various third parties for preclinical studies, manufacturing services with CDMOs and other services. These contracts generally provide for termination upon limited notice, and therefore we believe that our noncancelable obligations under these agreements are not material. These payments are not included in the table above. This table also does not include any milestone or royalty payments to third parties as the amounts, timing and likelihood of such payments are not known at this time. See Note 5 to our audited financial statements and Note 5 to our unaudited interim condensed financial statements included elsewhere in this prospectus.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Off-Balance Sheet Arrangements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Since inception, we have not engaged in any off-balance sheet arrangements as defined in the rules and regulations of the SEC.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3"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Our management’s discussion and analysis of the financial condition and results of operations is based on our financial statements, which have been prepared in accordance with the U.S. generally accepted accounting principles, or GAAP. The preparation of our financial statements requires us to make estimates and assumptions that affect the reported amounts of assets, liabilities, expenses and related disclosures. Our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6" w:lineRule="exact"/>
        <w:rPr>
          <w:sz w:val="20"/>
          <w:szCs w:val="20"/>
          <w:color w:val="auto"/>
        </w:rPr>
      </w:pPr>
    </w:p>
    <w:p>
      <w:pPr>
        <w:jc w:val="both"/>
        <w:ind w:left="820" w:right="120" w:firstLine="385"/>
        <w:spacing w:after="0" w:line="256" w:lineRule="auto"/>
        <w:rPr>
          <w:sz w:val="20"/>
          <w:szCs w:val="20"/>
          <w:color w:val="auto"/>
        </w:rPr>
      </w:pPr>
      <w:r>
        <w:rPr>
          <w:rFonts w:ascii="Arial" w:cs="Arial" w:eastAsia="Arial" w:hAnsi="Arial"/>
          <w:sz w:val="16"/>
          <w:szCs w:val="16"/>
          <w:color w:val="auto"/>
        </w:rPr>
        <w:t>While our significant accounting policies are described in the notes to our financial statements included elsewhere in this prospectus, we believe that the following accounting policies are critical to understanding our historical and future performance, as these policies relate to the more significant areas involving management’s judgments and estimates.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0440"/>
          </w:cols>
          <w:pgMar w:left="320" w:top="418" w:right="1139" w:bottom="1440" w:gutter="0" w:footer="0" w:header="0"/>
        </w:sectPr>
      </w:pPr>
    </w:p>
    <w:bookmarkStart w:id="117" w:name="page118"/>
    <w:bookmarkEnd w:id="1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820" w:right="60" w:firstLine="385"/>
        <w:spacing w:after="0" w:line="314" w:lineRule="auto"/>
        <w:rPr>
          <w:sz w:val="20"/>
          <w:szCs w:val="20"/>
          <w:color w:val="auto"/>
        </w:rPr>
      </w:pPr>
      <w:r>
        <w:rPr>
          <w:rFonts w:ascii="Arial" w:cs="Arial" w:eastAsia="Arial" w:hAnsi="Arial"/>
          <w:sz w:val="13"/>
          <w:szCs w:val="13"/>
          <w:color w:val="auto"/>
        </w:rPr>
        <w:t>We record research and development costs in the periods in which they are incurred. Goods or services incurred for research and development activities that have not yet been invoiced are recorded as liabilities within accrued expenses and other current liabilities on the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We make judgments and estimates in determining the accrued and other current liabilities balance. If the actual timing of the performance of services or the level of effort varies from the estimate, we adjust accrued expenses or prepaid expenses accordingly, which impact research and development expenses. We have not experienced any material differences between accrued costs and actual costs incurred. Changes in these estimates that result in material changes to our accrued costs could materially affect our results of operations.</w:t>
      </w:r>
    </w:p>
    <w:p>
      <w:pPr>
        <w:spacing w:after="0" w:line="133"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We have and may continue to acquire the rights to licensed technology that represents in-process research and development to use and develop in the commercialization of product candidates, if approved. The upfront payments made to acquire licenses, products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We measure and record expense related to all equity awards granted to employees and non-employees in the statements of operations based on their grant date estimated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fair value of restricted stock awards is determined on the date of grant based on the estimated fair value of our common stock on that date.</w:t>
      </w:r>
    </w:p>
    <w:p>
      <w:pPr>
        <w:spacing w:after="0" w:line="22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For purposes of determining the estimated fair value of options granted to employees and non-employees, we use the Black-Scholes option pricing model, which requires the use of highly subjective assumptions. These assumptions include:</w:t>
      </w:r>
    </w:p>
    <w:p>
      <w:pPr>
        <w:spacing w:after="0" w:line="76" w:lineRule="exact"/>
        <w:rPr>
          <w:sz w:val="20"/>
          <w:szCs w:val="20"/>
          <w:color w:val="auto"/>
        </w:rPr>
      </w:pPr>
    </w:p>
    <w:p>
      <w:pPr>
        <w:ind w:left="1660" w:hanging="469"/>
        <w:spacing w:after="0"/>
        <w:tabs>
          <w:tab w:leader="none" w:pos="166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Fair Value of Common Stock</w:t>
      </w:r>
      <w:r>
        <w:rPr>
          <w:rFonts w:ascii="Arial" w:cs="Arial" w:eastAsia="Arial" w:hAnsi="Arial"/>
          <w:sz w:val="16"/>
          <w:szCs w:val="16"/>
          <w:color w:val="auto"/>
        </w:rPr>
        <w:t>—See the subsection titled “—Common Stock Valuations” below.</w:t>
      </w:r>
    </w:p>
    <w:p>
      <w:pPr>
        <w:spacing w:after="0" w:line="110" w:lineRule="exact"/>
        <w:rPr>
          <w:rFonts w:ascii="Arial" w:cs="Arial" w:eastAsia="Arial" w:hAnsi="Arial"/>
          <w:sz w:val="16"/>
          <w:szCs w:val="16"/>
          <w:color w:val="auto"/>
        </w:rPr>
      </w:pPr>
    </w:p>
    <w:p>
      <w:pPr>
        <w:ind w:left="1660" w:right="140" w:hanging="469"/>
        <w:spacing w:after="0" w:line="383" w:lineRule="auto"/>
        <w:tabs>
          <w:tab w:leader="none" w:pos="1660" w:val="left"/>
        </w:tabs>
        <w:numPr>
          <w:ilvl w:val="0"/>
          <w:numId w:val="77"/>
        </w:numPr>
        <w:rPr>
          <w:rFonts w:ascii="Arial" w:cs="Arial" w:eastAsia="Arial" w:hAnsi="Arial"/>
          <w:sz w:val="13"/>
          <w:szCs w:val="13"/>
          <w:color w:val="auto"/>
        </w:rPr>
      </w:pPr>
      <w:r>
        <w:rPr>
          <w:rFonts w:ascii="Arial" w:cs="Arial" w:eastAsia="Arial" w:hAnsi="Arial"/>
          <w:sz w:val="13"/>
          <w:szCs w:val="13"/>
          <w:i w:val="1"/>
          <w:iCs w:val="1"/>
          <w:color w:val="auto"/>
        </w:rPr>
        <w:t>Expected Term</w:t>
      </w:r>
      <w:r>
        <w:rPr>
          <w:rFonts w:ascii="Arial" w:cs="Arial" w:eastAsia="Arial" w:hAnsi="Arial"/>
          <w:sz w:val="13"/>
          <w:szCs w:val="13"/>
          <w:color w:val="auto"/>
        </w:rPr>
        <w:t>—We determine the expected term, which represents the period that stock-based awards are expected to be outstanding, in</w:t>
      </w:r>
      <w:r>
        <w:rPr>
          <w:rFonts w:ascii="Arial" w:cs="Arial" w:eastAsia="Arial" w:hAnsi="Arial"/>
          <w:sz w:val="13"/>
          <w:szCs w:val="13"/>
          <w:i w:val="1"/>
          <w:iCs w:val="1"/>
          <w:color w:val="auto"/>
        </w:rPr>
        <w:t xml:space="preserve"> </w:t>
      </w:r>
      <w:r>
        <w:rPr>
          <w:rFonts w:ascii="Arial" w:cs="Arial" w:eastAsia="Arial" w:hAnsi="Arial"/>
          <w:sz w:val="13"/>
          <w:szCs w:val="13"/>
          <w:color w:val="auto"/>
        </w:rPr>
        <w:t>accordance with the simplified method, which is presumed to be the mid-point between the contractual term and the vesting term.</w:t>
      </w:r>
    </w:p>
    <w:p>
      <w:pPr>
        <w:spacing w:after="0" w:line="6" w:lineRule="exact"/>
        <w:rPr>
          <w:rFonts w:ascii="Arial" w:cs="Arial" w:eastAsia="Arial" w:hAnsi="Arial"/>
          <w:sz w:val="13"/>
          <w:szCs w:val="13"/>
          <w:color w:val="auto"/>
        </w:rPr>
      </w:pPr>
    </w:p>
    <w:p>
      <w:pPr>
        <w:ind w:left="1660" w:right="160" w:hanging="469"/>
        <w:spacing w:after="0" w:line="253" w:lineRule="auto"/>
        <w:tabs>
          <w:tab w:leader="none" w:pos="166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—As there is no trading history for our common stock, we have determined our computation of expected volatility on</w:t>
      </w:r>
      <w:r>
        <w:rPr>
          <w:rFonts w:ascii="Arial" w:cs="Arial" w:eastAsia="Arial" w:hAnsi="Arial"/>
          <w:sz w:val="16"/>
          <w:szCs w:val="16"/>
          <w:i w:val="1"/>
          <w:iCs w:val="1"/>
          <w:color w:val="auto"/>
        </w:rPr>
        <w:t xml:space="preserve"> </w:t>
      </w:r>
      <w:r>
        <w:rPr>
          <w:rFonts w:ascii="Arial" w:cs="Arial" w:eastAsia="Arial" w:hAnsi="Arial"/>
          <w:sz w:val="16"/>
          <w:szCs w:val="16"/>
          <w:color w:val="auto"/>
        </w:rPr>
        <w:t>the historical volatility of a representative group of public companies with similar characteristics to us, including stage of product development and life science industry focus. The historical volatility is calculated based on a period of time commensurate with the expected term assumption.</w:t>
      </w:r>
    </w:p>
    <w:p>
      <w:pPr>
        <w:spacing w:after="0" w:line="84" w:lineRule="exact"/>
        <w:rPr>
          <w:rFonts w:ascii="Arial" w:cs="Arial" w:eastAsia="Arial" w:hAnsi="Arial"/>
          <w:sz w:val="16"/>
          <w:szCs w:val="16"/>
          <w:color w:val="auto"/>
        </w:rPr>
      </w:pPr>
    </w:p>
    <w:p>
      <w:pPr>
        <w:ind w:left="1660" w:right="200" w:hanging="469"/>
        <w:spacing w:after="0" w:line="266" w:lineRule="auto"/>
        <w:tabs>
          <w:tab w:leader="none" w:pos="166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Risk-Free Interest Rate</w:t>
      </w:r>
      <w:r>
        <w:rPr>
          <w:rFonts w:ascii="Arial" w:cs="Arial" w:eastAsia="Arial" w:hAnsi="Arial"/>
          <w:sz w:val="16"/>
          <w:szCs w:val="16"/>
          <w:color w:val="auto"/>
        </w:rPr>
        <w:t>—We base the risk-free interest rate on U.S. Treasury zero coupon issues in effect at the time of grant for periods</w:t>
      </w:r>
      <w:r>
        <w:rPr>
          <w:rFonts w:ascii="Arial" w:cs="Arial" w:eastAsia="Arial" w:hAnsi="Arial"/>
          <w:sz w:val="16"/>
          <w:szCs w:val="16"/>
          <w:i w:val="1"/>
          <w:iCs w:val="1"/>
          <w:color w:val="auto"/>
        </w:rPr>
        <w:t xml:space="preserve"> </w:t>
      </w:r>
      <w:r>
        <w:rPr>
          <w:rFonts w:ascii="Arial" w:cs="Arial" w:eastAsia="Arial" w:hAnsi="Arial"/>
          <w:sz w:val="16"/>
          <w:szCs w:val="16"/>
          <w:color w:val="auto"/>
        </w:rPr>
        <w:t>corresponding with the expected term assumption.</w:t>
      </w:r>
    </w:p>
    <w:p>
      <w:pPr>
        <w:spacing w:after="0" w:line="75" w:lineRule="exact"/>
        <w:rPr>
          <w:rFonts w:ascii="Arial" w:cs="Arial" w:eastAsia="Arial" w:hAnsi="Arial"/>
          <w:sz w:val="16"/>
          <w:szCs w:val="16"/>
          <w:color w:val="auto"/>
        </w:rPr>
      </w:pPr>
    </w:p>
    <w:p>
      <w:pPr>
        <w:ind w:left="1660" w:right="120" w:hanging="469"/>
        <w:spacing w:after="0" w:line="266" w:lineRule="auto"/>
        <w:tabs>
          <w:tab w:leader="none" w:pos="166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expected dividend yield is assumed to be zero as we have never paid and have no plans to pay dividends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w:t>
      </w:r>
    </w:p>
    <w:p>
      <w:pPr>
        <w:spacing w:after="0" w:line="158" w:lineRule="exact"/>
        <w:rPr>
          <w:sz w:val="20"/>
          <w:szCs w:val="20"/>
          <w:color w:val="auto"/>
        </w:rPr>
      </w:pPr>
    </w:p>
    <w:p>
      <w:pPr>
        <w:ind w:left="820" w:right="360" w:firstLine="385"/>
        <w:spacing w:after="0" w:line="266" w:lineRule="auto"/>
        <w:rPr>
          <w:sz w:val="20"/>
          <w:szCs w:val="20"/>
          <w:color w:val="auto"/>
        </w:rPr>
      </w:pPr>
      <w:r>
        <w:rPr>
          <w:rFonts w:ascii="Arial" w:cs="Arial" w:eastAsia="Arial" w:hAnsi="Arial"/>
          <w:sz w:val="16"/>
          <w:szCs w:val="16"/>
          <w:color w:val="auto"/>
        </w:rPr>
        <w:t>See Note 9 to our audited financial statements and Note 9 to our unaudited interim condensed financial statements included elsewhere in this prospectus for more information concerning certain of the specific</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0420"/>
          </w:cols>
          <w:pgMar w:left="320" w:top="418" w:right="11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assumptions we used in applying the Black-Scholes valuation model to determine the estimated fair value of our stock options.</w:t>
      </w:r>
    </w:p>
    <w:p>
      <w:pPr>
        <w:spacing w:after="0" w:line="193" w:lineRule="exact"/>
        <w:rPr>
          <w:sz w:val="20"/>
          <w:szCs w:val="20"/>
          <w:color w:val="auto"/>
        </w:rPr>
      </w:pPr>
    </w:p>
    <w:p>
      <w:pPr>
        <w:ind w:left="820" w:right="160" w:firstLine="385"/>
        <w:spacing w:after="0" w:line="253" w:lineRule="auto"/>
        <w:rPr>
          <w:sz w:val="20"/>
          <w:szCs w:val="20"/>
          <w:color w:val="auto"/>
        </w:rPr>
      </w:pPr>
      <w:r>
        <w:rPr>
          <w:rFonts w:ascii="Arial" w:cs="Arial" w:eastAsia="Arial" w:hAnsi="Arial"/>
          <w:sz w:val="16"/>
          <w:szCs w:val="16"/>
          <w:color w:val="auto"/>
        </w:rPr>
        <w:t>For the years ended December 31, 2019 and 2020, we incurred stock-based compensation of $0.4 million and $0.7 million, respectively. For the three months ended March 31, 2020 and 2021, we incurred stock-based compensation of $0.2 million and $0.4 million, respectively. As of March 31, 2021, there was $6.4 million of total unrecognized stock-based compensation, which is expected to be recognized over a weighted-average period of approximately 3.5 years.</w:t>
      </w:r>
    </w:p>
    <w:p>
      <w:pPr>
        <w:spacing w:after="0" w:line="167" w:lineRule="exact"/>
        <w:rPr>
          <w:sz w:val="20"/>
          <w:szCs w:val="20"/>
          <w:color w:val="auto"/>
        </w:rPr>
      </w:pPr>
    </w:p>
    <w:p>
      <w:pPr>
        <w:ind w:left="820" w:right="300" w:firstLine="385"/>
        <w:spacing w:after="0" w:line="256" w:lineRule="auto"/>
        <w:rPr>
          <w:sz w:val="20"/>
          <w:szCs w:val="20"/>
          <w:color w:val="auto"/>
        </w:rPr>
      </w:pPr>
      <w:r>
        <w:rPr>
          <w:rFonts w:ascii="Arial" w:cs="Arial" w:eastAsia="Arial" w:hAnsi="Arial"/>
          <w:sz w:val="16"/>
          <w:szCs w:val="16"/>
          <w:color w:val="auto"/>
        </w:rPr>
        <w:t>The intrinsic value of all outstanding options as of March 31, 2021 was $ million, based on the assumed initial public offering price of $ per share, which is the mid-point of the estimated price range set forth on the cover page of this prospectus, of which $ million is related to vested options and $ million is related to unvested options.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Common Stock Valuations</w:t>
      </w:r>
    </w:p>
    <w:p>
      <w:pPr>
        <w:spacing w:after="0" w:line="99"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Historically, for all periods prior to this offering, fair values of the shares of common stock underlying our stock-based awards were approved on each grant date by our board of directors. Our board of directors considered, among other things, valuations of our common stock which were prepared by an independent third-party valuation firm in accordance with the guidance provided by the American 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The significant objective and subjective factors included, but are not limited to:</w:t>
      </w:r>
    </w:p>
    <w:p>
      <w:pPr>
        <w:spacing w:after="0" w:line="87" w:lineRule="exact"/>
        <w:rPr>
          <w:sz w:val="20"/>
          <w:szCs w:val="20"/>
          <w:color w:val="auto"/>
        </w:rPr>
      </w:pPr>
    </w:p>
    <w:p>
      <w:pPr>
        <w:ind w:left="1660" w:hanging="469"/>
        <w:spacing w:after="0"/>
        <w:tabs>
          <w:tab w:leader="none" w:pos="1660" w:val="left"/>
        </w:tabs>
        <w:numPr>
          <w:ilvl w:val="0"/>
          <w:numId w:val="78"/>
        </w:numPr>
        <w:rPr>
          <w:rFonts w:ascii="Arial" w:cs="Arial" w:eastAsia="Arial" w:hAnsi="Arial"/>
          <w:sz w:val="15"/>
          <w:szCs w:val="15"/>
          <w:color w:val="auto"/>
        </w:rPr>
      </w:pPr>
      <w:r>
        <w:rPr>
          <w:rFonts w:ascii="Arial" w:cs="Arial" w:eastAsia="Arial" w:hAnsi="Arial"/>
          <w:sz w:val="15"/>
          <w:szCs w:val="15"/>
          <w:color w:val="auto"/>
        </w:rPr>
        <w:t>our most recently available estimated valuations of our common stock performed by an independent third-party valuation firm;</w:t>
      </w:r>
    </w:p>
    <w:p>
      <w:pPr>
        <w:spacing w:after="0" w:line="122" w:lineRule="exact"/>
        <w:rPr>
          <w:rFonts w:ascii="Arial" w:cs="Arial" w:eastAsia="Arial" w:hAnsi="Arial"/>
          <w:sz w:val="15"/>
          <w:szCs w:val="15"/>
          <w:color w:val="auto"/>
        </w:rPr>
      </w:pPr>
    </w:p>
    <w:p>
      <w:pPr>
        <w:ind w:left="1660" w:right="560" w:hanging="469"/>
        <w:spacing w:after="0" w:line="266" w:lineRule="auto"/>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prices of shares of our convertible preferred stock sold to investors in arm’s length transactions, and the rights, preferences and privileges of our convertible preferred stock relative to our common stock;</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stage of development and material risks related to our business;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our results of operations and financial position, including our levels of available capital resources;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progress of our research and development activities;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lack of marketability of our common stock as a private company;</w:t>
      </w:r>
    </w:p>
    <w:p>
      <w:pPr>
        <w:spacing w:after="0" w:line="110" w:lineRule="exact"/>
        <w:rPr>
          <w:rFonts w:ascii="Arial" w:cs="Arial" w:eastAsia="Arial" w:hAnsi="Arial"/>
          <w:sz w:val="16"/>
          <w:szCs w:val="16"/>
          <w:color w:val="auto"/>
        </w:rPr>
      </w:pPr>
    </w:p>
    <w:p>
      <w:pPr>
        <w:ind w:left="1660" w:right="340" w:hanging="469"/>
        <w:spacing w:after="0" w:line="266" w:lineRule="auto"/>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initial public offering (IPO) or a sale of our company, given prevailing market conditions;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trends and developments in our industry;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external market conditions affecting the life sciences and biotechnology industry sectors.</w:t>
      </w:r>
    </w:p>
    <w:p>
      <w:pPr>
        <w:spacing w:after="0" w:line="193"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For the independent third-party valuations performed in October 2018 and October 2019, we used a probability-weighted expected return method (PWERM) whereby our total equity value was estimated under various exit scenarios and allocated to our different classes of equity. The PWERM included various scenarios in which we complete an IPO, the sale of our company or dissolution of our company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scenarios in which we complete the sale of our company was based on the market approach and considered recent licensing deals for programs utilizing similar technologies as us. The equity value under the dissolution scenarios was based on the market approach and considered the return on investment from failed venture capital investments. The equity value under each scenario was adjusted for anticipated future financings and the equity value allocated to our common stock was reduced by a discount for lack of marketability.</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0420"/>
          </w:cols>
          <w:pgMar w:left="320" w:top="418" w:right="11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12" w:lineRule="auto"/>
        <w:rPr>
          <w:sz w:val="20"/>
          <w:szCs w:val="20"/>
          <w:color w:val="auto"/>
        </w:rPr>
      </w:pPr>
      <w:r>
        <w:rPr>
          <w:rFonts w:ascii="Arial" w:cs="Arial" w:eastAsia="Arial" w:hAnsi="Arial"/>
          <w:sz w:val="13"/>
          <w:szCs w:val="13"/>
          <w:color w:val="auto"/>
        </w:rPr>
        <w:t>For the independent third-party valuations performed in November 2020 and April 2021, we used a hybrid method of the PWERM and the option pricing model (OPM) backsolve method to allocate our estimated equity value to our different classes of equity. The PWERM included scenarios in which we complete an IPO and a scenario in which we complete an alternative exit (OPM Scenario) that considered our estimate of the timing of each scenario and were weighted based on our estimate of the probability of each event occurring. The equity value under the IPO scenarios was based on the market approach and considered recent IPO values of comparable companies. The equity value under the OPM Scenario in the November 2020 valuation utilized the OPM backsolve method based on our Series C convertible preferred stock financing. The April 2021 valuation considered market-based adjustments to the equity value determined under this approach in the November 2020 valuation. In an OPM framework, the backsolve method for inferring the equity value implied by a recent financing transaction involves making assumptions for the expected time to liquidity, volatility, dividend yield, and risk-free rate and then solving for the value of equity such that the value for the most recent financing equals the amount paid. The equity value allocated to our common stock was reduced by a discount for lack of marketability.</w:t>
      </w:r>
    </w:p>
    <w:p>
      <w:pPr>
        <w:spacing w:after="0" w:line="326" w:lineRule="exact"/>
        <w:rPr>
          <w:sz w:val="20"/>
          <w:szCs w:val="20"/>
          <w:color w:val="auto"/>
        </w:rPr>
      </w:pPr>
    </w:p>
    <w:p>
      <w:pPr>
        <w:ind w:left="820" w:right="100" w:firstLine="385"/>
        <w:spacing w:after="0" w:line="300" w:lineRule="auto"/>
        <w:rPr>
          <w:sz w:val="20"/>
          <w:szCs w:val="20"/>
          <w:color w:val="auto"/>
        </w:rPr>
      </w:pPr>
      <w:r>
        <w:rPr>
          <w:rFonts w:ascii="Arial" w:cs="Arial" w:eastAsia="Arial" w:hAnsi="Arial"/>
          <w:sz w:val="15"/>
          <w:szCs w:val="15"/>
          <w:color w:val="auto"/>
        </w:rPr>
        <w:t>For valuations after the completion of this offering, the fair value of each share of underlying common stock will be based on the closing price of our common stock as reported on the date of grant on the primary stock exchange on which our common stock is traded.</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180" w:firstLine="385"/>
        <w:spacing w:after="0" w:line="250" w:lineRule="auto"/>
        <w:rPr>
          <w:sz w:val="20"/>
          <w:szCs w:val="20"/>
          <w:color w:val="auto"/>
        </w:rPr>
      </w:pPr>
      <w:r>
        <w:rPr>
          <w:rFonts w:ascii="Arial" w:cs="Arial" w:eastAsia="Arial" w:hAnsi="Arial"/>
          <w:sz w:val="16"/>
          <w:szCs w:val="16"/>
          <w:color w:val="auto"/>
        </w:rPr>
        <w:t>The obligation to issue additional shares of our Series B convertible preferred stock on the second and third closings of our Series B convertible preferred stock was determined to be a freestanding financial instrument that should be accounted for as a liability. At issuance, we recorded the convertible preferred stock tranche liability on the balance sheet at its estimated fair value, using the estimated fair value of the underlying Series B stock and common stock (which was determined using the standard pricing model). The other inputs used to arrive at the fair value of the convertible preferred stock tranche liability was a discount rate and the expected term, which was based on the expected contractual closing date or the actual closing date.</w:t>
      </w:r>
    </w:p>
    <w:p>
      <w:pPr>
        <w:spacing w:after="0" w:line="171" w:lineRule="exact"/>
        <w:rPr>
          <w:sz w:val="20"/>
          <w:szCs w:val="20"/>
          <w:color w:val="auto"/>
        </w:rPr>
      </w:pPr>
    </w:p>
    <w:p>
      <w:pPr>
        <w:ind w:left="820" w:right="260" w:firstLine="385"/>
        <w:spacing w:after="0" w:line="253" w:lineRule="auto"/>
        <w:rPr>
          <w:sz w:val="20"/>
          <w:szCs w:val="20"/>
          <w:color w:val="auto"/>
        </w:rPr>
      </w:pPr>
      <w:r>
        <w:rPr>
          <w:rFonts w:ascii="Arial" w:cs="Arial" w:eastAsia="Arial" w:hAnsi="Arial"/>
          <w:sz w:val="16"/>
          <w:szCs w:val="16"/>
          <w:color w:val="auto"/>
        </w:rPr>
        <w:t>A tranche liability is subject to remeasurement at each balance sheet date, with changes in fair value recognized as a gain or loss on remeasurement as a component of other income (expense), net in the statements of operations until settlement or extinguishment. Our convertible preferred stock tranche liability was settled upon the closing of our second and third closings of our Series B convertible preferred stock financing in March and August 2020, respectively.</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Recent Accounting Pronouncements</w:t>
      </w:r>
    </w:p>
    <w:p>
      <w:pPr>
        <w:spacing w:after="0" w:line="103"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See Note 2 to our audited financial statements and Note 2 to our unaudited interim condensed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Emerging Growth Company and Smaller Reporting Company Status</w:t>
      </w:r>
    </w:p>
    <w:p>
      <w:pPr>
        <w:spacing w:after="0" w:line="103"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the last day of the fiscal year ending after the</w:t>
      </w:r>
    </w:p>
    <w:p>
      <w:pPr>
        <w:spacing w:after="0" w:line="1" w:lineRule="exact"/>
        <w:rPr>
          <w:sz w:val="20"/>
          <w:szCs w:val="20"/>
          <w:color w:val="auto"/>
        </w:rPr>
      </w:pPr>
    </w:p>
    <w:p>
      <w:pPr>
        <w:ind w:left="820" w:right="200"/>
        <w:spacing w:after="0" w:line="249" w:lineRule="auto"/>
        <w:rPr>
          <w:sz w:val="20"/>
          <w:szCs w:val="20"/>
          <w:color w:val="auto"/>
        </w:rPr>
      </w:pPr>
      <w:r>
        <w:rPr>
          <w:rFonts w:ascii="Arial" w:cs="Arial" w:eastAsia="Arial" w:hAnsi="Arial"/>
          <w:sz w:val="16"/>
          <w:szCs w:val="16"/>
          <w:color w:val="auto"/>
        </w:rPr>
        <w:t>fifth anniversary of our initial public offering. As a result of this status, we have taken advantage of reduced reporting requirements in this prospectus and may elect to take advantage of other reduced reporting requirements in our future filings with the SEC. In particular, in this prospectus, we have provided only</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0420"/>
          </w:cols>
          <w:pgMar w:left="320" w:top="418" w:right="115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two years of audited financial statements and have not included all of the executive compensation related information that would be required if we were not an emerging growth company.</w:t>
      </w:r>
    </w:p>
    <w:p>
      <w:pPr>
        <w:spacing w:after="0" w:line="158"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56" w:lineRule="exact"/>
        <w:rPr>
          <w:sz w:val="20"/>
          <w:szCs w:val="20"/>
          <w:color w:val="auto"/>
        </w:rPr>
      </w:pPr>
    </w:p>
    <w:p>
      <w:pPr>
        <w:ind w:left="820" w:right="100" w:firstLine="385"/>
        <w:spacing w:after="0" w:line="267"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and other matters.</w:t>
      </w:r>
    </w:p>
    <w:p>
      <w:pPr>
        <w:spacing w:after="0" w:line="25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Interest Rate Risk</w:t>
      </w:r>
    </w:p>
    <w:p>
      <w:pPr>
        <w:spacing w:after="0" w:line="103"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We held cash and cash equivalents of $128.5 million and $128.4 million as of December 31, 2020 and March 31, 2021, respectively, which consisted of bank deposits and money market funds. Historical fluctuations in interest rates have not had a significant impact on our financial condition or results of operations. We believe that we do not have any material exposure to changes in the fair value of these assets as a result of changes in interest rates due to the short-term nature of our cash and cash equivalents.</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0420"/>
          </w:cols>
          <w:pgMar w:left="320" w:top="418" w:right="115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BUSINESS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ind w:left="820" w:right="140" w:firstLine="385"/>
        <w:spacing w:after="0" w:line="323" w:lineRule="auto"/>
        <w:rPr>
          <w:sz w:val="20"/>
          <w:szCs w:val="20"/>
          <w:color w:val="auto"/>
        </w:rPr>
      </w:pPr>
      <w:r>
        <w:rPr>
          <w:rFonts w:ascii="Arial" w:cs="Arial" w:eastAsia="Arial" w:hAnsi="Arial"/>
          <w:sz w:val="13"/>
          <w:szCs w:val="13"/>
          <w:color w:val="auto"/>
        </w:rPr>
        <w:t>Heart disease is the leading cause of death in the world, accounting for more deaths than from all cancers combined. In the United States, more than 30 million adults are diagnosed with heart disease and approximately 35,000 children are born each year with congenital heart disease (CHD). There are over 250 known genetically defined disorders where the primary source of morbidity and mortality involves the heart, but there are few approved products that target the underlying cause of such diseases. Recent analysis has shown that mortality rates due to heart failure (HF) are rising. While there is a clear need for improved treatments, the rate of cardiovascular drug product approvals has declined in recent years.</w:t>
      </w:r>
    </w:p>
    <w:p>
      <w:pPr>
        <w:spacing w:after="0" w:line="126"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We are a biotechnology company committed to a bold mission: to discover, develop and deliver curative therapies that address the underlying drivers of heart disease. Our vision is to change the treatment paradigm for heart disease, and in doing so improve and extend the lives of millions of individuals and families fighting this debilitating disease. We are advancing a pipeline of disease-modifying therapies developed using our product platforms and core internal capabilities to target defined sub-populations of patients with rare or highly prevalent forms of heart disease.</w:t>
      </w:r>
    </w:p>
    <w:p>
      <w:pPr>
        <w:spacing w:after="0" w:line="123" w:lineRule="exact"/>
        <w:rPr>
          <w:sz w:val="20"/>
          <w:szCs w:val="20"/>
          <w:color w:val="auto"/>
        </w:rPr>
      </w:pPr>
    </w:p>
    <w:p>
      <w:pPr>
        <w:ind w:left="820" w:right="220" w:firstLine="385"/>
        <w:spacing w:after="0" w:line="251" w:lineRule="auto"/>
        <w:rPr>
          <w:sz w:val="20"/>
          <w:szCs w:val="20"/>
          <w:color w:val="auto"/>
        </w:rPr>
      </w:pPr>
      <w:r>
        <w:rPr>
          <w:rFonts w:ascii="Arial" w:cs="Arial" w:eastAsia="Arial" w:hAnsi="Arial"/>
          <w:sz w:val="16"/>
          <w:szCs w:val="16"/>
          <w:color w:val="auto"/>
        </w:rPr>
        <w:t>Founded by leading cardiovascular scientists from Gladstone Institutes and University of Texas Southwestern Medical Center (UTSW), we are developing therapies through scientific advancements in three distinct but interrelated product platforms: Gene Therapy, Cellular Regeneration and Precision Medicine. While our Gene Therapy and Cellular Regeneration platforms focus on the use of viral vectors for drug delivery, our Precision Medicine platform enables us to identify promising targets and product candidates in a modality-agnostic manner, including gene therapies, small molecules, and biologics.</w:t>
      </w:r>
    </w:p>
    <w:p>
      <w:pPr>
        <w:spacing w:after="0" w:line="170"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We are advancing a deep and diverse pipeline including both gene therapies and small molecules. In 2022, we intend to submit an investigational new drug application (IND) or a clinical trial application (CTA) to the U.S. Food and Drug Administration (FDA) or European Medicines Agency (EMA), respectively, for our most advanced product candidate from our Gene Therapy platform, TN-201, an adeno-associated virus (AAV)-based gene therapy to address genetic hypertrophic cardiomyopathy (gHCM) caused by Myosin Binding Protein C3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TN-201, currently in IND-enabling studies, is designed to deliver a fully functional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driven by our proprietary heart-specific promoter to restore normal levels of MYBPC3 protein. We also intend to submit an IND to the FDA for our most advanced product candidate from our Precision Medicine platform, TYA-11631, an HDAC6-specific small molecule inhibitor (HDAC6i). TYA-11631, currently in IND-enabling studies, has potentially broad utility in both heart failure (HF) where the ejection fraction (EF) is greater than or equal to 50%, called preserved EF (HFpEF), and genetic dilated cardiomyopathy (gDCM). Our PKP2 program involves an AAV-based gene therapy to address genetic arrhythmogenic right ventricular cardiomyopathy (gARVC) caused by plakophilin 2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mutations, and is currently at the candidate selection stage. Our DWORF program, an AAV-based gene therapy designed to express the Dwarf Open Reading Frame (</w:t>
      </w:r>
      <w:r>
        <w:rPr>
          <w:rFonts w:ascii="Arial" w:cs="Arial" w:eastAsia="Arial" w:hAnsi="Arial"/>
          <w:sz w:val="13"/>
          <w:szCs w:val="13"/>
          <w:i w:val="1"/>
          <w:iCs w:val="1"/>
          <w:color w:val="auto"/>
        </w:rPr>
        <w:t>DWORF</w:t>
      </w:r>
      <w:r>
        <w:rPr>
          <w:rFonts w:ascii="Arial" w:cs="Arial" w:eastAsia="Arial" w:hAnsi="Arial"/>
          <w:sz w:val="13"/>
          <w:szCs w:val="13"/>
          <w:color w:val="auto"/>
        </w:rPr>
        <w:t>) gene in the heart, has potentially broad utility in dilated cardiomyopathy (DCM) and HF where the EF is below 40%, called reduced EF (HFrEF), and is currently at the candidate selection stage. Our Reprogramming program for cardiac regeneration can potentially replace heart cells lost in patients experiencing HF due to prior myocardial infarction (MI) and is currently at the candidate selection stage. In addition, we have numerous earlier-stage programs emerging from our product platforms to address other forms of HF.</w:t>
      </w:r>
    </w:p>
    <w:p>
      <w:pPr>
        <w:spacing w:after="0" w:line="200" w:lineRule="exact"/>
        <w:rPr>
          <w:sz w:val="20"/>
          <w:szCs w:val="20"/>
          <w:color w:val="auto"/>
        </w:rPr>
      </w:pP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Product Platforms</w:t>
      </w:r>
    </w:p>
    <w:p>
      <w:pPr>
        <w:spacing w:after="0" w:line="99" w:lineRule="exact"/>
        <w:rPr>
          <w:sz w:val="20"/>
          <w:szCs w:val="20"/>
          <w:color w:val="auto"/>
        </w:rPr>
      </w:pPr>
    </w:p>
    <w:p>
      <w:pPr>
        <w:ind w:left="820" w:right="40" w:firstLine="385"/>
        <w:spacing w:after="0" w:line="343" w:lineRule="auto"/>
        <w:rPr>
          <w:sz w:val="20"/>
          <w:szCs w:val="20"/>
          <w:color w:val="auto"/>
        </w:rPr>
      </w:pPr>
      <w:r>
        <w:rPr>
          <w:rFonts w:ascii="Arial" w:cs="Arial" w:eastAsia="Arial" w:hAnsi="Arial"/>
          <w:sz w:val="13"/>
          <w:szCs w:val="13"/>
          <w:color w:val="auto"/>
        </w:rPr>
        <w:t>We have established three distinct but interrelated product platforms to discover novel therapies for various forms of heart disease. These platforms bring together differentiated science, capabilities, and intellectual property to enable multi-modality drug discovery. As displayed below, each of our product platforms is designed to address different problems that have historically plagued the development of novel therapies for heart disease.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0400"/>
          </w:cols>
          <w:pgMar w:left="320" w:top="418" w:right="117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6" w:lineRule="auto"/>
        <w:rPr>
          <w:sz w:val="20"/>
          <w:szCs w:val="20"/>
          <w:color w:val="auto"/>
        </w:rPr>
      </w:pPr>
      <w:r>
        <w:rPr>
          <w:rFonts w:ascii="Arial" w:cs="Arial" w:eastAsia="Arial" w:hAnsi="Arial"/>
          <w:sz w:val="16"/>
          <w:szCs w:val="16"/>
          <w:color w:val="auto"/>
        </w:rPr>
        <w:t>We believe these three product platforms together yield better insight into disease processes, create more opportunities for successful drug development, mitigate scientific risks, and differentiate our efforts relative to competitors.</w:t>
      </w:r>
    </w:p>
    <w:p>
      <w:pPr>
        <w:spacing w:after="0" w:line="248"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147955</wp:posOffset>
            </wp:positionV>
            <wp:extent cx="4446905" cy="1916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44690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660" w:hanging="304"/>
        <w:spacing w:after="0" w:line="316" w:lineRule="auto"/>
        <w:tabs>
          <w:tab w:leader="none" w:pos="16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b w:val="1"/>
          <w:bCs w:val="1"/>
          <w:i w:val="1"/>
          <w:iCs w:val="1"/>
          <w:color w:val="auto"/>
        </w:rPr>
        <w:t>Gene Therapy</w:t>
      </w:r>
      <w:r>
        <w:rPr>
          <w:rFonts w:ascii="Arial" w:cs="Arial" w:eastAsia="Arial" w:hAnsi="Arial"/>
          <w:sz w:val="13"/>
          <w:szCs w:val="13"/>
          <w:color w:val="auto"/>
        </w:rPr>
        <w:t xml:space="preserve"> platform uses AAVs to deliver genes to specific cells in the heart to correct or compensate for functional defects. We have the ability to use both known AAV capsids as well as novel capsids identified through our internal capsid engineering capabilities. Depending on the nature of the disease, we may target cardiomyocytes (CMs), cardiac fibroblasts (CFs), or other cells important to the proper functioning of the heart. The genes delivered can be a healthy copy of genes that are known to be mutated in human disease, or some other protein or construct that can exert a therapeutic effect. The product candidates arising from this platform are intended to overcome the shortcomings of traditional therapies that are not able to address the underlying problems that contribute to heart disease. We believe this platform has potentially broad utility for both genetic and non-genetic forms of heart disease.</w:t>
      </w:r>
    </w:p>
    <w:p>
      <w:pPr>
        <w:spacing w:after="0" w:line="48" w:lineRule="exact"/>
        <w:rPr>
          <w:rFonts w:ascii="Arial" w:cs="Arial" w:eastAsia="Arial" w:hAnsi="Arial"/>
          <w:sz w:val="13"/>
          <w:szCs w:val="13"/>
          <w:color w:val="auto"/>
        </w:rPr>
      </w:pPr>
    </w:p>
    <w:p>
      <w:pPr>
        <w:ind w:left="1660" w:right="60" w:hanging="304"/>
        <w:spacing w:after="0" w:line="267" w:lineRule="auto"/>
        <w:tabs>
          <w:tab w:leader="none" w:pos="16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 xml:space="preserve">Our </w:t>
      </w:r>
      <w:r>
        <w:rPr>
          <w:rFonts w:ascii="Arial" w:cs="Arial" w:eastAsia="Arial" w:hAnsi="Arial"/>
          <w:sz w:val="15"/>
          <w:szCs w:val="15"/>
          <w:b w:val="1"/>
          <w:bCs w:val="1"/>
          <w:i w:val="1"/>
          <w:iCs w:val="1"/>
          <w:color w:val="auto"/>
        </w:rPr>
        <w:t>Cellular Regeneration</w:t>
      </w:r>
      <w:r>
        <w:rPr>
          <w:rFonts w:ascii="Arial" w:cs="Arial" w:eastAsia="Arial" w:hAnsi="Arial"/>
          <w:sz w:val="15"/>
          <w:szCs w:val="15"/>
          <w:color w:val="auto"/>
        </w:rPr>
        <w:t xml:space="preserve"> platform uses viral vectors to deliver genes to specific cells in the heart to regenerate CMs </w:t>
      </w:r>
      <w:r>
        <w:rPr>
          <w:rFonts w:ascii="Arial" w:cs="Arial" w:eastAsia="Arial" w:hAnsi="Arial"/>
          <w:sz w:val="15"/>
          <w:szCs w:val="15"/>
          <w:i w:val="1"/>
          <w:iCs w:val="1"/>
          <w:color w:val="auto"/>
        </w:rPr>
        <w:t>in vivo</w:t>
      </w:r>
      <w:r>
        <w:rPr>
          <w:rFonts w:ascii="Arial" w:cs="Arial" w:eastAsia="Arial" w:hAnsi="Arial"/>
          <w:sz w:val="15"/>
          <w:szCs w:val="15"/>
          <w:color w:val="auto"/>
        </w:rPr>
        <w:t>. We own certain intellectual property that covers two distinct approaches to achieve regeneration of new heart tissue. One approach uses AAV vectors to deliver proprietary combinations of genes that induce the resident CFs to convert to CMs. We have developed, through internal capsid engineering capabilities, novel AAV capsids with enhanced CF transduction. Another approach uses non-integrating lentiviruses to deliver proprietary combinations of genes that induce the resident CMs to undergo transient cell division. The product candidates arising from this platform are intended to overcome the shortcomings of traditional therapies that are not able to address the loss of CMs. We believe this platform has potentially broad utility across a range of heart conditions that result in the loss of CMs, including MI, chemotherapy-related toxicity, and viral infection.</w:t>
      </w:r>
    </w:p>
    <w:p>
      <w:pPr>
        <w:spacing w:after="0" w:line="80" w:lineRule="exact"/>
        <w:rPr>
          <w:rFonts w:ascii="Arial" w:cs="Arial" w:eastAsia="Arial" w:hAnsi="Arial"/>
          <w:sz w:val="15"/>
          <w:szCs w:val="15"/>
          <w:color w:val="auto"/>
        </w:rPr>
      </w:pPr>
    </w:p>
    <w:p>
      <w:pPr>
        <w:ind w:left="1660" w:right="40" w:hanging="304"/>
        <w:spacing w:after="0" w:line="319" w:lineRule="auto"/>
        <w:tabs>
          <w:tab w:leader="none" w:pos="16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Our </w:t>
      </w:r>
      <w:r>
        <w:rPr>
          <w:rFonts w:ascii="Arial" w:cs="Arial" w:eastAsia="Arial" w:hAnsi="Arial"/>
          <w:sz w:val="13"/>
          <w:szCs w:val="13"/>
          <w:b w:val="1"/>
          <w:bCs w:val="1"/>
          <w:i w:val="1"/>
          <w:iCs w:val="1"/>
          <w:color w:val="auto"/>
        </w:rPr>
        <w:t>Precision Medicine</w:t>
      </w:r>
      <w:r>
        <w:rPr>
          <w:rFonts w:ascii="Arial" w:cs="Arial" w:eastAsia="Arial" w:hAnsi="Arial"/>
          <w:sz w:val="13"/>
          <w:szCs w:val="13"/>
          <w:color w:val="auto"/>
        </w:rPr>
        <w:t xml:space="preserve"> platform uses human induced pluripotent stem cell-derived CMs (hiPSC-CMs) as proprietary disease models and analysis of human genetics for the identification of new targets, validation of known targets, and high-throughput screening for drug discovery. This platform is intended to overcome the shortcomings of traditional drug development efforts that rely more heavily on efficacy in animal models to develop therapies intended for human heart disease. We believe this platform may also help identify promising drug targets directed to sub-populations of patients who are more likely to respond to such targeted product candidates. We believe this platform has potentially broad utility for the identification of targets and therapies in a modality-agnostic</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0400"/>
          </w:cols>
          <w:pgMar w:left="320" w:top="418" w:right="117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manner—including gene therapy, small molecules, and biologics—for both genetic and non-genetic forms of heart disease.</w:t>
      </w:r>
    </w:p>
    <w:p>
      <w:pPr>
        <w:spacing w:after="0" w:line="29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Approach and Capabilities</w:t>
      </w:r>
    </w:p>
    <w:p>
      <w:pPr>
        <w:spacing w:after="0" w:line="99" w:lineRule="exact"/>
        <w:rPr>
          <w:sz w:val="20"/>
          <w:szCs w:val="20"/>
          <w:color w:val="auto"/>
        </w:rPr>
      </w:pPr>
    </w:p>
    <w:p>
      <w:pPr>
        <w:ind w:left="820" w:right="520" w:firstLine="385"/>
        <w:spacing w:after="0" w:line="329" w:lineRule="auto"/>
        <w:rPr>
          <w:sz w:val="20"/>
          <w:szCs w:val="20"/>
          <w:color w:val="auto"/>
        </w:rPr>
      </w:pPr>
      <w:r>
        <w:rPr>
          <w:rFonts w:ascii="Arial" w:cs="Arial" w:eastAsia="Arial" w:hAnsi="Arial"/>
          <w:sz w:val="13"/>
          <w:szCs w:val="13"/>
          <w:color w:val="auto"/>
        </w:rPr>
        <w:t>We have five core internal capabilities, as displayed below, to support our product platforms and our pipeline programs. We believe these integrated capabilities provide us with several advantages and differentiate our efforts relative to competitors, particularly for our AAV-based development efforts. We believe these capabilities can collectively support rapid product development, precise product delivery, and efficient production, which ultimately improves the probability of technical and regulatory success of our product candidates.</w:t>
      </w:r>
    </w:p>
    <w:p>
      <w:pPr>
        <w:spacing w:after="0" w:line="214"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Our Core Capabilities Supporting Our Differentiated Product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147955</wp:posOffset>
            </wp:positionV>
            <wp:extent cx="4537075" cy="19989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37075"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internalized and integrated capabilities to support our product platforms include:</w:t>
      </w:r>
    </w:p>
    <w:p>
      <w:pPr>
        <w:spacing w:after="0" w:line="111" w:lineRule="exact"/>
        <w:rPr>
          <w:sz w:val="20"/>
          <w:szCs w:val="20"/>
          <w:color w:val="auto"/>
        </w:rPr>
      </w:pPr>
    </w:p>
    <w:p>
      <w:pPr>
        <w:ind w:left="1660" w:hanging="304"/>
        <w:spacing w:after="0" w:line="316" w:lineRule="auto"/>
        <w:tabs>
          <w:tab w:leader="none" w:pos="1660" w:val="left"/>
        </w:tabs>
        <w:numPr>
          <w:ilvl w:val="0"/>
          <w:numId w:val="80"/>
        </w:numPr>
        <w:rPr>
          <w:rFonts w:ascii="Arial" w:cs="Arial" w:eastAsia="Arial" w:hAnsi="Arial"/>
          <w:sz w:val="13"/>
          <w:szCs w:val="13"/>
          <w:color w:val="auto"/>
        </w:rPr>
      </w:pPr>
      <w:r>
        <w:rPr>
          <w:rFonts w:ascii="Arial" w:cs="Arial" w:eastAsia="Arial" w:hAnsi="Arial"/>
          <w:sz w:val="13"/>
          <w:szCs w:val="13"/>
          <w:b w:val="1"/>
          <w:bCs w:val="1"/>
          <w:i w:val="1"/>
          <w:iCs w:val="1"/>
          <w:color w:val="auto"/>
        </w:rPr>
        <w:t>Disease Models</w:t>
      </w:r>
      <w:r>
        <w:rPr>
          <w:rFonts w:ascii="Arial" w:cs="Arial" w:eastAsia="Arial" w:hAnsi="Arial"/>
          <w:sz w:val="13"/>
          <w:szCs w:val="13"/>
          <w:color w:val="auto"/>
        </w:rPr>
        <w:t>. Having better models of human heart disease is an important capability for drug discovery. Existing models may not be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 xml:space="preserve">adequate to assess the efficacy or safety of novel therapies. In order to achieve this, we have internalized the ability to create and integrate proprietary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and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models within our research organization. For our </w:t>
      </w:r>
      <w:r>
        <w:rPr>
          <w:rFonts w:ascii="Arial" w:cs="Arial" w:eastAsia="Arial" w:hAnsi="Arial"/>
          <w:sz w:val="13"/>
          <w:szCs w:val="13"/>
          <w:i w:val="1"/>
          <w:iCs w:val="1"/>
          <w:color w:val="auto"/>
        </w:rPr>
        <w:t>in vitro</w:t>
      </w:r>
      <w:r>
        <w:rPr>
          <w:rFonts w:ascii="Arial" w:cs="Arial" w:eastAsia="Arial" w:hAnsi="Arial"/>
          <w:sz w:val="13"/>
          <w:szCs w:val="13"/>
          <w:color w:val="auto"/>
        </w:rPr>
        <w:t xml:space="preserve"> hiPSC-CM disease models, we use multiple methods to induce phenotypes within cell lines that simulate human diseases and then use these models for high throughput target identification and drug discovery. For our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disease models, we have a dedicated onsite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pharmacology group and vivarium, where we have established approximately 15 rodent heart disease models, both genetic and non-genetic, and can dose animals, perform heart surgeries, and use non-invasive imaging to assess the impact of our therapies under development.</w:t>
      </w:r>
    </w:p>
    <w:p>
      <w:pPr>
        <w:spacing w:after="0" w:line="48" w:lineRule="exact"/>
        <w:rPr>
          <w:rFonts w:ascii="Arial" w:cs="Arial" w:eastAsia="Arial" w:hAnsi="Arial"/>
          <w:sz w:val="13"/>
          <w:szCs w:val="13"/>
          <w:color w:val="auto"/>
        </w:rPr>
      </w:pPr>
    </w:p>
    <w:p>
      <w:pPr>
        <w:ind w:left="1660" w:hanging="304"/>
        <w:spacing w:after="0" w:line="268" w:lineRule="auto"/>
        <w:tabs>
          <w:tab w:leader="none" w:pos="1660" w:val="left"/>
        </w:tabs>
        <w:numPr>
          <w:ilvl w:val="0"/>
          <w:numId w:val="80"/>
        </w:numPr>
        <w:rPr>
          <w:rFonts w:ascii="Arial" w:cs="Arial" w:eastAsia="Arial" w:hAnsi="Arial"/>
          <w:sz w:val="15"/>
          <w:szCs w:val="15"/>
          <w:color w:val="auto"/>
        </w:rPr>
      </w:pPr>
      <w:r>
        <w:rPr>
          <w:rFonts w:ascii="Arial" w:cs="Arial" w:eastAsia="Arial" w:hAnsi="Arial"/>
          <w:sz w:val="15"/>
          <w:szCs w:val="15"/>
          <w:b w:val="1"/>
          <w:bCs w:val="1"/>
          <w:i w:val="1"/>
          <w:iCs w:val="1"/>
          <w:color w:val="auto"/>
        </w:rPr>
        <w:t>Capsid Engineering</w:t>
      </w:r>
      <w:r>
        <w:rPr>
          <w:rFonts w:ascii="Arial" w:cs="Arial" w:eastAsia="Arial" w:hAnsi="Arial"/>
          <w:sz w:val="15"/>
          <w:szCs w:val="15"/>
          <w:color w:val="auto"/>
        </w:rPr>
        <w:t>. We have established in-house AAV capsid engineering capabilities and have screened over one billion variants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diverse, proprietary libraries to discover novel AAV capsids with desirable therapeutic properties to support our programs. We have generated preclinical data to support the superiority of these capsids over parental variants in multiple species—including NHPs—against multiple attributes. These capsids have improved tropism for the heart compared to other organs and for specific cells within the heart; improved transduction and expression within the heart cells; and lower susceptibility to neutralizing antibodies. We believe our capsid engineering efforts will be critical in supporting the successful clinical development of our product candidates and enabling those product candidates, if approved, to reach more patients.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0340"/>
          </w:cols>
          <w:pgMar w:left="320" w:top="418" w:right="12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304"/>
        <w:spacing w:after="0" w:line="275"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b w:val="1"/>
          <w:bCs w:val="1"/>
          <w:i w:val="1"/>
          <w:iCs w:val="1"/>
          <w:color w:val="auto"/>
        </w:rPr>
        <w:t>Promoters and Regulatory Elements</w:t>
      </w:r>
      <w:r>
        <w:rPr>
          <w:rFonts w:ascii="Arial" w:cs="Arial" w:eastAsia="Arial" w:hAnsi="Arial"/>
          <w:sz w:val="15"/>
          <w:szCs w:val="15"/>
          <w:color w:val="auto"/>
        </w:rPr>
        <w:t>. We have created novel promoters and regulatory elements to support our gene therapy and cellular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regeneration programs. These promoters and regulatory elements control the expression of genes within the cells. We use these elements to help ensure a more precise expression of therapeutic payloads in different cell types in the heart. We believe our innovations in promoters and regulatory elements can support the successful clinical development of our product candidates.</w:t>
      </w:r>
    </w:p>
    <w:p>
      <w:pPr>
        <w:spacing w:after="0" w:line="70" w:lineRule="exact"/>
        <w:rPr>
          <w:rFonts w:ascii="Arial" w:cs="Arial" w:eastAsia="Arial" w:hAnsi="Arial"/>
          <w:sz w:val="15"/>
          <w:szCs w:val="15"/>
          <w:color w:val="auto"/>
        </w:rPr>
      </w:pPr>
    </w:p>
    <w:p>
      <w:pPr>
        <w:ind w:left="1660" w:hanging="304"/>
        <w:spacing w:after="0" w:line="267" w:lineRule="auto"/>
        <w:tabs>
          <w:tab w:leader="none" w:pos="1660" w:val="left"/>
        </w:tabs>
        <w:numPr>
          <w:ilvl w:val="0"/>
          <w:numId w:val="81"/>
        </w:numPr>
        <w:rPr>
          <w:rFonts w:ascii="Arial" w:cs="Arial" w:eastAsia="Arial" w:hAnsi="Arial"/>
          <w:sz w:val="15"/>
          <w:szCs w:val="15"/>
          <w:color w:val="auto"/>
        </w:rPr>
      </w:pPr>
      <w:r>
        <w:rPr>
          <w:rFonts w:ascii="Arial" w:cs="Arial" w:eastAsia="Arial" w:hAnsi="Arial"/>
          <w:sz w:val="15"/>
          <w:szCs w:val="15"/>
          <w:b w:val="1"/>
          <w:bCs w:val="1"/>
          <w:i w:val="1"/>
          <w:iCs w:val="1"/>
          <w:color w:val="auto"/>
        </w:rPr>
        <w:t>Drug Delivery</w:t>
      </w:r>
      <w:r>
        <w:rPr>
          <w:rFonts w:ascii="Arial" w:cs="Arial" w:eastAsia="Arial" w:hAnsi="Arial"/>
          <w:sz w:val="15"/>
          <w:szCs w:val="15"/>
          <w:color w:val="auto"/>
        </w:rPr>
        <w:t>. Most AAV-based gene therapies in development rely on intravenous (IV) infusions; however, there are many programs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attempt to achieve more targeted physical delivery to specific organs (e.g. eye, central nervous system). Gene delivery is considered one of the biggest challenges to successful translation of cardiac gene therapy into approved products. We believe it is important to explore different routes of administration (ROAs) as well as different infusion- or injection-based catheters to support more targeted delivery and more efficient uptake of gene therapies for the heart. We prioritize head-to-head comparison of different ROAs in large animal models. We are also developing a novel transendocardial injection catheter for precise delivery of therapeutic payloads around the scar area of an infarcted heart. We believe our discoveries in drug delivery can help widen the therapeutic index of our product candidates by reducing the dose required for a therapeutic benefit.</w:t>
      </w:r>
    </w:p>
    <w:p>
      <w:pPr>
        <w:spacing w:after="0" w:line="80" w:lineRule="exact"/>
        <w:rPr>
          <w:rFonts w:ascii="Arial" w:cs="Arial" w:eastAsia="Arial" w:hAnsi="Arial"/>
          <w:sz w:val="15"/>
          <w:szCs w:val="15"/>
          <w:color w:val="auto"/>
        </w:rPr>
      </w:pPr>
    </w:p>
    <w:p>
      <w:pPr>
        <w:ind w:left="1660" w:right="40" w:hanging="304"/>
        <w:spacing w:after="0" w:line="315" w:lineRule="auto"/>
        <w:tabs>
          <w:tab w:leader="none" w:pos="1660" w:val="left"/>
        </w:tabs>
        <w:numPr>
          <w:ilvl w:val="0"/>
          <w:numId w:val="81"/>
        </w:numPr>
        <w:rPr>
          <w:rFonts w:ascii="Arial" w:cs="Arial" w:eastAsia="Arial" w:hAnsi="Arial"/>
          <w:sz w:val="13"/>
          <w:szCs w:val="13"/>
          <w:color w:val="auto"/>
        </w:rPr>
      </w:pPr>
      <w:r>
        <w:rPr>
          <w:rFonts w:ascii="Arial" w:cs="Arial" w:eastAsia="Arial" w:hAnsi="Arial"/>
          <w:sz w:val="13"/>
          <w:szCs w:val="13"/>
          <w:b w:val="1"/>
          <w:bCs w:val="1"/>
          <w:i w:val="1"/>
          <w:iCs w:val="1"/>
          <w:color w:val="auto"/>
        </w:rPr>
        <w:t>Manufacturing</w:t>
      </w:r>
      <w:r>
        <w:rPr>
          <w:rFonts w:ascii="Arial" w:cs="Arial" w:eastAsia="Arial" w:hAnsi="Arial"/>
          <w:sz w:val="13"/>
          <w:szCs w:val="13"/>
          <w:color w:val="auto"/>
        </w:rPr>
        <w:t>. We have taken important steps towards internalizing AAV manufacturing capabilities, expertise, and intellectual property</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to support our emerging portfolio of gene therapy product candidates, and to have greater control over our product development. We have in-house personnel to support our upstream and downstream process development (PD), analytical development (AD), and quality control (QC) efforts. We have produced non-clinical material involving both parental and novel AAV capsids at the 50L and 200L scales to support early research and IND-enabling studies in small and large animal models. We have initiated construction of a 94,000 square-foot current Good Manufacturing Practices (cGMP) facility in the San Francisco Bay Area near our research labs to enable smooth scale-up of production to support first-in-human (FIH) studies, initially at the 1000L scale. We expect this facility will be operational by the end of 2021. We have in-licensed certain manufacturing intellectual property to support our programs.</w:t>
      </w: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0400"/>
          </w:cols>
          <w:pgMar w:left="320" w:top="418" w:right="117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Pipeline</w:t>
      </w:r>
    </w:p>
    <w:p>
      <w:pPr>
        <w:spacing w:after="0" w:line="99" w:lineRule="exact"/>
        <w:rPr>
          <w:sz w:val="20"/>
          <w:szCs w:val="20"/>
          <w:color w:val="auto"/>
        </w:rPr>
      </w:pPr>
    </w:p>
    <w:p>
      <w:pPr>
        <w:ind w:left="820" w:right="100" w:firstLine="385"/>
        <w:spacing w:after="0" w:line="329" w:lineRule="auto"/>
        <w:rPr>
          <w:sz w:val="20"/>
          <w:szCs w:val="20"/>
          <w:color w:val="auto"/>
        </w:rPr>
      </w:pPr>
      <w:r>
        <w:rPr>
          <w:rFonts w:ascii="Arial" w:cs="Arial" w:eastAsia="Arial" w:hAnsi="Arial"/>
          <w:sz w:val="13"/>
          <w:szCs w:val="13"/>
          <w:color w:val="auto"/>
        </w:rPr>
        <w:t>We are advancing a deep and diverse pipeline of programs. The pipeline includes therapeutic programs intended for rare or orphan diseases, such as genetic cardiomyopathies, as well as programs intended for larger indications, such as HFpEF. We have exclusive worldwide rights to all of our programs. Our pipeline includes programs that have emerged from our internal efforts, including various ongoing early stage discovery efforts across our platforms, as well as programs that are based on intellectual property licensed from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101600</wp:posOffset>
            </wp:positionV>
            <wp:extent cx="4446905" cy="1789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446905" cy="178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60" w:hanging="469"/>
        <w:spacing w:after="0" w:line="270"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MYBPC3 Program for gHCM</w:t>
      </w:r>
      <w:r>
        <w:rPr>
          <w:rFonts w:ascii="Arial" w:cs="Arial" w:eastAsia="Arial" w:hAnsi="Arial"/>
          <w:sz w:val="15"/>
          <w:szCs w:val="15"/>
          <w:color w:val="auto"/>
        </w:rPr>
        <w:t>. We are developing an AAV-based gene therapy designed to deliver a functional</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MYBPC3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 in adults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and children with gHCM due to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We have demonstrated significant and durable disease reversal and survival benefit in a relevant murine model, as well as tolerability in mice and NHPs. Our product candidate, TN-201, uses a differentiated approach designed to enable robust expression of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in the heart. The program is currently in IND-enabling studies, and we have obtained feedback from multiple regulatory agencies, including the FDA, to guide our path to clinical development. We intend to submit an IND or CTA to the FDA or EMA, respectively, in 2022.</w:t>
      </w:r>
    </w:p>
    <w:p>
      <w:pPr>
        <w:spacing w:after="0" w:line="73" w:lineRule="exact"/>
        <w:rPr>
          <w:rFonts w:ascii="Arial" w:cs="Arial" w:eastAsia="Arial" w:hAnsi="Arial"/>
          <w:sz w:val="15"/>
          <w:szCs w:val="15"/>
          <w:color w:val="auto"/>
        </w:rPr>
      </w:pPr>
    </w:p>
    <w:p>
      <w:pPr>
        <w:ind w:left="1660" w:hanging="469"/>
        <w:spacing w:after="0" w:line="268" w:lineRule="auto"/>
        <w:tabs>
          <w:tab w:leader="none" w:pos="1660" w:val="left"/>
        </w:tabs>
        <w:numPr>
          <w:ilvl w:val="0"/>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HDAC6i Program for HFpEF and gDCM</w:t>
      </w:r>
      <w:r>
        <w:rPr>
          <w:rFonts w:ascii="Arial" w:cs="Arial" w:eastAsia="Arial" w:hAnsi="Arial"/>
          <w:sz w:val="15"/>
          <w:szCs w:val="15"/>
          <w:color w:val="auto"/>
        </w:rPr>
        <w:t>. Inhibitors of histone deacetylases (HDACs) have long been considered promising targets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many indications in a range of therapeutic areas. Several partially selective HDAC6i are already in clinical development, but none for a heart disease indication. We have discovered a highly specific and potent HDAC6i for which medicinal chemistry has been completed and we have filed patent applications for two chemical series. We have also demonstrated in vivo activity of these molecules in multiple animal models, including in two different models of HFpEF as well as in a model of gDCM. Our product candidate, TYA-11631, has not demonstrated evidence of toxicity at levels dosed to date in small and large animal species. We have initiated IND-enabling activities and intend to submit an IND to the FDA in 2022.</w:t>
      </w:r>
    </w:p>
    <w:p>
      <w:pPr>
        <w:spacing w:after="0" w:line="78" w:lineRule="exact"/>
        <w:rPr>
          <w:rFonts w:ascii="Arial" w:cs="Arial" w:eastAsia="Arial" w:hAnsi="Arial"/>
          <w:sz w:val="15"/>
          <w:szCs w:val="15"/>
          <w:color w:val="auto"/>
        </w:rPr>
      </w:pPr>
    </w:p>
    <w:p>
      <w:pPr>
        <w:ind w:left="1660" w:right="80" w:hanging="469"/>
        <w:spacing w:after="0" w:line="251" w:lineRule="auto"/>
        <w:tabs>
          <w:tab w:leader="none" w:pos="1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PKP2 Program for gARVC</w:t>
      </w:r>
      <w:r>
        <w:rPr>
          <w:rFonts w:ascii="Arial" w:cs="Arial" w:eastAsia="Arial" w:hAnsi="Arial"/>
          <w:sz w:val="16"/>
          <w:szCs w:val="16"/>
          <w:color w:val="auto"/>
        </w:rPr>
        <w:t>. We are developing an AAV-based gene therapy designed to deliver a functional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PKP2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in adults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 We have demonstrated prevention of disease progression and survival benefit in a murine model. Based on publicly available information to date, we believe these data are the first known demonstrations of durable disease modification, survival benefit, and prevention of arrhythmia using an AAV:PKP2 gene therapy construct. This program is currently at the candidate selection stage.</w:t>
      </w:r>
    </w:p>
    <w:p>
      <w:pPr>
        <w:spacing w:after="0" w:line="87" w:lineRule="exact"/>
        <w:rPr>
          <w:rFonts w:ascii="Arial" w:cs="Arial" w:eastAsia="Arial" w:hAnsi="Arial"/>
          <w:sz w:val="16"/>
          <w:szCs w:val="16"/>
          <w:color w:val="auto"/>
        </w:rPr>
      </w:pPr>
    </w:p>
    <w:p>
      <w:pPr>
        <w:ind w:left="1660" w:right="40" w:hanging="469"/>
        <w:spacing w:after="0" w:line="256" w:lineRule="auto"/>
        <w:tabs>
          <w:tab w:leader="none" w:pos="166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DWORF Program for DCM and HFrEF</w:t>
      </w:r>
      <w:r>
        <w:rPr>
          <w:rFonts w:ascii="Arial" w:cs="Arial" w:eastAsia="Arial" w:hAnsi="Arial"/>
          <w:sz w:val="16"/>
          <w:szCs w:val="16"/>
          <w:color w:val="auto"/>
        </w:rPr>
        <w:t>. We are developing an AAV-based gene therapy designed to deliver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DWORF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patients with DCM and HFrEF. DWORF is a muscle-specific micro-peptide first discovered by our co-founder Eric Olson, Ph.D., that acts on the sarcoplasmic/endoplasmic</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0420"/>
          </w:cols>
          <w:pgMar w:left="320" w:top="418" w:right="115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100"/>
        <w:spacing w:after="0" w:line="272" w:lineRule="auto"/>
        <w:rPr>
          <w:sz w:val="20"/>
          <w:szCs w:val="20"/>
          <w:color w:val="auto"/>
        </w:rPr>
      </w:pPr>
      <w:r>
        <w:rPr>
          <w:rFonts w:ascii="Arial" w:cs="Arial" w:eastAsia="Arial" w:hAnsi="Arial"/>
          <w:sz w:val="15"/>
          <w:szCs w:val="15"/>
          <w:color w:val="auto"/>
        </w:rPr>
        <w:t xml:space="preserve">reticulum Ca2+ ATPase 2a (SERCA2a) pathway, widely considered to be a promising target in HF. We and our academic collaborators have accumulated significant preclinical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evidence for the therapeutic benefit of over-expression of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in multiple murine models, including models of DCM and HFrEF, as well as tolerability in murine models. These findings in animal models support the advancement of this program in patients with genetic cardiomyopathies due to specific mutations as well as more prevalent HF populations. This program is currently at the candidate selection stage.</w:t>
      </w:r>
    </w:p>
    <w:p>
      <w:pPr>
        <w:spacing w:after="0" w:line="72" w:lineRule="exact"/>
        <w:rPr>
          <w:sz w:val="20"/>
          <w:szCs w:val="20"/>
          <w:color w:val="auto"/>
        </w:rPr>
      </w:pPr>
    </w:p>
    <w:p>
      <w:pPr>
        <w:ind w:left="1660" w:right="120" w:hanging="469"/>
        <w:spacing w:after="0" w:line="267" w:lineRule="auto"/>
        <w:tabs>
          <w:tab w:leader="none" w:pos="1660" w:val="left"/>
        </w:tabs>
        <w:numPr>
          <w:ilvl w:val="0"/>
          <w:numId w:val="83"/>
        </w:numPr>
        <w:rPr>
          <w:rFonts w:ascii="Arial" w:cs="Arial" w:eastAsia="Arial" w:hAnsi="Arial"/>
          <w:sz w:val="15"/>
          <w:szCs w:val="15"/>
          <w:color w:val="auto"/>
        </w:rPr>
      </w:pPr>
      <w:r>
        <w:rPr>
          <w:rFonts w:ascii="Arial" w:cs="Arial" w:eastAsia="Arial" w:hAnsi="Arial"/>
          <w:sz w:val="15"/>
          <w:szCs w:val="15"/>
          <w:b w:val="1"/>
          <w:bCs w:val="1"/>
          <w:i w:val="1"/>
          <w:iCs w:val="1"/>
          <w:color w:val="auto"/>
        </w:rPr>
        <w:t>Reprogramming Program for HF due to prior MI</w:t>
      </w:r>
      <w:r>
        <w:rPr>
          <w:rFonts w:ascii="Arial" w:cs="Arial" w:eastAsia="Arial" w:hAnsi="Arial"/>
          <w:sz w:val="15"/>
          <w:szCs w:val="15"/>
          <w:color w:val="auto"/>
        </w:rPr>
        <w:t>. We have made significant advances in our unique approach to cellular regeneration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using viral vectors to deliver genes that drive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reprogramming of resident CFs to create new CMs. This approach was first demonstrated by our co-founder Deepak Srivastava, M.D. We have discovered a proprietary combination of three genes that can drive robust reprogramming when delivered together in a single AAV capsid. We have demonstrated significant and durable disease reversal as well as tolerability in multiple small and large animal models. Results of this approach in a pig model of HF due to prior MI were presented at the American Society of Gene &amp; Cell Therapy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Our Management Team and Investors</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We were incorporated in August 2016 by The Column Group, in partnership with leading scientific and clinical researchers in cardiovascular genetics and muscle biology at Gladstone Institutes and UTSW. Since our founding, we have attracted a talented group of industry experts and scientists as part of a highly innovative organization of over 75 employees.</w:t>
      </w:r>
    </w:p>
    <w:p>
      <w:pPr>
        <w:spacing w:after="0" w:line="166"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We are led by a team of executives and directors with significant experience in the discovery, development, manufacture, and commercialization of novel therapeutics, specifically in the fields of rare diseases, gene therapies, and heart disease. Faraz Ali, our Chief Executive Officer since 2018, previously served as the Chief Business Officer at REGENXBIO, and prior to that, accumulated relevant experiences at industry-leading companies in gene therapy and orphan drug development including at bluebird bio and Genzyme Corporation.</w:t>
      </w:r>
    </w:p>
    <w:p>
      <w:pPr>
        <w:spacing w:after="0" w:line="15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We have raised approximately $248 million in equity financing to date from leading venture, strategic and public investors, including The Column Group, Casdin Capital, SymBiosis II, LLC, Fidelity Management &amp; Research Company, RTW Investments, RA Capital Management, funds and accounts advised by T. Rowe Price Associates, GV and others who share our vision to build a highly innovative, integrated biotechnology company delivering next-generation therapies that address the underlying causes of heart disease.</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Overview of Heart Disease</w:t>
      </w:r>
    </w:p>
    <w:p>
      <w:pPr>
        <w:spacing w:after="0" w:line="10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Heart disease is the leading cause of death in the world, accounting for more deaths than from all cancers combined. In the United States, more than 30 million adults, or approximately 12% of the adult population, are diagnosed with heart disease. In addition, an adult dies from a cardiovascular-related health condition, such as a heart attack every 36 seconds, a gruesome statistic that translates to 31% of all deaths in the United States each year. The picture is equally bleak at the other end of the age spectrum, as approximately 35,000 children are born in the United States every year with CHD, and CHD is the leading cause of birth defect-related morbidity and mortality. There are over 250 known genetically defined disorders where the primary source of morbidity and mortality involves the heart. There are few approved products that target the underlying cause of such diseases. Recent analysis has shown that after decades of reduction in the mortality rate due to HF, these rates are once again rising over the last decade, highlighting the need for improved treatments.</w:t>
      </w:r>
    </w:p>
    <w:p>
      <w:pPr>
        <w:spacing w:after="0" w:line="16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The heart is a complex organ due to its biological structure as well as its tightly regulated and coordinated electrophysiological and biomechanical properties. Heart disease comes in many forms, affects individuals at</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0420"/>
          </w:cols>
          <w:pgMar w:left="320" w:top="418" w:right="115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53" w:lineRule="auto"/>
        <w:rPr>
          <w:sz w:val="20"/>
          <w:szCs w:val="20"/>
          <w:color w:val="auto"/>
        </w:rPr>
      </w:pPr>
      <w:r>
        <w:rPr>
          <w:rFonts w:ascii="Arial" w:cs="Arial" w:eastAsia="Arial" w:hAnsi="Arial"/>
          <w:sz w:val="16"/>
          <w:szCs w:val="16"/>
          <w:color w:val="auto"/>
        </w:rPr>
        <w:t>many ages, and is a result of many factors. As depicted in the below table, heart disease can be generally categorized as either directly resulting from problems associated with the heart organ, for example, HF, arrhythmia and heart valve disease; or indirectly resulting from problems associated with the vasculature, for example, coronary artery disease (CAD). In each case, the underlying cause could be genetic, due to normal aging or due to environmental factors.</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table below illustrates four broad categories of heart disease:</w:t>
      </w:r>
    </w:p>
    <w:p>
      <w:pPr>
        <w:spacing w:after="0" w:line="210" w:lineRule="exact"/>
        <w:rPr>
          <w:sz w:val="20"/>
          <w:szCs w:val="20"/>
          <w:color w:val="auto"/>
        </w:rPr>
      </w:pPr>
    </w:p>
    <w:p>
      <w:pPr>
        <w:ind w:left="2000"/>
        <w:spacing w:after="0"/>
        <w:tabs>
          <w:tab w:leader="none" w:pos="6860" w:val="left"/>
        </w:tabs>
        <w:rPr>
          <w:sz w:val="20"/>
          <w:szCs w:val="20"/>
          <w:color w:val="auto"/>
        </w:rPr>
      </w:pPr>
      <w:r>
        <w:rPr>
          <w:rFonts w:ascii="Arial" w:cs="Arial" w:eastAsia="Arial" w:hAnsi="Arial"/>
          <w:sz w:val="13"/>
          <w:szCs w:val="13"/>
          <w:b w:val="1"/>
          <w:bCs w:val="1"/>
          <w:u w:val="single" w:color="auto"/>
          <w:color w:val="auto"/>
        </w:rPr>
        <w:t>CATEGORIES</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7620</wp:posOffset>
            </wp:positionV>
            <wp:extent cx="396811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968115" cy="7620"/>
                    </a:xfrm>
                    <a:prstGeom prst="rect">
                      <a:avLst/>
                    </a:prstGeom>
                    <a:noFill/>
                  </pic:spPr>
                </pic:pic>
              </a:graphicData>
            </a:graphic>
          </wp:anchor>
        </w:drawing>
      </w:r>
    </w:p>
    <w:p>
      <w:pPr>
        <w:spacing w:after="0" w:line="26" w:lineRule="exact"/>
        <w:rPr>
          <w:sz w:val="20"/>
          <w:szCs w:val="20"/>
          <w:color w:val="auto"/>
        </w:rPr>
      </w:pPr>
    </w:p>
    <w:p>
      <w:pPr>
        <w:ind w:left="4180" w:right="20"/>
        <w:spacing w:after="0" w:line="323" w:lineRule="auto"/>
        <w:rPr>
          <w:sz w:val="20"/>
          <w:szCs w:val="20"/>
          <w:color w:val="auto"/>
        </w:rPr>
      </w:pPr>
      <w:r>
        <w:rPr>
          <w:rFonts w:ascii="Arial" w:cs="Arial" w:eastAsia="Arial" w:hAnsi="Arial"/>
          <w:sz w:val="13"/>
          <w:szCs w:val="13"/>
          <w:color w:val="auto"/>
        </w:rPr>
        <w:t>HF is a heart condition in which the heart’s pumping capacity is not adequate to meet the demands for blood and oxygen required by the rest of the body. HF can be the result of a range of conditions that lead to weakening of the heart muscle. Conditions that can be associated with the development of HF include a heart attack, uncontrolled high blood pressure, congenital heart disease (heart defects present at birth), and genetic cardiomyopathies.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-629920</wp:posOffset>
            </wp:positionV>
            <wp:extent cx="516890" cy="7188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6890" cy="718820"/>
                    </a:xfrm>
                    <a:prstGeom prst="rect">
                      <a:avLst/>
                    </a:prstGeom>
                    <a:noFill/>
                  </pic:spPr>
                </pic:pic>
              </a:graphicData>
            </a:graphic>
          </wp:anchor>
        </w:drawing>
      </w:r>
    </w:p>
    <w:p>
      <w:pPr>
        <w:spacing w:after="0" w:line="212"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Heart Failure (HF)</w:t>
      </w:r>
    </w:p>
    <w:p>
      <w:pPr>
        <w:spacing w:after="0" w:line="170" w:lineRule="exact"/>
        <w:rPr>
          <w:sz w:val="20"/>
          <w:szCs w:val="20"/>
          <w:color w:val="auto"/>
        </w:rPr>
      </w:pPr>
    </w:p>
    <w:p>
      <w:pPr>
        <w:ind w:left="4180" w:right="80"/>
        <w:spacing w:after="0" w:line="329" w:lineRule="auto"/>
        <w:rPr>
          <w:sz w:val="20"/>
          <w:szCs w:val="20"/>
          <w:color w:val="auto"/>
        </w:rPr>
      </w:pPr>
      <w:r>
        <w:rPr>
          <w:rFonts w:ascii="Arial" w:cs="Arial" w:eastAsia="Arial" w:hAnsi="Arial"/>
          <w:sz w:val="13"/>
          <w:szCs w:val="13"/>
          <w:color w:val="auto"/>
        </w:rPr>
        <w:t>Arrhythmia is one of the most common heart conditions and is described as any change in the heart’s normal electrical impulses. Electrical impulses from within the heart initiate each heartbeat and ensure its normal pumping function. Arrhythmias can cause the heart to beat too quickly, too slowly or irregularly, resulting in a broad range of symptoms as well as sudden death and stroke.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-511810</wp:posOffset>
            </wp:positionV>
            <wp:extent cx="845820" cy="7188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45820" cy="718820"/>
                    </a:xfrm>
                    <a:prstGeom prst="rect">
                      <a:avLst/>
                    </a:prstGeom>
                    <a:noFill/>
                  </pic:spPr>
                </pic:pic>
              </a:graphicData>
            </a:graphic>
          </wp:anchor>
        </w:drawing>
      </w:r>
    </w:p>
    <w:p>
      <w:pPr>
        <w:spacing w:after="0" w:line="398"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Arrhythmia</w:t>
      </w:r>
    </w:p>
    <w:p>
      <w:pPr>
        <w:spacing w:after="0" w:line="170" w:lineRule="exact"/>
        <w:rPr>
          <w:sz w:val="20"/>
          <w:szCs w:val="20"/>
          <w:color w:val="auto"/>
        </w:rPr>
      </w:pPr>
    </w:p>
    <w:p>
      <w:pPr>
        <w:ind w:left="4180" w:right="300"/>
        <w:spacing w:after="0" w:line="256" w:lineRule="auto"/>
        <w:rPr>
          <w:sz w:val="20"/>
          <w:szCs w:val="20"/>
          <w:color w:val="auto"/>
        </w:rPr>
      </w:pPr>
      <w:r>
        <w:rPr>
          <w:rFonts w:ascii="Arial" w:cs="Arial" w:eastAsia="Arial" w:hAnsi="Arial"/>
          <w:sz w:val="16"/>
          <w:szCs w:val="16"/>
          <w:color w:val="auto"/>
        </w:rPr>
        <w:t>Heart value disease occurs when there is a problem with one or more of the four valves that normally work in unison to make sure that blood is pumped in the proper direction through the four chambers of the heart.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1186815</wp:posOffset>
            </wp:positionH>
            <wp:positionV relativeFrom="paragraph">
              <wp:posOffset>-365125</wp:posOffset>
            </wp:positionV>
            <wp:extent cx="688975" cy="7188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8975"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Heart Valve Disease</w:t>
      </w:r>
    </w:p>
    <w:p>
      <w:pPr>
        <w:spacing w:after="0" w:line="170" w:lineRule="exact"/>
        <w:rPr>
          <w:sz w:val="20"/>
          <w:szCs w:val="20"/>
          <w:color w:val="auto"/>
        </w:rPr>
      </w:pPr>
    </w:p>
    <w:p>
      <w:pPr>
        <w:jc w:val="both"/>
        <w:ind w:left="4180"/>
        <w:spacing w:after="0" w:line="256" w:lineRule="auto"/>
        <w:rPr>
          <w:sz w:val="20"/>
          <w:szCs w:val="20"/>
          <w:color w:val="auto"/>
        </w:rPr>
      </w:pPr>
      <w:r>
        <w:rPr>
          <w:rFonts w:ascii="Arial" w:cs="Arial" w:eastAsia="Arial" w:hAnsi="Arial"/>
          <w:sz w:val="16"/>
          <w:szCs w:val="16"/>
          <w:color w:val="auto"/>
        </w:rPr>
        <w:t>CAD is among the most common type of heart disease and occurs when plaque grows in the walls of the coronary arteries, limiting the blood flow to the heart’s muscle. CAD can ultimately lead to a heart attack.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1269365</wp:posOffset>
            </wp:positionH>
            <wp:positionV relativeFrom="paragraph">
              <wp:posOffset>-365125</wp:posOffset>
            </wp:positionV>
            <wp:extent cx="516890" cy="7188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6890"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Coronary Artery Disease (CAD)</w:t>
      </w:r>
    </w:p>
    <w:p>
      <w:pPr>
        <w:spacing w:after="0" w:line="205" w:lineRule="exact"/>
        <w:rPr>
          <w:sz w:val="20"/>
          <w:szCs w:val="20"/>
          <w:color w:val="auto"/>
        </w:rPr>
      </w:pPr>
    </w:p>
    <w:p>
      <w:pPr>
        <w:jc w:val="both"/>
        <w:ind w:left="820" w:right="300" w:firstLine="385"/>
        <w:spacing w:after="0" w:line="256" w:lineRule="auto"/>
        <w:rPr>
          <w:sz w:val="20"/>
          <w:szCs w:val="20"/>
          <w:color w:val="auto"/>
        </w:rPr>
      </w:pPr>
      <w:r>
        <w:rPr>
          <w:rFonts w:ascii="Arial" w:cs="Arial" w:eastAsia="Arial" w:hAnsi="Arial"/>
          <w:sz w:val="16"/>
          <w:szCs w:val="16"/>
          <w:color w:val="auto"/>
        </w:rPr>
        <w:t>While there is significant unmet need in the field of heart disease, historically there have been challenges in developing novel therapies for the different forms of heart disease. We are currently focused on HF and arrhythmia, particularly when these diseases can be traced to some underlying genetic defect.</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Current Challenges in the Development of Novel Therapies for Heart Disease</w:t>
      </w:r>
    </w:p>
    <w:p>
      <w:pPr>
        <w:spacing w:after="0" w:line="111" w:lineRule="exact"/>
        <w:rPr>
          <w:sz w:val="20"/>
          <w:szCs w:val="20"/>
          <w:color w:val="auto"/>
        </w:rPr>
      </w:pPr>
    </w:p>
    <w:p>
      <w:pPr>
        <w:ind w:left="1660" w:right="20" w:hanging="469"/>
        <w:spacing w:after="0" w:line="259" w:lineRule="auto"/>
        <w:tabs>
          <w:tab w:leader="none" w:pos="1660"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Most development efforts focus on treating symptoms rather than targeting the underlying causes of diseases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First-line therapies for HF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as generic small molecules, including ACE inhibitors, angiotensin II receptor blockers, beta blockers, aldosterone antagonists, and diuretics, are most commonly used, irrespective of the underlying cause of the HF.</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0440"/>
          </w:cols>
          <w:pgMar w:left="320" w:top="418" w:right="113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1660" w:right="340" w:hanging="469"/>
        <w:spacing w:after="0" w:line="259" w:lineRule="auto"/>
        <w:tabs>
          <w:tab w:leader="none" w:pos="1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Identifying new disease-modifying targets is challenging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is a high reliance on animal models that are not always predictive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heart disease. There is only a 4% to 7% overall probability of successful drug development from Phase 1 through commercialization for heart disease, among the lowest of all therapeutic areas.</w:t>
      </w:r>
    </w:p>
    <w:p>
      <w:pPr>
        <w:spacing w:after="0" w:line="76" w:lineRule="exact"/>
        <w:rPr>
          <w:rFonts w:ascii="Arial" w:cs="Arial" w:eastAsia="Arial" w:hAnsi="Arial"/>
          <w:sz w:val="16"/>
          <w:szCs w:val="16"/>
          <w:color w:val="auto"/>
        </w:rPr>
      </w:pPr>
    </w:p>
    <w:p>
      <w:pPr>
        <w:ind w:left="1660" w:right="60" w:hanging="469"/>
        <w:spacing w:after="0" w:line="251" w:lineRule="auto"/>
        <w:tabs>
          <w:tab w:leader="none" w:pos="1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Genetic diagnosis and genetic counseling are limited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patients presenting with heart disease do not currently obtain a genetic test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their diagnosis. Given there are almost no therapies that are targeted at the underlying genetic cause of the disease, physicians may believe a genetic test will not influence treatment and management decisions. Additionally, even when patients do receive a genetic diagnosis, genetic counseling and family screening are not commonly employed. As a result, family members who may be at risk of disease are not identified early. Additionally, this also limits the availability of patients for clinical trials of genetic medicines in heart disease.</w:t>
      </w:r>
    </w:p>
    <w:p>
      <w:pPr>
        <w:spacing w:after="0" w:line="83" w:lineRule="exact"/>
        <w:rPr>
          <w:rFonts w:ascii="Arial" w:cs="Arial" w:eastAsia="Arial" w:hAnsi="Arial"/>
          <w:sz w:val="16"/>
          <w:szCs w:val="16"/>
          <w:color w:val="auto"/>
        </w:rPr>
      </w:pPr>
    </w:p>
    <w:p>
      <w:pPr>
        <w:ind w:left="1660" w:right="120" w:hanging="469"/>
        <w:spacing w:after="0" w:line="271"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Regenerative therapy science is still in its early stages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Historical attempts at developing novel cell and gene therapies for heart disease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not been successful. Much effort was devoted to regenerative medicine approaches using autologous (from self) or allogeneic (from donors) cell sources, but after more than 150 clinical studies involving thousands of patients over the last two decades, those efforts have mostly ended in failure. Factors that likely contributed to these failures include an insufficient number of new cells surviving rejection by the immune system, only modest efficacy from the surviving cells, and arrhythmia caused by abnormal electric activity and connections between new cells and the existing cells.</w:t>
      </w:r>
    </w:p>
    <w:p>
      <w:pPr>
        <w:spacing w:after="0" w:line="69" w:lineRule="exact"/>
        <w:rPr>
          <w:rFonts w:ascii="Arial" w:cs="Arial" w:eastAsia="Arial" w:hAnsi="Arial"/>
          <w:sz w:val="15"/>
          <w:szCs w:val="15"/>
          <w:color w:val="auto"/>
        </w:rPr>
      </w:pPr>
    </w:p>
    <w:p>
      <w:pPr>
        <w:ind w:left="1660" w:right="20" w:hanging="469"/>
        <w:spacing w:after="0" w:line="252" w:lineRule="auto"/>
        <w:tabs>
          <w:tab w:leader="none" w:pos="1660" w:val="left"/>
        </w:tabs>
        <w:numPr>
          <w:ilvl w:val="0"/>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Gene therapy science for the heart is still maturing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have been few attempts at gene therapy for heart disease. Most early gene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therapy efforts used adenoviruses instead of AAV. The most well-known AAV-based effort involved the use of AAV1 to deliver SERCA2a. After promising preclinical and early clinical results, this effort was discontinued following an unsuccessful Phase 2b study. These first-generation gene therapy efforts for the heart did not have the benefit of more recent advances in capsids, promoters, delivery, and manufacturing.</w:t>
      </w:r>
    </w:p>
    <w:p>
      <w:pPr>
        <w:spacing w:after="0" w:line="83" w:lineRule="exact"/>
        <w:rPr>
          <w:rFonts w:ascii="Arial" w:cs="Arial" w:eastAsia="Arial" w:hAnsi="Arial"/>
          <w:sz w:val="16"/>
          <w:szCs w:val="16"/>
          <w:color w:val="auto"/>
        </w:rPr>
      </w:pPr>
    </w:p>
    <w:p>
      <w:pPr>
        <w:ind w:left="1660" w:right="20" w:hanging="469"/>
        <w:spacing w:after="0" w:line="271"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Regulatory requirements are stringent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Historically, cardiovascular drug development has involved large studies to demonstrate a survival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benefit over and above standard-of-care, and where there is very low tolerance for safety risks. Endpoints focused on functional improvements, such as change in EF, have generally not been sufficient for FDA approval. This translates to a need for very large, long, and expensive randomized and placebo-controlled clinical studies. The average size of a clinical study used to support treatment recommendations for HF can involve approximately 2,000 to 8,000 patients. As an example, studies for therapies intended to treat diabetes may require safety trials involving 5,000 to 15,000 patients to rule out cardiovascular risk.</w:t>
      </w:r>
    </w:p>
    <w:p>
      <w:pPr>
        <w:spacing w:after="0" w:line="69" w:lineRule="exact"/>
        <w:rPr>
          <w:rFonts w:ascii="Arial" w:cs="Arial" w:eastAsia="Arial" w:hAnsi="Arial"/>
          <w:sz w:val="15"/>
          <w:szCs w:val="15"/>
          <w:color w:val="auto"/>
        </w:rPr>
      </w:pPr>
    </w:p>
    <w:p>
      <w:pPr>
        <w:ind w:left="1660" w:right="160" w:hanging="469"/>
        <w:spacing w:after="0" w:line="284"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Costs of development are high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part due to the historical need for large survival studies, drug development in this space has been very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 and expensive. A recent analysis demonstrated that, on average, biopharmaceutical companies spent $1 billion in clinical development per cardiovascular drug product approval, the highest ratio among all therapeutic areas.</w:t>
      </w:r>
    </w:p>
    <w:p>
      <w:pPr>
        <w:spacing w:after="0" w:line="59" w:lineRule="exact"/>
        <w:rPr>
          <w:rFonts w:ascii="Arial" w:cs="Arial" w:eastAsia="Arial" w:hAnsi="Arial"/>
          <w:sz w:val="15"/>
          <w:szCs w:val="15"/>
          <w:color w:val="auto"/>
        </w:rPr>
      </w:pPr>
    </w:p>
    <w:p>
      <w:pPr>
        <w:ind w:left="1660" w:hanging="469"/>
        <w:spacing w:after="0" w:line="273" w:lineRule="auto"/>
        <w:tabs>
          <w:tab w:leader="none" w:pos="1660" w:val="left"/>
        </w:tabs>
        <w:numPr>
          <w:ilvl w:val="0"/>
          <w:numId w:val="85"/>
        </w:numPr>
        <w:rPr>
          <w:rFonts w:ascii="Arial" w:cs="Arial" w:eastAsia="Arial" w:hAnsi="Arial"/>
          <w:sz w:val="15"/>
          <w:szCs w:val="15"/>
          <w:color w:val="auto"/>
        </w:rPr>
      </w:pPr>
      <w:r>
        <w:rPr>
          <w:rFonts w:ascii="Arial" w:cs="Arial" w:eastAsia="Arial" w:hAnsi="Arial"/>
          <w:sz w:val="15"/>
          <w:szCs w:val="15"/>
          <w:b w:val="1"/>
          <w:bCs w:val="1"/>
          <w:i w:val="1"/>
          <w:iCs w:val="1"/>
          <w:color w:val="auto"/>
        </w:rPr>
        <w:t>Patient access barriers are challenging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addition to being the leading cause of death, HF is one of the largest and most expensive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categories for payers. The United States spends approximately $317 billion per year on CAD alone, including heart disease and stroke, or nearly 17% of all U.S. healthcare spending, representing the most expensive category of chronic diseases to treat. The total direct and indirect costs of HF alone are expected to increase to $70 billion by 2030. As a result, heart disease is an area of focus for cost-containment and price sensitivity for new therapies for both private and public payers.</w:t>
      </w:r>
    </w:p>
    <w:p>
      <w:pPr>
        <w:spacing w:after="0" w:line="155" w:lineRule="exact"/>
        <w:rPr>
          <w:sz w:val="20"/>
          <w:szCs w:val="20"/>
          <w:color w:val="auto"/>
        </w:rPr>
      </w:pPr>
    </w:p>
    <w:p>
      <w:pPr>
        <w:ind w:left="820" w:right="200" w:firstLine="385"/>
        <w:spacing w:after="0" w:line="253" w:lineRule="auto"/>
        <w:rPr>
          <w:sz w:val="20"/>
          <w:szCs w:val="20"/>
          <w:color w:val="auto"/>
        </w:rPr>
      </w:pPr>
      <w:r>
        <w:rPr>
          <w:rFonts w:ascii="Arial" w:cs="Arial" w:eastAsia="Arial" w:hAnsi="Arial"/>
          <w:sz w:val="16"/>
          <w:szCs w:val="16"/>
          <w:color w:val="auto"/>
        </w:rPr>
        <w:t>These factors have contributed to a decline in successful heart disease drug development. Between 2000 and 2009, FDA approvals for new cardiovascular drug products declined by approximately 33% compared with the prior decade. While heart disease is the leading cause of death in the world, fewer resources have been mobilized in support of new therapies for heart disease relative to investment in other therapeutic areas, such as oncology and diseases of the central nervous system.</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0420"/>
          </w:cols>
          <w:pgMar w:left="320" w:top="418" w:right="115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However, there are recent signs of improvement, notably due to the improving rate of genetic testing, potentially from more education by physicians and patient advocacy groups, as well as increased availability of accessible genetic testing covering more than 150 relevant genes associated with inherited arrhythmia and cardiomyopathy conditions. There are also a small but growing number of examples of clinical success with precision medicine approaches in cardiology, including in genetic cardiomyopathies. In addition, there is the potential for relaxation of some regulatory requirements that may enable approval of new cardiovascular therapies based on demonstrated effect on symptoms or physical function and not based solely on demonstrated improvement of survival or risk of hospitalization.</w:t>
      </w:r>
    </w:p>
    <w:p>
      <w:pPr>
        <w:spacing w:after="0" w:line="156"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We believe with the evolving understanding of heart disease in the scientific community and general public, there are significant opportunities where we can benefit from and support the evolution towards more precise diagnosis, drug development, and treatment for heart disease, as depicted in the diagram below.</w:t>
      </w:r>
    </w:p>
    <w:p>
      <w:pPr>
        <w:spacing w:after="0" w:line="16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The Evolving Landscape of Heart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147955</wp:posOffset>
            </wp:positionV>
            <wp:extent cx="4529455" cy="18643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2945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Strategy</w:t>
      </w:r>
    </w:p>
    <w:p>
      <w:pPr>
        <w:spacing w:after="0" w:line="103"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Our goal is to become a leading, fully integrated biotechnology company delivering next-generation therapies that address the underlying causes of heart disease identified through our multi-modality product platforms. We are taking advantage of an expanded understanding of heart biology and advances in the science to discover, develop, manufacture and ultimately commercialize a deep and diverse pipeline of novel therapies. The key components of our strategy to achieve these goals are:</w:t>
      </w:r>
    </w:p>
    <w:p>
      <w:pPr>
        <w:spacing w:after="0" w:line="81" w:lineRule="exact"/>
        <w:rPr>
          <w:sz w:val="20"/>
          <w:szCs w:val="20"/>
          <w:color w:val="auto"/>
        </w:rPr>
      </w:pPr>
    </w:p>
    <w:p>
      <w:pPr>
        <w:ind w:left="1660" w:hanging="469"/>
        <w:spacing w:after="0" w:line="332" w:lineRule="auto"/>
        <w:tabs>
          <w:tab w:leader="none" w:pos="1660" w:val="left"/>
        </w:tabs>
        <w:numPr>
          <w:ilvl w:val="0"/>
          <w:numId w:val="86"/>
        </w:numPr>
        <w:rPr>
          <w:rFonts w:ascii="Arial" w:cs="Arial" w:eastAsia="Arial" w:hAnsi="Arial"/>
          <w:sz w:val="13"/>
          <w:szCs w:val="13"/>
          <w:color w:val="auto"/>
        </w:rPr>
      </w:pPr>
      <w:r>
        <w:rPr>
          <w:rFonts w:ascii="Arial" w:cs="Arial" w:eastAsia="Arial" w:hAnsi="Arial"/>
          <w:sz w:val="13"/>
          <w:szCs w:val="13"/>
          <w:b w:val="1"/>
          <w:bCs w:val="1"/>
          <w:i w:val="1"/>
          <w:iCs w:val="1"/>
          <w:color w:val="auto"/>
        </w:rPr>
        <w:t>Develop disease-modifying therapies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are focused on developing disease-modifying and potentially life-saving novel therapies that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target the underlying causes of heart disease. We are particularly interested in areas where there is no current standard-of-care or where we believe the nature and the magnitude of the effect of our therapies will be significant relative to existing standards-of-care. For example, we believe our AAV-based gene therapies for genetically defined conditions have the potential to be curative after a single dose.</w:t>
      </w:r>
    </w:p>
    <w:p>
      <w:pPr>
        <w:spacing w:after="0" w:line="33" w:lineRule="exact"/>
        <w:rPr>
          <w:rFonts w:ascii="Arial" w:cs="Arial" w:eastAsia="Arial" w:hAnsi="Arial"/>
          <w:sz w:val="13"/>
          <w:szCs w:val="13"/>
          <w:color w:val="auto"/>
        </w:rPr>
      </w:pPr>
    </w:p>
    <w:p>
      <w:pPr>
        <w:ind w:left="1660" w:right="40" w:hanging="469"/>
        <w:spacing w:after="0" w:line="273" w:lineRule="auto"/>
        <w:tabs>
          <w:tab w:leader="none" w:pos="1660" w:val="left"/>
        </w:tabs>
        <w:numPr>
          <w:ilvl w:val="0"/>
          <w:numId w:val="86"/>
        </w:numPr>
        <w:rPr>
          <w:rFonts w:ascii="Arial" w:cs="Arial" w:eastAsia="Arial" w:hAnsi="Arial"/>
          <w:sz w:val="15"/>
          <w:szCs w:val="15"/>
          <w:color w:val="auto"/>
        </w:rPr>
      </w:pPr>
      <w:r>
        <w:rPr>
          <w:rFonts w:ascii="Arial" w:cs="Arial" w:eastAsia="Arial" w:hAnsi="Arial"/>
          <w:sz w:val="15"/>
          <w:szCs w:val="15"/>
          <w:b w:val="1"/>
          <w:bCs w:val="1"/>
          <w:i w:val="1"/>
          <w:iCs w:val="1"/>
          <w:color w:val="auto"/>
        </w:rPr>
        <w:t>Focus exclusively on heart disease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Heart disease is still the leading cause of death globally, more than all cancers combined,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unmet medical need remains high. We see significant opportunity to address this sizable market with our dedicated strategy. The heart is a complex organ to target, in part due to the tightly regulated and coordinated electrophysiological and biomechanical properties that can complicate delivery of effective therapies and necessitates a deep understanding of heart biology. Our laser focus leads to insights that underpin our foundational and differentiated capabilities to address</w:t>
      </w:r>
    </w:p>
    <w:p>
      <w:pPr>
        <w:spacing w:after="0" w:line="9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0380"/>
          </w:cols>
          <w:pgMar w:left="320" w:top="418" w:right="119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challenges that have historically presented barriers to the successful development of novel therapies for the heart.</w:t>
      </w:r>
    </w:p>
    <w:p>
      <w:pPr>
        <w:spacing w:after="0" w:line="111" w:lineRule="exact"/>
        <w:rPr>
          <w:sz w:val="20"/>
          <w:szCs w:val="20"/>
          <w:color w:val="auto"/>
        </w:rPr>
      </w:pPr>
    </w:p>
    <w:p>
      <w:pPr>
        <w:ind w:left="1660" w:right="40" w:hanging="469"/>
        <w:spacing w:after="0" w:line="319" w:lineRule="auto"/>
        <w:tabs>
          <w:tab w:leader="none" w:pos="166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Discover novel therapies using three product platforms in parallel</w:t>
      </w:r>
      <w:r>
        <w:rPr>
          <w:rFonts w:ascii="Arial" w:cs="Arial" w:eastAsia="Arial" w:hAnsi="Arial"/>
          <w:sz w:val="13"/>
          <w:szCs w:val="13"/>
          <w:color w:val="auto"/>
        </w:rPr>
        <w:t>. To address the wide range of issues in heart diseases, we are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advancing science from three distinct product platforms in parallel. Each platform tackles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3"/>
          <w:szCs w:val="13"/>
          <w:i w:val="1"/>
          <w:iCs w:val="1"/>
          <w:color w:val="auto"/>
        </w:rPr>
        <w:t>.</w:t>
      </w:r>
      <w:r>
        <w:rPr>
          <w:rFonts w:ascii="Arial" w:cs="Arial" w:eastAsia="Arial" w:hAnsi="Arial"/>
          <w:sz w:val="13"/>
          <w:szCs w:val="13"/>
          <w:color w:val="auto"/>
        </w:rPr>
        <w:t xml:space="preserve"> These platforms represent distinct but interrelated product engines that we believe will enable a robust pipeline of promising product candidates while also mitigating overall scientific risk.</w:t>
      </w:r>
    </w:p>
    <w:p>
      <w:pPr>
        <w:spacing w:after="0" w:line="41" w:lineRule="exact"/>
        <w:rPr>
          <w:rFonts w:ascii="Arial" w:cs="Arial" w:eastAsia="Arial" w:hAnsi="Arial"/>
          <w:sz w:val="13"/>
          <w:szCs w:val="13"/>
          <w:color w:val="auto"/>
        </w:rPr>
      </w:pPr>
    </w:p>
    <w:p>
      <w:pPr>
        <w:ind w:left="1660" w:hanging="469"/>
        <w:spacing w:after="0" w:line="324" w:lineRule="auto"/>
        <w:tabs>
          <w:tab w:leader="none" w:pos="166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Target defined sub-populations of patients most likely to respond to our therapies</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seek to focus on patient populations where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genetic cause of the disease is well-established, including genetic cardiomyopathies and other monogenic disorders. We also seek to use different strategies to sub-segment larger HF populations, such as HFrEF and HFpEF, through the use of genetics or biomarkers to improve selection of patients with attributes that are more suited to the specific mechanism of action. We believe this strategy can accelerate clinical development, reduce overall development costs, and improve the probability of clinical and regulatory success.</w:t>
      </w:r>
    </w:p>
    <w:p>
      <w:pPr>
        <w:spacing w:after="0" w:line="40" w:lineRule="exact"/>
        <w:rPr>
          <w:rFonts w:ascii="Arial" w:cs="Arial" w:eastAsia="Arial" w:hAnsi="Arial"/>
          <w:sz w:val="13"/>
          <w:szCs w:val="13"/>
          <w:color w:val="auto"/>
        </w:rPr>
      </w:pPr>
    </w:p>
    <w:p>
      <w:pPr>
        <w:ind w:left="1660" w:right="60" w:hanging="469"/>
        <w:spacing w:after="0" w:line="267" w:lineRule="auto"/>
        <w:tabs>
          <w:tab w:leader="none" w:pos="1660" w:val="left"/>
        </w:tabs>
        <w:numPr>
          <w:ilvl w:val="0"/>
          <w:numId w:val="87"/>
        </w:numPr>
        <w:rPr>
          <w:rFonts w:ascii="Arial" w:cs="Arial" w:eastAsia="Arial" w:hAnsi="Arial"/>
          <w:sz w:val="15"/>
          <w:szCs w:val="15"/>
          <w:color w:val="auto"/>
        </w:rPr>
      </w:pPr>
      <w:r>
        <w:rPr>
          <w:rFonts w:ascii="Arial" w:cs="Arial" w:eastAsia="Arial" w:hAnsi="Arial"/>
          <w:sz w:val="15"/>
          <w:szCs w:val="15"/>
          <w:b w:val="1"/>
          <w:bCs w:val="1"/>
          <w:i w:val="1"/>
          <w:iCs w:val="1"/>
          <w:color w:val="auto"/>
        </w:rPr>
        <w:t>Advance a deep and diverse pipeline of therapies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aim to advance potential product candidates from all three product platforms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concurrently, and the current pipeline already has at least one program from each product platform. The diversity of our programs illustrates the ambition of our vision and the versatility and depth of our scientific approaches. For example, from our Gene Therapy platform we are advancing AAV-based therapies for rare, genetic forms of heart disease including (i) TN-201, our MYBPC3 product candidate for gHCM, (ii) our PKP2 product candidate for gARVC and (iii) our DWORF product candidate for DCM and HFrEF; from our Cellular Regeneration platform, we are advancing a potentially one-time regenerative medicine therapy for HF due to prior MI; and from our Precision Medicine platform, we are advancing TYA-11631, an HDAC6i for a prevalent form of HFpEF and gDCM. We are also working on several other undisclosed programs, particularly from our Gene Therapy and Precision Medicine platforms, that we believe will add to our future pipeline opportunities.</w:t>
      </w:r>
    </w:p>
    <w:p>
      <w:pPr>
        <w:spacing w:after="0" w:line="76" w:lineRule="exact"/>
        <w:rPr>
          <w:rFonts w:ascii="Arial" w:cs="Arial" w:eastAsia="Arial" w:hAnsi="Arial"/>
          <w:sz w:val="15"/>
          <w:szCs w:val="15"/>
          <w:color w:val="auto"/>
        </w:rPr>
      </w:pPr>
    </w:p>
    <w:p>
      <w:pPr>
        <w:ind w:left="1660" w:right="340" w:hanging="469"/>
        <w:spacing w:after="0" w:line="315" w:lineRule="auto"/>
        <w:tabs>
          <w:tab w:leader="none" w:pos="166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Internalize and integrate core capabilities to support our innovation</w:t>
      </w:r>
      <w:r>
        <w:rPr>
          <w:rFonts w:ascii="Arial" w:cs="Arial" w:eastAsia="Arial" w:hAnsi="Arial"/>
          <w:sz w:val="13"/>
          <w:szCs w:val="13"/>
          <w:b w:val="1"/>
          <w:bCs w:val="1"/>
          <w:color w:val="auto"/>
        </w:rPr>
        <w: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We have five core capabilities that we believe will enable us to</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rapidly discover, develop, and deliver heart therapies. These capabilities include: (i) Disease Models, (ii) Capsid Engineering,</w:t>
      </w:r>
    </w:p>
    <w:p>
      <w:pPr>
        <w:ind w:left="1660" w:right="40"/>
        <w:spacing w:after="0" w:line="248" w:lineRule="auto"/>
        <w:rPr>
          <w:rFonts w:ascii="Arial" w:cs="Arial" w:eastAsia="Arial" w:hAnsi="Arial"/>
          <w:sz w:val="13"/>
          <w:szCs w:val="13"/>
          <w:color w:val="auto"/>
        </w:rPr>
      </w:pPr>
      <w:r>
        <w:rPr>
          <w:rFonts w:ascii="Arial" w:cs="Arial" w:eastAsia="Arial" w:hAnsi="Arial"/>
          <w:sz w:val="16"/>
          <w:szCs w:val="16"/>
          <w:color w:val="auto"/>
        </w:rPr>
        <w:t>(iii) Promoter and Regulatory Elements, (iv) Drug Delivery and (v) Manufacturing. We believe the integration of our know-how and innovations in these areas will allow us to generate scientific insights more rapidly and improve the probability of technical and regulatory success of our product candidates. The internalization of these capabilities also reduces our reliance on third parties—be it academic labs, CROs, or CDMOs—providing us better control of our timelines and costs.</w:t>
      </w:r>
    </w:p>
    <w:p>
      <w:pPr>
        <w:spacing w:after="0" w:line="88" w:lineRule="exact"/>
        <w:rPr>
          <w:rFonts w:ascii="Arial" w:cs="Arial" w:eastAsia="Arial" w:hAnsi="Arial"/>
          <w:sz w:val="13"/>
          <w:szCs w:val="13"/>
          <w:color w:val="auto"/>
        </w:rPr>
      </w:pPr>
    </w:p>
    <w:p>
      <w:pPr>
        <w:ind w:left="1660" w:right="80" w:hanging="469"/>
        <w:spacing w:after="0" w:line="323" w:lineRule="auto"/>
        <w:tabs>
          <w:tab w:leader="none" w:pos="1660" w:val="left"/>
        </w:tabs>
        <w:numPr>
          <w:ilvl w:val="0"/>
          <w:numId w:val="87"/>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Become a fully integrated biopharmaceutical company with commercial capabilities. </w:t>
      </w:r>
      <w:r>
        <w:rPr>
          <w:rFonts w:ascii="Arial" w:cs="Arial" w:eastAsia="Arial" w:hAnsi="Arial"/>
          <w:sz w:val="13"/>
          <w:szCs w:val="13"/>
          <w:color w:val="auto"/>
        </w:rPr>
        <w:t>We aim to discover, develop, manufacture, and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eventually commercialize therapies. We believe this strategy can make us a partner of choice for academics and larger companies alike who wish to access deep expertise in next generation therapies for heart disease. We also strategically evaluate collaborations and partnerships with biopharmaceutical companies that may have more robust and complimentary capabilities and resources to accelerate the development and maximize the availability and potential of our product candidates, particularly for more prevalent indications.</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0420"/>
          </w:cols>
          <w:pgMar w:left="320" w:top="418" w:right="115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Product Platforms</w:t>
      </w:r>
    </w:p>
    <w:p>
      <w:pPr>
        <w:spacing w:after="0" w:line="103"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To unlock the full potential of novel therapies across many forms of heart disease, we are advancing science from three product platforms in parallel. Each platform is intended to address different problems that have historically plagued drug development in the field of cardiology: (i) our Gene Therapy platform to deliver a wide variety of therapeutic payloads more precisely to heart tissue, (ii) our Cellular Regeneration platform to replace heart cells lost to disease, and (iii) our Precision Medicine platform to discover targeted therapies in a modality-agnostic fashion</w:t>
      </w:r>
      <w:r>
        <w:rPr>
          <w:rFonts w:ascii="Arial" w:cs="Arial" w:eastAsia="Arial" w:hAnsi="Arial"/>
          <w:sz w:val="15"/>
          <w:szCs w:val="15"/>
          <w:i w:val="1"/>
          <w:iCs w:val="1"/>
          <w:color w:val="auto"/>
        </w:rPr>
        <w:t>.</w:t>
      </w:r>
      <w:r>
        <w:rPr>
          <w:rFonts w:ascii="Arial" w:cs="Arial" w:eastAsia="Arial" w:hAnsi="Arial"/>
          <w:sz w:val="15"/>
          <w:szCs w:val="15"/>
          <w:color w:val="auto"/>
        </w:rPr>
        <w:t xml:space="preserve"> We are advancing programs from these distinct but interrelated product platforms that combine different science, capabilities, and intellectual property. We believe these three product platforms together yield better insights into disease processes, create more opportunities for successful drug development, mitigate scientific risk, and differentiate our efforts relative to competitors.</w:t>
      </w:r>
    </w:p>
    <w:p>
      <w:pPr>
        <w:spacing w:after="0" w:line="251" w:lineRule="exact"/>
        <w:rPr>
          <w:sz w:val="20"/>
          <w:szCs w:val="20"/>
          <w:color w:val="auto"/>
        </w:rPr>
      </w:pPr>
    </w:p>
    <w:p>
      <w:pPr>
        <w:ind w:left="3420"/>
        <w:spacing w:after="0"/>
        <w:rPr>
          <w:sz w:val="20"/>
          <w:szCs w:val="20"/>
          <w:color w:val="auto"/>
        </w:rPr>
      </w:pPr>
      <w:r>
        <w:rPr>
          <w:rFonts w:ascii="Arial" w:cs="Arial" w:eastAsia="Arial" w:hAnsi="Arial"/>
          <w:sz w:val="16"/>
          <w:szCs w:val="16"/>
          <w:b w:val="1"/>
          <w:bCs w:val="1"/>
          <w:color w:val="auto"/>
        </w:rPr>
        <w:t>Our Product Platforms Powering Multi-Modality Drug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147955</wp:posOffset>
            </wp:positionV>
            <wp:extent cx="4446905" cy="1916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46905"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 Therapy Platform</w:t>
      </w:r>
    </w:p>
    <w:p>
      <w:pPr>
        <w:spacing w:after="0" w:line="99"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Gene therapy focuses on repairing or replacing defective or mutated genes to produce a therapeutic effect or treat a disease. AAV is a non-enveloped virus that already exists in some humans and does not cause disease. In gene therapy, the viral DNA within an AAV is replaced with new DNA to become a precisely coded vector to deliver the engineered therapeutic to specific tissues or organs within the body.</w:t>
      </w:r>
    </w:p>
    <w:p>
      <w:pPr>
        <w:spacing w:after="0" w:line="149"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AAV vectors are the subject of significant research and development as they can be leveraged as a gene delivery vehicle for a wide range of therapeutic payloads to a wide variety of human cells. AAV-mediated gene therapy has been shown to be highly effective in targeting multiple organs, including the eye, the liver and the central nervous system. These viruses have been used to dose more than 3,300 patients in approximately 150 clinical studies around the world, and there are now several therapies that use such viruses that have been approved by the FDA and other regulatory agencies.</w:t>
      </w:r>
    </w:p>
    <w:p>
      <w:pPr>
        <w:spacing w:after="0" w:line="123" w:lineRule="exact"/>
        <w:rPr>
          <w:sz w:val="20"/>
          <w:szCs w:val="20"/>
          <w:color w:val="auto"/>
        </w:rPr>
      </w:pPr>
    </w:p>
    <w:p>
      <w:pPr>
        <w:jc w:val="both"/>
        <w:ind w:left="820" w:right="40" w:firstLine="385"/>
        <w:spacing w:after="0" w:line="256" w:lineRule="auto"/>
        <w:rPr>
          <w:sz w:val="20"/>
          <w:szCs w:val="20"/>
          <w:color w:val="auto"/>
        </w:rPr>
      </w:pPr>
      <w:r>
        <w:rPr>
          <w:rFonts w:ascii="Arial" w:cs="Arial" w:eastAsia="Arial" w:hAnsi="Arial"/>
          <w:sz w:val="16"/>
          <w:szCs w:val="16"/>
          <w:color w:val="auto"/>
        </w:rPr>
        <w:t>Recent third-party clinical studies have demonstrated that AAV serotype 9 (AAV9) can effectively transduce the hearts of infants and adults. This supports the results of several published non-clinical studies using AAV9 in murine and NHP models. Overall, most data suggest that AAV9 may be the best of the known existing parental vectors for the purpose of cardiac gene therapy.</w:t>
      </w:r>
    </w:p>
    <w:p>
      <w:pPr>
        <w:spacing w:after="0" w:line="166"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However, AAV9 has limitations. AAV9 has a well-established ability to also transduce the liver and the central nervous system, in addition to the heart, which can create safety considerations. Also, some individuals have neutralizing antibodies to AAV9, making them ineligible for AAV9-based treatments.</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0400"/>
          </w:cols>
          <w:pgMar w:left="320" w:top="418" w:right="117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500" w:firstLine="385"/>
        <w:spacing w:after="0" w:line="256" w:lineRule="auto"/>
        <w:rPr>
          <w:sz w:val="20"/>
          <w:szCs w:val="20"/>
          <w:color w:val="auto"/>
        </w:rPr>
      </w:pPr>
      <w:r>
        <w:rPr>
          <w:rFonts w:ascii="Arial" w:cs="Arial" w:eastAsia="Arial" w:hAnsi="Arial"/>
          <w:sz w:val="16"/>
          <w:szCs w:val="16"/>
          <w:color w:val="auto"/>
        </w:rPr>
        <w:t>Cardiac-specific promoters like cardiac troponin T (cTnT) can help limit the expression of AAV-delivered genes to CMs, but do not enable targeted gene expression in other heart cells (e.g. CFs). Additionally, the level of gene expression from these promoters may not be sufficient for therapeutic effect in some settings.</w:t>
      </w:r>
    </w:p>
    <w:p>
      <w:pPr>
        <w:spacing w:after="0" w:line="166"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Therefore, there is significant room for improvement, and we aim to improve gene therapy for the heart in ways that expand its utility. We believe our five core internal capabilities will allow us to identify, engineer, validate, deliver and manufacture novel AAV vectors to optimize the delivery and expression of therapies more selectively to cells of interest in the heart. With our capsid engineering capabilities, we have designed and screened more than one billion AAV variants to find novel capsids with higher tropism and transduction efficiency for different types of heart cells, lower transduction efficiency for the liver and other tissues, and lower susceptibility to neutralizing antibodies. We have discovered promoters and regulatory elements that enable more precise gene expression in specific heart cells. We are developing new catheters and are exploring different ROAs to more precisely deliver vectors to heart tissue. And we have established know-how to enable more optimal manufacturing, including of novel AAV capsids.</w:t>
      </w:r>
    </w:p>
    <w:p>
      <w:pPr>
        <w:spacing w:after="0" w:line="131"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These capabilities open the opportunity to deliver novel gene therapies to patients with heart disease and position us to become a leader in gene therapy for cardiology. We are leveraging these capabilities to develop gene therapies not only for rare, genetic forms of heart disease, but also to enable the transition to more prevalent forms as well.</w:t>
      </w:r>
    </w:p>
    <w:p>
      <w:pPr>
        <w:spacing w:after="0" w:line="166"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 xml:space="preserve">The product candidates arising from our Gene Therapy platform are intended to overcome the shortcomings of traditional pharmacological or surgical interventions that are not able to address the underlying genetic factors contributing to heart disease. Our initial area of focus is on the delivery of a healthy copy of genes that are known to be mutated in genetic cardiomyopathies; for example, our most advanced product candidate from our Gene Therapy platform involves delivering a healthy copy of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to address the leading cause of gHCM. This “lock and key” gene therapy program was selected following a screen of hundreds of potential targets. We believe our MYBPC3 program is able to benefit from a variety of factors, including high disease severity and large unmet need; relatively high prevalence; emerging science supporting haploinsufficiency as the disease driver; representative disease models; and illustrative proof-of-concept evidence for gene therapy from academic labs.</w:t>
      </w:r>
    </w:p>
    <w:p>
      <w:pPr>
        <w:spacing w:after="0" w:line="131" w:lineRule="exact"/>
        <w:rPr>
          <w:sz w:val="20"/>
          <w:szCs w:val="20"/>
          <w:color w:val="auto"/>
        </w:rPr>
      </w:pPr>
    </w:p>
    <w:p>
      <w:pPr>
        <w:ind w:left="820" w:right="140" w:firstLine="385"/>
        <w:spacing w:after="0" w:line="251" w:lineRule="auto"/>
        <w:rPr>
          <w:sz w:val="20"/>
          <w:szCs w:val="20"/>
          <w:color w:val="auto"/>
        </w:rPr>
      </w:pPr>
      <w:r>
        <w:rPr>
          <w:rFonts w:ascii="Arial" w:cs="Arial" w:eastAsia="Arial" w:hAnsi="Arial"/>
          <w:sz w:val="16"/>
          <w:szCs w:val="16"/>
          <w:color w:val="auto"/>
        </w:rPr>
        <w:t>We believe the versatility of our Gene Therapy platform and related differentiated capabilities enables us to rapidly expand our portfolio of therapies beyond the initial focus. For example, our PKP2 program is another example of a “lock and key” approach to addressing the leading cause of gARVC. Our DWORF program is based on the idea of delivering the recently discovered DWORF protein targeting a well-known pathway that has been shown to exert a therapeutic effect in a range of disease models. We continue to explore other genetic cardiomyopathies that can potentially be addressed by our Gene Therapy platform.</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Cellular Regeneration Platform</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Scientists have long known that the human heart is not able to regenerate itself, unlike many other organs in the body. Acute MI—more commonly referred to as a heart attack—can kill as many as 25% of CMs from the left ventricle (LV), or approximately one billion cells. The heart has no natural way to replace cells that are lost slowly with age or suddenly due to disease. One reason that HF is so prevalent and the leading cause of death in the world is due to the lack of regenerative potential of the heart. Acute MI is associated with a 30% mortality rate; about 50% of the deaths occur prior to arrival at the hospital. An additional 5% to 10% of survivors die within the first year after their MI. Approximately half of all patients with an MI are rehospitalized within one year of their first MI. Finding ways to replace lost heart cells is one of the “holy grails” of regenerative medicine.</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0440"/>
          </w:cols>
          <w:pgMar w:left="320" w:top="418" w:right="11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There are two abundant cell types in the heart: CMs, which are the cells that are responsible for contraction during each heartbeat, and CFs, that produce and secrete growth factors, cytokines and other signaling molecules contributing to structural, biochemical, mechanical and electrical properties of the myocardium. While CFs are able to divide and proliferate, CMs are post-mitotic, meaning they are incapable of regenerating. CMs that are lost due to aging or disease are replaced by fibrotic scar tissue that is permanent and irreparable with currently approved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101600</wp:posOffset>
            </wp:positionV>
            <wp:extent cx="1317625" cy="17443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17625" cy="174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color w:val="auto"/>
        </w:rPr>
        <w:t xml:space="preserve">The field of cardiac regeneration has historically been dominated by </w:t>
      </w:r>
      <w:r>
        <w:rPr>
          <w:rFonts w:ascii="Arial" w:cs="Arial" w:eastAsia="Arial" w:hAnsi="Arial"/>
          <w:sz w:val="13"/>
          <w:szCs w:val="13"/>
          <w:i w:val="1"/>
          <w:iCs w:val="1"/>
          <w:color w:val="auto"/>
        </w:rPr>
        <w:t>ex vivo</w:t>
      </w:r>
      <w:r>
        <w:rPr>
          <w:rFonts w:ascii="Arial" w:cs="Arial" w:eastAsia="Arial" w:hAnsi="Arial"/>
          <w:sz w:val="13"/>
          <w:szCs w:val="13"/>
          <w:color w:val="auto"/>
        </w:rPr>
        <w:t xml:space="preserve"> cell therapy approaches using autologous (from self) or allogeneic (from donors) cell sources to replace lost CMs. However, there have been no successful therapies after scores of clinical studies involving thousands of patients. Any modest efficacy seen in clinical studies are now often attributed to indirect paracrine effects rather than true cardiac regeneration. Some have tried to induce regeneration by infusion or injecting cells generated from hiPSC-CMs or human embryonic stem cells (hESCs), but that has been fraught with many challenges, as these cells have an embryonic phenotype and generate arrhythmias once injected into the heart; recipients need to be immunosuppressed to avoid rejection; and integration into the electric and mechanical connections of the heart is still imperfect.</w:t>
      </w:r>
    </w:p>
    <w:p>
      <w:pPr>
        <w:spacing w:after="0" w:line="12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 xml:space="preserve">We are advancing a cardiac regeneration approach based on research conducted by our founders at Gladstone Institutes and UTSW, who pioneered the idea of restoring heart function after a heart attack by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regeneration of lost CMs. Our approach is intended to achieve this by using viral vectors to deliver a proprietary combination of three genes that when delivered together in a single AAV can permanently convert—or “reprogram”—a patient’s own resident CFs into new CMs.</w:t>
      </w:r>
    </w:p>
    <w:p>
      <w:pPr>
        <w:spacing w:after="0" w:line="167" w:lineRule="exact"/>
        <w:rPr>
          <w:sz w:val="20"/>
          <w:szCs w:val="20"/>
          <w:color w:val="auto"/>
        </w:rPr>
      </w:pPr>
    </w:p>
    <w:p>
      <w:pPr>
        <w:ind w:left="820" w:right="140" w:firstLine="385"/>
        <w:spacing w:after="0" w:line="267" w:lineRule="auto"/>
        <w:rPr>
          <w:sz w:val="20"/>
          <w:szCs w:val="20"/>
          <w:color w:val="auto"/>
        </w:rPr>
      </w:pPr>
      <w:r>
        <w:rPr>
          <w:rFonts w:ascii="Arial" w:cs="Arial" w:eastAsia="Arial" w:hAnsi="Arial"/>
          <w:sz w:val="15"/>
          <w:szCs w:val="15"/>
          <w:color w:val="auto"/>
        </w:rPr>
        <w:t xml:space="preserve">This approach was inspired by the Nobel-prize winning discoveries of Shinya Yamanaka who first discovered that human cells can be “reprogrammed” with certain specific factors—which became known as the “Yamanaka factors”—to become induced pluripotent stem cells (iPSCs), and that these newly formed iPSCs were in turn capable of differentiating to become any other human cell type in the body, including heart cells. Our founders and other academic labs built on this idea and demonstrated that it is possible to directly convert CFs to CMs without first going through the iPSC stage. Dr. Srivastava, one of our co-founders and a member of our board of directors, was the first to demonstrate proof of concept of this “direct reprogramming” approach for cardiac regeneration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in a mouse model and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with human cells. Several independent academic labs around the world have subsequently replicated the results with direct reprogramming for cardiac regeneration using the same factors as well as new combinations.</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0420"/>
          </w:cols>
          <w:pgMar w:left="320" w:top="418" w:right="115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figure below helps illustrate the idea of direct reprogramming of CFs to CMs using the Waddington model for cellular differentiation: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153035</wp:posOffset>
            </wp:positionV>
            <wp:extent cx="4529455" cy="1976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29455" cy="1976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There have been several historical challenges for the field of direct reprogramming for cardiac regeneration to turn this promising scientific discovery into potentially viable therapies. Most academic efforts required anywhere from three to five factors to achieve the conversion of human CFs to CMs, and the overall conversion rate was relatively low. Some of these efforts used a combination of retroviruses and small molecules to achieve this conversion, which is not clinically applicable. The published proof-of-concept work has been demonstrated in murine models of acute MI (i.e. immediately at the time of onset of heart attack), but not in models of HF following MI (i.e. sometime after the heart attack has already happened) which more accurately simulates the situation that would be adopted in the clinical setting.</w:t>
      </w:r>
    </w:p>
    <w:p>
      <w:pPr>
        <w:spacing w:after="0" w:line="156" w:lineRule="exact"/>
        <w:rPr>
          <w:sz w:val="20"/>
          <w:szCs w:val="20"/>
          <w:color w:val="auto"/>
        </w:rPr>
      </w:pPr>
    </w:p>
    <w:p>
      <w:pPr>
        <w:ind w:left="820" w:right="140" w:firstLine="385"/>
        <w:spacing w:after="0" w:line="250" w:lineRule="auto"/>
        <w:rPr>
          <w:sz w:val="20"/>
          <w:szCs w:val="20"/>
          <w:color w:val="auto"/>
        </w:rPr>
      </w:pPr>
      <w:r>
        <w:rPr>
          <w:rFonts w:ascii="Arial" w:cs="Arial" w:eastAsia="Arial" w:hAnsi="Arial"/>
          <w:sz w:val="16"/>
          <w:szCs w:val="16"/>
          <w:color w:val="auto"/>
        </w:rPr>
        <w:t xml:space="preserve">We believe we are the first to potentially overcome these challenges. We have discovered a proprietary combination of three genes that can be co-packaged and co-expressed from a single proprietary AAV vector engineered for higher transduction of CFs when compared to existing parental capsids. We have demonstrated higher transdifferentiation rates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human CFs that are higher than rates reported in published studies using combinations of other factors intended to drive reprogramming, and robust and durable proof-of-concept of this approach in multiple rodent models of acute MI and HF post-MI. Most importantly, we believe we are the first to have demonstrated the therapeutic benefit of this approach in a post-MI pig model with a human-sized heart.</w:t>
      </w:r>
    </w:p>
    <w:p>
      <w:pPr>
        <w:spacing w:after="0" w:line="171"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 xml:space="preserve">We believe our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approach to cardiac regeneration may have several advantages over </w:t>
      </w:r>
      <w:r>
        <w:rPr>
          <w:rFonts w:ascii="Arial" w:cs="Arial" w:eastAsia="Arial" w:hAnsi="Arial"/>
          <w:sz w:val="15"/>
          <w:szCs w:val="15"/>
          <w:i w:val="1"/>
          <w:iCs w:val="1"/>
          <w:color w:val="auto"/>
        </w:rPr>
        <w:t>ex vivo</w:t>
      </w:r>
      <w:r>
        <w:rPr>
          <w:rFonts w:ascii="Arial" w:cs="Arial" w:eastAsia="Arial" w:hAnsi="Arial"/>
          <w:sz w:val="15"/>
          <w:szCs w:val="15"/>
          <w:color w:val="auto"/>
        </w:rPr>
        <w:t xml:space="preserve"> cell therapies. Because the newly formed CMs are generated from the patients’ own cells, they are not rejected by the body and no immunosuppression is needed. And since these newly formed CMs are generated from within the patient’s heart tissue, it may be easier for them to electrically and mechanically connect with surrounding cells as they mature and to contribute to healthy heart function with lower risk for arrhythmias. In addition, it is easier to manufacture and to deliver AAV-based therapies and to offer them at commercially viable prices compared to cell-based therapies.</w:t>
      </w:r>
    </w:p>
    <w:p>
      <w:pPr>
        <w:spacing w:after="0" w:line="154"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The initial focus of our Cellular Regeneration platform is on the development of disease-modifying treatments for HF due to prior MI. We believe the versatility of this product platform and related differentiated capabilities position us to expand our portfolio of therapies rapidly and pursue other indications involving loss of CMs</w:t>
      </w:r>
      <w:r>
        <w:rPr>
          <w:rFonts w:ascii="Arial" w:cs="Arial" w:eastAsia="Arial" w:hAnsi="Arial"/>
          <w:sz w:val="16"/>
          <w:szCs w:val="16"/>
          <w:i w:val="1"/>
          <w:iCs w:val="1"/>
          <w:color w:val="auto"/>
        </w:rPr>
        <w:t>.</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0420"/>
          </w:cols>
          <w:pgMar w:left="320" w:top="418" w:right="115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Precision Medicine Platform</w:t>
      </w:r>
    </w:p>
    <w:p>
      <w:pPr>
        <w:spacing w:after="0" w:line="99" w:lineRule="exact"/>
        <w:rPr>
          <w:sz w:val="20"/>
          <w:szCs w:val="20"/>
          <w:color w:val="auto"/>
        </w:rPr>
      </w:pPr>
    </w:p>
    <w:p>
      <w:pPr>
        <w:jc w:val="both"/>
        <w:ind w:left="820" w:right="20" w:firstLine="385"/>
        <w:spacing w:after="0" w:line="329" w:lineRule="auto"/>
        <w:rPr>
          <w:sz w:val="20"/>
          <w:szCs w:val="20"/>
          <w:color w:val="auto"/>
        </w:rPr>
      </w:pPr>
      <w:r>
        <w:rPr>
          <w:rFonts w:ascii="Arial" w:cs="Arial" w:eastAsia="Arial" w:hAnsi="Arial"/>
          <w:sz w:val="13"/>
          <w:szCs w:val="13"/>
          <w:color w:val="auto"/>
        </w:rPr>
        <w:t>The idea of “precision medicine” has been around for a number of years, with the core concept of delivering the right therapy to the right patient at the right time. Recently, the idea of precision medicine has gained traction in oncology, in particular, with the benefit of a better understanding of the genetics of different tumor types, and to match therapies to specific mutations (e.g. Genentech’s Herceptin therapy for HER2+ breast cancer). We aim to bring this concept of precision medicine to the discovery and development of targeted therapies for heart disease.</w:t>
      </w:r>
    </w:p>
    <w:p>
      <w:pPr>
        <w:spacing w:after="0" w:line="123"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There is an increasing understanding of the genetic basis for many cardiomyopathies, including DCM, hypertrophic cardiomyopathy (HCM), restrictive cardiomyopathy (RCM) and arrhythmogenic cardiomyopathy. DCM provides an interesting case study. Mutations in more than 50 genes have been identified for gDCM, with more than 50% of patients presenting with multiple mutations. These mutations present in different parts of the cellular apparatus of patients’ CMs, including the sarcomere, nucleus, ion channels, and cellular membranes. Yet mutations in proteins with diverse biology present as a common disease phenotype, suggesting common nodes of disease yet to be discovered. Despite this heterogeneity of genetic background and underlying pathophysiology, the therapies used for these patients are the same as therapies used for patients with other forms of HF. We envision a future in which therapies are more specific to the underlying cause of disease and are used to treat patients who have been categorized based on their underlying genetic mutations.</w:t>
      </w:r>
    </w:p>
    <w:p>
      <w:pPr>
        <w:spacing w:after="0" w:line="163"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figure below helps illustrate our vision for “precision medicine” research and development for heart disease through the lens of gDCM: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153035</wp:posOffset>
            </wp:positionV>
            <wp:extent cx="4537075" cy="18865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37075"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20" w:right="140" w:firstLine="385"/>
        <w:spacing w:after="0" w:line="253" w:lineRule="auto"/>
        <w:rPr>
          <w:sz w:val="20"/>
          <w:szCs w:val="20"/>
          <w:color w:val="auto"/>
        </w:rPr>
      </w:pPr>
      <w:r>
        <w:rPr>
          <w:rFonts w:ascii="Arial" w:cs="Arial" w:eastAsia="Arial" w:hAnsi="Arial"/>
          <w:sz w:val="16"/>
          <w:szCs w:val="16"/>
          <w:color w:val="auto"/>
        </w:rPr>
        <w:t xml:space="preserve">It is also necessary to have the appropriate disease models to discover new targets and to test new therapies. Unfortunately, there is still a lack of representative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the greater than 50 genes known to cause gDCM when mutated, less than ten have relevant murine models to support drug discovery. The situation is even worse for others forms of genetic cardiomyopathy. We are committed to finding new ways to model genetic cardiomyopathies, including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but also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models.</w:t>
      </w:r>
    </w:p>
    <w:p>
      <w:pPr>
        <w:spacing w:after="0" w:line="167"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There is a growing body of academic literature supporting the use of hiPSC-CMs to model human heart disease and the potential cardiotoxicity of therapeutics during drug discovery. This can be helpful where animal models for specific forms of heart disease either do not yet exist or are not yet sufficiently representative of human disease. There is also a growing number of biopharmaceutical companies that are using iPSCs for phenotypic screening and drug discovery. We are advancing a novel approach of using proprietary hiPSC-CMs disease models for target identification and drug discovery.</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0420"/>
          </w:cols>
          <w:pgMar w:left="320" w:top="418" w:right="115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figure below illustrates how we have internalized and integrated six key aspects necessary to advance the discovery of precision medicine therapeutics using hiPSC-CMs: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1336675</wp:posOffset>
            </wp:positionH>
            <wp:positionV relativeFrom="paragraph">
              <wp:posOffset>123190</wp:posOffset>
            </wp:positionV>
            <wp:extent cx="4476750" cy="2051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476750" cy="205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 xml:space="preserve">We have demonstrated proof of concept of this approach using an hiPSC-CM disease model representing a specific gDCM mutation plus machine learning algorithms to measure variations in appearance of these cells when screened with a library of several thousand small molecule compounds. We identified several biologically relevant hits and validated HDAC6 as a specific target of interest. We have since turned our findings into a product candidate in our HDAC6i program with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activity and tolerability demonstrated in multiple heart disease models of HFpEF and gDCM.</w:t>
      </w:r>
    </w:p>
    <w:p>
      <w:pPr>
        <w:spacing w:after="0" w:line="123"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We are currently conducting target identification screens for both gene therapy and small molecules targets in multiple iPSC-CM disease models of gDCM. We are also expanding our efforts to different genetic backgrounds including the leading genetic causes of HCM and genetic arrhythmogenic cardiomyopathy. We believe the versatility of our Precision Medicine platform and related capabilities enables us to rapidly expand our portfolio of product candidates beyond HDAC6i.</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Approach and Capabilities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utilize five core internal capabilities to support our three product platforms. Our key capabilities include the creation and development of</w:t>
      </w:r>
    </w:p>
    <w:p>
      <w:pPr>
        <w:spacing w:after="0" w:line="51" w:lineRule="exact"/>
        <w:rPr>
          <w:sz w:val="20"/>
          <w:szCs w:val="20"/>
          <w:color w:val="auto"/>
        </w:rPr>
      </w:pPr>
    </w:p>
    <w:p>
      <w:pPr>
        <w:ind w:left="820" w:right="220" w:hanging="6"/>
        <w:spacing w:after="0" w:line="248" w:lineRule="auto"/>
        <w:tabs>
          <w:tab w:leader="none" w:pos="1042"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disease models to more accurately simulate human heart disease phenotypes, (2) proprietary heart-tropic AAV capsids designed to enable precise tissue targeting and increase safety, (3) proprietary promoters and regulatory elements to control gene expression, (4) fit-for-purpose drug delivery methods for more optimal uptake and distribution of our product candidates and (5) scalable AAV manufacturing to better control quality, costs, timelines and supply.</w:t>
      </w:r>
    </w:p>
    <w:p>
      <w:pPr>
        <w:spacing w:after="0" w:line="17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We believe integration of these in-house capabilities provides us with several advantages and differentiates our efforts relative to other drug discovery companies, especially for gene therapy drug development. Through the combination of these capabilities, we are developing product candidates that can address the complicated characteristics of heart disease. For example, we believe with our capabilities in capsids and promoter design and delivery, we can overcome the limitations faced by prior cardiac gene therapy approaches through enabling precise delivery and robust gene expression and lowering the risk of off-target effects. We also believe that these approaches can overcome the historical challenges of drug development for heart disease, by enabling delivery of a wide range of therapeutic approaches to specific cells in the heart.</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0380"/>
          </w:cols>
          <w:pgMar w:left="320" w:top="418" w:right="119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By having our capabilities in-house, we believe we are able to achieve deeper insight, shorten product development cycles, and improve the probability of technical and regulatory success for our product candidates compared to what can be achieved when outsourcing. This further allows us to rapidly build a diverse pipeline of product candidates. Ultimately, we believe our differentiated capabilities can support development of product candidates that, if approved, could address the high unmet need of patients with cardiac diseases and could be delivered at a lower cost of goods than what is possible today.</w:t>
      </w:r>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1. Disease Models</w:t>
      </w:r>
    </w:p>
    <w:p>
      <w:pPr>
        <w:spacing w:after="0" w:line="99"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 xml:space="preserve">We have internalized the ability to create and integrate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within our research organization, which allows us to simulate human heart disease phenotypes. We believe our success will be supported by the know-how we are developing and the proprietary integration of these disease models across our programs.</w:t>
      </w:r>
    </w:p>
    <w:p>
      <w:pPr>
        <w:spacing w:after="0" w:line="83" w:lineRule="exact"/>
        <w:rPr>
          <w:sz w:val="20"/>
          <w:szCs w:val="20"/>
          <w:color w:val="auto"/>
        </w:rPr>
      </w:pPr>
    </w:p>
    <w:p>
      <w:pPr>
        <w:ind w:left="1660" w:right="100" w:hanging="469"/>
        <w:spacing w:after="0" w:line="270" w:lineRule="auto"/>
        <w:tabs>
          <w:tab w:leader="none" w:pos="1660" w:val="left"/>
        </w:tabs>
        <w:numPr>
          <w:ilvl w:val="0"/>
          <w:numId w:val="89"/>
        </w:numPr>
        <w:rPr>
          <w:rFonts w:ascii="Arial" w:cs="Arial" w:eastAsia="Arial" w:hAnsi="Arial"/>
          <w:sz w:val="15"/>
          <w:szCs w:val="15"/>
          <w:color w:val="auto"/>
        </w:rPr>
      </w:pPr>
      <w:r>
        <w:rPr>
          <w:rFonts w:ascii="Arial" w:cs="Arial" w:eastAsia="Arial" w:hAnsi="Arial"/>
          <w:sz w:val="15"/>
          <w:szCs w:val="15"/>
          <w:i w:val="1"/>
          <w:iCs w:val="1"/>
          <w:color w:val="auto"/>
        </w:rPr>
        <w:t>In vitro cell-based disease models</w:t>
      </w:r>
      <w:r>
        <w:rPr>
          <w:rFonts w:ascii="Arial" w:cs="Arial" w:eastAsia="Arial" w:hAnsi="Arial"/>
          <w:sz w:val="15"/>
          <w:szCs w:val="15"/>
          <w:color w:val="auto"/>
        </w:rPr>
        <w:t>: For our</w:t>
      </w:r>
      <w:r>
        <w:rPr>
          <w:rFonts w:ascii="Arial" w:cs="Arial" w:eastAsia="Arial" w:hAnsi="Arial"/>
          <w:sz w:val="15"/>
          <w:szCs w:val="15"/>
          <w:i w:val="1"/>
          <w:iCs w:val="1"/>
          <w:color w:val="auto"/>
        </w:rPr>
        <w:t xml:space="preserve"> in vitro </w:t>
      </w:r>
      <w:r>
        <w:rPr>
          <w:rFonts w:ascii="Arial" w:cs="Arial" w:eastAsia="Arial" w:hAnsi="Arial"/>
          <w:sz w:val="15"/>
          <w:szCs w:val="15"/>
          <w:color w:val="auto"/>
        </w:rPr>
        <w:t>disease models, we have leveraged the seminal discovery of methods used to generate</w:t>
      </w:r>
      <w:r>
        <w:rPr>
          <w:rFonts w:ascii="Arial" w:cs="Arial" w:eastAsia="Arial" w:hAnsi="Arial"/>
          <w:sz w:val="15"/>
          <w:szCs w:val="15"/>
          <w:i w:val="1"/>
          <w:iCs w:val="1"/>
          <w:color w:val="auto"/>
        </w:rPr>
        <w:t xml:space="preserve"> </w:t>
      </w:r>
      <w:r>
        <w:rPr>
          <w:rFonts w:ascii="Arial" w:cs="Arial" w:eastAsia="Arial" w:hAnsi="Arial"/>
          <w:sz w:val="15"/>
          <w:szCs w:val="15"/>
          <w:color w:val="auto"/>
        </w:rPr>
        <w:t>iPSCs to establish disease models based on human iPSC-derived cardiomyocytes (iPSC-CMs). We have implemented three primary approaches to model human heart disease in this way: (i) short interfering ribonucleic acid (siRNA) constructs to silence specific genes of interest in iPSC-CMs; (ii) CRISPR-based gene editing approaches to create isogenic iPSC-cell lines where specific genes have been altered; and (iii) iPSCs derived from patients with severe heart disease, for example, severe DCM resulting in early HF and transplant, sourced from commercial and academic collaborators.</w:t>
      </w:r>
    </w:p>
    <w:p>
      <w:pPr>
        <w:spacing w:after="0" w:line="61" w:lineRule="exact"/>
        <w:rPr>
          <w:rFonts w:ascii="Arial" w:cs="Arial" w:eastAsia="Arial" w:hAnsi="Arial"/>
          <w:sz w:val="15"/>
          <w:szCs w:val="15"/>
          <w:color w:val="auto"/>
        </w:rPr>
      </w:pPr>
    </w:p>
    <w:p>
      <w:pPr>
        <w:ind w:left="1680"/>
        <w:spacing w:after="0"/>
        <w:rPr>
          <w:rFonts w:ascii="Arial" w:cs="Arial" w:eastAsia="Arial" w:hAnsi="Arial"/>
          <w:sz w:val="15"/>
          <w:szCs w:val="15"/>
          <w:color w:val="auto"/>
        </w:rPr>
      </w:pPr>
      <w:r>
        <w:rPr>
          <w:rFonts w:ascii="Arial" w:cs="Arial" w:eastAsia="Arial" w:hAnsi="Arial"/>
          <w:sz w:val="16"/>
          <w:szCs w:val="16"/>
          <w:color w:val="auto"/>
        </w:rPr>
        <w:t>In the figure below, we illustrate our primary disease models based on iPSC-CMs: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145415</wp:posOffset>
            </wp:positionV>
            <wp:extent cx="4132580" cy="17291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13258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0420"/>
          </w:cols>
          <w:pgMar w:left="320" w:top="418" w:right="115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75" w:lineRule="auto"/>
        <w:rPr>
          <w:sz w:val="20"/>
          <w:szCs w:val="20"/>
          <w:color w:val="auto"/>
        </w:rPr>
      </w:pPr>
      <w:r>
        <w:rPr>
          <w:rFonts w:ascii="Arial" w:cs="Arial" w:eastAsia="Arial" w:hAnsi="Arial"/>
          <w:sz w:val="15"/>
          <w:szCs w:val="15"/>
          <w:color w:val="auto"/>
        </w:rPr>
        <w:t>These disease models can collectively help simulate the impact of human disease-causing mutations on the appearance and function of CMs. They can also help model the impact of potentially disease-modifying treatments on such cells. In the figure below, we illustrate how, through use of gene editing and gene silencing tools, we can modify the appearance of normal iPSC-CMs to appear disorganized, and subsequently restore cell appearance with compounds from our screening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120015</wp:posOffset>
            </wp:positionV>
            <wp:extent cx="4132580" cy="950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132580" cy="95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680" w:right="80"/>
        <w:spacing w:after="0" w:line="256" w:lineRule="auto"/>
        <w:rPr>
          <w:sz w:val="20"/>
          <w:szCs w:val="20"/>
          <w:color w:val="auto"/>
        </w:rPr>
      </w:pPr>
      <w:r>
        <w:rPr>
          <w:rFonts w:ascii="Arial" w:cs="Arial" w:eastAsia="Arial" w:hAnsi="Arial"/>
          <w:sz w:val="16"/>
          <w:szCs w:val="16"/>
          <w:color w:val="auto"/>
        </w:rPr>
        <w:t>We initially used cells from these disease models plated in two-dimensional formats. We have since advanced our efforts to include three-dimensional engineered heart tissue disease models where the cells have a more mature phenotype and with contractility that can be measured more reliably.</w:t>
      </w:r>
    </w:p>
    <w:p>
      <w:pPr>
        <w:spacing w:after="0" w:line="83" w:lineRule="exact"/>
        <w:rPr>
          <w:sz w:val="20"/>
          <w:szCs w:val="20"/>
          <w:color w:val="auto"/>
        </w:rPr>
      </w:pPr>
    </w:p>
    <w:p>
      <w:pPr>
        <w:ind w:left="1660" w:right="100" w:hanging="469"/>
        <w:spacing w:after="0" w:line="256" w:lineRule="auto"/>
        <w:tabs>
          <w:tab w:leader="none" w:pos="1660" w:val="left"/>
        </w:tabs>
        <w:numPr>
          <w:ilvl w:val="0"/>
          <w:numId w:val="90"/>
        </w:numPr>
        <w:rPr>
          <w:rFonts w:ascii="Arial" w:cs="Arial" w:eastAsia="Arial" w:hAnsi="Arial"/>
          <w:sz w:val="16"/>
          <w:szCs w:val="16"/>
          <w:color w:val="auto"/>
        </w:rPr>
      </w:pPr>
      <w:r>
        <w:rPr>
          <w:rFonts w:ascii="Arial" w:cs="Arial" w:eastAsia="Arial" w:hAnsi="Arial"/>
          <w:sz w:val="16"/>
          <w:szCs w:val="16"/>
          <w:i w:val="1"/>
          <w:iCs w:val="1"/>
          <w:color w:val="auto"/>
        </w:rPr>
        <w:t xml:space="preserve">iPSC production: </w:t>
      </w:r>
      <w:r>
        <w:rPr>
          <w:rFonts w:ascii="Arial" w:cs="Arial" w:eastAsia="Arial" w:hAnsi="Arial"/>
          <w:sz w:val="16"/>
          <w:szCs w:val="16"/>
          <w:color w:val="auto"/>
        </w:rPr>
        <w:t>To conduct robust target identification and drug discovery screens using our cell-based disease models, we need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produce large volumes of these hiPSC-CMs. We have developed the necessary know-how to do so reliably and reproducibly at increasing scale.</w:t>
      </w:r>
    </w:p>
    <w:p>
      <w:pPr>
        <w:spacing w:after="0" w:line="71"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5"/>
          <w:szCs w:val="15"/>
          <w:color w:val="auto"/>
        </w:rPr>
        <w:t>The figure below provides an overview of our scale-up process for hiPSC-CM production from six-well plates up to 3L bioreactors: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153035</wp:posOffset>
            </wp:positionV>
            <wp:extent cx="4132580" cy="7334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32580"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60" w:right="60" w:hanging="469"/>
        <w:spacing w:after="0" w:line="256" w:lineRule="auto"/>
        <w:tabs>
          <w:tab w:leader="none" w:pos="166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 xml:space="preserve">Imaging techniques: </w:t>
      </w:r>
      <w:r>
        <w:rPr>
          <w:rFonts w:ascii="Arial" w:cs="Arial" w:eastAsia="Arial" w:hAnsi="Arial"/>
          <w:sz w:val="16"/>
          <w:szCs w:val="16"/>
          <w:color w:val="auto"/>
        </w:rPr>
        <w:t>We use a combination of immunostaining, high-resolution imaging, and imaging algorithms to visualize and quantify</w:t>
      </w:r>
      <w:r>
        <w:rPr>
          <w:rFonts w:ascii="Arial" w:cs="Arial" w:eastAsia="Arial" w:hAnsi="Arial"/>
          <w:sz w:val="16"/>
          <w:szCs w:val="16"/>
          <w:i w:val="1"/>
          <w:iCs w:val="1"/>
          <w:color w:val="auto"/>
        </w:rPr>
        <w:t xml:space="preserve"> </w:t>
      </w:r>
      <w:r>
        <w:rPr>
          <w:rFonts w:ascii="Arial" w:cs="Arial" w:eastAsia="Arial" w:hAnsi="Arial"/>
          <w:sz w:val="16"/>
          <w:szCs w:val="16"/>
          <w:color w:val="auto"/>
        </w:rPr>
        <w:t>phenotypic differences between our in-house iPSC-CM disease models. We can measure several details of the sarcomeres of these cell lines, including sarcomere density, disarray and Z-disc area.</w:t>
      </w: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0420"/>
          </w:cols>
          <w:pgMar w:left="320" w:top="418" w:right="115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0"/>
        <w:spacing w:after="0" w:line="266" w:lineRule="auto"/>
        <w:rPr>
          <w:sz w:val="20"/>
          <w:szCs w:val="20"/>
          <w:color w:val="auto"/>
        </w:rPr>
      </w:pPr>
      <w:r>
        <w:rPr>
          <w:rFonts w:ascii="Arial" w:cs="Arial" w:eastAsia="Arial" w:hAnsi="Arial"/>
          <w:sz w:val="16"/>
          <w:szCs w:val="16"/>
          <w:color w:val="auto"/>
        </w:rPr>
        <w:t>The figure below shows the degree of automated high-resolution image capture that is possible to help visualize the details of iPSC-CM disease models such as, the sarcomere structure and other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123190</wp:posOffset>
            </wp:positionV>
            <wp:extent cx="4132580" cy="2051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32580" cy="205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680" w:right="80"/>
        <w:spacing w:after="0" w:line="256" w:lineRule="auto"/>
        <w:rPr>
          <w:sz w:val="20"/>
          <w:szCs w:val="20"/>
          <w:color w:val="auto"/>
        </w:rPr>
      </w:pPr>
      <w:r>
        <w:rPr>
          <w:rFonts w:ascii="Arial" w:cs="Arial" w:eastAsia="Arial" w:hAnsi="Arial"/>
          <w:sz w:val="16"/>
          <w:szCs w:val="16"/>
          <w:color w:val="auto"/>
        </w:rPr>
        <w:t>In the figure below, we show data that illustrate our ability to use proprietary imaging algorithms to quantify reproducible and statistically significant differences between particular attributes of the iPSC-CMs (e.g. Z-Disc Area of the sarcomere) across multiple disease model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128270</wp:posOffset>
            </wp:positionV>
            <wp:extent cx="4132580" cy="1677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32580" cy="167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660" w:hanging="469"/>
        <w:spacing w:after="0" w:line="253" w:lineRule="auto"/>
        <w:tabs>
          <w:tab w:leader="none" w:pos="166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 xml:space="preserve">Machine learning algorithms: </w:t>
      </w:r>
      <w:r>
        <w:rPr>
          <w:rFonts w:ascii="Arial" w:cs="Arial" w:eastAsia="Arial" w:hAnsi="Arial"/>
          <w:sz w:val="16"/>
          <w:szCs w:val="16"/>
          <w:color w:val="auto"/>
        </w:rPr>
        <w:t>We have used machine learning algorithms to support high-throughput phenotypic screening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iPSC-CM disease models. The algorithms can rapidly and reproducibly measure subtle differences in the overall appearance between wild-type iPSC-CM cells and the different disease models, as well as differences on the disease models in response to compounds in our screening libraries.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0420"/>
          </w:cols>
          <w:pgMar w:left="320" w:top="418" w:right="115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329" w:lineRule="auto"/>
        <w:rPr>
          <w:sz w:val="20"/>
          <w:szCs w:val="20"/>
          <w:color w:val="auto"/>
        </w:rPr>
      </w:pPr>
      <w:r>
        <w:rPr>
          <w:rFonts w:ascii="Arial" w:cs="Arial" w:eastAsia="Arial" w:hAnsi="Arial"/>
          <w:sz w:val="13"/>
          <w:szCs w:val="13"/>
          <w:color w:val="auto"/>
        </w:rPr>
        <w:t xml:space="preserve">The figure below illustrates the output of a screen in a disease model of DCM, using siRNA silencing of the </w:t>
      </w:r>
      <w:r>
        <w:rPr>
          <w:rFonts w:ascii="Arial" w:cs="Arial" w:eastAsia="Arial" w:hAnsi="Arial"/>
          <w:sz w:val="13"/>
          <w:szCs w:val="13"/>
          <w:i w:val="1"/>
          <w:iCs w:val="1"/>
          <w:color w:val="auto"/>
        </w:rPr>
        <w:t>BAG3</w:t>
      </w:r>
      <w:r>
        <w:rPr>
          <w:rFonts w:ascii="Arial" w:cs="Arial" w:eastAsia="Arial" w:hAnsi="Arial"/>
          <w:sz w:val="13"/>
          <w:szCs w:val="13"/>
          <w:color w:val="auto"/>
        </w:rPr>
        <w:t xml:space="preserve"> gene, with a curated library of greater than 5,000 small molecule compounds. A deep learning algorithm that was trained on images of the disease model and on normal cells was used to determine which compounds caused the sarcomeres within the cells to appear more disorganized, representing more sarcomere damage (red), or more organized, representing less sarcomere damage (green), as measured by a “cardiomyocyte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101600</wp:posOffset>
            </wp:positionV>
            <wp:extent cx="3923030" cy="2073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923030" cy="207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60" w:right="20" w:hanging="469"/>
        <w:spacing w:after="0" w:line="266" w:lineRule="auto"/>
        <w:tabs>
          <w:tab w:leader="none" w:pos="1660" w:val="left"/>
        </w:tabs>
        <w:numPr>
          <w:ilvl w:val="1"/>
          <w:numId w:val="93"/>
        </w:numPr>
        <w:rPr>
          <w:rFonts w:ascii="Arial" w:cs="Arial" w:eastAsia="Arial" w:hAnsi="Arial"/>
          <w:sz w:val="15"/>
          <w:szCs w:val="15"/>
          <w:color w:val="auto"/>
        </w:rPr>
      </w:pPr>
      <w:r>
        <w:rPr>
          <w:rFonts w:ascii="Arial" w:cs="Arial" w:eastAsia="Arial" w:hAnsi="Arial"/>
          <w:sz w:val="15"/>
          <w:szCs w:val="15"/>
          <w:i w:val="1"/>
          <w:iCs w:val="1"/>
          <w:color w:val="auto"/>
        </w:rPr>
        <w:t xml:space="preserve">In vivo models: </w:t>
      </w:r>
      <w:r>
        <w:rPr>
          <w:rFonts w:ascii="Arial" w:cs="Arial" w:eastAsia="Arial" w:hAnsi="Arial"/>
          <w:sz w:val="15"/>
          <w:szCs w:val="15"/>
          <w:color w:val="auto"/>
        </w:rPr>
        <w:t>For our</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disease models, we have a dedicated onsite</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pharmacology group and vivarium. We have established</w:t>
      </w:r>
      <w:r>
        <w:rPr>
          <w:rFonts w:ascii="Arial" w:cs="Arial" w:eastAsia="Arial" w:hAnsi="Arial"/>
          <w:sz w:val="15"/>
          <w:szCs w:val="15"/>
          <w:i w:val="1"/>
          <w:iCs w:val="1"/>
          <w:color w:val="auto"/>
        </w:rPr>
        <w:t xml:space="preserve"> </w:t>
      </w:r>
      <w:r>
        <w:rPr>
          <w:rFonts w:ascii="Arial" w:cs="Arial" w:eastAsia="Arial" w:hAnsi="Arial"/>
          <w:sz w:val="15"/>
          <w:szCs w:val="15"/>
          <w:color w:val="auto"/>
        </w:rPr>
        <w:t>approximately 15 rodent heart disease models, both genetic and non-genetic, and continue to develop new models in-house as needed. We can dose both gene therapies as well as small molecules. We can perform heart surgeries on these rodent models and use blinded echocardiography-based imaging techniques to assess the impact of our therapies under development. The internalization of these capabilities greatly reduces our reliance on external CROs and academic organizations and significantly increases the speed and consistency with which we can iterate on product prototypes, generate data and formulate insights on our product candidates. We also work with established CROs for research efforts involving large animal models (e.g., NHPs and pigs), including for efficacy studies and evaluation of drug delivery methods. Through these efforts we have developed important insights into the advantages and limitations of specific models and have learned how to optimize the design of our experiments. This insight influences our preclinical drug development strategies and our discussions with regulatory agencies.</w:t>
      </w:r>
    </w:p>
    <w:p>
      <w:pPr>
        <w:spacing w:after="0" w:line="257" w:lineRule="exact"/>
        <w:rPr>
          <w:rFonts w:ascii="Arial" w:cs="Arial" w:eastAsia="Arial" w:hAnsi="Arial"/>
          <w:sz w:val="15"/>
          <w:szCs w:val="15"/>
          <w:color w:val="auto"/>
        </w:rPr>
      </w:pPr>
    </w:p>
    <w:p>
      <w:pPr>
        <w:ind w:left="980" w:hanging="166"/>
        <w:spacing w:after="0"/>
        <w:tabs>
          <w:tab w:leader="none" w:pos="980" w:val="left"/>
        </w:tabs>
        <w:numPr>
          <w:ilvl w:val="0"/>
          <w:numId w:val="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Capsid Engineering</w:t>
      </w:r>
    </w:p>
    <w:p>
      <w:pPr>
        <w:spacing w:after="0" w:line="99"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Our goal is to discover, design, and develop novel heart-tropic AAV capsids with superior attributes in order to enable more precise tissue targeting and to improve the safety profile of our product candidates. To achieve this goal, we have established in-house AAV capsid engineering capabilities and have designed and screened over one billion variants from diverse, proprietary libraries to discover, design, and develop novel capsids to support our programs.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0440"/>
          </w:cols>
          <w:pgMar w:left="320" w:top="418" w:right="11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The table below captures the breadth and depth of the focused strategies we have pursued to discover novel AAV capsids:</w:t>
      </w:r>
    </w:p>
    <w:p>
      <w:pPr>
        <w:spacing w:after="0" w:line="213" w:lineRule="exact"/>
        <w:rPr>
          <w:sz w:val="20"/>
          <w:szCs w:val="20"/>
          <w:color w:val="auto"/>
        </w:rPr>
      </w:pPr>
    </w:p>
    <w:tbl>
      <w:tblPr>
        <w:tblLayout w:type="fixed"/>
        <w:tblInd w:w="168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440" w:type="dxa"/>
            <w:vAlign w:val="bottom"/>
            <w:gridSpan w:val="3"/>
          </w:tcPr>
          <w:p>
            <w:pPr>
              <w:ind w:left="280"/>
              <w:spacing w:after="0"/>
              <w:rPr>
                <w:sz w:val="20"/>
                <w:szCs w:val="20"/>
                <w:color w:val="auto"/>
              </w:rPr>
            </w:pPr>
            <w:r>
              <w:rPr>
                <w:rFonts w:ascii="Arial" w:cs="Arial" w:eastAsia="Arial" w:hAnsi="Arial"/>
                <w:sz w:val="16"/>
                <w:szCs w:val="16"/>
                <w:b w:val="1"/>
                <w:bCs w:val="1"/>
                <w:color w:val="auto"/>
              </w:rPr>
              <w:t>Focused Multi-Year AAV Screening Efforts Using Diverse Strategies</w:t>
            </w: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rPr>
                <w:sz w:val="20"/>
                <w:szCs w:val="20"/>
                <w:color w:val="auto"/>
              </w:rPr>
            </w:pPr>
            <w:r>
              <w:rPr>
                <w:rFonts w:ascii="Arial" w:cs="Arial" w:eastAsia="Arial" w:hAnsi="Arial"/>
                <w:sz w:val="16"/>
                <w:szCs w:val="16"/>
                <w:color w:val="auto"/>
              </w:rPr>
              <w:t>Cell specificity</w:t>
            </w:r>
          </w:p>
        </w:tc>
        <w:tc>
          <w:tcPr>
            <w:tcW w:w="28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3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rPr>
              <w:t>Capsid engineering efforts for both CMs and CFs</w:t>
            </w:r>
          </w:p>
        </w:tc>
        <w:tc>
          <w:tcPr>
            <w:tcW w:w="0" w:type="dxa"/>
            <w:vAlign w:val="bottom"/>
          </w:tcPr>
          <w:p>
            <w:pPr>
              <w:spacing w:after="0"/>
              <w:rPr>
                <w:sz w:val="1"/>
                <w:szCs w:val="1"/>
                <w:color w:val="auto"/>
              </w:rPr>
            </w:pPr>
          </w:p>
        </w:tc>
      </w:tr>
      <w:tr>
        <w:trPr>
          <w:trHeight w:val="294"/>
        </w:trPr>
        <w:tc>
          <w:tcPr>
            <w:tcW w:w="1380" w:type="dxa"/>
            <w:vAlign w:val="bottom"/>
          </w:tcPr>
          <w:p>
            <w:pPr>
              <w:spacing w:after="0"/>
              <w:rPr>
                <w:sz w:val="20"/>
                <w:szCs w:val="20"/>
                <w:color w:val="auto"/>
              </w:rPr>
            </w:pPr>
            <w:r>
              <w:rPr>
                <w:rFonts w:ascii="Arial" w:cs="Arial" w:eastAsia="Arial" w:hAnsi="Arial"/>
                <w:sz w:val="16"/>
                <w:szCs w:val="16"/>
                <w:color w:val="auto"/>
              </w:rPr>
              <w:t>Library diversity</w:t>
            </w:r>
          </w:p>
        </w:tc>
        <w:tc>
          <w:tcPr>
            <w:tcW w:w="280" w:type="dxa"/>
            <w:vAlign w:val="bottom"/>
          </w:tcPr>
          <w:p>
            <w:pPr>
              <w:spacing w:after="0"/>
              <w:rPr>
                <w:sz w:val="24"/>
                <w:szCs w:val="24"/>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2"/>
              </w:rPr>
              <w:t>Screened more than one billion variants from 30 diverse libraries</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2"/>
              </w:rPr>
              <w:t>(rational design, peptide insertion, variable region, chimeric, etc.)</w:t>
            </w:r>
          </w:p>
        </w:tc>
        <w:tc>
          <w:tcPr>
            <w:tcW w:w="0" w:type="dxa"/>
            <w:vAlign w:val="bottom"/>
          </w:tcPr>
          <w:p>
            <w:pPr>
              <w:spacing w:after="0"/>
              <w:rPr>
                <w:sz w:val="1"/>
                <w:szCs w:val="1"/>
                <w:color w:val="auto"/>
              </w:rPr>
            </w:pPr>
          </w:p>
        </w:tc>
      </w:tr>
      <w:tr>
        <w:trPr>
          <w:trHeight w:val="708"/>
        </w:trPr>
        <w:tc>
          <w:tcPr>
            <w:tcW w:w="1380" w:type="dxa"/>
            <w:vAlign w:val="bottom"/>
          </w:tcPr>
          <w:p>
            <w:pPr>
              <w:spacing w:after="0"/>
              <w:rPr>
                <w:sz w:val="20"/>
                <w:szCs w:val="20"/>
                <w:color w:val="auto"/>
              </w:rPr>
            </w:pPr>
            <w:r>
              <w:rPr>
                <w:rFonts w:ascii="Arial" w:cs="Arial" w:eastAsia="Arial" w:hAnsi="Arial"/>
                <w:sz w:val="16"/>
                <w:szCs w:val="16"/>
                <w:color w:val="auto"/>
              </w:rPr>
              <w:t>Screening models</w:t>
            </w:r>
          </w:p>
        </w:tc>
        <w:tc>
          <w:tcPr>
            <w:tcW w:w="280" w:type="dxa"/>
            <w:vAlign w:val="bottom"/>
          </w:tcPr>
          <w:p>
            <w:pPr>
              <w:spacing w:after="0"/>
              <w:rPr>
                <w:sz w:val="24"/>
                <w:szCs w:val="24"/>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7"/>
              </w:rPr>
              <w:t>Screening and validation in multiple models, including human</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6"/>
              </w:rPr>
              <w:t>iPSC-CMs, rodent models, NHPs as well as in silico / machine</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rPr>
              <w:t>learning models</w:t>
            </w:r>
          </w:p>
        </w:tc>
        <w:tc>
          <w:tcPr>
            <w:tcW w:w="0" w:type="dxa"/>
            <w:vAlign w:val="bottom"/>
          </w:tcPr>
          <w:p>
            <w:pPr>
              <w:spacing w:after="0"/>
              <w:rPr>
                <w:sz w:val="1"/>
                <w:szCs w:val="1"/>
                <w:color w:val="auto"/>
              </w:rPr>
            </w:pPr>
          </w:p>
        </w:tc>
      </w:tr>
      <w:tr>
        <w:trPr>
          <w:trHeight w:val="272"/>
        </w:trPr>
        <w:tc>
          <w:tcPr>
            <w:tcW w:w="1380" w:type="dxa"/>
            <w:vAlign w:val="bottom"/>
          </w:tcPr>
          <w:p>
            <w:pPr>
              <w:spacing w:after="0"/>
              <w:rPr>
                <w:sz w:val="20"/>
                <w:szCs w:val="20"/>
                <w:color w:val="auto"/>
              </w:rPr>
            </w:pPr>
            <w:r>
              <w:rPr>
                <w:rFonts w:ascii="Arial" w:cs="Arial" w:eastAsia="Arial" w:hAnsi="Arial"/>
                <w:sz w:val="16"/>
                <w:szCs w:val="16"/>
                <w:color w:val="auto"/>
              </w:rPr>
              <w:t>Screening criteria</w:t>
            </w:r>
          </w:p>
        </w:tc>
        <w:tc>
          <w:tcPr>
            <w:tcW w:w="280" w:type="dxa"/>
            <w:vAlign w:val="bottom"/>
          </w:tcPr>
          <w:p>
            <w:pPr>
              <w:spacing w:after="0"/>
              <w:rPr>
                <w:sz w:val="23"/>
                <w:szCs w:val="23"/>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0"/>
              </w:rPr>
              <w:t>Evaluating novel capsids for multiple criteria including higher heart</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9"/>
              </w:rPr>
              <w:t>transduction, lower liver transduction, lower antigenicity, and</w:t>
            </w:r>
          </w:p>
        </w:tc>
        <w:tc>
          <w:tcPr>
            <w:tcW w:w="0" w:type="dxa"/>
            <w:vAlign w:val="bottom"/>
          </w:tcPr>
          <w:p>
            <w:pPr>
              <w:spacing w:after="0"/>
              <w:rPr>
                <w:sz w:val="1"/>
                <w:szCs w:val="1"/>
                <w:color w:val="auto"/>
              </w:rPr>
            </w:pPr>
          </w:p>
        </w:tc>
      </w:tr>
      <w:tr>
        <w:trPr>
          <w:trHeight w:val="189"/>
        </w:trPr>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w w:val="96"/>
              </w:rPr>
              <w:t>comparable manufacturability (as compared to relevant known</w:t>
            </w:r>
          </w:p>
        </w:tc>
        <w:tc>
          <w:tcPr>
            <w:tcW w:w="0" w:type="dxa"/>
            <w:vAlign w:val="bottom"/>
          </w:tcPr>
          <w:p>
            <w:pPr>
              <w:spacing w:after="0"/>
              <w:rPr>
                <w:sz w:val="1"/>
                <w:szCs w:val="1"/>
                <w:color w:val="auto"/>
              </w:rPr>
            </w:pPr>
          </w:p>
        </w:tc>
      </w:tr>
      <w:tr>
        <w:trPr>
          <w:trHeight w:val="200"/>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160" w:type="dxa"/>
            <w:vAlign w:val="bottom"/>
            <w:gridSpan w:val="2"/>
          </w:tcPr>
          <w:p>
            <w:pPr>
              <w:ind w:left="1900"/>
              <w:spacing w:after="0"/>
              <w:rPr>
                <w:sz w:val="20"/>
                <w:szCs w:val="20"/>
                <w:color w:val="auto"/>
              </w:rPr>
            </w:pPr>
            <w:r>
              <w:rPr>
                <w:rFonts w:ascii="Arial" w:cs="Arial" w:eastAsia="Arial" w:hAnsi="Arial"/>
                <w:sz w:val="16"/>
                <w:szCs w:val="16"/>
                <w:color w:val="auto"/>
              </w:rPr>
              <w:t>serotypes)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2077720</wp:posOffset>
            </wp:positionH>
            <wp:positionV relativeFrom="paragraph">
              <wp:posOffset>-1675765</wp:posOffset>
            </wp:positionV>
            <wp:extent cx="823595" cy="10629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3595" cy="1062990"/>
                    </a:xfrm>
                    <a:prstGeom prst="rect">
                      <a:avLst/>
                    </a:prstGeom>
                    <a:noFill/>
                  </pic:spPr>
                </pic:pic>
              </a:graphicData>
            </a:graphic>
          </wp:anchor>
        </w:drawing>
        <w:drawing>
          <wp:anchor simplePos="0" relativeHeight="251657728" behindDoc="1" locked="0" layoutInCell="0" allowOverlap="1">
            <wp:simplePos x="0" y="0"/>
            <wp:positionH relativeFrom="column">
              <wp:posOffset>2077720</wp:posOffset>
            </wp:positionH>
            <wp:positionV relativeFrom="paragraph">
              <wp:posOffset>-477520</wp:posOffset>
            </wp:positionV>
            <wp:extent cx="995680" cy="2546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95680" cy="254635"/>
                    </a:xfrm>
                    <a:prstGeom prst="rect">
                      <a:avLst/>
                    </a:prstGeom>
                    <a:noFill/>
                  </pic:spPr>
                </pic:pic>
              </a:graphicData>
            </a:graphic>
          </wp:anchor>
        </w:drawing>
      </w:r>
    </w:p>
    <w:p>
      <w:pPr>
        <w:spacing w:after="0" w:line="75" w:lineRule="exact"/>
        <w:rPr>
          <w:sz w:val="20"/>
          <w:szCs w:val="20"/>
          <w:color w:val="auto"/>
        </w:rPr>
      </w:pPr>
    </w:p>
    <w:p>
      <w:pPr>
        <w:ind w:left="1660" w:hanging="469"/>
        <w:spacing w:after="0"/>
        <w:tabs>
          <w:tab w:leader="none" w:pos="1660" w:val="left"/>
        </w:tabs>
        <w:numPr>
          <w:ilvl w:val="0"/>
          <w:numId w:val="94"/>
        </w:numPr>
        <w:rPr>
          <w:rFonts w:ascii="Arial" w:cs="Arial" w:eastAsia="Arial" w:hAnsi="Arial"/>
          <w:sz w:val="13"/>
          <w:szCs w:val="13"/>
          <w:color w:val="auto"/>
        </w:rPr>
      </w:pPr>
      <w:r>
        <w:rPr>
          <w:rFonts w:ascii="Arial" w:cs="Arial" w:eastAsia="Arial" w:hAnsi="Arial"/>
          <w:sz w:val="13"/>
          <w:szCs w:val="13"/>
          <w:i w:val="1"/>
          <w:iCs w:val="1"/>
          <w:color w:val="auto"/>
        </w:rPr>
        <w:t xml:space="preserve">Cell specificity: </w:t>
      </w:r>
      <w:r>
        <w:rPr>
          <w:rFonts w:ascii="Arial" w:cs="Arial" w:eastAsia="Arial" w:hAnsi="Arial"/>
          <w:sz w:val="13"/>
          <w:szCs w:val="13"/>
          <w:color w:val="auto"/>
        </w:rPr>
        <w:t>We are using our capsid engineering capabilities to identify novel AAV capsids with an overall higher tropism for the heart</w:t>
      </w:r>
    </w:p>
    <w:p>
      <w:pPr>
        <w:spacing w:after="0" w:line="50" w:lineRule="exact"/>
        <w:rPr>
          <w:rFonts w:ascii="Arial" w:cs="Arial" w:eastAsia="Arial" w:hAnsi="Arial"/>
          <w:sz w:val="13"/>
          <w:szCs w:val="13"/>
          <w:color w:val="auto"/>
        </w:rPr>
      </w:pPr>
    </w:p>
    <w:p>
      <w:pPr>
        <w:ind w:left="1660" w:right="120"/>
        <w:spacing w:after="0" w:line="273" w:lineRule="auto"/>
        <w:rPr>
          <w:rFonts w:ascii="Arial" w:cs="Arial" w:eastAsia="Arial" w:hAnsi="Arial"/>
          <w:sz w:val="13"/>
          <w:szCs w:val="13"/>
          <w:color w:val="auto"/>
        </w:rPr>
      </w:pPr>
      <w:r>
        <w:rPr>
          <w:rFonts w:ascii="Arial" w:cs="Arial" w:eastAsia="Arial" w:hAnsi="Arial"/>
          <w:sz w:val="15"/>
          <w:szCs w:val="15"/>
          <w:color w:val="auto"/>
        </w:rPr>
        <w:t xml:space="preserve">compared to other organs and selectively target the two most abundant cell types in the heart: CMs and CFs. We already have achieved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vivo </w:t>
      </w:r>
      <w:r>
        <w:rPr>
          <w:rFonts w:ascii="Arial" w:cs="Arial" w:eastAsia="Arial" w:hAnsi="Arial"/>
          <w:sz w:val="15"/>
          <w:szCs w:val="15"/>
          <w:color w:val="auto"/>
        </w:rPr>
        <w:t>proof of concept for novel vectors for both cell types. Having capsids that more specifically target one cell type over another could</w:t>
      </w:r>
      <w:r>
        <w:rPr>
          <w:rFonts w:ascii="Arial" w:cs="Arial" w:eastAsia="Arial" w:hAnsi="Arial"/>
          <w:sz w:val="15"/>
          <w:szCs w:val="15"/>
          <w:i w:val="1"/>
          <w:iCs w:val="1"/>
          <w:color w:val="auto"/>
        </w:rPr>
        <w:t xml:space="preserve"> </w:t>
      </w:r>
      <w:r>
        <w:rPr>
          <w:rFonts w:ascii="Arial" w:cs="Arial" w:eastAsia="Arial" w:hAnsi="Arial"/>
          <w:sz w:val="15"/>
          <w:szCs w:val="15"/>
          <w:color w:val="auto"/>
        </w:rPr>
        <w:t>help improve efficacy and safety and lower cost of goods for our future product candidates.</w:t>
      </w:r>
    </w:p>
    <w:p>
      <w:pPr>
        <w:spacing w:after="0" w:line="72" w:lineRule="exact"/>
        <w:rPr>
          <w:rFonts w:ascii="Arial" w:cs="Arial" w:eastAsia="Arial" w:hAnsi="Arial"/>
          <w:sz w:val="13"/>
          <w:szCs w:val="13"/>
          <w:color w:val="auto"/>
        </w:rPr>
      </w:pPr>
    </w:p>
    <w:p>
      <w:pPr>
        <w:ind w:left="1660" w:right="80" w:hanging="469"/>
        <w:spacing w:after="0" w:line="253" w:lineRule="auto"/>
        <w:tabs>
          <w:tab w:leader="none" w:pos="166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Library diversity: </w:t>
      </w:r>
      <w:r>
        <w:rPr>
          <w:rFonts w:ascii="Arial" w:cs="Arial" w:eastAsia="Arial" w:hAnsi="Arial"/>
          <w:sz w:val="16"/>
          <w:szCs w:val="16"/>
          <w:color w:val="auto"/>
        </w:rPr>
        <w:t>We have screened more than one billion variants from 30 diverse libraries utilizing a range of strategies,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rational modification of surface residues as well as directed evolution efforts with peptide insertion libraries, chimeric libraries, and libraries based on systematic alteration of variable regions (VR) using different parental capsids. The diversity of approaches increases the likelihood that we will find capsids with novel properties.</w:t>
      </w:r>
    </w:p>
    <w:p>
      <w:pPr>
        <w:spacing w:after="0" w:line="73" w:lineRule="exact"/>
        <w:rPr>
          <w:rFonts w:ascii="Arial" w:cs="Arial" w:eastAsia="Arial" w:hAnsi="Arial"/>
          <w:sz w:val="16"/>
          <w:szCs w:val="16"/>
          <w:color w:val="auto"/>
        </w:rPr>
      </w:pPr>
    </w:p>
    <w:p>
      <w:pPr>
        <w:ind w:left="1680"/>
        <w:spacing w:after="0"/>
        <w:rPr>
          <w:rFonts w:ascii="Arial" w:cs="Arial" w:eastAsia="Arial" w:hAnsi="Arial"/>
          <w:sz w:val="16"/>
          <w:szCs w:val="16"/>
          <w:color w:val="auto"/>
        </w:rPr>
      </w:pPr>
      <w:r>
        <w:rPr>
          <w:rFonts w:ascii="Arial" w:cs="Arial" w:eastAsia="Arial" w:hAnsi="Arial"/>
          <w:sz w:val="16"/>
          <w:szCs w:val="16"/>
          <w:color w:val="auto"/>
        </w:rPr>
        <w:t>The image below illustrates our efforts to achieve diverse heart-tropic AAV capsids.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145415</wp:posOffset>
            </wp:positionV>
            <wp:extent cx="4132580" cy="9734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32580" cy="97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4"/>
              </w:rPr>
              <w:t>Surface-Exposed</w:t>
            </w: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89"/>
              </w:rPr>
              <w:t>Randomly Altered</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r>
      <w:tr>
        <w:trPr>
          <w:trHeight w:val="130"/>
        </w:trPr>
        <w:tc>
          <w:tcPr>
            <w:tcW w:w="10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Capsid</w:t>
            </w:r>
          </w:p>
        </w:tc>
        <w:tc>
          <w:tcPr>
            <w:tcW w:w="100" w:type="dxa"/>
            <w:vAlign w:val="bottom"/>
          </w:tcPr>
          <w:p>
            <w:pPr>
              <w:spacing w:after="0"/>
              <w:rPr>
                <w:sz w:val="11"/>
                <w:szCs w:val="11"/>
                <w:color w:val="auto"/>
              </w:rPr>
            </w:pPr>
          </w:p>
        </w:tc>
        <w:tc>
          <w:tcPr>
            <w:tcW w:w="15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4"/>
              </w:rPr>
              <w:t>Residues Prone to</w:t>
            </w:r>
          </w:p>
        </w:tc>
        <w:tc>
          <w:tcPr>
            <w:tcW w:w="100" w:type="dxa"/>
            <w:vAlign w:val="bottom"/>
          </w:tcPr>
          <w:p>
            <w:pPr>
              <w:spacing w:after="0"/>
              <w:rPr>
                <w:sz w:val="11"/>
                <w:szCs w:val="11"/>
                <w:color w:val="auto"/>
              </w:rPr>
            </w:pPr>
          </w:p>
        </w:tc>
        <w:tc>
          <w:tcPr>
            <w:tcW w:w="16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Peptide Insertion</w:t>
            </w:r>
          </w:p>
        </w:tc>
        <w:tc>
          <w:tcPr>
            <w:tcW w:w="10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Variable Region</w:t>
            </w:r>
          </w:p>
        </w:tc>
        <w:tc>
          <w:tcPr>
            <w:tcW w:w="10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2"/>
              </w:rPr>
              <w:t>Chimeric Library</w:t>
            </w:r>
          </w:p>
        </w:tc>
        <w:tc>
          <w:tcPr>
            <w:tcW w:w="10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Systematic Alteration</w:t>
            </w:r>
          </w:p>
        </w:tc>
      </w:tr>
      <w:tr>
        <w:trPr>
          <w:trHeight w:val="161"/>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Modification</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Phosphorylation</w:t>
            </w:r>
          </w:p>
        </w:tc>
        <w:tc>
          <w:tcPr>
            <w:tcW w:w="10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Library</w:t>
            </w:r>
          </w:p>
        </w:tc>
        <w:tc>
          <w:tcPr>
            <w:tcW w:w="1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Library</w:t>
            </w:r>
          </w:p>
        </w:tc>
        <w:tc>
          <w:tcPr>
            <w:tcW w:w="1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Generation</w:t>
            </w:r>
          </w:p>
        </w:tc>
        <w:tc>
          <w:tcPr>
            <w:tcW w:w="100" w:type="dxa"/>
            <w:vAlign w:val="bottom"/>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of Variable Regions</w:t>
            </w:r>
          </w:p>
        </w:tc>
      </w:tr>
      <w:tr>
        <w:trPr>
          <w:trHeight w:val="106"/>
        </w:trPr>
        <w:tc>
          <w:tcPr>
            <w:tcW w:w="1060" w:type="dxa"/>
            <w:vAlign w:val="bottom"/>
          </w:tcPr>
          <w:p>
            <w:pPr>
              <w:jc w:val="center"/>
              <w:spacing w:after="0" w:line="106" w:lineRule="exact"/>
              <w:rPr>
                <w:sz w:val="20"/>
                <w:szCs w:val="20"/>
                <w:color w:val="auto"/>
              </w:rPr>
            </w:pPr>
            <w:r>
              <w:rPr>
                <w:rFonts w:ascii="Arial" w:cs="Arial" w:eastAsia="Arial" w:hAnsi="Arial"/>
                <w:sz w:val="12"/>
                <w:szCs w:val="12"/>
                <w:b w:val="1"/>
                <w:bCs w:val="1"/>
                <w:i w:val="1"/>
                <w:iCs w:val="1"/>
                <w:color w:val="auto"/>
                <w:w w:val="91"/>
              </w:rPr>
              <w:t>Tenaya Efforts</w:t>
            </w:r>
          </w:p>
        </w:tc>
        <w:tc>
          <w:tcPr>
            <w:tcW w:w="100" w:type="dxa"/>
            <w:vAlign w:val="bottom"/>
          </w:tcPr>
          <w:p>
            <w:pPr>
              <w:spacing w:after="0"/>
              <w:rPr>
                <w:sz w:val="9"/>
                <w:szCs w:val="9"/>
                <w:color w:val="auto"/>
              </w:rPr>
            </w:pPr>
          </w:p>
        </w:tc>
        <w:tc>
          <w:tcPr>
            <w:tcW w:w="1560" w:type="dxa"/>
            <w:vAlign w:val="bottom"/>
          </w:tcPr>
          <w:p>
            <w:pPr>
              <w:spacing w:after="0" w:line="106" w:lineRule="exact"/>
              <w:rPr>
                <w:sz w:val="20"/>
                <w:szCs w:val="20"/>
                <w:color w:val="auto"/>
              </w:rPr>
            </w:pPr>
            <w:r>
              <w:rPr>
                <w:rFonts w:ascii="Arial" w:cs="Arial" w:eastAsia="Arial" w:hAnsi="Arial"/>
                <w:sz w:val="12"/>
                <w:szCs w:val="12"/>
                <w:color w:val="auto"/>
              </w:rPr>
              <w:t>• Mutagenesis screen of</w:t>
            </w:r>
          </w:p>
        </w:tc>
        <w:tc>
          <w:tcPr>
            <w:tcW w:w="100" w:type="dxa"/>
            <w:vAlign w:val="bottom"/>
          </w:tcPr>
          <w:p>
            <w:pPr>
              <w:spacing w:after="0"/>
              <w:rPr>
                <w:sz w:val="9"/>
                <w:szCs w:val="9"/>
                <w:color w:val="auto"/>
              </w:rPr>
            </w:pPr>
          </w:p>
        </w:tc>
        <w:tc>
          <w:tcPr>
            <w:tcW w:w="1640" w:type="dxa"/>
            <w:vAlign w:val="bottom"/>
          </w:tcPr>
          <w:p>
            <w:pPr>
              <w:spacing w:after="0" w:line="106" w:lineRule="exact"/>
              <w:rPr>
                <w:sz w:val="20"/>
                <w:szCs w:val="20"/>
                <w:color w:val="auto"/>
              </w:rPr>
            </w:pPr>
            <w:r>
              <w:rPr>
                <w:rFonts w:ascii="Arial" w:cs="Arial" w:eastAsia="Arial" w:hAnsi="Arial"/>
                <w:sz w:val="12"/>
                <w:szCs w:val="12"/>
                <w:color w:val="auto"/>
              </w:rPr>
              <w:t>• Generated peptide insertion</w:t>
            </w:r>
          </w:p>
        </w:tc>
        <w:tc>
          <w:tcPr>
            <w:tcW w:w="100" w:type="dxa"/>
            <w:vAlign w:val="bottom"/>
          </w:tcPr>
          <w:p>
            <w:pPr>
              <w:spacing w:after="0"/>
              <w:rPr>
                <w:sz w:val="9"/>
                <w:szCs w:val="9"/>
                <w:color w:val="auto"/>
              </w:rPr>
            </w:pPr>
          </w:p>
        </w:tc>
        <w:tc>
          <w:tcPr>
            <w:tcW w:w="1620" w:type="dxa"/>
            <w:vAlign w:val="bottom"/>
          </w:tcPr>
          <w:p>
            <w:pPr>
              <w:spacing w:after="0" w:line="106" w:lineRule="exact"/>
              <w:rPr>
                <w:sz w:val="20"/>
                <w:szCs w:val="20"/>
                <w:color w:val="auto"/>
              </w:rPr>
            </w:pPr>
            <w:r>
              <w:rPr>
                <w:rFonts w:ascii="Arial" w:cs="Arial" w:eastAsia="Arial" w:hAnsi="Arial"/>
                <w:sz w:val="12"/>
                <w:szCs w:val="12"/>
                <w:color w:val="auto"/>
              </w:rPr>
              <w:t>• Generated multiple modified</w:t>
            </w:r>
          </w:p>
        </w:tc>
        <w:tc>
          <w:tcPr>
            <w:tcW w:w="100" w:type="dxa"/>
            <w:vAlign w:val="bottom"/>
          </w:tcPr>
          <w:p>
            <w:pPr>
              <w:spacing w:after="0"/>
              <w:rPr>
                <w:sz w:val="9"/>
                <w:szCs w:val="9"/>
                <w:color w:val="auto"/>
              </w:rPr>
            </w:pPr>
          </w:p>
        </w:tc>
        <w:tc>
          <w:tcPr>
            <w:tcW w:w="1620" w:type="dxa"/>
            <w:vAlign w:val="bottom"/>
          </w:tcPr>
          <w:p>
            <w:pPr>
              <w:spacing w:after="0" w:line="106" w:lineRule="exact"/>
              <w:rPr>
                <w:sz w:val="20"/>
                <w:szCs w:val="20"/>
                <w:color w:val="auto"/>
              </w:rPr>
            </w:pPr>
            <w:r>
              <w:rPr>
                <w:rFonts w:ascii="Arial" w:cs="Arial" w:eastAsia="Arial" w:hAnsi="Arial"/>
                <w:sz w:val="12"/>
                <w:szCs w:val="12"/>
                <w:color w:val="auto"/>
              </w:rPr>
              <w:t>• Generated chimeric libraries</w:t>
            </w:r>
          </w:p>
        </w:tc>
        <w:tc>
          <w:tcPr>
            <w:tcW w:w="100" w:type="dxa"/>
            <w:vAlign w:val="bottom"/>
          </w:tcPr>
          <w:p>
            <w:pPr>
              <w:spacing w:after="0"/>
              <w:rPr>
                <w:sz w:val="9"/>
                <w:szCs w:val="9"/>
                <w:color w:val="auto"/>
              </w:rPr>
            </w:pPr>
          </w:p>
        </w:tc>
        <w:tc>
          <w:tcPr>
            <w:tcW w:w="1620" w:type="dxa"/>
            <w:vAlign w:val="bottom"/>
          </w:tcPr>
          <w:p>
            <w:pPr>
              <w:spacing w:after="0" w:line="106" w:lineRule="exact"/>
              <w:rPr>
                <w:sz w:val="20"/>
                <w:szCs w:val="20"/>
                <w:color w:val="auto"/>
              </w:rPr>
            </w:pPr>
            <w:r>
              <w:rPr>
                <w:rFonts w:ascii="Arial" w:cs="Arial" w:eastAsia="Arial" w:hAnsi="Arial"/>
                <w:sz w:val="12"/>
                <w:szCs w:val="12"/>
                <w:color w:val="auto"/>
              </w:rPr>
              <w:t>• Modified parental VRs</w:t>
            </w:r>
          </w:p>
        </w:tc>
      </w:tr>
      <w:tr>
        <w:trPr>
          <w:trHeight w:val="130"/>
        </w:trPr>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ind w:left="120"/>
              <w:spacing w:after="0" w:line="130" w:lineRule="exact"/>
              <w:rPr>
                <w:sz w:val="20"/>
                <w:szCs w:val="20"/>
                <w:color w:val="auto"/>
              </w:rPr>
            </w:pPr>
            <w:r>
              <w:rPr>
                <w:rFonts w:ascii="Arial" w:cs="Arial" w:eastAsia="Arial" w:hAnsi="Arial"/>
                <w:sz w:val="13"/>
                <w:szCs w:val="13"/>
                <w:color w:val="auto"/>
                <w:w w:val="95"/>
              </w:rPr>
              <w:t>surface-exposed residues</w:t>
            </w:r>
          </w:p>
        </w:tc>
        <w:tc>
          <w:tcPr>
            <w:tcW w:w="100" w:type="dxa"/>
            <w:vAlign w:val="bottom"/>
          </w:tcPr>
          <w:p>
            <w:pPr>
              <w:spacing w:after="0"/>
              <w:rPr>
                <w:sz w:val="11"/>
                <w:szCs w:val="11"/>
                <w:color w:val="auto"/>
              </w:rPr>
            </w:pPr>
          </w:p>
        </w:tc>
        <w:tc>
          <w:tcPr>
            <w:tcW w:w="1640" w:type="dxa"/>
            <w:vAlign w:val="bottom"/>
          </w:tcPr>
          <w:p>
            <w:pPr>
              <w:jc w:val="center"/>
              <w:spacing w:after="0" w:line="130" w:lineRule="exact"/>
              <w:rPr>
                <w:sz w:val="20"/>
                <w:szCs w:val="20"/>
                <w:color w:val="auto"/>
              </w:rPr>
            </w:pPr>
            <w:r>
              <w:rPr>
                <w:rFonts w:ascii="Arial" w:cs="Arial" w:eastAsia="Arial" w:hAnsi="Arial"/>
                <w:sz w:val="13"/>
                <w:szCs w:val="13"/>
                <w:color w:val="auto"/>
                <w:w w:val="93"/>
              </w:rPr>
              <w:t>libraries with multiple AAV</w:t>
            </w:r>
          </w:p>
        </w:tc>
        <w:tc>
          <w:tcPr>
            <w:tcW w:w="100" w:type="dxa"/>
            <w:vAlign w:val="bottom"/>
          </w:tcPr>
          <w:p>
            <w:pPr>
              <w:spacing w:after="0"/>
              <w:rPr>
                <w:sz w:val="11"/>
                <w:szCs w:val="11"/>
                <w:color w:val="auto"/>
              </w:rPr>
            </w:pPr>
          </w:p>
        </w:tc>
        <w:tc>
          <w:tcPr>
            <w:tcW w:w="1620" w:type="dxa"/>
            <w:vAlign w:val="bottom"/>
          </w:tcPr>
          <w:p>
            <w:pPr>
              <w:ind w:left="120"/>
              <w:spacing w:after="0" w:line="130" w:lineRule="exact"/>
              <w:rPr>
                <w:sz w:val="20"/>
                <w:szCs w:val="20"/>
                <w:color w:val="auto"/>
              </w:rPr>
            </w:pPr>
            <w:r>
              <w:rPr>
                <w:rFonts w:ascii="Arial" w:cs="Arial" w:eastAsia="Arial" w:hAnsi="Arial"/>
                <w:sz w:val="13"/>
                <w:szCs w:val="13"/>
                <w:color w:val="auto"/>
                <w:w w:val="91"/>
              </w:rPr>
              <w:t>variable region libraries with</w:t>
            </w:r>
          </w:p>
        </w:tc>
        <w:tc>
          <w:tcPr>
            <w:tcW w:w="100" w:type="dxa"/>
            <w:vAlign w:val="bottom"/>
          </w:tcPr>
          <w:p>
            <w:pPr>
              <w:spacing w:after="0"/>
              <w:rPr>
                <w:sz w:val="11"/>
                <w:szCs w:val="11"/>
                <w:color w:val="auto"/>
              </w:rPr>
            </w:pPr>
          </w:p>
        </w:tc>
        <w:tc>
          <w:tcPr>
            <w:tcW w:w="1620" w:type="dxa"/>
            <w:vAlign w:val="bottom"/>
          </w:tcPr>
          <w:p>
            <w:pPr>
              <w:ind w:left="120"/>
              <w:spacing w:after="0" w:line="130" w:lineRule="exact"/>
              <w:rPr>
                <w:sz w:val="20"/>
                <w:szCs w:val="20"/>
                <w:color w:val="auto"/>
              </w:rPr>
            </w:pPr>
            <w:r>
              <w:rPr>
                <w:rFonts w:ascii="Arial" w:cs="Arial" w:eastAsia="Arial" w:hAnsi="Arial"/>
                <w:sz w:val="13"/>
                <w:szCs w:val="13"/>
                <w:color w:val="auto"/>
                <w:w w:val="96"/>
              </w:rPr>
              <w:t>to identify CM capsids with</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30"/>
        </w:trPr>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0" w:lineRule="exact"/>
              <w:rPr>
                <w:sz w:val="20"/>
                <w:szCs w:val="20"/>
                <w:color w:val="auto"/>
              </w:rPr>
            </w:pPr>
            <w:r>
              <w:rPr>
                <w:rFonts w:ascii="Arial" w:cs="Arial" w:eastAsia="Arial" w:hAnsi="Arial"/>
                <w:sz w:val="13"/>
                <w:szCs w:val="13"/>
                <w:color w:val="auto"/>
                <w:w w:val="88"/>
              </w:rPr>
              <w:t>prone to phosphorylation</w:t>
            </w:r>
          </w:p>
        </w:tc>
        <w:tc>
          <w:tcPr>
            <w:tcW w:w="100" w:type="dxa"/>
            <w:vAlign w:val="bottom"/>
          </w:tcPr>
          <w:p>
            <w:pPr>
              <w:spacing w:after="0"/>
              <w:rPr>
                <w:sz w:val="11"/>
                <w:szCs w:val="11"/>
                <w:color w:val="auto"/>
              </w:rPr>
            </w:pPr>
          </w:p>
        </w:tc>
        <w:tc>
          <w:tcPr>
            <w:tcW w:w="1640" w:type="dxa"/>
            <w:vAlign w:val="bottom"/>
          </w:tcPr>
          <w:p>
            <w:pPr>
              <w:ind w:left="120"/>
              <w:spacing w:after="0" w:line="130" w:lineRule="exact"/>
              <w:rPr>
                <w:sz w:val="20"/>
                <w:szCs w:val="20"/>
                <w:color w:val="auto"/>
              </w:rPr>
            </w:pPr>
            <w:r>
              <w:rPr>
                <w:rFonts w:ascii="Arial" w:cs="Arial" w:eastAsia="Arial" w:hAnsi="Arial"/>
                <w:sz w:val="13"/>
                <w:szCs w:val="13"/>
                <w:color w:val="auto"/>
              </w:rPr>
              <w:t>parental capsids</w:t>
            </w:r>
          </w:p>
        </w:tc>
        <w:tc>
          <w:tcPr>
            <w:tcW w:w="100" w:type="dxa"/>
            <w:vAlign w:val="bottom"/>
          </w:tcPr>
          <w:p>
            <w:pPr>
              <w:spacing w:after="0"/>
              <w:rPr>
                <w:sz w:val="11"/>
                <w:szCs w:val="11"/>
                <w:color w:val="auto"/>
              </w:rPr>
            </w:pPr>
          </w:p>
        </w:tc>
        <w:tc>
          <w:tcPr>
            <w:tcW w:w="1620" w:type="dxa"/>
            <w:vAlign w:val="bottom"/>
          </w:tcPr>
          <w:p>
            <w:pPr>
              <w:jc w:val="center"/>
              <w:spacing w:after="0" w:line="130" w:lineRule="exact"/>
              <w:rPr>
                <w:sz w:val="20"/>
                <w:szCs w:val="20"/>
                <w:color w:val="auto"/>
              </w:rPr>
            </w:pPr>
            <w:r>
              <w:rPr>
                <w:rFonts w:ascii="Arial" w:cs="Arial" w:eastAsia="Arial" w:hAnsi="Arial"/>
                <w:sz w:val="13"/>
                <w:szCs w:val="13"/>
                <w:color w:val="auto"/>
                <w:w w:val="88"/>
              </w:rPr>
              <w:t>modified VRs to screen for</w:t>
            </w:r>
          </w:p>
        </w:tc>
        <w:tc>
          <w:tcPr>
            <w:tcW w:w="100" w:type="dxa"/>
            <w:vAlign w:val="bottom"/>
          </w:tcPr>
          <w:p>
            <w:pPr>
              <w:spacing w:after="0"/>
              <w:rPr>
                <w:sz w:val="11"/>
                <w:szCs w:val="11"/>
                <w:color w:val="auto"/>
              </w:rPr>
            </w:pPr>
          </w:p>
        </w:tc>
        <w:tc>
          <w:tcPr>
            <w:tcW w:w="1620" w:type="dxa"/>
            <w:vAlign w:val="bottom"/>
          </w:tcPr>
          <w:p>
            <w:pPr>
              <w:ind w:left="120"/>
              <w:spacing w:after="0" w:line="130" w:lineRule="exact"/>
              <w:rPr>
                <w:sz w:val="20"/>
                <w:szCs w:val="20"/>
                <w:color w:val="auto"/>
              </w:rPr>
            </w:pPr>
            <w:r>
              <w:rPr>
                <w:rFonts w:ascii="Arial" w:cs="Arial" w:eastAsia="Arial" w:hAnsi="Arial"/>
                <w:sz w:val="13"/>
                <w:szCs w:val="13"/>
                <w:color w:val="auto"/>
              </w:rPr>
              <w:t>improved properties for</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158"/>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3"/>
                <w:szCs w:val="13"/>
                <w:color w:val="auto"/>
              </w:rPr>
              <w:t>CM tropism</w:t>
            </w:r>
          </w:p>
        </w:tc>
        <w:tc>
          <w:tcPr>
            <w:tcW w:w="100" w:type="dxa"/>
            <w:vAlign w:val="bottom"/>
          </w:tcPr>
          <w:p>
            <w:pPr>
              <w:spacing w:after="0"/>
              <w:rPr>
                <w:sz w:val="13"/>
                <w:szCs w:val="13"/>
                <w:color w:val="auto"/>
              </w:rPr>
            </w:pPr>
          </w:p>
        </w:tc>
        <w:tc>
          <w:tcPr>
            <w:tcW w:w="1620" w:type="dxa"/>
            <w:vAlign w:val="bottom"/>
          </w:tcPr>
          <w:p>
            <w:pPr>
              <w:ind w:left="120"/>
              <w:spacing w:after="0"/>
              <w:rPr>
                <w:sz w:val="20"/>
                <w:szCs w:val="20"/>
                <w:color w:val="auto"/>
              </w:rPr>
            </w:pPr>
            <w:r>
              <w:rPr>
                <w:rFonts w:ascii="Arial" w:cs="Arial" w:eastAsia="Arial" w:hAnsi="Arial"/>
                <w:sz w:val="13"/>
                <w:szCs w:val="13"/>
                <w:color w:val="auto"/>
              </w:rPr>
              <w:t>cardiac gene transfer</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r>
    </w:tbl>
    <w:p>
      <w:pPr>
        <w:spacing w:after="0" w:line="1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0440"/>
          </w:cols>
          <w:pgMar w:left="320" w:top="418" w:right="113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1660" w:right="260" w:hanging="469"/>
        <w:spacing w:after="0" w:line="253" w:lineRule="auto"/>
        <w:tabs>
          <w:tab w:leader="none" w:pos="1660"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Screening models: </w:t>
      </w:r>
      <w:r>
        <w:rPr>
          <w:rFonts w:ascii="Arial" w:cs="Arial" w:eastAsia="Arial" w:hAnsi="Arial"/>
          <w:sz w:val="16"/>
          <w:szCs w:val="16"/>
          <w:color w:val="auto"/>
        </w:rPr>
        <w:t>We have performed our screens in a variety of</w:t>
      </w:r>
      <w:r>
        <w:rPr>
          <w:rFonts w:ascii="Arial" w:cs="Arial" w:eastAsia="Arial" w:hAnsi="Arial"/>
          <w:sz w:val="16"/>
          <w:szCs w:val="16"/>
          <w:i w:val="1"/>
          <w:iCs w:val="1"/>
          <w:color w:val="auto"/>
        </w:rPr>
        <w:t xml:space="preserve"> in vitro</w:t>
      </w:r>
      <w:r>
        <w:rPr>
          <w:rFonts w:ascii="Arial" w:cs="Arial" w:eastAsia="Arial" w:hAnsi="Arial"/>
          <w:sz w:val="16"/>
          <w:szCs w:val="16"/>
          <w:color w:val="auto"/>
        </w:rPr>
        <w:t>,</w:t>
      </w:r>
      <w:r>
        <w:rPr>
          <w:rFonts w:ascii="Arial" w:cs="Arial" w:eastAsia="Arial" w:hAnsi="Arial"/>
          <w:sz w:val="16"/>
          <w:szCs w:val="16"/>
          <w:i w:val="1"/>
          <w:iCs w:val="1"/>
          <w:color w:val="auto"/>
        </w:rPr>
        <w:t xml:space="preserve"> in vivo</w:t>
      </w:r>
      <w:r>
        <w:rPr>
          <w:rFonts w:ascii="Arial" w:cs="Arial" w:eastAsia="Arial" w:hAnsi="Arial"/>
          <w:sz w:val="16"/>
          <w:szCs w:val="16"/>
          <w:color w:val="auto"/>
        </w:rPr>
        <w:t>, and</w:t>
      </w:r>
      <w:r>
        <w:rPr>
          <w:rFonts w:ascii="Arial" w:cs="Arial" w:eastAsia="Arial" w:hAnsi="Arial"/>
          <w:sz w:val="16"/>
          <w:szCs w:val="16"/>
          <w:i w:val="1"/>
          <w:iCs w:val="1"/>
          <w:color w:val="auto"/>
        </w:rPr>
        <w:t xml:space="preserve"> in silico </w:t>
      </w:r>
      <w:r>
        <w:rPr>
          <w:rFonts w:ascii="Arial" w:cs="Arial" w:eastAsia="Arial" w:hAnsi="Arial"/>
          <w:sz w:val="16"/>
          <w:szCs w:val="16"/>
          <w:color w:val="auto"/>
        </w:rPr>
        <w:t>libraries. Current efforts are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direct screening in NHPs, as well as use of machine learning algorithms. We believe our probability of finding novel variants that will translate to superior attributes in humans is highest in NHPs. We believe our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approaches can complement these efforts to help predict novel variants.</w:t>
      </w:r>
    </w:p>
    <w:p>
      <w:pPr>
        <w:spacing w:after="0" w:line="84" w:lineRule="exact"/>
        <w:rPr>
          <w:rFonts w:ascii="Arial" w:cs="Arial" w:eastAsia="Arial" w:hAnsi="Arial"/>
          <w:sz w:val="16"/>
          <w:szCs w:val="16"/>
          <w:color w:val="auto"/>
        </w:rPr>
      </w:pPr>
    </w:p>
    <w:p>
      <w:pPr>
        <w:ind w:left="1660" w:hanging="469"/>
        <w:spacing w:after="0" w:line="329" w:lineRule="auto"/>
        <w:tabs>
          <w:tab w:leader="none" w:pos="1660" w:val="left"/>
        </w:tabs>
        <w:numPr>
          <w:ilvl w:val="0"/>
          <w:numId w:val="95"/>
        </w:numPr>
        <w:rPr>
          <w:rFonts w:ascii="Arial" w:cs="Arial" w:eastAsia="Arial" w:hAnsi="Arial"/>
          <w:sz w:val="13"/>
          <w:szCs w:val="13"/>
          <w:color w:val="auto"/>
        </w:rPr>
      </w:pPr>
      <w:r>
        <w:rPr>
          <w:rFonts w:ascii="Arial" w:cs="Arial" w:eastAsia="Arial" w:hAnsi="Arial"/>
          <w:sz w:val="13"/>
          <w:szCs w:val="13"/>
          <w:i w:val="1"/>
          <w:iCs w:val="1"/>
          <w:color w:val="auto"/>
        </w:rPr>
        <w:t xml:space="preserve">Screening criteria: </w:t>
      </w:r>
      <w:r>
        <w:rPr>
          <w:rFonts w:ascii="Arial" w:cs="Arial" w:eastAsia="Arial" w:hAnsi="Arial"/>
          <w:sz w:val="13"/>
          <w:szCs w:val="13"/>
          <w:color w:val="auto"/>
        </w:rPr>
        <w:t>We have broad criteria for the selection of novel capsids, including improved tropism for the heart compared to other</w:t>
      </w:r>
      <w:r>
        <w:rPr>
          <w:rFonts w:ascii="Arial" w:cs="Arial" w:eastAsia="Arial" w:hAnsi="Arial"/>
          <w:sz w:val="13"/>
          <w:szCs w:val="13"/>
          <w:i w:val="1"/>
          <w:iCs w:val="1"/>
          <w:color w:val="auto"/>
        </w:rPr>
        <w:t xml:space="preserve"> </w:t>
      </w:r>
      <w:r>
        <w:rPr>
          <w:rFonts w:ascii="Arial" w:cs="Arial" w:eastAsia="Arial" w:hAnsi="Arial"/>
          <w:sz w:val="13"/>
          <w:szCs w:val="13"/>
          <w:color w:val="auto"/>
        </w:rPr>
        <w:t>organs, with a particular interest in de-targeting the liver; improved transduction of specific heart cell types; higher ability to evade neutralizing antibodies; and comparable manufacturing in both HEK293- and Sf9/rBV-based manufacturing systems. We seek capsids that can outperform the relevant parental capsids, which may vary depending on the intended use and on some or all of these criteria.</w:t>
      </w:r>
    </w:p>
    <w:p>
      <w:pPr>
        <w:spacing w:after="0" w:line="29" w:lineRule="exact"/>
        <w:rPr>
          <w:rFonts w:ascii="Arial" w:cs="Arial" w:eastAsia="Arial" w:hAnsi="Arial"/>
          <w:sz w:val="13"/>
          <w:szCs w:val="13"/>
          <w:color w:val="auto"/>
        </w:rPr>
      </w:pPr>
    </w:p>
    <w:p>
      <w:pPr>
        <w:ind w:left="1680" w:right="40"/>
        <w:spacing w:after="0" w:line="275" w:lineRule="auto"/>
        <w:rPr>
          <w:rFonts w:ascii="Arial" w:cs="Arial" w:eastAsia="Arial" w:hAnsi="Arial"/>
          <w:sz w:val="13"/>
          <w:szCs w:val="13"/>
          <w:color w:val="auto"/>
        </w:rPr>
      </w:pPr>
      <w:r>
        <w:rPr>
          <w:rFonts w:ascii="Arial" w:cs="Arial" w:eastAsia="Arial" w:hAnsi="Arial"/>
          <w:sz w:val="15"/>
          <w:szCs w:val="15"/>
          <w:color w:val="auto"/>
        </w:rPr>
        <w:t>Through these efforts, we have discovered proprietary capsids with superior performance over parental variants in multiple species, including NHPs. These capsids have improved tropism for the heart compared to other organs and even for specific cells within the heart; improved transduction and expression within the heart cells; and lower susceptibility to neutralizing antibodies. We have also developed insights about the performance of novel capsids across different species including mice and NHPs.</w:t>
      </w:r>
    </w:p>
    <w:p>
      <w:pPr>
        <w:spacing w:after="0" w:line="58" w:lineRule="exact"/>
        <w:rPr>
          <w:rFonts w:ascii="Arial" w:cs="Arial" w:eastAsia="Arial" w:hAnsi="Arial"/>
          <w:sz w:val="13"/>
          <w:szCs w:val="13"/>
          <w:color w:val="auto"/>
        </w:rPr>
      </w:pPr>
    </w:p>
    <w:p>
      <w:pPr>
        <w:ind w:left="1680" w:right="60"/>
        <w:spacing w:after="0" w:line="275" w:lineRule="auto"/>
        <w:rPr>
          <w:rFonts w:ascii="Arial" w:cs="Arial" w:eastAsia="Arial" w:hAnsi="Arial"/>
          <w:sz w:val="13"/>
          <w:szCs w:val="13"/>
          <w:color w:val="auto"/>
        </w:rPr>
      </w:pPr>
      <w:r>
        <w:rPr>
          <w:rFonts w:ascii="Arial" w:cs="Arial" w:eastAsia="Arial" w:hAnsi="Arial"/>
          <w:sz w:val="15"/>
          <w:szCs w:val="15"/>
          <w:color w:val="auto"/>
        </w:rPr>
        <w:t>The data below are from the results of a head-to-head comparison in NHPs of novel capsids that were first identified via screening efforts in iPSC-CMs and a mouse model. Several capsids identified have superior transduction in the heart and lower transduction of the liver compared to AAV9, leading to an overall better heart-to-liver transduction ratio as validated in an NHP model. As shown below, our TNC-CM3 capsid has a five-fold better heart-to-liver transduction ratio compared to AAV9.</w:t>
      </w:r>
    </w:p>
    <w:p>
      <w:pPr>
        <w:spacing w:after="0" w:line="243"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Results of Head-to-Head Comparison of Novel AAV Capsids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1987550</wp:posOffset>
            </wp:positionH>
            <wp:positionV relativeFrom="paragraph">
              <wp:posOffset>147955</wp:posOffset>
            </wp:positionV>
            <wp:extent cx="3166745" cy="1736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166745" cy="173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80" w:right="40"/>
        <w:spacing w:after="0" w:line="266" w:lineRule="auto"/>
        <w:rPr>
          <w:sz w:val="20"/>
          <w:szCs w:val="20"/>
          <w:color w:val="auto"/>
        </w:rPr>
      </w:pPr>
      <w:r>
        <w:rPr>
          <w:rFonts w:ascii="Arial" w:cs="Arial" w:eastAsia="Arial" w:hAnsi="Arial"/>
          <w:sz w:val="16"/>
          <w:szCs w:val="16"/>
          <w:color w:val="auto"/>
        </w:rPr>
        <w:t>Additionally, we have shown that several capsids we identified through this effort, such as TNC-CM5, have overall better ability to evade human neutralizing antibodies compared to AAV9.</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0380"/>
          </w:cols>
          <w:pgMar w:left="320" w:top="418" w:right="119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
        <w:spacing w:after="0" w:line="275" w:lineRule="auto"/>
        <w:rPr>
          <w:sz w:val="20"/>
          <w:szCs w:val="20"/>
          <w:color w:val="auto"/>
        </w:rPr>
      </w:pPr>
      <w:r>
        <w:rPr>
          <w:rFonts w:ascii="Arial" w:cs="Arial" w:eastAsia="Arial" w:hAnsi="Arial"/>
          <w:sz w:val="15"/>
          <w:szCs w:val="15"/>
          <w:color w:val="auto"/>
        </w:rPr>
        <w:t>The data below show preliminary results from efforts to identify novel AAV capsids by direct screening in NHPs. These results show it is possible to identify variants that have higher specificity for CMs of the right ventricle (RV) compared to CMs of the LV. These capsids that are identified to have higher tropism for the RV may enable better targeting of heart tissue for conditions predominantly affecting a specific chamber of the heart such as arrhythmogenic right ventricular cardiomyopathy (ARVC):</w:t>
      </w:r>
    </w:p>
    <w:p>
      <w:pPr>
        <w:spacing w:after="0" w:line="243" w:lineRule="exact"/>
        <w:rPr>
          <w:sz w:val="20"/>
          <w:szCs w:val="20"/>
          <w:color w:val="auto"/>
        </w:rPr>
      </w:pPr>
    </w:p>
    <w:p>
      <w:pPr>
        <w:ind w:left="3440"/>
        <w:spacing w:after="0"/>
        <w:rPr>
          <w:sz w:val="20"/>
          <w:szCs w:val="20"/>
          <w:color w:val="auto"/>
        </w:rPr>
      </w:pPr>
      <w:r>
        <w:rPr>
          <w:rFonts w:ascii="Arial" w:cs="Arial" w:eastAsia="Arial" w:hAnsi="Arial"/>
          <w:sz w:val="16"/>
          <w:szCs w:val="16"/>
          <w:b w:val="1"/>
          <w:bCs w:val="1"/>
          <w:color w:val="auto"/>
        </w:rPr>
        <w:t>Early Results of Direct Screening of Novel AAV Capsids in NHPs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148590</wp:posOffset>
            </wp:positionV>
            <wp:extent cx="2672715" cy="18713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72715" cy="1871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3. Promoters and Regulatory Elements</w:t>
      </w:r>
    </w:p>
    <w:p>
      <w:pPr>
        <w:spacing w:after="0" w:line="99"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Enabled by our in-house molecular biology capabilities, we have created novel heart-specific promoters and regulatory elements to support our AAV-based programs and regulatory elements control gene expression within the cells. We are designing promoters and regulatory elements to help ensure a more precise and conditional expression of therapeutic payloads in different cell types in the heart. We believe our innovations in promoters and regulatory elements may further support the successful clinical development of our product candidates.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our innovations in this area include:</w:t>
      </w:r>
    </w:p>
    <w:p>
      <w:pPr>
        <w:spacing w:after="0" w:line="111" w:lineRule="exact"/>
        <w:rPr>
          <w:sz w:val="20"/>
          <w:szCs w:val="20"/>
          <w:color w:val="auto"/>
        </w:rPr>
      </w:pPr>
    </w:p>
    <w:p>
      <w:pPr>
        <w:ind w:left="1660" w:right="40" w:hanging="469"/>
        <w:spacing w:after="0" w:line="272" w:lineRule="auto"/>
        <w:tabs>
          <w:tab w:leader="none" w:pos="1660" w:val="left"/>
        </w:tabs>
        <w:numPr>
          <w:ilvl w:val="0"/>
          <w:numId w:val="96"/>
        </w:numPr>
        <w:rPr>
          <w:rFonts w:ascii="Arial" w:cs="Arial" w:eastAsia="Arial" w:hAnsi="Arial"/>
          <w:sz w:val="15"/>
          <w:szCs w:val="15"/>
          <w:color w:val="auto"/>
        </w:rPr>
      </w:pPr>
      <w:r>
        <w:rPr>
          <w:rFonts w:ascii="Arial" w:cs="Arial" w:eastAsia="Arial" w:hAnsi="Arial"/>
          <w:sz w:val="15"/>
          <w:szCs w:val="15"/>
          <w:i w:val="1"/>
          <w:iCs w:val="1"/>
          <w:color w:val="auto"/>
        </w:rPr>
        <w:t xml:space="preserve">Heart specificity: </w:t>
      </w:r>
      <w:r>
        <w:rPr>
          <w:rFonts w:ascii="Arial" w:cs="Arial" w:eastAsia="Arial" w:hAnsi="Arial"/>
          <w:sz w:val="15"/>
          <w:szCs w:val="15"/>
          <w:color w:val="auto"/>
        </w:rPr>
        <w:t>We have developed cardiac-specific promoters that enable more selective and robust expression in the heart as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 other organs. During optimization of our MYBPC3 gene therapies, we discovered a CM-specific promoter, TNP-CM1, with improved performance attributes as compared to the standard cTnT promoter.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analyses confirmed that TNP-CM1 significantly increased expression of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compared to what can be achieved with the standard cTNT promoter. In addition, we observed 1000-fold selectivity of expression in cardiac tissue relative to other tissues.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0440"/>
          </w:cols>
          <w:pgMar w:left="320" w:top="418" w:right="113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360"/>
        <w:spacing w:after="0" w:line="266" w:lineRule="auto"/>
        <w:rPr>
          <w:sz w:val="20"/>
          <w:szCs w:val="20"/>
          <w:color w:val="auto"/>
        </w:rPr>
      </w:pPr>
      <w:r>
        <w:rPr>
          <w:rFonts w:ascii="Arial" w:cs="Arial" w:eastAsia="Arial" w:hAnsi="Arial"/>
          <w:sz w:val="16"/>
          <w:szCs w:val="16"/>
          <w:color w:val="auto"/>
        </w:rPr>
        <w:t>In the figure below, we show data that demonstrate how our TNP-CM1 promoter outperformed a standard cTnT promoter in terms of robust gene expression in the heart of mice without loss of heart specificity:</w:t>
      </w:r>
    </w:p>
    <w:p>
      <w:pPr>
        <w:spacing w:after="0" w:line="248" w:lineRule="exact"/>
        <w:rPr>
          <w:sz w:val="20"/>
          <w:szCs w:val="20"/>
          <w:color w:val="auto"/>
        </w:rPr>
      </w:pPr>
    </w:p>
    <w:p>
      <w:pPr>
        <w:ind w:left="2140"/>
        <w:spacing w:after="0"/>
        <w:rPr>
          <w:sz w:val="20"/>
          <w:szCs w:val="20"/>
          <w:color w:val="auto"/>
        </w:rPr>
      </w:pPr>
      <w:r>
        <w:rPr>
          <w:rFonts w:ascii="Arial" w:cs="Arial" w:eastAsia="Arial" w:hAnsi="Arial"/>
          <w:sz w:val="16"/>
          <w:szCs w:val="16"/>
          <w:b w:val="1"/>
          <w:bCs w:val="1"/>
          <w:i w:val="1"/>
          <w:iCs w:val="1"/>
          <w:color w:val="auto"/>
        </w:rPr>
        <w:t xml:space="preserve">MYBPC3 </w:t>
      </w:r>
      <w:r>
        <w:rPr>
          <w:rFonts w:ascii="Arial" w:cs="Arial" w:eastAsia="Arial" w:hAnsi="Arial"/>
          <w:sz w:val="16"/>
          <w:szCs w:val="16"/>
          <w:b w:val="1"/>
          <w:bCs w:val="1"/>
          <w:color w:val="auto"/>
        </w:rPr>
        <w:t>mRNA Expression in Wild-Type Mice with TNP-CM1 Compared to Standard cTnT Promoter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147955</wp:posOffset>
            </wp:positionV>
            <wp:extent cx="2672715" cy="16617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7271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60" w:hanging="469"/>
        <w:spacing w:after="0" w:line="250" w:lineRule="auto"/>
        <w:tabs>
          <w:tab w:leader="none" w:pos="166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Cell specificity: </w:t>
      </w:r>
      <w:r>
        <w:rPr>
          <w:rFonts w:ascii="Arial" w:cs="Arial" w:eastAsia="Arial" w:hAnsi="Arial"/>
          <w:sz w:val="16"/>
          <w:szCs w:val="16"/>
          <w:color w:val="auto"/>
        </w:rPr>
        <w:t>We have also developed a proprietary combination of regulatory elements that enable more optimal and selective</w:t>
      </w:r>
      <w:r>
        <w:rPr>
          <w:rFonts w:ascii="Arial" w:cs="Arial" w:eastAsia="Arial" w:hAnsi="Arial"/>
          <w:sz w:val="16"/>
          <w:szCs w:val="16"/>
          <w:i w:val="1"/>
          <w:iCs w:val="1"/>
          <w:color w:val="auto"/>
        </w:rPr>
        <w:t xml:space="preserve"> </w:t>
      </w:r>
      <w:r>
        <w:rPr>
          <w:rFonts w:ascii="Arial" w:cs="Arial" w:eastAsia="Arial" w:hAnsi="Arial"/>
          <w:sz w:val="16"/>
          <w:szCs w:val="16"/>
          <w:color w:val="auto"/>
        </w:rPr>
        <w:t>expression in one cell type in the heart compared to others. For our Reprogramming program for cellular regeneration, we discovered ways to optimize the robust co-expression of two protein-coding genes and one miRNA gene delivered within a single AAV in CFs, which we believe supports higher efficacy in preclinical models. We also discovered how to use specific micro-RNA binding sites to silence the translation of those same genes in both existing CMs as well as newly created CMs, which may provide a safety benefit and reduce the chance for off-target effects.</w:t>
      </w: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0420"/>
          </w:cols>
          <w:pgMar w:left="320" w:top="418" w:right="115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
        <w:spacing w:after="0" w:line="251" w:lineRule="auto"/>
        <w:rPr>
          <w:sz w:val="20"/>
          <w:szCs w:val="20"/>
          <w:color w:val="auto"/>
        </w:rPr>
      </w:pPr>
      <w:r>
        <w:rPr>
          <w:rFonts w:ascii="Arial" w:cs="Arial" w:eastAsia="Arial" w:hAnsi="Arial"/>
          <w:sz w:val="16"/>
          <w:szCs w:val="16"/>
          <w:color w:val="auto"/>
        </w:rPr>
        <w:t>In the figure below, we illustrate how the use of a novel regulatory element, TNR-CF1, helped prevent the expression of a fluorescent protein (GFP) in the CMs of a mouse model and only allowed expression in the CFs. We have used this regulatory element in our Reprogramming program to focus the expression of our proprietary factors in resident CFs for the creation of new CMs, but to prevent the expression of those factors both in resident CMs and in newly created CMs, which we believe will improve the safety profile of our future product candidates:</w:t>
      </w:r>
    </w:p>
    <w:p>
      <w:pPr>
        <w:spacing w:after="0" w:line="260" w:lineRule="exact"/>
        <w:rPr>
          <w:sz w:val="20"/>
          <w:szCs w:val="20"/>
          <w:color w:val="auto"/>
        </w:rPr>
      </w:pPr>
    </w:p>
    <w:p>
      <w:pPr>
        <w:ind w:left="3060"/>
        <w:spacing w:after="0"/>
        <w:rPr>
          <w:sz w:val="20"/>
          <w:szCs w:val="20"/>
          <w:color w:val="auto"/>
        </w:rPr>
      </w:pPr>
      <w:r>
        <w:rPr>
          <w:rFonts w:ascii="Arial" w:cs="Arial" w:eastAsia="Arial" w:hAnsi="Arial"/>
          <w:sz w:val="16"/>
          <w:szCs w:val="16"/>
          <w:b w:val="1"/>
          <w:bCs w:val="1"/>
          <w:color w:val="auto"/>
        </w:rPr>
        <w:t>Illustration of Precise Expression of Genes in CFs and CMs Using TNR-CF1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147955</wp:posOffset>
            </wp:positionV>
            <wp:extent cx="4072890" cy="25603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7289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60" w:hanging="469"/>
        <w:spacing w:after="0" w:line="253" w:lineRule="auto"/>
        <w:tabs>
          <w:tab w:leader="none" w:pos="166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Tunable gene expression: </w:t>
      </w:r>
      <w:r>
        <w:rPr>
          <w:rFonts w:ascii="Arial" w:cs="Arial" w:eastAsia="Arial" w:hAnsi="Arial"/>
          <w:sz w:val="16"/>
          <w:szCs w:val="16"/>
          <w:color w:val="auto"/>
        </w:rPr>
        <w:t>We have also demonstrated the ability to develop an entire spectrum of novel promoters to titer the expression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genes within CMs. Through data (not shown) generated in our DWORF program, more than ten promoters were designed and tested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in hiPSC-CMs, 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in murine models to optimize the expression of the</w:t>
      </w:r>
      <w:r>
        <w:rPr>
          <w:rFonts w:ascii="Arial" w:cs="Arial" w:eastAsia="Arial" w:hAnsi="Arial"/>
          <w:sz w:val="16"/>
          <w:szCs w:val="16"/>
          <w:i w:val="1"/>
          <w:iCs w:val="1"/>
          <w:color w:val="auto"/>
        </w:rPr>
        <w:t xml:space="preserve"> DWORF </w:t>
      </w:r>
      <w:r>
        <w:rPr>
          <w:rFonts w:ascii="Arial" w:cs="Arial" w:eastAsia="Arial" w:hAnsi="Arial"/>
          <w:sz w:val="16"/>
          <w:szCs w:val="16"/>
          <w:color w:val="auto"/>
        </w:rPr>
        <w:t>gene to be higher than what can be achieved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 standard cTnT promoter.</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0400"/>
          </w:cols>
          <w:pgMar w:left="320" w:top="418" w:right="117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56" w:lineRule="auto"/>
        <w:rPr>
          <w:sz w:val="20"/>
          <w:szCs w:val="20"/>
          <w:color w:val="auto"/>
        </w:rPr>
      </w:pPr>
      <w:r>
        <w:rPr>
          <w:rFonts w:ascii="Arial" w:cs="Arial" w:eastAsia="Arial" w:hAnsi="Arial"/>
          <w:sz w:val="16"/>
          <w:szCs w:val="16"/>
          <w:color w:val="auto"/>
        </w:rPr>
        <w:t xml:space="preserve">In the figure below, we show data for six of our promoters and cassette engineering efforts that illustrate how we have been able to create a suite of cardiac-specific constructs that are able to mediate significantly higher expression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than can be achieved with a standard cTnT promoter:</w:t>
      </w:r>
    </w:p>
    <w:p>
      <w:pPr>
        <w:spacing w:after="0" w:line="256" w:lineRule="exact"/>
        <w:rPr>
          <w:sz w:val="20"/>
          <w:szCs w:val="20"/>
          <w:color w:val="auto"/>
        </w:rPr>
      </w:pPr>
    </w:p>
    <w:p>
      <w:pPr>
        <w:jc w:val="center"/>
        <w:ind w:left="1160" w:right="340"/>
        <w:spacing w:after="0" w:line="272" w:lineRule="auto"/>
        <w:rPr>
          <w:sz w:val="20"/>
          <w:szCs w:val="20"/>
          <w:color w:val="auto"/>
        </w:rPr>
      </w:pPr>
      <w:r>
        <w:rPr>
          <w:rFonts w:ascii="Arial" w:cs="Arial" w:eastAsia="Arial" w:hAnsi="Arial"/>
          <w:sz w:val="16"/>
          <w:szCs w:val="16"/>
          <w:b w:val="1"/>
          <w:bCs w:val="1"/>
          <w:color w:val="auto"/>
        </w:rPr>
        <w:t>DWORF Expression with Novel Cardiomyocyte-Specific Promoters and Constructs Compared with Standard cTnT Promoter and to Transgenic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2265045</wp:posOffset>
            </wp:positionH>
            <wp:positionV relativeFrom="paragraph">
              <wp:posOffset>120015</wp:posOffset>
            </wp:positionV>
            <wp:extent cx="2620010" cy="264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20010" cy="264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4. Drug Delivery</w:t>
      </w:r>
    </w:p>
    <w:p>
      <w:pPr>
        <w:spacing w:after="0" w:line="99"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Delivery of drugs to the heart is widely considered to be an important challenge to successful translation of cardiac gene therapy and regenerative medicines into approved products. The diversity of programs in our current pipeline necessitates the use of different delivery methods. We are actively exploring different ROAs as well as different infusion- or injection-based catheters to support more targeted delivery and more efficient uptake of therapies based on viral vectors. We believe our discoveries in drug delivery can widen the therapeutic index of our product candidates by reducing the dose required for a therapeutic benefit.</w:t>
      </w:r>
    </w:p>
    <w:p>
      <w:pPr>
        <w:spacing w:after="0" w:line="170"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Several distinct methods of drug delivery for the heart have been explored by different groups for gene- or cell-based therapies, including infusion-based approaches, such as peripheral IV infusion, intracoronary infusion, and retrograde coronary sinus infusion, and injection-based, such as transendocardial injection and epicardial injection. These delivery methods vary significantly in terms of degree of invasiveness, distribution of therapy around the heart, degree of therapy uptake into the heart, technical difficulty of administration, and clinical relevance and experience. For some approaches, additional methods to improve therapeutic delivery have also been tested to improve perfusion of AAV into the heart. Through these efforts, several groups have demonstrated how different delivery methods can meaningfully affect the relative uptake and biodistribution of therapies in the heart compared to peripheral organs.</w:t>
      </w:r>
    </w:p>
    <w:p>
      <w:pPr>
        <w:spacing w:after="0" w:line="11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0420"/>
          </w:cols>
          <w:pgMar w:left="320" w:top="418" w:right="115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various delivery methods for the heart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145415</wp:posOffset>
            </wp:positionV>
            <wp:extent cx="4529455" cy="1055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29455" cy="1055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For the initial product candidates emerging from our Gene Therapy platform, including those from our MYBPC3 program, we generally need broad distribution across the heart tissue that is more suited to infusion-based approaches. By contrast, for the initial product candidates emerging from our Cellular Regeneration platform, including those from our Reprogramming program, we need more precise delivery into the heart tissue directly around a scar area of the LV in a way that is more suited to injection-based approaches.</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Illustrative examples of our innovations and capabilities in drug delivery include:</w:t>
      </w:r>
    </w:p>
    <w:p>
      <w:pPr>
        <w:spacing w:after="0" w:line="111" w:lineRule="exact"/>
        <w:rPr>
          <w:sz w:val="20"/>
          <w:szCs w:val="20"/>
          <w:color w:val="auto"/>
        </w:rPr>
      </w:pPr>
    </w:p>
    <w:p>
      <w:pPr>
        <w:ind w:left="1660" w:hanging="469"/>
        <w:spacing w:after="0" w:line="268" w:lineRule="auto"/>
        <w:tabs>
          <w:tab w:leader="none" w:pos="1660" w:val="left"/>
        </w:tabs>
        <w:numPr>
          <w:ilvl w:val="0"/>
          <w:numId w:val="99"/>
        </w:numPr>
        <w:rPr>
          <w:rFonts w:ascii="Arial" w:cs="Arial" w:eastAsia="Arial" w:hAnsi="Arial"/>
          <w:sz w:val="15"/>
          <w:szCs w:val="15"/>
          <w:color w:val="auto"/>
        </w:rPr>
      </w:pPr>
      <w:r>
        <w:rPr>
          <w:rFonts w:ascii="Arial" w:cs="Arial" w:eastAsia="Arial" w:hAnsi="Arial"/>
          <w:sz w:val="15"/>
          <w:szCs w:val="15"/>
          <w:i w:val="1"/>
          <w:iCs w:val="1"/>
          <w:color w:val="auto"/>
        </w:rPr>
        <w:t>Catheters</w:t>
      </w:r>
      <w:r>
        <w:rPr>
          <w:rFonts w:ascii="Arial" w:cs="Arial" w:eastAsia="Arial" w:hAnsi="Arial"/>
          <w:sz w:val="15"/>
          <w:szCs w:val="15"/>
          <w:color w:val="auto"/>
        </w:rPr>
        <w:t>: To support our Reprogramming program for cardiac regeneration, we are developing a novel transendocardial injection catheter</w:t>
      </w:r>
      <w:r>
        <w:rPr>
          <w:rFonts w:ascii="Arial" w:cs="Arial" w:eastAsia="Arial" w:hAnsi="Arial"/>
          <w:sz w:val="15"/>
          <w:szCs w:val="15"/>
          <w:i w:val="1"/>
          <w:iCs w:val="1"/>
          <w:color w:val="auto"/>
        </w:rPr>
        <w:t xml:space="preserve"> </w:t>
      </w:r>
      <w:r>
        <w:rPr>
          <w:rFonts w:ascii="Arial" w:cs="Arial" w:eastAsia="Arial" w:hAnsi="Arial"/>
          <w:sz w:val="15"/>
          <w:szCs w:val="15"/>
          <w:color w:val="auto"/>
        </w:rPr>
        <w:t>for more precise delivery of therapeutic payloads around the scar area that is formed after heart attack, but in a way that is minimally invasive and would not require heart surgery. The prototype of our catheter was designed with the help of interventional cardiologists and is based on similar catheters that have been successfully used in clinical trials. The catheter is designed to be steered into the heart via the femoral artery in the groin area. It has a deflectable tip that can be curved to better access the different parts of the heart. This initial prototype was tested in a large animal model and was able to direct injections to all areas of the LV. We are adding mapping capabilities to the design to allow for more precise delivery during the treatment procedure.</w:t>
      </w:r>
    </w:p>
    <w:p>
      <w:pPr>
        <w:spacing w:after="0" w:line="66" w:lineRule="exact"/>
        <w:rPr>
          <w:rFonts w:ascii="Arial" w:cs="Arial" w:eastAsia="Arial" w:hAnsi="Arial"/>
          <w:sz w:val="15"/>
          <w:szCs w:val="15"/>
          <w:color w:val="auto"/>
        </w:rPr>
      </w:pPr>
    </w:p>
    <w:p>
      <w:pPr>
        <w:ind w:left="1680" w:right="100"/>
        <w:spacing w:after="0" w:line="383" w:lineRule="auto"/>
        <w:rPr>
          <w:rFonts w:ascii="Arial" w:cs="Arial" w:eastAsia="Arial" w:hAnsi="Arial"/>
          <w:sz w:val="15"/>
          <w:szCs w:val="15"/>
          <w:color w:val="auto"/>
        </w:rPr>
      </w:pPr>
      <w:r>
        <w:rPr>
          <w:rFonts w:ascii="Arial" w:cs="Arial" w:eastAsia="Arial" w:hAnsi="Arial"/>
          <w:sz w:val="13"/>
          <w:szCs w:val="13"/>
          <w:color w:val="auto"/>
        </w:rPr>
        <w:t>The figures below include a picture of an initial prototype of our novel injection-based catheter for our Reprogramming program for cardiac regeneration, plus an illustration of how a deflectable tip plus embedded mapping electrodes can allow for more precise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79375</wp:posOffset>
            </wp:positionV>
            <wp:extent cx="1759585" cy="1804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59585" cy="180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660" w:right="220" w:hanging="469"/>
        <w:spacing w:after="0" w:line="343" w:lineRule="auto"/>
        <w:tabs>
          <w:tab w:leader="none" w:pos="1660" w:val="left"/>
        </w:tabs>
        <w:numPr>
          <w:ilvl w:val="0"/>
          <w:numId w:val="100"/>
        </w:numPr>
        <w:rPr>
          <w:rFonts w:ascii="Arial" w:cs="Arial" w:eastAsia="Arial" w:hAnsi="Arial"/>
          <w:sz w:val="13"/>
          <w:szCs w:val="13"/>
          <w:color w:val="auto"/>
        </w:rPr>
      </w:pPr>
      <w:r>
        <w:rPr>
          <w:rFonts w:ascii="Arial" w:cs="Arial" w:eastAsia="Arial" w:hAnsi="Arial"/>
          <w:sz w:val="13"/>
          <w:szCs w:val="13"/>
          <w:i w:val="1"/>
          <w:iCs w:val="1"/>
          <w:color w:val="auto"/>
        </w:rPr>
        <w:t>ROAs</w:t>
      </w:r>
      <w:r>
        <w:rPr>
          <w:rFonts w:ascii="Arial" w:cs="Arial" w:eastAsia="Arial" w:hAnsi="Arial"/>
          <w:sz w:val="13"/>
          <w:szCs w:val="13"/>
          <w:color w:val="auto"/>
        </w:rPr>
        <w:t>: We prioritize head-to-head comparison of different ROAs in large animal models to confirm the optimal method for delivery for</w:t>
      </w:r>
      <w:r>
        <w:rPr>
          <w:rFonts w:ascii="Arial" w:cs="Arial" w:eastAsia="Arial" w:hAnsi="Arial"/>
          <w:sz w:val="13"/>
          <w:szCs w:val="13"/>
          <w:i w:val="1"/>
          <w:iCs w:val="1"/>
          <w:color w:val="auto"/>
        </w:rPr>
        <w:t xml:space="preserve"> </w:t>
      </w:r>
      <w:r>
        <w:rPr>
          <w:rFonts w:ascii="Arial" w:cs="Arial" w:eastAsia="Arial" w:hAnsi="Arial"/>
          <w:sz w:val="13"/>
          <w:szCs w:val="13"/>
          <w:color w:val="auto"/>
        </w:rPr>
        <w:t>each product candidate. For our Reprogramming program, we have conducted experiments in pig models to demonstrate that a less invasive catheter-based transendocardial injection to the LV inside wall can achieve a similar degree of drug uptake and</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400"/>
          </w:cols>
          <w:pgMar w:left="320" w:top="418" w:right="117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56" w:lineRule="auto"/>
        <w:rPr>
          <w:sz w:val="20"/>
          <w:szCs w:val="20"/>
          <w:color w:val="auto"/>
        </w:rPr>
      </w:pPr>
      <w:r>
        <w:rPr>
          <w:rFonts w:ascii="Arial" w:cs="Arial" w:eastAsia="Arial" w:hAnsi="Arial"/>
          <w:sz w:val="16"/>
          <w:szCs w:val="16"/>
          <w:color w:val="auto"/>
        </w:rPr>
        <w:t>biodistribution as a more invasive direct epicardial injection to the LV outside wall requiring open-heart surgery. For our MYBPC3 program, we have conducted experiments in NHPs to compare the degree of drug uptake and biodistribution for peripheral IV infusion and infusions delivered directly into the heart.</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5. Manufacturing</w:t>
      </w:r>
    </w:p>
    <w:p>
      <w:pPr>
        <w:spacing w:after="0" w:line="99" w:lineRule="exact"/>
        <w:rPr>
          <w:sz w:val="20"/>
          <w:szCs w:val="20"/>
          <w:color w:val="auto"/>
        </w:rPr>
      </w:pPr>
    </w:p>
    <w:p>
      <w:pPr>
        <w:ind w:left="820" w:right="20" w:firstLine="385"/>
        <w:spacing w:after="0" w:line="323" w:lineRule="auto"/>
        <w:rPr>
          <w:sz w:val="20"/>
          <w:szCs w:val="20"/>
          <w:color w:val="auto"/>
        </w:rPr>
      </w:pPr>
      <w:r>
        <w:rPr>
          <w:rFonts w:ascii="Arial" w:cs="Arial" w:eastAsia="Arial" w:hAnsi="Arial"/>
          <w:sz w:val="13"/>
          <w:szCs w:val="13"/>
          <w:color w:val="auto"/>
        </w:rPr>
        <w:t>We are internalizing AAV manufacturing capabilities to support our Gene Therapy and Cellular Regeneration platforms. Our overall strategy is to have total ownership of our process development, analytical development, and quality control so that we have deep insight into the attributes of our drug substance (DS) and drug product (DP). Internalized manufacturing will enable continuous process improvement and innovation that can support manufacturing requirements for clinical development and commercialization not only for rare populations but also for more prevalent indications, and allow us to be a partner of choice in strategic drug development partnerships and with early-stage academic programs.</w:t>
      </w:r>
    </w:p>
    <w:p>
      <w:pPr>
        <w:spacing w:after="0" w:line="126" w:lineRule="exact"/>
        <w:rPr>
          <w:sz w:val="20"/>
          <w:szCs w:val="20"/>
          <w:color w:val="auto"/>
        </w:rPr>
      </w:pPr>
    </w:p>
    <w:p>
      <w:pPr>
        <w:ind w:left="820" w:right="280" w:firstLine="385"/>
        <w:spacing w:after="0" w:line="256" w:lineRule="auto"/>
        <w:rPr>
          <w:sz w:val="20"/>
          <w:szCs w:val="20"/>
          <w:color w:val="auto"/>
        </w:rPr>
      </w:pPr>
      <w:r>
        <w:rPr>
          <w:rFonts w:ascii="Arial" w:cs="Arial" w:eastAsia="Arial" w:hAnsi="Arial"/>
          <w:sz w:val="16"/>
          <w:szCs w:val="16"/>
          <w:color w:val="auto"/>
        </w:rPr>
        <w:t>Overall, the internalization of these efforts provides us with know-how that yields several advantages that allow us to be in a better position to swiftly transfer technology know-how to CDMOs in order to support our future capacity expansion needs or to achieve dual sourcing for product candidates for risk mitigation purposes.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the figure below, we show the breadth and depth of our current and emerging AAV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145415</wp:posOffset>
            </wp:positionV>
            <wp:extent cx="4544060" cy="1804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44060" cy="180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60" w:hanging="469"/>
        <w:spacing w:after="0" w:line="275"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i w:val="1"/>
          <w:iCs w:val="1"/>
          <w:color w:val="auto"/>
        </w:rPr>
        <w:t xml:space="preserve">Vector core: </w:t>
      </w:r>
      <w:r>
        <w:rPr>
          <w:rFonts w:ascii="Arial" w:cs="Arial" w:eastAsia="Arial" w:hAnsi="Arial"/>
          <w:sz w:val="15"/>
          <w:szCs w:val="15"/>
          <w:color w:val="auto"/>
        </w:rPr>
        <w:t>We have established vector production to support early research involving both parental and novel AAV capsids at the 50L</w:t>
      </w:r>
      <w:r>
        <w:rPr>
          <w:rFonts w:ascii="Arial" w:cs="Arial" w:eastAsia="Arial" w:hAnsi="Arial"/>
          <w:sz w:val="15"/>
          <w:szCs w:val="15"/>
          <w:i w:val="1"/>
          <w:iCs w:val="1"/>
          <w:color w:val="auto"/>
        </w:rPr>
        <w:t xml:space="preserve"> </w:t>
      </w:r>
      <w:r>
        <w:rPr>
          <w:rFonts w:ascii="Arial" w:cs="Arial" w:eastAsia="Arial" w:hAnsi="Arial"/>
          <w:sz w:val="15"/>
          <w:szCs w:val="15"/>
          <w:color w:val="auto"/>
        </w:rPr>
        <w:t>scale. We have hired key PD, AD and QC personnel to internalize those capabilities. We have also established the necessary PD expertise to support comparable product efficacy in both HEK293-based and Sf9/rBV-based manufacturing systems for both existing AAV serotypes as well as for novel capsids discovered from our capsid engineering efforts.</w:t>
      </w:r>
    </w:p>
    <w:p>
      <w:pPr>
        <w:spacing w:after="0" w:line="70" w:lineRule="exact"/>
        <w:rPr>
          <w:rFonts w:ascii="Arial" w:cs="Arial" w:eastAsia="Arial" w:hAnsi="Arial"/>
          <w:sz w:val="15"/>
          <w:szCs w:val="15"/>
          <w:color w:val="auto"/>
        </w:rPr>
      </w:pPr>
    </w:p>
    <w:p>
      <w:pPr>
        <w:ind w:left="1660" w:right="60" w:hanging="469"/>
        <w:spacing w:after="0" w:line="281" w:lineRule="auto"/>
        <w:tabs>
          <w:tab w:leader="none" w:pos="1660" w:val="left"/>
        </w:tabs>
        <w:numPr>
          <w:ilvl w:val="0"/>
          <w:numId w:val="101"/>
        </w:numPr>
        <w:rPr>
          <w:rFonts w:ascii="Arial" w:cs="Arial" w:eastAsia="Arial" w:hAnsi="Arial"/>
          <w:sz w:val="15"/>
          <w:szCs w:val="15"/>
          <w:color w:val="auto"/>
        </w:rPr>
      </w:pPr>
      <w:r>
        <w:rPr>
          <w:rFonts w:ascii="Arial" w:cs="Arial" w:eastAsia="Arial" w:hAnsi="Arial"/>
          <w:sz w:val="15"/>
          <w:szCs w:val="15"/>
          <w:i w:val="1"/>
          <w:iCs w:val="1"/>
          <w:color w:val="auto"/>
        </w:rPr>
        <w:t xml:space="preserve">Pilot plant operation: </w:t>
      </w:r>
      <w:r>
        <w:rPr>
          <w:rFonts w:ascii="Arial" w:cs="Arial" w:eastAsia="Arial" w:hAnsi="Arial"/>
          <w:sz w:val="15"/>
          <w:szCs w:val="15"/>
          <w:color w:val="auto"/>
        </w:rPr>
        <w:t>We have established an in-house Pilot Plant Operation at the 200L scale to support all non-clinical studies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those involving large animal models, such as pigs and NHPs, under Good Laboratory Practice regulations. Our initial production at this scale has been at yields and with full/empty capsid ratios that compare favorably to industry standards.</w:t>
      </w:r>
    </w:p>
    <w:p>
      <w:pPr>
        <w:spacing w:after="0" w:line="66" w:lineRule="exact"/>
        <w:rPr>
          <w:rFonts w:ascii="Arial" w:cs="Arial" w:eastAsia="Arial" w:hAnsi="Arial"/>
          <w:sz w:val="15"/>
          <w:szCs w:val="15"/>
          <w:color w:val="auto"/>
        </w:rPr>
      </w:pPr>
    </w:p>
    <w:p>
      <w:pPr>
        <w:ind w:left="1660" w:hanging="469"/>
        <w:spacing w:after="0" w:line="253" w:lineRule="auto"/>
        <w:tabs>
          <w:tab w:leader="none" w:pos="1660" w:val="left"/>
        </w:tabs>
        <w:numPr>
          <w:ilvl w:val="0"/>
          <w:numId w:val="101"/>
        </w:numPr>
        <w:rPr>
          <w:rFonts w:ascii="Arial" w:cs="Arial" w:eastAsia="Arial" w:hAnsi="Arial"/>
          <w:sz w:val="16"/>
          <w:szCs w:val="16"/>
          <w:color w:val="auto"/>
        </w:rPr>
      </w:pPr>
      <w:r>
        <w:rPr>
          <w:rFonts w:ascii="Arial" w:cs="Arial" w:eastAsia="Arial" w:hAnsi="Arial"/>
          <w:sz w:val="16"/>
          <w:szCs w:val="16"/>
          <w:i w:val="1"/>
          <w:iCs w:val="1"/>
          <w:color w:val="auto"/>
        </w:rPr>
        <w:t xml:space="preserve">cGMP facility: </w:t>
      </w:r>
      <w:r>
        <w:rPr>
          <w:rFonts w:ascii="Arial" w:cs="Arial" w:eastAsia="Arial" w:hAnsi="Arial"/>
          <w:sz w:val="16"/>
          <w:szCs w:val="16"/>
          <w:color w:val="auto"/>
        </w:rPr>
        <w:t>We have initiated construction of a dedicated cGMP facility for drug product manufacturing in the San Francisco Bay Area.</w:t>
      </w:r>
      <w:r>
        <w:rPr>
          <w:rFonts w:ascii="Arial" w:cs="Arial" w:eastAsia="Arial" w:hAnsi="Arial"/>
          <w:sz w:val="16"/>
          <w:szCs w:val="16"/>
          <w:i w:val="1"/>
          <w:iCs w:val="1"/>
          <w:color w:val="auto"/>
        </w:rPr>
        <w:t xml:space="preserve"> </w:t>
      </w:r>
      <w:r>
        <w:rPr>
          <w:rFonts w:ascii="Arial" w:cs="Arial" w:eastAsia="Arial" w:hAnsi="Arial"/>
          <w:sz w:val="16"/>
          <w:szCs w:val="16"/>
          <w:color w:val="auto"/>
        </w:rPr>
        <w:t>The facility will initially produce drug product at the 1000L scale to support FIH studies for our MYBPC3 program. The facility will use a modular pod design that will support scale-out and scale-up of manufacturing capacity in response to evolving needs. We expect this facility will be operational by the end of 2021.</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0420"/>
          </w:cols>
          <w:pgMar w:left="320" w:top="418" w:right="115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80" w:hanging="469"/>
        <w:spacing w:after="0" w:line="281" w:lineRule="auto"/>
        <w:tabs>
          <w:tab w:leader="none" w:pos="1660" w:val="left"/>
        </w:tabs>
        <w:numPr>
          <w:ilvl w:val="0"/>
          <w:numId w:val="102"/>
        </w:numPr>
        <w:rPr>
          <w:rFonts w:ascii="Arial" w:cs="Arial" w:eastAsia="Arial" w:hAnsi="Arial"/>
          <w:sz w:val="15"/>
          <w:szCs w:val="15"/>
          <w:color w:val="auto"/>
        </w:rPr>
      </w:pPr>
      <w:r>
        <w:rPr>
          <w:rFonts w:ascii="Arial" w:cs="Arial" w:eastAsia="Arial" w:hAnsi="Arial"/>
          <w:sz w:val="15"/>
          <w:szCs w:val="15"/>
          <w:i w:val="1"/>
          <w:iCs w:val="1"/>
          <w:color w:val="auto"/>
        </w:rPr>
        <w:t xml:space="preserve">Intellectual property: </w:t>
      </w:r>
      <w:r>
        <w:rPr>
          <w:rFonts w:ascii="Arial" w:cs="Arial" w:eastAsia="Arial" w:hAnsi="Arial"/>
          <w:sz w:val="15"/>
          <w:szCs w:val="15"/>
          <w:color w:val="auto"/>
        </w:rPr>
        <w:t>We have in-licensed certain manufacturing-related intellectual property to support our programs. We have filed a</w:t>
      </w:r>
      <w:r>
        <w:rPr>
          <w:rFonts w:ascii="Arial" w:cs="Arial" w:eastAsia="Arial" w:hAnsi="Arial"/>
          <w:sz w:val="15"/>
          <w:szCs w:val="15"/>
          <w:i w:val="1"/>
          <w:iCs w:val="1"/>
          <w:color w:val="auto"/>
        </w:rPr>
        <w:t xml:space="preserve"> </w:t>
      </w:r>
      <w:r>
        <w:rPr>
          <w:rFonts w:ascii="Arial" w:cs="Arial" w:eastAsia="Arial" w:hAnsi="Arial"/>
          <w:sz w:val="15"/>
          <w:szCs w:val="15"/>
          <w:color w:val="auto"/>
        </w:rPr>
        <w:t>patent application on process improvements that will support scale-up of AAV manufacturing to larger bioreactors necessary for supply of our gene therapy product candidates intended for more prevalent heart disease populations.</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Our Programs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MYBPC3 Program for gHCM</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 xml:space="preserve">We are developing an AAV-based gene therapy designed to deliver a functional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in adults and children with gHCM due to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We have demonstrated significant and durable reversal of heart pathology and improvement in survival in a relevant murine model, as well as tolerability in mice and NHPs. Our product candidate, TN-201, uses a differentiated approach that enables more robust expression of the </w:t>
      </w:r>
      <w:r>
        <w:rPr>
          <w:rFonts w:ascii="Arial" w:cs="Arial" w:eastAsia="Arial" w:hAnsi="Arial"/>
          <w:sz w:val="15"/>
          <w:szCs w:val="15"/>
          <w:i w:val="1"/>
          <w:iCs w:val="1"/>
          <w:color w:val="auto"/>
        </w:rPr>
        <w:t xml:space="preserve">MYBPC3 </w:t>
      </w:r>
      <w:r>
        <w:rPr>
          <w:rFonts w:ascii="Arial" w:cs="Arial" w:eastAsia="Arial" w:hAnsi="Arial"/>
          <w:sz w:val="15"/>
          <w:szCs w:val="15"/>
          <w:color w:val="auto"/>
        </w:rPr>
        <w:t>gene in the heart compared to what has been demonstrated by others. The program is currently in IND-enabling studies, and we have obtained</w:t>
      </w:r>
      <w:r>
        <w:rPr>
          <w:rFonts w:ascii="Arial" w:cs="Arial" w:eastAsia="Arial" w:hAnsi="Arial"/>
          <w:sz w:val="15"/>
          <w:szCs w:val="15"/>
          <w:i w:val="1"/>
          <w:iCs w:val="1"/>
          <w:color w:val="auto"/>
        </w:rPr>
        <w:t xml:space="preserve"> </w:t>
      </w:r>
      <w:r>
        <w:rPr>
          <w:rFonts w:ascii="Arial" w:cs="Arial" w:eastAsia="Arial" w:hAnsi="Arial"/>
          <w:sz w:val="15"/>
          <w:szCs w:val="15"/>
          <w:color w:val="auto"/>
        </w:rPr>
        <w:t>feedback from multiple regulatory agencies to guide our path to initiating clinical trials.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Hypertrophic Cardiomyopathy</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HCM is a condition in which the heart walls become thickened without an obvious cause, resulting in a reduced ability to pump blood effectively. A chronic, progressive disease, HCM is usually caused by the inheritance of mutations in the contractile machinery proteins in the heart muscle cell. Signs and symptoms of HCM may begin in infancy, childhood or adulthood. Mildly and moderately affected patients experience chest pain, have trouble breathing, and have reduced exercise tolerance and fatigue. In certain HCM patients, disease progression results in a substantial limitation in activities and impact on quality of life. The most severely affected patients suffer premature death due to end-stage HF, malignant ventricular arrhythmia, or stroke. HCM with onset in childhood and adolescence is, in particular, associated with significant unmet medical need. When compared with adult-onset HCM, childhood-onset HCM is 36% more likely to develop life-threatening ventricular arrhythmias and twice as likely to require transplant or ventricular assist device.</w:t>
      </w:r>
    </w:p>
    <w:p>
      <w:pPr>
        <w:spacing w:after="0" w:line="16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HCM is the most common form of heritable cardiomyopathy and is estimated to affect one in every 500 people, approximating more than 600,000 potential patients in the United States alone. A majority of HCM patients are currently undiagnosed, with diagnosis typically starting with the onset of symptoms, family screening, or the discovery of an abnormal ECG pattern.</w:t>
      </w:r>
    </w:p>
    <w:p>
      <w:pPr>
        <w:spacing w:after="0" w:line="166" w:lineRule="exact"/>
        <w:rPr>
          <w:sz w:val="20"/>
          <w:szCs w:val="20"/>
          <w:color w:val="auto"/>
        </w:rPr>
      </w:pPr>
    </w:p>
    <w:p>
      <w:pPr>
        <w:ind w:left="820" w:right="180" w:firstLine="385"/>
        <w:spacing w:after="0" w:line="253" w:lineRule="auto"/>
        <w:rPr>
          <w:sz w:val="20"/>
          <w:szCs w:val="20"/>
          <w:color w:val="auto"/>
        </w:rPr>
      </w:pPr>
      <w:r>
        <w:rPr>
          <w:rFonts w:ascii="Arial" w:cs="Arial" w:eastAsia="Arial" w:hAnsi="Arial"/>
          <w:sz w:val="16"/>
          <w:szCs w:val="16"/>
          <w:color w:val="auto"/>
        </w:rPr>
        <w:t xml:space="preserve">More than 2,000 mutations in eleven or more genes have been linked to HCM. 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are the most common cause, estimated to represent approximately 19% of the overall HCM population. Disease-causing mutations occur throughout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with most mutations being truncating mutations, causing either a markedly reduced or, in the most severe cases in which both copies of the gene are affected, a complete lack of functional MYBPC3 protein expression.</w:t>
      </w:r>
    </w:p>
    <w:p>
      <w:pPr>
        <w:spacing w:after="0" w:line="167"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Normal MYBPC3 protein binds to the sarcomere and interacts with the muscle cell’s contractile machinery, actin and myosin proteins, as the heart beats. Based on published findings, it has been shown that MYBPC3 is involved in the folding of the myosin head into a state in which the head does not interact with actin or contribute to contraction.</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0420"/>
          </w:cols>
          <w:pgMar w:left="320" w:top="418" w:right="115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schematic below illustrates the cellular localization of MYBPC3. Within the heart, CMs contain multiple myofibrils, which are comprised of myofilaments containing many sarcomeres. The sarcomeres contain thin filaments containing actin and thick filaments containing myosin; the myosin head binds and pulls actin like a hand on a rope and thus supports normal muscle contraction. MYBPC3 (in yellow) is located between the thin and thick filaments and regulates the folding of the myosin head and its interaction with actin, and in this way, is also a critical element supporting normal muscle contraction.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130810</wp:posOffset>
            </wp:positionV>
            <wp:extent cx="4529455" cy="16617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529455" cy="166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 xml:space="preserve">The reduced MYBPC3 protein levels associated with heterozygous mutations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result in increased activity of the myosin contractile machinery, which over time leads to LV muscle thickening, known as hypertrophy, excess deposition of extracellular matrix in the cardiac muscle, known as fibrosis, and disorganized muscle cells. As a result, the LV wall stiffens, and the chamber is reduced in size, decreasing the heart’s ability to pump. The contractile strength of the muscle declines in some cases, resulting in LV systolic dysfunction, which ultimately can necessitate advanced therapies, such as left ventricular assist devices (LVADs) or transplantation, in the most severely affected patients. Fibrosis and muscle cell disarray may also lead to arrhythmias in some patients, including life-threatening ventricular arrhythmias and atrial fibrillation, which can lead to stroke.</w:t>
      </w:r>
    </w:p>
    <w:p>
      <w:pPr>
        <w:spacing w:after="0" w:line="12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An example of an actual heart from a patient who had hypertrophic cardiomyopathy, characterized by LV hypertrophy, fibrosis, high LV mass, and a small LV heart chamber,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123190</wp:posOffset>
            </wp:positionV>
            <wp:extent cx="1550035" cy="19316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550035" cy="193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0420"/>
          </w:cols>
          <w:pgMar w:left="320" w:top="418" w:right="115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 xml:space="preserve">Mutations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have also been associated with other forms of cardiomyopathy, including DCM, RCM, mixed cardiomyopathy, and ventricular non-compaction, which can lead to poor outcomes, particularly in children.</w:t>
      </w:r>
    </w:p>
    <w:p>
      <w:pPr>
        <w:spacing w:after="0" w:line="158" w:lineRule="exact"/>
        <w:rPr>
          <w:sz w:val="20"/>
          <w:szCs w:val="20"/>
          <w:color w:val="auto"/>
        </w:rPr>
      </w:pPr>
    </w:p>
    <w:p>
      <w:pPr>
        <w:ind w:left="820" w:right="100" w:firstLine="385"/>
        <w:spacing w:after="0" w:line="272" w:lineRule="auto"/>
        <w:rPr>
          <w:sz w:val="20"/>
          <w:szCs w:val="20"/>
          <w:color w:val="auto"/>
        </w:rPr>
      </w:pPr>
      <w:r>
        <w:rPr>
          <w:rFonts w:ascii="Arial" w:cs="Arial" w:eastAsia="Arial" w:hAnsi="Arial"/>
          <w:sz w:val="15"/>
          <w:szCs w:val="15"/>
          <w:color w:val="auto"/>
        </w:rPr>
        <w:t xml:space="preserve">Infants with homozygous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represent a particularly severe patient group with high risk of death within a year after birth without heart transplantation. Even with a transplant, ten-year survival after transplant for pediatric HCM patients remains less than 50%. Patients with heterozygous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 mutations generally have a typical life expectancy, although some patient groups have been associated with increased mortality. Young adult patients with HCM have four-fold higher mortality than the general U.S. population at a similar age. Patients with LV systolic dysfunction have increased mortality and high rates of cardiac transplantation and LVAD implantation.</w:t>
      </w:r>
    </w:p>
    <w:p>
      <w:pPr>
        <w:spacing w:after="0" w:line="154" w:lineRule="exact"/>
        <w:rPr>
          <w:sz w:val="20"/>
          <w:szCs w:val="20"/>
          <w:color w:val="auto"/>
        </w:rPr>
      </w:pPr>
    </w:p>
    <w:p>
      <w:pPr>
        <w:ind w:left="820" w:right="20" w:firstLine="385"/>
        <w:spacing w:after="0" w:line="249" w:lineRule="auto"/>
        <w:rPr>
          <w:sz w:val="20"/>
          <w:szCs w:val="20"/>
          <w:color w:val="auto"/>
        </w:rPr>
      </w:pPr>
      <w:r>
        <w:rPr>
          <w:rFonts w:ascii="Arial" w:cs="Arial" w:eastAsia="Arial" w:hAnsi="Arial"/>
          <w:sz w:val="16"/>
          <w:szCs w:val="16"/>
          <w:color w:val="auto"/>
        </w:rPr>
        <w:t xml:space="preserve">There are currently no approved therapies for the treatment of HCM and no therapies in clinical development specifically for HCM patients with </w:t>
      </w:r>
      <w:r>
        <w:rPr>
          <w:rFonts w:ascii="Arial" w:cs="Arial" w:eastAsia="Arial" w:hAnsi="Arial"/>
          <w:sz w:val="16"/>
          <w:szCs w:val="16"/>
          <w:i w:val="1"/>
          <w:iCs w:val="1"/>
          <w:color w:val="auto"/>
        </w:rPr>
        <w:t xml:space="preserve">MYBPC3 </w:t>
      </w:r>
      <w:r>
        <w:rPr>
          <w:rFonts w:ascii="Arial" w:cs="Arial" w:eastAsia="Arial" w:hAnsi="Arial"/>
          <w:sz w:val="16"/>
          <w:szCs w:val="16"/>
          <w:color w:val="auto"/>
        </w:rPr>
        <w:t>gene mutations. The current goal of HCM treatment is to relieve symptoms and prevent sudden cardiac death in people at high risk. In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guideline-directed care, patients are typically prescribed one or more symptomatic therapies, including beta-blockers, verapamil, diltiazem, and disopyramide. These therapies do not address the underlying genetic cause of HCM and do not appear to affect disease progression. No randomized clinical trials have assessed these therapies specifically in HCM. Cardioverter-defibrillators may be implanted for patients at high risk for malignant arrhythmias and sudden death. For a subset of HCM patients with severe and disabling disease, surgery or other invasive interventions may be appropriate, including heart transplantation, and surgical removal of portions of the septum for patients with obstructions in the LV outflow tract, known as obstructive HCM.</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MYBPC3 Gene Therapy</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 xml:space="preserve">We are developing an AAV9-based gene therapy designed to deliver a fully-functional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driven by our proprietary heart-tropic promoter to restore normal levels of MYBPC3 protein. We believe our product candidate, TN-201, has the potential to address the underlying biological basis of disease in adult and pediatric HCM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w:t>
      </w:r>
    </w:p>
    <w:p>
      <w:pPr>
        <w:spacing w:after="0" w:line="166"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 xml:space="preserve">Based on our preclinical data, we believe that gene replacement, through highly specific and robust expression of </w:t>
      </w:r>
      <w:r>
        <w:rPr>
          <w:rFonts w:ascii="Arial" w:cs="Arial" w:eastAsia="Arial" w:hAnsi="Arial"/>
          <w:sz w:val="16"/>
          <w:szCs w:val="16"/>
          <w:i w:val="1"/>
          <w:iCs w:val="1"/>
          <w:color w:val="auto"/>
        </w:rPr>
        <w:t>MYBPC3,</w:t>
      </w:r>
      <w:r>
        <w:rPr>
          <w:rFonts w:ascii="Arial" w:cs="Arial" w:eastAsia="Arial" w:hAnsi="Arial"/>
          <w:sz w:val="16"/>
          <w:szCs w:val="16"/>
          <w:color w:val="auto"/>
        </w:rPr>
        <w:t xml:space="preserve"> has the potential to slow or even reverse the course of gHCM disease in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mutations, including LV hypertrophy and disease progression leading to outflow tract obstruction, HF, atrial fibrillation, and malignant arrhythmias. By improving upon these aspects of disease, TN-201 may improve heart functional capacity, stabilize or reverse disease symptoms, reduce the need for invasive treatments and improve survival for the most severely impacted patients. As with other AAV-based gene therapies, benefits are expected to be durable and a one-time dose may be sufficient for disease stabilization and potentially reversal.</w:t>
      </w:r>
    </w:p>
    <w:p>
      <w:pPr>
        <w:spacing w:after="0" w:line="171"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The design of TN-201, as illustrated in the schematic below, leverages our internal capabilities, including promoter and cassette engineering, as well as advances in understanding of parental capsids with tropism for the heart:</w:t>
      </w:r>
    </w:p>
    <w:p>
      <w:pPr>
        <w:spacing w:after="0" w:line="76" w:lineRule="exact"/>
        <w:rPr>
          <w:sz w:val="20"/>
          <w:szCs w:val="20"/>
          <w:color w:val="auto"/>
        </w:rPr>
      </w:pPr>
    </w:p>
    <w:p>
      <w:pPr>
        <w:ind w:left="1660" w:hanging="469"/>
        <w:spacing w:after="0" w:line="251" w:lineRule="auto"/>
        <w:tabs>
          <w:tab w:leader="none" w:pos="1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Capsid Selection</w:t>
      </w:r>
      <w:r>
        <w:rPr>
          <w:rFonts w:ascii="Arial" w:cs="Arial" w:eastAsia="Arial" w:hAnsi="Arial"/>
          <w:sz w:val="16"/>
          <w:szCs w:val="16"/>
          <w:color w:val="auto"/>
        </w:rPr>
        <w:t>: AAV9 was selected based on its ability to effectively transduce cardiomyocytes upon systemic administration in multiple</w:t>
      </w:r>
      <w:r>
        <w:rPr>
          <w:rFonts w:ascii="Arial" w:cs="Arial" w:eastAsia="Arial" w:hAnsi="Arial"/>
          <w:sz w:val="16"/>
          <w:szCs w:val="16"/>
          <w:i w:val="1"/>
          <w:iCs w:val="1"/>
          <w:color w:val="auto"/>
        </w:rPr>
        <w:t xml:space="preserve"> </w:t>
      </w:r>
      <w:r>
        <w:rPr>
          <w:rFonts w:ascii="Arial" w:cs="Arial" w:eastAsia="Arial" w:hAnsi="Arial"/>
          <w:sz w:val="16"/>
          <w:szCs w:val="16"/>
          <w:color w:val="auto"/>
        </w:rPr>
        <w:t>species, including rodents and primates. In addition, clinical data from an FDA-approved product and gene therapy product candidates incorporating AAV9 viral vectors also support cardiac transduction at the doses in the range we are considering for our product candidate; Novartis’ Zolgensma and Rocket Pharma’s RP-501 have demonstrated robust cardiac transduction when delivered systemically at 1×10</w:t>
      </w:r>
      <w:r>
        <w:rPr>
          <w:rFonts w:ascii="Arial" w:cs="Arial" w:eastAsia="Arial" w:hAnsi="Arial"/>
          <w:sz w:val="13"/>
          <w:szCs w:val="13"/>
          <w:color w:val="auto"/>
        </w:rPr>
        <w:t>14</w:t>
      </w:r>
      <w:r>
        <w:rPr>
          <w:rFonts w:ascii="Arial" w:cs="Arial" w:eastAsia="Arial" w:hAnsi="Arial"/>
          <w:sz w:val="16"/>
          <w:szCs w:val="16"/>
          <w:color w:val="auto"/>
        </w:rPr>
        <w:t xml:space="preserve"> vg/kg and 6.7×10</w:t>
      </w:r>
      <w:r>
        <w:rPr>
          <w:rFonts w:ascii="Arial" w:cs="Arial" w:eastAsia="Arial" w:hAnsi="Arial"/>
          <w:sz w:val="13"/>
          <w:szCs w:val="13"/>
          <w:color w:val="auto"/>
        </w:rPr>
        <w:t>13</w:t>
      </w:r>
      <w:r>
        <w:rPr>
          <w:rFonts w:ascii="Arial" w:cs="Arial" w:eastAsia="Arial" w:hAnsi="Arial"/>
          <w:sz w:val="16"/>
          <w:szCs w:val="16"/>
          <w:color w:val="auto"/>
        </w:rPr>
        <w:t xml:space="preserve"> vg/kg doses, respectively.</w:t>
      </w:r>
    </w:p>
    <w:p>
      <w:pPr>
        <w:spacing w:after="0" w:line="87" w:lineRule="exact"/>
        <w:rPr>
          <w:rFonts w:ascii="Arial" w:cs="Arial" w:eastAsia="Arial" w:hAnsi="Arial"/>
          <w:sz w:val="16"/>
          <w:szCs w:val="16"/>
          <w:color w:val="auto"/>
        </w:rPr>
      </w:pPr>
    </w:p>
    <w:p>
      <w:pPr>
        <w:ind w:left="1660" w:right="180" w:hanging="469"/>
        <w:spacing w:after="0" w:line="266" w:lineRule="auto"/>
        <w:tabs>
          <w:tab w:leader="none" w:pos="1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Promoter and Regulatory Elements</w:t>
      </w:r>
      <w:r>
        <w:rPr>
          <w:rFonts w:ascii="Arial" w:cs="Arial" w:eastAsia="Arial" w:hAnsi="Arial"/>
          <w:sz w:val="16"/>
          <w:szCs w:val="16"/>
          <w:color w:val="auto"/>
        </w:rPr>
        <w:t>: TN-201 includes a novel promoter that has been optimized for robust and specific expression of the</w:t>
      </w:r>
      <w:r>
        <w:rPr>
          <w:rFonts w:ascii="Arial" w:cs="Arial" w:eastAsia="Arial" w:hAnsi="Arial"/>
          <w:sz w:val="16"/>
          <w:szCs w:val="16"/>
          <w:i w:val="1"/>
          <w:iCs w:val="1"/>
          <w:color w:val="auto"/>
        </w:rPr>
        <w:t xml:space="preserve"> MYBPC3 </w:t>
      </w:r>
      <w:r>
        <w:rPr>
          <w:rFonts w:ascii="Arial" w:cs="Arial" w:eastAsia="Arial" w:hAnsi="Arial"/>
          <w:sz w:val="16"/>
          <w:szCs w:val="16"/>
          <w:color w:val="auto"/>
        </w:rPr>
        <w:t>gene in CMs.</w:t>
      </w:r>
    </w:p>
    <w:p>
      <w:pPr>
        <w:spacing w:after="0" w:line="75"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Drug Delivery</w:t>
      </w:r>
      <w:r>
        <w:rPr>
          <w:rFonts w:ascii="Arial" w:cs="Arial" w:eastAsia="Arial" w:hAnsi="Arial"/>
          <w:sz w:val="16"/>
          <w:szCs w:val="16"/>
          <w:color w:val="auto"/>
        </w:rPr>
        <w:t>: In animal models, we have explored two distinct ROAs, systemic delivery (IV) and delivery via infusion catheter to release</w:t>
      </w:r>
      <w:r>
        <w:rPr>
          <w:rFonts w:ascii="Arial" w:cs="Arial" w:eastAsia="Arial" w:hAnsi="Arial"/>
          <w:sz w:val="16"/>
          <w:szCs w:val="16"/>
          <w:i w:val="1"/>
          <w:iCs w:val="1"/>
          <w:color w:val="auto"/>
        </w:rPr>
        <w:t xml:space="preserve"> </w:t>
      </w:r>
      <w:r>
        <w:rPr>
          <w:rFonts w:ascii="Arial" w:cs="Arial" w:eastAsia="Arial" w:hAnsi="Arial"/>
          <w:sz w:val="16"/>
          <w:szCs w:val="16"/>
          <w:color w:val="auto"/>
        </w:rPr>
        <w:t>TN-201 directly to the heart tissue.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0420"/>
          </w:cols>
          <w:pgMar w:left="320" w:top="418" w:right="115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177800</wp:posOffset>
            </wp:positionV>
            <wp:extent cx="4537075" cy="19018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37075" cy="190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99"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color w:val="auto"/>
        </w:rPr>
        <w:t xml:space="preserve">We developed a </w:t>
      </w:r>
      <w:r>
        <w:rPr>
          <w:rFonts w:ascii="Arial" w:cs="Arial" w:eastAsia="Arial" w:hAnsi="Arial"/>
          <w:sz w:val="13"/>
          <w:szCs w:val="13"/>
          <w:i w:val="1"/>
          <w:iCs w:val="1"/>
          <w:color w:val="auto"/>
        </w:rPr>
        <w:t>MYBPC3</w:t>
      </w:r>
      <w:r>
        <w:rPr>
          <w:rFonts w:ascii="Arial" w:cs="Arial" w:eastAsia="Arial" w:hAnsi="Arial"/>
          <w:sz w:val="13"/>
          <w:szCs w:val="13"/>
          <w:color w:val="auto"/>
        </w:rPr>
        <w:t xml:space="preserve"> homozygous knockout (KO) mouse model that simulates key aspects of the severe gHCM phenotype starting as early as two weeks of age. In preclinical studies, we systemically administered a version of TN-201 optimized for the mouse (AAV9:mMYBPC3) at 1×10</w:t>
      </w:r>
      <w:r>
        <w:rPr>
          <w:rFonts w:ascii="Arial" w:cs="Arial" w:eastAsia="Arial" w:hAnsi="Arial"/>
          <w:sz w:val="11"/>
          <w:szCs w:val="11"/>
          <w:color w:val="auto"/>
        </w:rPr>
        <w:t>14</w:t>
      </w:r>
      <w:r>
        <w:rPr>
          <w:rFonts w:ascii="Arial" w:cs="Arial" w:eastAsia="Arial" w:hAnsi="Arial"/>
          <w:sz w:val="13"/>
          <w:szCs w:val="13"/>
          <w:color w:val="auto"/>
        </w:rPr>
        <w:t xml:space="preserve"> vg/kg in two-week-old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mice. As shown in the figures below, treatment with AAV9:mMYBPC3 improved heart function for the KO mice above their pre-treatment baseline levels, indicating partial reversal of the disease. At more than thirteen months post treatment, these measures have not diminished, suggesting that a single systemic dose may be sufficient for a durable reversal of gHCM caused by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mutations. AAV9:mMYBPC3 treatment also led to sustained improvements in LV mass normalized to body weight (BW) and EF as well as an improvement in survival compared to vehicle-treated controls at fifteen months post treatment. Additionally, we observed improvements in LV diameter and ECG measurements. To our knowledge, these data are the first known demonstration of significant and durable disease reversal in a severe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model. Similar data have been observed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mouse model with our product candidate TN-201.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227330</wp:posOffset>
            </wp:positionV>
            <wp:extent cx="4446905" cy="18268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44690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0440"/>
          </w:cols>
          <w:pgMar w:left="320" w:top="418" w:right="113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177800</wp:posOffset>
            </wp:positionV>
            <wp:extent cx="4537075" cy="19691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3707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right="200" w:firstLine="385"/>
        <w:spacing w:after="0" w:line="323" w:lineRule="auto"/>
        <w:rPr>
          <w:sz w:val="20"/>
          <w:szCs w:val="20"/>
          <w:color w:val="auto"/>
        </w:rPr>
      </w:pPr>
      <w:r>
        <w:rPr>
          <w:rFonts w:ascii="Arial" w:cs="Arial" w:eastAsia="Arial" w:hAnsi="Arial"/>
          <w:sz w:val="13"/>
          <w:szCs w:val="13"/>
          <w:color w:val="auto"/>
        </w:rPr>
        <w:t>In addition, a dose-response relationship has been demonstrated with AAV9:mMYBPC3. As shown below, 1×10</w:t>
      </w:r>
      <w:r>
        <w:rPr>
          <w:rFonts w:ascii="Arial" w:cs="Arial" w:eastAsia="Arial" w:hAnsi="Arial"/>
          <w:sz w:val="11"/>
          <w:szCs w:val="11"/>
          <w:color w:val="auto"/>
        </w:rPr>
        <w:t>13</w:t>
      </w:r>
      <w:r>
        <w:rPr>
          <w:rFonts w:ascii="Arial" w:cs="Arial" w:eastAsia="Arial" w:hAnsi="Arial"/>
          <w:sz w:val="13"/>
          <w:szCs w:val="13"/>
          <w:color w:val="auto"/>
        </w:rPr>
        <w:t xml:space="preserve"> vg/kg, 3×10</w:t>
      </w:r>
      <w:r>
        <w:rPr>
          <w:rFonts w:ascii="Arial" w:cs="Arial" w:eastAsia="Arial" w:hAnsi="Arial"/>
          <w:sz w:val="11"/>
          <w:szCs w:val="11"/>
          <w:color w:val="auto"/>
        </w:rPr>
        <w:t>13</w:t>
      </w:r>
      <w:r>
        <w:rPr>
          <w:rFonts w:ascii="Arial" w:cs="Arial" w:eastAsia="Arial" w:hAnsi="Arial"/>
          <w:sz w:val="13"/>
          <w:szCs w:val="13"/>
          <w:color w:val="auto"/>
        </w:rPr>
        <w:t xml:space="preserve"> vg/kg and 1×10</w:t>
      </w:r>
      <w:r>
        <w:rPr>
          <w:rFonts w:ascii="Arial" w:cs="Arial" w:eastAsia="Arial" w:hAnsi="Arial"/>
          <w:sz w:val="11"/>
          <w:szCs w:val="11"/>
          <w:color w:val="auto"/>
        </w:rPr>
        <w:t>14</w:t>
      </w:r>
      <w:r>
        <w:rPr>
          <w:rFonts w:ascii="Arial" w:cs="Arial" w:eastAsia="Arial" w:hAnsi="Arial"/>
          <w:sz w:val="13"/>
          <w:szCs w:val="13"/>
          <w:color w:val="auto"/>
        </w:rPr>
        <w:t xml:space="preserve"> vg/kg weight-based doses all produced significant improvements in EF, LV mass normalized to body mass (LVM/BM), and measures of electrophysiological function (QT interval) at eight months post-injection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HCM mouse model. The 1×10</w:t>
      </w:r>
      <w:r>
        <w:rPr>
          <w:rFonts w:ascii="Arial" w:cs="Arial" w:eastAsia="Arial" w:hAnsi="Arial"/>
          <w:sz w:val="11"/>
          <w:szCs w:val="11"/>
          <w:color w:val="auto"/>
        </w:rPr>
        <w:t>13</w:t>
      </w:r>
      <w:r>
        <w:rPr>
          <w:rFonts w:ascii="Arial" w:cs="Arial" w:eastAsia="Arial" w:hAnsi="Arial"/>
          <w:sz w:val="13"/>
          <w:szCs w:val="13"/>
          <w:color w:val="auto"/>
        </w:rPr>
        <w:t xml:space="preserve"> vg/kg dose had the lowest levels of efficacy, while the 3×10</w:t>
      </w:r>
      <w:r>
        <w:rPr>
          <w:rFonts w:ascii="Arial" w:cs="Arial" w:eastAsia="Arial" w:hAnsi="Arial"/>
          <w:sz w:val="11"/>
          <w:szCs w:val="11"/>
          <w:color w:val="auto"/>
        </w:rPr>
        <w:t>13</w:t>
      </w:r>
      <w:r>
        <w:rPr>
          <w:rFonts w:ascii="Arial" w:cs="Arial" w:eastAsia="Arial" w:hAnsi="Arial"/>
          <w:sz w:val="13"/>
          <w:szCs w:val="13"/>
          <w:color w:val="auto"/>
        </w:rPr>
        <w:t xml:space="preserve"> vg/kg had high improvement in the EF, similar to the 1×10</w:t>
      </w:r>
      <w:r>
        <w:rPr>
          <w:rFonts w:ascii="Arial" w:cs="Arial" w:eastAsia="Arial" w:hAnsi="Arial"/>
          <w:sz w:val="11"/>
          <w:szCs w:val="11"/>
          <w:color w:val="auto"/>
        </w:rPr>
        <w:t>14</w:t>
      </w:r>
      <w:r>
        <w:rPr>
          <w:rFonts w:ascii="Arial" w:cs="Arial" w:eastAsia="Arial" w:hAnsi="Arial"/>
          <w:sz w:val="13"/>
          <w:szCs w:val="13"/>
          <w:color w:val="auto"/>
        </w:rPr>
        <w:t xml:space="preserve"> vg/kg dose, suggesting a plateau in the dose-response curve. A similar dose response has also been observed with TN-201 in the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103505</wp:posOffset>
            </wp:positionV>
            <wp:extent cx="4379595" cy="19316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79595" cy="193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 xml:space="preserve">One-time dosing of AAV9:mMYBPC3 achieved normal levels of protein expression in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mouse model hearts within two to six weeks following delivery, with the higher dose of 1×10</w:t>
      </w:r>
      <w:r>
        <w:rPr>
          <w:rFonts w:ascii="Arial" w:cs="Arial" w:eastAsia="Arial" w:hAnsi="Arial"/>
          <w:sz w:val="12"/>
          <w:szCs w:val="12"/>
          <w:color w:val="auto"/>
        </w:rPr>
        <w:t>14</w:t>
      </w:r>
      <w:r>
        <w:rPr>
          <w:rFonts w:ascii="Arial" w:cs="Arial" w:eastAsia="Arial" w:hAnsi="Arial"/>
          <w:sz w:val="15"/>
          <w:szCs w:val="15"/>
          <w:color w:val="auto"/>
        </w:rPr>
        <w:t xml:space="preserve"> vg/kg able to achieve normal levels of MYBPC3 protein expression within two weeks and lower doses (3×10</w:t>
      </w:r>
      <w:r>
        <w:rPr>
          <w:rFonts w:ascii="Arial" w:cs="Arial" w:eastAsia="Arial" w:hAnsi="Arial"/>
          <w:sz w:val="12"/>
          <w:szCs w:val="12"/>
          <w:color w:val="auto"/>
        </w:rPr>
        <w:t>13</w:t>
      </w:r>
      <w:r>
        <w:rPr>
          <w:rFonts w:ascii="Arial" w:cs="Arial" w:eastAsia="Arial" w:hAnsi="Arial"/>
          <w:sz w:val="15"/>
          <w:szCs w:val="15"/>
          <w:color w:val="auto"/>
        </w:rPr>
        <w:t xml:space="preserve"> vg/kg) able to achieve normal levels of MYBPC3 protein expression within four to six weeks after delivery. Across dose levels, we have not observed MYBPC3 protein levels substantially above normal levels, suggesting that protein accumulation does not occur and supporting the potential for a broad therapeutic index with lessened concern of overexpression-related potential toxicities. In addition, histological assessments of AAV9:mMYBPC3 treated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model murine hearts support the uniform and robust distribution of expression following AAV9:mMYBPC3 infusion, suggesting gene therapy may be able to replace the missing </w:t>
      </w:r>
      <w:r>
        <w:rPr>
          <w:rFonts w:ascii="Arial" w:cs="Arial" w:eastAsia="Arial" w:hAnsi="Arial"/>
          <w:sz w:val="15"/>
          <w:szCs w:val="15"/>
          <w:i w:val="1"/>
          <w:iCs w:val="1"/>
          <w:color w:val="auto"/>
        </w:rPr>
        <w:t>MYBPC3</w:t>
      </w:r>
      <w:r>
        <w:rPr>
          <w:rFonts w:ascii="Arial" w:cs="Arial" w:eastAsia="Arial" w:hAnsi="Arial"/>
          <w:sz w:val="15"/>
          <w:szCs w:val="15"/>
          <w:color w:val="auto"/>
        </w:rPr>
        <w:t xml:space="preserve"> gene</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0400"/>
          </w:cols>
          <w:pgMar w:left="320" w:top="418" w:right="117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uniformly across the heart and consistent with heart biopsy samples from patients treated with other AAV9-based gene therapies in development.</w:t>
      </w:r>
    </w:p>
    <w:p>
      <w:pPr>
        <w:spacing w:after="0" w:line="228"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figure below demonstrates a restoration of MYBPC3 protein levels to wildtype levels following a single dose of AAV9:mMYBPC3 at the 3×10</w:t>
      </w:r>
      <w:r>
        <w:rPr>
          <w:rFonts w:ascii="Arial" w:cs="Arial" w:eastAsia="Arial" w:hAnsi="Arial"/>
          <w:sz w:val="13"/>
          <w:szCs w:val="13"/>
          <w:color w:val="auto"/>
        </w:rPr>
        <w:t>13</w:t>
      </w:r>
      <w:r>
        <w:rPr>
          <w:rFonts w:ascii="Arial" w:cs="Arial" w:eastAsia="Arial" w:hAnsi="Arial"/>
          <w:sz w:val="16"/>
          <w:szCs w:val="16"/>
          <w:color w:val="auto"/>
        </w:rPr>
        <w:t xml:space="preserve"> vg/kg and 1×10</w:t>
      </w:r>
      <w:r>
        <w:rPr>
          <w:rFonts w:ascii="Arial" w:cs="Arial" w:eastAsia="Arial" w:hAnsi="Arial"/>
          <w:sz w:val="13"/>
          <w:szCs w:val="13"/>
          <w:color w:val="auto"/>
        </w:rPr>
        <w:t>14</w:t>
      </w:r>
      <w:r>
        <w:rPr>
          <w:rFonts w:ascii="Arial" w:cs="Arial" w:eastAsia="Arial" w:hAnsi="Arial"/>
          <w:sz w:val="16"/>
          <w:szCs w:val="16"/>
          <w:color w:val="auto"/>
        </w:rPr>
        <w:t xml:space="preserve"> vg/kg dose levels.</w:t>
      </w:r>
    </w:p>
    <w:p>
      <w:pPr>
        <w:sectPr>
          <w:pgSz w:w="11900" w:h="16838" w:orient="portrait"/>
          <w:cols w:equalWidth="0" w:num="1">
            <w:col w:w="10400"/>
          </w:cols>
          <w:pgMar w:left="320" w:top="418" w:right="1179" w:bottom="1440" w:gutter="0" w:footer="0" w:header="0"/>
        </w:sectPr>
      </w:pPr>
    </w:p>
    <w:p>
      <w:pPr>
        <w:spacing w:after="0" w:line="178" w:lineRule="exact"/>
        <w:rPr>
          <w:sz w:val="20"/>
          <w:szCs w:val="20"/>
          <w:color w:val="auto"/>
        </w:rPr>
      </w:pPr>
    </w:p>
    <w:p>
      <w:pPr>
        <w:jc w:val="center"/>
        <w:ind w:left="1060"/>
        <w:spacing w:after="0"/>
        <w:rPr>
          <w:sz w:val="20"/>
          <w:szCs w:val="20"/>
          <w:color w:val="auto"/>
        </w:rPr>
      </w:pPr>
      <w:r>
        <w:rPr>
          <w:rFonts w:ascii="Arial" w:cs="Arial" w:eastAsia="Arial" w:hAnsi="Arial"/>
          <w:sz w:val="16"/>
          <w:szCs w:val="16"/>
          <w:b w:val="1"/>
          <w:bCs w:val="1"/>
          <w:color w:val="auto"/>
        </w:rPr>
        <w:t>MYBPC3 RNA Expression Comparison</w:t>
      </w:r>
    </w:p>
    <w:p>
      <w:pPr>
        <w:spacing w:after="0" w:line="20" w:lineRule="exact"/>
        <w:rPr>
          <w:sz w:val="20"/>
          <w:szCs w:val="20"/>
          <w:color w:val="auto"/>
        </w:rPr>
      </w:pPr>
    </w:p>
    <w:p>
      <w:pPr>
        <w:jc w:val="center"/>
        <w:ind w:left="1060"/>
        <w:spacing w:after="0"/>
        <w:rPr>
          <w:sz w:val="20"/>
          <w:szCs w:val="20"/>
          <w:color w:val="auto"/>
        </w:rPr>
      </w:pPr>
      <w:r>
        <w:rPr>
          <w:rFonts w:ascii="Arial" w:cs="Arial" w:eastAsia="Arial" w:hAnsi="Arial"/>
          <w:sz w:val="13"/>
          <w:szCs w:val="13"/>
          <w:b w:val="1"/>
          <w:bCs w:val="1"/>
          <w:color w:val="auto"/>
        </w:rPr>
        <w:t xml:space="preserve">in Normal Mice and in Untreated vs Treated </w:t>
      </w:r>
      <w:r>
        <w:rPr>
          <w:rFonts w:ascii="Arial" w:cs="Arial" w:eastAsia="Arial" w:hAnsi="Arial"/>
          <w:sz w:val="13"/>
          <w:szCs w:val="13"/>
          <w:b w:val="1"/>
          <w:bCs w:val="1"/>
          <w:i w:val="1"/>
          <w:iCs w:val="1"/>
          <w:color w:val="auto"/>
        </w:rPr>
        <w:t>MYBPC3</w:t>
      </w:r>
      <w:r>
        <w:rPr>
          <w:rFonts w:ascii="Arial" w:cs="Arial" w:eastAsia="Arial" w:hAnsi="Arial"/>
          <w:sz w:val="13"/>
          <w:szCs w:val="13"/>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212725</wp:posOffset>
            </wp:positionV>
            <wp:extent cx="1864360" cy="16243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64360" cy="1624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MYBPC3 Protein Expression Comparison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in Normal Mice and in Untreated vs Treated </w:t>
      </w:r>
      <w:r>
        <w:rPr>
          <w:rFonts w:ascii="Arial" w:cs="Arial" w:eastAsia="Arial" w:hAnsi="Arial"/>
          <w:sz w:val="13"/>
          <w:szCs w:val="13"/>
          <w:b w:val="1"/>
          <w:bCs w:val="1"/>
          <w:i w:val="1"/>
          <w:iCs w:val="1"/>
          <w:color w:val="auto"/>
        </w:rPr>
        <w:t>MYBPC3</w:t>
      </w:r>
      <w:r>
        <w:rPr>
          <w:rFonts w:ascii="Arial" w:cs="Arial" w:eastAsia="Arial" w:hAnsi="Arial"/>
          <w:sz w:val="13"/>
          <w:szCs w:val="13"/>
          <w:b w:val="1"/>
          <w:bCs w:val="1"/>
          <w:color w:val="auto"/>
        </w:rPr>
        <w:t xml:space="preserve"> KO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145415</wp:posOffset>
            </wp:positionV>
            <wp:extent cx="1677035" cy="1692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77035" cy="1692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00" w:space="460"/>
            <w:col w:w="4440"/>
          </w:cols>
          <w:pgMar w:left="320" w:top="418" w:right="11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 xml:space="preserve">Consistent with observed therapeutic benefit, treatment of </w:t>
      </w:r>
      <w:r>
        <w:rPr>
          <w:rFonts w:ascii="Arial" w:cs="Arial" w:eastAsia="Arial" w:hAnsi="Arial"/>
          <w:sz w:val="13"/>
          <w:szCs w:val="13"/>
          <w:i w:val="1"/>
          <w:iCs w:val="1"/>
          <w:color w:val="auto"/>
        </w:rPr>
        <w:t>MYBPC3</w:t>
      </w:r>
      <w:r>
        <w:rPr>
          <w:rFonts w:ascii="Arial" w:cs="Arial" w:eastAsia="Arial" w:hAnsi="Arial"/>
          <w:sz w:val="13"/>
          <w:szCs w:val="13"/>
          <w:color w:val="auto"/>
        </w:rPr>
        <w:t xml:space="preserve"> KO mice with AAV9:mMYBPC3 is also associated with a substantial reduction of expression of genes associated with fibrosis and B-type natriuretic peptide (BNP), a circulating factor associated with heart damage and heart wall stretch. We intend to evaluate the impact of treatment on BNP as a potential PD biomarker in initial clinical studies.</w:t>
      </w:r>
    </w:p>
    <w:p>
      <w:pPr>
        <w:spacing w:after="0" w:line="114" w:lineRule="exact"/>
        <w:rPr>
          <w:sz w:val="20"/>
          <w:szCs w:val="20"/>
          <w:color w:val="auto"/>
        </w:rPr>
      </w:pPr>
    </w:p>
    <w:p>
      <w:pPr>
        <w:ind w:left="820" w:right="260" w:firstLine="385"/>
        <w:spacing w:after="0" w:line="300" w:lineRule="auto"/>
        <w:rPr>
          <w:sz w:val="20"/>
          <w:szCs w:val="20"/>
          <w:color w:val="auto"/>
        </w:rPr>
      </w:pPr>
      <w:r>
        <w:rPr>
          <w:rFonts w:ascii="Arial" w:cs="Arial" w:eastAsia="Arial" w:hAnsi="Arial"/>
          <w:sz w:val="15"/>
          <w:szCs w:val="15"/>
          <w:color w:val="auto"/>
        </w:rPr>
        <w:t>The figure below shows dose-dependent inhibition of expression of genes associated with cardiac strain (Nppa, Nppb, and Myh7) and fibrosis (Col1a1, Col4a1, and Postn) following a single dose of AAV9:mMYBPC3 at the 3×10</w:t>
      </w:r>
      <w:r>
        <w:rPr>
          <w:rFonts w:ascii="Arial" w:cs="Arial" w:eastAsia="Arial" w:hAnsi="Arial"/>
          <w:sz w:val="12"/>
          <w:szCs w:val="12"/>
          <w:color w:val="auto"/>
        </w:rPr>
        <w:t>13</w:t>
      </w:r>
      <w:r>
        <w:rPr>
          <w:rFonts w:ascii="Arial" w:cs="Arial" w:eastAsia="Arial" w:hAnsi="Arial"/>
          <w:sz w:val="15"/>
          <w:szCs w:val="15"/>
          <w:color w:val="auto"/>
        </w:rPr>
        <w:t xml:space="preserve"> vg/kg and 1×10</w:t>
      </w:r>
      <w:r>
        <w:rPr>
          <w:rFonts w:ascii="Arial" w:cs="Arial" w:eastAsia="Arial" w:hAnsi="Arial"/>
          <w:sz w:val="12"/>
          <w:szCs w:val="12"/>
          <w:color w:val="auto"/>
        </w:rPr>
        <w:t>14</w:t>
      </w:r>
      <w:r>
        <w:rPr>
          <w:rFonts w:ascii="Arial" w:cs="Arial" w:eastAsia="Arial" w:hAnsi="Arial"/>
          <w:sz w:val="15"/>
          <w:szCs w:val="15"/>
          <w:color w:val="auto"/>
        </w:rPr>
        <w:t xml:space="preserve"> vg/kg dose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108585</wp:posOffset>
            </wp:positionV>
            <wp:extent cx="4499610" cy="10629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9961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 xml:space="preserve">Treatment with either TN-201 or AAV9:mMYBPC3 in the </w:t>
      </w:r>
      <w:r>
        <w:rPr>
          <w:rFonts w:ascii="Arial" w:cs="Arial" w:eastAsia="Arial" w:hAnsi="Arial"/>
          <w:sz w:val="15"/>
          <w:szCs w:val="15"/>
          <w:i w:val="1"/>
          <w:iCs w:val="1"/>
          <w:color w:val="auto"/>
        </w:rPr>
        <w:t>MYBPC3</w:t>
      </w:r>
      <w:r>
        <w:rPr>
          <w:rFonts w:ascii="Arial" w:cs="Arial" w:eastAsia="Arial" w:hAnsi="Arial"/>
          <w:sz w:val="15"/>
          <w:szCs w:val="15"/>
          <w:color w:val="auto"/>
        </w:rPr>
        <w:t xml:space="preserve"> KO model has not been associated with significant BW differences, clinical observations, or differences in histopathological assessments across dose levels. In addition, no impact on BW has been observed at dose levels between 3×10</w:t>
      </w:r>
      <w:r>
        <w:rPr>
          <w:rFonts w:ascii="Arial" w:cs="Arial" w:eastAsia="Arial" w:hAnsi="Arial"/>
          <w:sz w:val="12"/>
          <w:szCs w:val="12"/>
          <w:color w:val="auto"/>
        </w:rPr>
        <w:t>13</w:t>
      </w:r>
      <w:r>
        <w:rPr>
          <w:rFonts w:ascii="Arial" w:cs="Arial" w:eastAsia="Arial" w:hAnsi="Arial"/>
          <w:sz w:val="15"/>
          <w:szCs w:val="15"/>
          <w:color w:val="auto"/>
        </w:rPr>
        <w:t xml:space="preserve"> vg/kg and 6×10</w:t>
      </w:r>
      <w:r>
        <w:rPr>
          <w:rFonts w:ascii="Arial" w:cs="Arial" w:eastAsia="Arial" w:hAnsi="Arial"/>
          <w:sz w:val="12"/>
          <w:szCs w:val="12"/>
          <w:color w:val="auto"/>
        </w:rPr>
        <w:t>14</w:t>
      </w:r>
      <w:r>
        <w:rPr>
          <w:rFonts w:ascii="Arial" w:cs="Arial" w:eastAsia="Arial" w:hAnsi="Arial"/>
          <w:sz w:val="15"/>
          <w:szCs w:val="15"/>
          <w:color w:val="auto"/>
        </w:rPr>
        <w:t xml:space="preserve"> vg/kg in safety studies in wildtype neonatal mice twelve weeks after dosing. The 6×10</w:t>
      </w:r>
      <w:r>
        <w:rPr>
          <w:rFonts w:ascii="Arial" w:cs="Arial" w:eastAsia="Arial" w:hAnsi="Arial"/>
          <w:sz w:val="12"/>
          <w:szCs w:val="12"/>
          <w:color w:val="auto"/>
        </w:rPr>
        <w:t>14</w:t>
      </w:r>
      <w:r>
        <w:rPr>
          <w:rFonts w:ascii="Arial" w:cs="Arial" w:eastAsia="Arial" w:hAnsi="Arial"/>
          <w:sz w:val="15"/>
          <w:szCs w:val="15"/>
          <w:color w:val="auto"/>
        </w:rPr>
        <w:t xml:space="preserve"> vg/kg dose level is estimated to be six to twenty times greater than the approximated target dose, further supporting a broad therapeutic index.</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0400"/>
          </w:cols>
          <w:pgMar w:left="320" w:top="418" w:right="1179" w:bottom="1440" w:gutter="0" w:footer="0" w:header="0"/>
          <w:type w:val="continuous"/>
        </w:sectPr>
      </w:pPr>
    </w:p>
    <w:bookmarkStart w:id="155" w:name="page156"/>
    <w:bookmarkEnd w:id="1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Comparison with Previously Published Results for Our MYBPC3 Gene Therapy</w:t>
      </w:r>
    </w:p>
    <w:p>
      <w:pPr>
        <w:spacing w:after="0" w:line="99"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 xml:space="preserve">Our approach is differentiated from previously published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therapy approaches. As demonstrated below, in the </w:t>
      </w:r>
      <w:r>
        <w:rPr>
          <w:rFonts w:ascii="Arial" w:cs="Arial" w:eastAsia="Arial" w:hAnsi="Arial"/>
          <w:sz w:val="16"/>
          <w:szCs w:val="16"/>
          <w:i w:val="1"/>
          <w:iCs w:val="1"/>
          <w:color w:val="auto"/>
        </w:rPr>
        <w:t>MYBPC3</w:t>
      </w:r>
      <w:r>
        <w:rPr>
          <w:rFonts w:ascii="Arial" w:cs="Arial" w:eastAsia="Arial" w:hAnsi="Arial"/>
          <w:sz w:val="16"/>
          <w:szCs w:val="16"/>
          <w:color w:val="auto"/>
        </w:rPr>
        <w:t xml:space="preserve"> KO mouse model, our proprietary cassettes show significantly improved EF and LV mass normalized to BW across all dose levels tested when compared to a construct containing a standard cTnT promoter and utilizing an AAV9 capsid.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128270</wp:posOffset>
            </wp:positionV>
            <wp:extent cx="2717800" cy="19088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7800" cy="190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 xml:space="preserve">We intend to submit an IND or CTA to the FDA or EMA, respectively, in 2022. If our IND or CTA is approved, we plan to initiate global first-in-human studies in patients with </w:t>
      </w:r>
      <w:r>
        <w:rPr>
          <w:rFonts w:ascii="Arial" w:cs="Arial" w:eastAsia="Arial" w:hAnsi="Arial"/>
          <w:sz w:val="16"/>
          <w:szCs w:val="16"/>
          <w:i w:val="1"/>
          <w:iCs w:val="1"/>
          <w:color w:val="auto"/>
        </w:rPr>
        <w:t>MYBPC3</w:t>
      </w:r>
      <w:r>
        <w:rPr>
          <w:rFonts w:ascii="Arial" w:cs="Arial" w:eastAsia="Arial" w:hAnsi="Arial"/>
          <w:sz w:val="16"/>
          <w:szCs w:val="16"/>
          <w:color w:val="auto"/>
        </w:rPr>
        <w:t xml:space="preserve"> gene mutations. We have obtained useful feedback from regulatory authorities in multiple countries and the FDA has granted orphan drug designation for TN-201.</w:t>
      </w:r>
    </w:p>
    <w:p>
      <w:pPr>
        <w:spacing w:after="0" w:line="166"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 xml:space="preserve">We plan to initiate a prospective and retrospective natural history study in patients with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mutation-associated cardiomyopathy by the end of 2021. The objective of the natural history study, a non-interventional clinical study that follows patients with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mutations over time, is to characterize the outcomes, burden of illness, risk factors, quality of life, and biomarkers associated with disease progression in patients with cardiomyopathy due to </w:t>
      </w:r>
      <w:r>
        <w:rPr>
          <w:rFonts w:ascii="Arial" w:cs="Arial" w:eastAsia="Arial" w:hAnsi="Arial"/>
          <w:sz w:val="15"/>
          <w:szCs w:val="15"/>
          <w:i w:val="1"/>
          <w:iCs w:val="1"/>
          <w:color w:val="auto"/>
        </w:rPr>
        <w:t>MYBPC3</w:t>
      </w:r>
      <w:r>
        <w:rPr>
          <w:rFonts w:ascii="Arial" w:cs="Arial" w:eastAsia="Arial" w:hAnsi="Arial"/>
          <w:sz w:val="15"/>
          <w:szCs w:val="15"/>
          <w:color w:val="auto"/>
        </w:rPr>
        <w:t xml:space="preserve"> mutations as well as treatments, procedures, and patient outcomes.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PKP2 Program for gARVC</w:t>
      </w:r>
    </w:p>
    <w:p>
      <w:pPr>
        <w:spacing w:after="0" w:line="99"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 xml:space="preserve">Our PKP2 program is intended for development in a genetic subset of ARVC patients, a population with limited current treatment options. We are developing an AAV-based gene therapy designed to deliver a functional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in patients with gARVC due to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mutations. We have demonstrated durable disease modification, substantial survival benefit, and near complete prevention of arrhythmia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a murine model. This program is currently at the candidate selection stage.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ARVC</w:t>
      </w:r>
    </w:p>
    <w:p>
      <w:pPr>
        <w:spacing w:after="0" w:line="99" w:lineRule="exact"/>
        <w:rPr>
          <w:sz w:val="20"/>
          <w:szCs w:val="20"/>
          <w:color w:val="auto"/>
        </w:rPr>
      </w:pPr>
    </w:p>
    <w:p>
      <w:pPr>
        <w:jc w:val="both"/>
        <w:ind w:left="820" w:right="80" w:firstLine="385"/>
        <w:spacing w:after="0" w:line="343" w:lineRule="auto"/>
        <w:rPr>
          <w:sz w:val="20"/>
          <w:szCs w:val="20"/>
          <w:color w:val="auto"/>
        </w:rPr>
      </w:pPr>
      <w:r>
        <w:rPr>
          <w:rFonts w:ascii="Arial" w:cs="Arial" w:eastAsia="Arial" w:hAnsi="Arial"/>
          <w:sz w:val="13"/>
          <w:szCs w:val="13"/>
          <w:color w:val="auto"/>
        </w:rPr>
        <w:t>ARVC is largely an inherited disease characterized by the progressive loss of muscle cells in the heart’s RV and replacement with a composite of fibrotic tissue and fatty deposits. As a result of this structural change, the heart becomes dilated and is prone to ventricular arrhythmia (VA). ARVC has an estimated prevalence in the general population of approximately 1:2000, representing more than 70,000 patients in the US alone.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0400"/>
          </w:cols>
          <w:pgMar w:left="320" w:top="418" w:right="117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An example of an actual heart from a patient who had ARVC, characterized by RV wall fibrosis and fatty deposits and dilation of the RV chamber,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123190</wp:posOffset>
            </wp:positionV>
            <wp:extent cx="1826895" cy="23958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6895" cy="2395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Patients with ARVC most commonly present with symptoms related to VA (such as palpitations, lightheadedness, and fainting) or cardiac arrest, with the mean age of presentation in patients before the age of 40. ARVC is an important cause of sudden cardiac arrest in young patients, and particularly in athletes. The median age at cardiac arrest in ARVC patients is 25.</w:t>
      </w:r>
    </w:p>
    <w:p>
      <w:pPr>
        <w:spacing w:after="0" w:line="166" w:lineRule="exact"/>
        <w:rPr>
          <w:sz w:val="20"/>
          <w:szCs w:val="20"/>
          <w:color w:val="auto"/>
        </w:rPr>
      </w:pPr>
    </w:p>
    <w:p>
      <w:pPr>
        <w:ind w:left="820" w:right="140" w:firstLine="385"/>
        <w:spacing w:after="0" w:line="272" w:lineRule="auto"/>
        <w:rPr>
          <w:sz w:val="20"/>
          <w:szCs w:val="20"/>
          <w:color w:val="auto"/>
        </w:rPr>
      </w:pPr>
      <w:r>
        <w:rPr>
          <w:rFonts w:ascii="Arial" w:cs="Arial" w:eastAsia="Arial" w:hAnsi="Arial"/>
          <w:sz w:val="15"/>
          <w:szCs w:val="15"/>
          <w:color w:val="auto"/>
        </w:rPr>
        <w:t xml:space="preserve">Over fourteen genes have been linked to ARVC. Mutations in the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are the most common genetic cause of ARVC, with approximately 41-46% of ARVC patients carrying pathogenic variants. As illustrated below, the PKP2 protein is an integral component of cell adhesion protein complexes known as desmosomes which connect adjacent cells in the heart, stabilizing the heart and maintaining channels called gap junctions that allow for cellular communication among heart cells. Patients with </w:t>
      </w:r>
      <w:r>
        <w:rPr>
          <w:rFonts w:ascii="Arial" w:cs="Arial" w:eastAsia="Arial" w:hAnsi="Arial"/>
          <w:sz w:val="15"/>
          <w:szCs w:val="15"/>
          <w:i w:val="1"/>
          <w:iCs w:val="1"/>
          <w:color w:val="auto"/>
        </w:rPr>
        <w:t>PKP2</w:t>
      </w:r>
      <w:r>
        <w:rPr>
          <w:rFonts w:ascii="Arial" w:cs="Arial" w:eastAsia="Arial" w:hAnsi="Arial"/>
          <w:sz w:val="15"/>
          <w:szCs w:val="15"/>
          <w:color w:val="auto"/>
        </w:rPr>
        <w:t xml:space="preserve"> mutations typically present at a younger age than patients carrying other mutations linked to ARVC and are thought to follow a similar disease progression to other ARVC patients.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0420"/>
          </w:cols>
          <w:pgMar w:left="320" w:top="418" w:right="115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firstLine="385"/>
        <w:spacing w:after="0" w:line="319" w:lineRule="auto"/>
        <w:rPr>
          <w:sz w:val="20"/>
          <w:szCs w:val="20"/>
          <w:color w:val="auto"/>
        </w:rPr>
      </w:pPr>
      <w:r>
        <w:rPr>
          <w:rFonts w:ascii="Arial" w:cs="Arial" w:eastAsia="Arial" w:hAnsi="Arial"/>
          <w:sz w:val="13"/>
          <w:szCs w:val="13"/>
          <w:color w:val="auto"/>
        </w:rPr>
        <w:t>Following a diagnosis, ARVC patients are typically implanted with an Implantable Cardioverter Defibrillator (ICD) to control arrhythmias and treated with beta-blockers. ICD implantation may be associated with complications in some patients, including potential for heart perforation and additional surgery. Patients may progress to catheter ablation procedures which have a high rate of recurrence of VA and have not been shown to reduce risk of sudden cardiac death or improve survival. Despite the availability of these treatments, clinical heart failure has been documented in more than 40% of ARVC patients, and when heart transplantation is required, transplants occur at an average age of 40 and within seven years of the onset of HF symptoms. There are currently no approved therapies that address the underlying genetic causes of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1381125</wp:posOffset>
            </wp:positionH>
            <wp:positionV relativeFrom="paragraph">
              <wp:posOffset>104140</wp:posOffset>
            </wp:positionV>
            <wp:extent cx="4379595" cy="11226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379595"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PKP2 Gene Therapy</w:t>
      </w:r>
    </w:p>
    <w:p>
      <w:pPr>
        <w:spacing w:after="0" w:line="99"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 xml:space="preserve">We believe that gene replacement through delivery of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to CMs represents a promising treatment approach for patients with </w:t>
      </w:r>
      <w:r>
        <w:rPr>
          <w:rFonts w:ascii="Arial" w:cs="Arial" w:eastAsia="Arial" w:hAnsi="Arial"/>
          <w:sz w:val="16"/>
          <w:szCs w:val="16"/>
          <w:i w:val="1"/>
          <w:iCs w:val="1"/>
          <w:color w:val="auto"/>
        </w:rPr>
        <w:t>PKP2</w:t>
      </w:r>
      <w:r>
        <w:rPr>
          <w:rFonts w:ascii="Arial" w:cs="Arial" w:eastAsia="Arial" w:hAnsi="Arial"/>
          <w:sz w:val="16"/>
          <w:szCs w:val="16"/>
          <w:color w:val="auto"/>
        </w:rPr>
        <w:t xml:space="preserve"> mutant gARVC. The figure below shows human patient heart tissue of PKP2 mutant ARVC and normal patients stained for several desmosome component proteins and N-cadherin. As illustrated, when the </w:t>
      </w:r>
      <w:r>
        <w:rPr>
          <w:rFonts w:ascii="Arial" w:cs="Arial" w:eastAsia="Arial" w:hAnsi="Arial"/>
          <w:sz w:val="16"/>
          <w:szCs w:val="16"/>
          <w:i w:val="1"/>
          <w:iCs w:val="1"/>
          <w:color w:val="auto"/>
        </w:rPr>
        <w:t>PKP2</w:t>
      </w:r>
      <w:r>
        <w:rPr>
          <w:rFonts w:ascii="Arial" w:cs="Arial" w:eastAsia="Arial" w:hAnsi="Arial"/>
          <w:sz w:val="16"/>
          <w:szCs w:val="16"/>
          <w:color w:val="auto"/>
        </w:rPr>
        <w:t xml:space="preserve"> gene is mutated in human patient heart tissue, PKP2 protein is no longer properly localized to the desmosome and other desmosome components, such as plakoglobin, also have a reduced localization to the desmosome. In contrast, other proteins that form junctions between CMs, such as N-cadherin, correctly localize, supporting the structural integrity of the muscle tissue in patients with </w:t>
      </w:r>
      <w:r>
        <w:rPr>
          <w:rFonts w:ascii="Arial" w:cs="Arial" w:eastAsia="Arial" w:hAnsi="Arial"/>
          <w:sz w:val="16"/>
          <w:szCs w:val="16"/>
          <w:i w:val="1"/>
          <w:iCs w:val="1"/>
          <w:color w:val="auto"/>
        </w:rPr>
        <w:t>PKP2-</w:t>
      </w:r>
      <w:r>
        <w:rPr>
          <w:rFonts w:ascii="Arial" w:cs="Arial" w:eastAsia="Arial" w:hAnsi="Arial"/>
          <w:sz w:val="16"/>
          <w:szCs w:val="16"/>
          <w:color w:val="auto"/>
        </w:rPr>
        <w:t>mutant ARVC.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2099945</wp:posOffset>
            </wp:positionH>
            <wp:positionV relativeFrom="paragraph">
              <wp:posOffset>131445</wp:posOffset>
            </wp:positionV>
            <wp:extent cx="2941955" cy="1819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941955" cy="1819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0440"/>
          </w:cols>
          <w:pgMar w:left="320" w:top="418" w:right="11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 xml:space="preserve">As demonstrated below, when a functional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is delivered by AAV vectors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to cells deficient for PKP2 (siPKP2), the protein levels of desmoplakin (DSP), a key component of the desmosome, correspondingly increase. In addition, we have demonstrated that DSP levels also increase on siPKP2 muscle cellular membranes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upon AAV-mediated delivery of the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These data support the proposition that expression of PKP2 is sufficient to rescue desmosome protein expression and localization in cells deficient for PKP2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120015</wp:posOffset>
            </wp:positionV>
            <wp:extent cx="1834515" cy="17595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34515" cy="1759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20" w:right="120" w:firstLine="385"/>
        <w:spacing w:after="0" w:line="329" w:lineRule="auto"/>
        <w:rPr>
          <w:sz w:val="20"/>
          <w:szCs w:val="20"/>
          <w:color w:val="auto"/>
        </w:rPr>
      </w:pPr>
      <w:r>
        <w:rPr>
          <w:rFonts w:ascii="Arial" w:cs="Arial" w:eastAsia="Arial" w:hAnsi="Arial"/>
          <w:sz w:val="13"/>
          <w:szCs w:val="13"/>
          <w:color w:val="auto"/>
        </w:rPr>
        <w:t xml:space="preserve">We are developing an AAV-based gene therapy to deliver the fully-functional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to CMs for the treatment of gARVC. Our PKP2 program, illustrated below, is currently at the candidate selection stage.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expression is limited to the CM through use of a CM-specific promoter. Our intended product is expected to use an AAV capsid with high tropism for the heart. Insertion of the functional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is proposed to enable proper function and structure of the desmosome, prevent adverse heart remodeling and improve heart contraction and electrical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101600</wp:posOffset>
            </wp:positionV>
            <wp:extent cx="4529455" cy="1797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29455" cy="179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 xml:space="preserve">We developed a rapidly declining </w:t>
      </w:r>
      <w:r>
        <w:rPr>
          <w:rFonts w:ascii="Arial" w:cs="Arial" w:eastAsia="Arial" w:hAnsi="Arial"/>
          <w:sz w:val="15"/>
          <w:szCs w:val="15"/>
          <w:i w:val="1"/>
          <w:iCs w:val="1"/>
          <w:color w:val="auto"/>
        </w:rPr>
        <w:t>PKP2</w:t>
      </w:r>
      <w:r>
        <w:rPr>
          <w:rFonts w:ascii="Arial" w:cs="Arial" w:eastAsia="Arial" w:hAnsi="Arial"/>
          <w:sz w:val="15"/>
          <w:szCs w:val="15"/>
          <w:color w:val="auto"/>
        </w:rPr>
        <w:t xml:space="preserve"> conditional knockout (cKO) mouse model that simulates key aspects of gARVC within three weeks after induction of the phenotype. In preclinical studies, we systematically administered a version of our lead construct optimized for the mouse (AAV:mPKP2) in PKP2-cKO mice in parallel with induction of the ARVC phenotype. As shown in the figure below, AAV:mPKP2 treatment in mice improved several ARVC phenotypes compared to mice treated with saline (HBSS). AAV:mPKP2 treatment</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0420"/>
          </w:cols>
          <w:pgMar w:left="320" w:top="418" w:right="115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80"/>
        <w:spacing w:after="0" w:line="266" w:lineRule="auto"/>
        <w:rPr>
          <w:sz w:val="20"/>
          <w:szCs w:val="20"/>
          <w:color w:val="auto"/>
        </w:rPr>
      </w:pPr>
      <w:r>
        <w:rPr>
          <w:rFonts w:ascii="Arial" w:cs="Arial" w:eastAsia="Arial" w:hAnsi="Arial"/>
          <w:sz w:val="16"/>
          <w:szCs w:val="16"/>
          <w:color w:val="auto"/>
        </w:rPr>
        <w:t>in mice prevented right ventricle enlargement, prevented a decline of left ventricular function, and improved survival relative to mice treated with vehicle controls, with rescue of heart structural and electrical phenotypes within four weeks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123190</wp:posOffset>
            </wp:positionV>
            <wp:extent cx="4537075" cy="1834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37075"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In addition, as shown below, treatment in mice with AAV:mPKP2 prevented arrythmias including a nearly complete prevention of non-sustained ventricular tachycardia (NSVT) and premature ventricular contractions (PVCs) and a prevention of ECG abnormalities including prevention of QT elongation and abnormal P wave and R wave amplitudes. These measures are also reflected in a nearly complete reduction in Ventricular Arrythmia Score to wildtype levels. Ventricular Arrythmia Score includes NSVT, frequency of PVCs and other measurements of arrythmia. Based on publicly available information to date, we believe these data are the first known demonstrations of durable disease modification, survival benefit, and prevention of arrhythmia using an AAV:PKP2 gene therapy construct.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121920</wp:posOffset>
            </wp:positionV>
            <wp:extent cx="4529455" cy="16097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29455" cy="160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0360"/>
          </w:cols>
          <w:pgMar w:left="320" w:top="418" w:right="121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177800</wp:posOffset>
            </wp:positionV>
            <wp:extent cx="4537075" cy="1856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37075" cy="1856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1200"/>
        <w:spacing w:after="0"/>
        <w:tabs>
          <w:tab w:leader="none" w:pos="2800" w:val="left"/>
        </w:tabs>
        <w:rPr>
          <w:sz w:val="20"/>
          <w:szCs w:val="20"/>
          <w:color w:val="auto"/>
        </w:rPr>
      </w:pPr>
      <w:r>
        <w:rPr>
          <w:rFonts w:ascii="Arial" w:cs="Arial" w:eastAsia="Arial" w:hAnsi="Arial"/>
          <w:sz w:val="16"/>
          <w:szCs w:val="16"/>
          <w:color w:val="auto"/>
        </w:rPr>
        <w:t>We intend to</w:t>
      </w:r>
      <w:r>
        <w:rPr>
          <w:sz w:val="20"/>
          <w:szCs w:val="20"/>
          <w:color w:val="auto"/>
        </w:rPr>
        <w:tab/>
      </w:r>
      <w:r>
        <w:rPr>
          <w:rFonts w:ascii="Arial" w:cs="Arial" w:eastAsia="Arial" w:hAnsi="Arial"/>
          <w:sz w:val="13"/>
          <w:szCs w:val="13"/>
          <w:color w:val="auto"/>
        </w:rPr>
        <w:t xml:space="preserve">. If our IND or CTA is approved, we plan to initiate global first-in-human studies in patients with </w:t>
      </w:r>
      <w:r>
        <w:rPr>
          <w:rFonts w:ascii="Arial" w:cs="Arial" w:eastAsia="Arial" w:hAnsi="Arial"/>
          <w:sz w:val="13"/>
          <w:szCs w:val="13"/>
          <w:i w:val="1"/>
          <w:iCs w:val="1"/>
          <w:color w:val="auto"/>
        </w:rPr>
        <w:t>PKP2</w:t>
      </w:r>
      <w:r>
        <w:rPr>
          <w:rFonts w:ascii="Arial" w:cs="Arial" w:eastAsia="Arial" w:hAnsi="Arial"/>
          <w:sz w:val="13"/>
          <w:szCs w:val="13"/>
          <w:color w:val="auto"/>
        </w:rPr>
        <w:t xml:space="preserve"> gene mutations.</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DWORF Program for DCM and HFrEF</w:t>
      </w:r>
    </w:p>
    <w:p>
      <w:pPr>
        <w:spacing w:after="0" w:line="99" w:lineRule="exact"/>
        <w:rPr>
          <w:sz w:val="20"/>
          <w:szCs w:val="20"/>
          <w:color w:val="auto"/>
        </w:rPr>
      </w:pPr>
    </w:p>
    <w:p>
      <w:pPr>
        <w:ind w:left="820" w:right="140" w:firstLine="385"/>
        <w:spacing w:after="0" w:line="272" w:lineRule="auto"/>
        <w:rPr>
          <w:sz w:val="20"/>
          <w:szCs w:val="20"/>
          <w:color w:val="auto"/>
        </w:rPr>
      </w:pPr>
      <w:r>
        <w:rPr>
          <w:rFonts w:ascii="Arial" w:cs="Arial" w:eastAsia="Arial" w:hAnsi="Arial"/>
          <w:sz w:val="15"/>
          <w:szCs w:val="15"/>
          <w:color w:val="auto"/>
        </w:rPr>
        <w:t xml:space="preserve">The DWORF program is intended to provide meaningful therapeutic benefit for multiple patient populations with significant unmet need with a focus on DCM and HFrEF. We and our academic collaborators have accumulated significant preclinical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proof-of-concept evidence for the therapeutic benefit of over-expression of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in multiple murine models, including models of DCM and HFrEF, as well as tolerability in murine models. These findings in animal models support the idea that overexpression of DWORF may be a promising approach for both rare and prevalent forms of HF. This program is currently at the candidate selection stage.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DCM</w:t>
      </w:r>
    </w:p>
    <w:p>
      <w:pPr>
        <w:spacing w:after="0" w:line="99" w:lineRule="exact"/>
        <w:rPr>
          <w:sz w:val="20"/>
          <w:szCs w:val="20"/>
          <w:color w:val="auto"/>
        </w:rPr>
      </w:pPr>
    </w:p>
    <w:p>
      <w:pPr>
        <w:ind w:left="820" w:right="40" w:firstLine="385"/>
        <w:spacing w:after="0" w:line="281" w:lineRule="auto"/>
        <w:rPr>
          <w:sz w:val="20"/>
          <w:szCs w:val="20"/>
          <w:color w:val="auto"/>
        </w:rPr>
      </w:pPr>
      <w:r>
        <w:rPr>
          <w:rFonts w:ascii="Arial" w:cs="Arial" w:eastAsia="Arial" w:hAnsi="Arial"/>
          <w:sz w:val="15"/>
          <w:szCs w:val="15"/>
          <w:color w:val="auto"/>
        </w:rPr>
        <w:t>DCM is broadly defined as HF with a reduced EF (HFrEF), in which the LV walls are thin and over-expanded, leading to insufficient contraction, reduced blood flow pumped by the heart, and abnormal heart rhythms. DCM can be caused by a variety of mechanisms, including genetics, coronary artery disease, high blood pressure, heart attack, and viral infection due to a high risk of ventricular arrythmias.</w:t>
      </w:r>
    </w:p>
    <w:p>
      <w:pPr>
        <w:spacing w:after="0" w:line="149"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DCM is a life-threatening and progressive disease. Once symptoms appear, a patient’s condition typically declines progressively. Typical symptoms of HF due to DCM include shortness of breath, fatigue, swelling in the extremities, or an irregular heartbeat. As the disease progresses, patients become increasingly debilitated and experience sustained shortness of breath, even at rest. Diastolic function, or the heart’s ability to relax and fill with blood, is also impaired because the heart is already expanded and fibrotic. The dilated LV is deprived of an adequate supply of oxygen that may contribute to further fibrosis and the risk of dangerous heart rhythm disturbances. At any stage of the disease, whether or not symptoms have appeared, DCM patients are at risk of sudden cardiac death.</w:t>
      </w:r>
    </w:p>
    <w:p>
      <w:pPr>
        <w:spacing w:after="0" w:line="171"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A subset of DCM is caused by genetic mutations in proteins involved in muscle contraction. Mutations in one such protein, phospholamban (PLN), can cause DCM. These mutations are believed to result in abnormal regulation of calcium biology instrumental in muscle contraction, leading to ventricular dilation, fibrosis and HF over time. Some patients with PLN mutations have a high severity of disease, including patients with R9C and R14del mutations.</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0400"/>
          </w:cols>
          <w:pgMar w:left="320" w:top="418" w:right="117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Current therapy for DCM generally uses therapies developed for HFrEF. While current pharmacologic therapies have improved prognosis and the quality of life of DCM patients, the premature morbidity and mortality rate remains unacceptably high. End-stage DCM is the leading indication for use of last line therapies, including LVADs and heart transplantation. Within five years of diagnosis, 43% of patients with advanced DCM have either died or needed a heart transplant. Thus, there is a large unmet need for novel and more individualized therapeutic options.</w:t>
      </w:r>
    </w:p>
    <w:p>
      <w:pPr>
        <w:spacing w:after="0" w:line="153" w:lineRule="exact"/>
        <w:rPr>
          <w:sz w:val="20"/>
          <w:szCs w:val="20"/>
          <w:color w:val="auto"/>
        </w:rPr>
      </w:pPr>
    </w:p>
    <w:p>
      <w:pPr>
        <w:ind w:left="820" w:right="240" w:firstLine="385"/>
        <w:spacing w:after="0" w:line="383" w:lineRule="auto"/>
        <w:rPr>
          <w:sz w:val="20"/>
          <w:szCs w:val="20"/>
          <w:color w:val="auto"/>
        </w:rPr>
      </w:pPr>
      <w:r>
        <w:rPr>
          <w:rFonts w:ascii="Arial" w:cs="Arial" w:eastAsia="Arial" w:hAnsi="Arial"/>
          <w:sz w:val="13"/>
          <w:szCs w:val="13"/>
          <w:color w:val="auto"/>
        </w:rPr>
        <w:t>It is estimated that DCM affects about one million people in the United States alone, with genetic abnormalities linked to DCM estimated to be present in about 30% to 40% of DCM patients. PLN mutations are rare with an estimated 0.5% of DCM patients carrying PLN mutations.</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HFrEF</w:t>
      </w:r>
    </w:p>
    <w:p>
      <w:pPr>
        <w:spacing w:after="0" w:line="99" w:lineRule="exact"/>
        <w:rPr>
          <w:sz w:val="20"/>
          <w:szCs w:val="20"/>
          <w:color w:val="auto"/>
        </w:rPr>
      </w:pPr>
    </w:p>
    <w:p>
      <w:pPr>
        <w:ind w:left="820" w:right="240" w:firstLine="385"/>
        <w:spacing w:after="0" w:line="256" w:lineRule="auto"/>
        <w:rPr>
          <w:sz w:val="20"/>
          <w:szCs w:val="20"/>
          <w:color w:val="auto"/>
        </w:rPr>
      </w:pPr>
      <w:r>
        <w:rPr>
          <w:rFonts w:ascii="Arial" w:cs="Arial" w:eastAsia="Arial" w:hAnsi="Arial"/>
          <w:sz w:val="16"/>
          <w:szCs w:val="16"/>
          <w:color w:val="auto"/>
        </w:rPr>
        <w:t>Among patients with HF, the amount of blood that is pumped out of the left ventricle of the heart (LV EF), can vary significantly, and is often characterized as reduced if below 40% (HFrEF), mid-range if between 40% to 50% (HFmrEF) or preserved if greater than or equal to 50% of normal LV EF (HFpEF).</w:t>
      </w:r>
    </w:p>
    <w:p>
      <w:pPr>
        <w:spacing w:after="0" w:line="166" w:lineRule="exact"/>
        <w:rPr>
          <w:sz w:val="20"/>
          <w:szCs w:val="20"/>
          <w:color w:val="auto"/>
        </w:rPr>
      </w:pPr>
    </w:p>
    <w:p>
      <w:pPr>
        <w:ind w:left="820" w:right="200" w:firstLine="385"/>
        <w:spacing w:after="0" w:line="281" w:lineRule="auto"/>
        <w:rPr>
          <w:sz w:val="20"/>
          <w:szCs w:val="20"/>
          <w:color w:val="auto"/>
        </w:rPr>
      </w:pPr>
      <w:r>
        <w:rPr>
          <w:rFonts w:ascii="Arial" w:cs="Arial" w:eastAsia="Arial" w:hAnsi="Arial"/>
          <w:sz w:val="15"/>
          <w:szCs w:val="15"/>
          <w:color w:val="auto"/>
        </w:rPr>
        <w:t>Approximately 50% of HF cases are HFrEF, representing a prevalence of nearly four million patients in the United States alone. In addition, the incidence and prevalence of HFrEF continues to rise. This increase is driven by an aging population, improved survival from MI and other forms of heart disease, and the increasing prevalence of predisposing risk factors such as diabetes and obesity.</w:t>
      </w:r>
    </w:p>
    <w:p>
      <w:pPr>
        <w:spacing w:after="0" w:line="149" w:lineRule="exact"/>
        <w:rPr>
          <w:sz w:val="20"/>
          <w:szCs w:val="20"/>
          <w:color w:val="auto"/>
        </w:rPr>
      </w:pPr>
    </w:p>
    <w:p>
      <w:pPr>
        <w:ind w:left="820" w:right="100" w:firstLine="385"/>
        <w:spacing w:after="0" w:line="329" w:lineRule="auto"/>
        <w:rPr>
          <w:sz w:val="20"/>
          <w:szCs w:val="20"/>
          <w:color w:val="auto"/>
        </w:rPr>
      </w:pPr>
      <w:r>
        <w:rPr>
          <w:rFonts w:ascii="Arial" w:cs="Arial" w:eastAsia="Arial" w:hAnsi="Arial"/>
          <w:sz w:val="13"/>
          <w:szCs w:val="13"/>
          <w:color w:val="auto"/>
        </w:rPr>
        <w:t>HFrEF patients continue to have substantial unmet need despite advances in pharmacological treatments, with up to 30% of treated patients experiencing a significant limitation in physical activity. Development of HF continues to be associated with significant morbidity and mortality, with a one-year mortality rate of 7% and one-year hospitalization rate of 32%. Over a five-year period, readmission for HF and mortality rates are as high as 48% and 75%, respectively, highlighting the significant and increasing burden of illness for patients and healthcare systems.</w:t>
      </w:r>
    </w:p>
    <w:p>
      <w:pPr>
        <w:spacing w:after="0" w:line="123"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The standard of care for HFrEF involves multiple different classes of therapies, including ACE inhibitors, beta blockers, vasodilator, aldosterone antagonists, and others. For end-stage HFrEF patients refractory to medical therapy, the treatment options are limited to LVADs and heart transplantation. LVADs have a finite duration of efficacy and are associated with the potential for fatal complications, frequent hospital readmissions, and high treatment cost. Heart transplant availability is restricted by the scarce supply of donor organs, risk of transplant rejection, and lifelong treatment with immunosuppression therapeutic regimes that are associated with organ damage.</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DWORF Gene Therapy</w:t>
      </w:r>
    </w:p>
    <w:p>
      <w:pPr>
        <w:spacing w:after="0" w:line="99"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 xml:space="preserve">We are developing an AAV-based gene therapy to deliver the </w:t>
      </w:r>
      <w:r>
        <w:rPr>
          <w:rFonts w:ascii="Arial" w:cs="Arial" w:eastAsia="Arial" w:hAnsi="Arial"/>
          <w:sz w:val="13"/>
          <w:szCs w:val="13"/>
          <w:i w:val="1"/>
          <w:iCs w:val="1"/>
          <w:color w:val="auto"/>
        </w:rPr>
        <w:t>DWORF</w:t>
      </w:r>
      <w:r>
        <w:rPr>
          <w:rFonts w:ascii="Arial" w:cs="Arial" w:eastAsia="Arial" w:hAnsi="Arial"/>
          <w:sz w:val="13"/>
          <w:szCs w:val="13"/>
          <w:color w:val="auto"/>
        </w:rPr>
        <w:t xml:space="preserve"> gene to CMs for the treatment of DCM and HFrEF. DWORF is a recently discovered small peptide that localizes primarily to the sarcoplasmic reticulum of the cardiac muscle cell. During muscle cell activation, calcium is released from sarcoplasmic reticulum into the muscle cell’s cytosol and into the sarcomere, leading to muscle contraction. Sarcoplasmic/endoplasmic reticulum Ca2+ ATPase 2a (SERCA2a) is a major isoform of SERCA expressed in CMs and plays an essential role in the regulation of cardiac contractility. SERCA2a transports calcium from the cytosol back into the sarcoplasmic reticulum, preserving the calcium gradient required for contraction. DWORF binds to SERCA2a and displaces the inhibitory PLN peptide, resulting in increased SERCA2a activity, increased levels of calcium pumped into the sarcoplasmic reticulum, and increased muscle contraction, ultimately leading to an improvement in heart function.</w:t>
      </w:r>
    </w:p>
    <w:p>
      <w:pPr>
        <w:spacing w:after="0" w:line="131"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 xml:space="preserve">We believe DWORF is an ideal target for the treatment of HFrEF. DWORF is a small peptide that is readily expressed when delivered by AAV. The small size of the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leaves additional room in the AAV</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0440"/>
          </w:cols>
          <w:pgMar w:left="320" w:top="418" w:right="113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 xml:space="preserve">capsid to include optimized combinations or promoters and regulatory elements to tailor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expression levels. In addition, published studies have shown that </w:t>
      </w:r>
      <w:r>
        <w:rPr>
          <w:rFonts w:ascii="Arial" w:cs="Arial" w:eastAsia="Arial" w:hAnsi="Arial"/>
          <w:sz w:val="16"/>
          <w:szCs w:val="16"/>
          <w:i w:val="1"/>
          <w:iCs w:val="1"/>
          <w:color w:val="auto"/>
        </w:rPr>
        <w:t>DWORF</w:t>
      </w:r>
      <w:r>
        <w:rPr>
          <w:rFonts w:ascii="Arial" w:cs="Arial" w:eastAsia="Arial" w:hAnsi="Arial"/>
          <w:sz w:val="16"/>
          <w:szCs w:val="16"/>
          <w:color w:val="auto"/>
        </w:rPr>
        <w:t xml:space="preserve"> gene expression is lower in failing human hearts compared to non-diseased hearts.</w:t>
      </w:r>
    </w:p>
    <w:p>
      <w:pPr>
        <w:spacing w:after="0" w:line="158"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The figure below shows expression analyses in human HF tissue. DWORF mRNA is reduced in failing hearts whereas atrial natriuretic peptide (NPPA) mRNA, a marker of congestive HF, is significantly increased in failing hearts.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123190</wp:posOffset>
            </wp:positionV>
            <wp:extent cx="1003300" cy="12052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03300" cy="1205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 xml:space="preserve">One therapeutic hypothesis is that restoring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expression to normal levels, through treatment with a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therapy, may normalize calcium flux in CMs and increase contractile strength in DCM patients as well as the broader HFrEF patient population. In addition, DCM patients carrying PLN mutations have mutant PLN peptides that inhibit SERCA2a and decrease contraction.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therapy produces DWORF peptides that directly compete with mutant PLN peptides by preferentially binding with SERCA2a, which can increase muscle contraction, potentially resulting in halting or even reversal of disease progression.</w:t>
      </w:r>
    </w:p>
    <w:p>
      <w:pPr>
        <w:spacing w:after="0" w:line="154"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 xml:space="preserve">Our DWORF program, illustrated below, is currently at the candidate selection stage with multiple constructs under consideration.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expression is limited to the CM through use of a novel CM-specific promoter. Our intended product candidate will use an AAV capsid with high tropism for the heart, either AAV9 or a novel proprietary capsid developed through our capsid engineering capabilities, to deliver the </w:t>
      </w:r>
      <w:r>
        <w:rPr>
          <w:rFonts w:ascii="Arial" w:cs="Arial" w:eastAsia="Arial" w:hAnsi="Arial"/>
          <w:sz w:val="15"/>
          <w:szCs w:val="15"/>
          <w:i w:val="1"/>
          <w:iCs w:val="1"/>
          <w:color w:val="auto"/>
        </w:rPr>
        <w:t>DWORF</w:t>
      </w:r>
      <w:r>
        <w:rPr>
          <w:rFonts w:ascii="Arial" w:cs="Arial" w:eastAsia="Arial" w:hAnsi="Arial"/>
          <w:sz w:val="15"/>
          <w:szCs w:val="15"/>
          <w:color w:val="auto"/>
        </w:rPr>
        <w:t xml:space="preserve"> gene. We are exploring different ROAs including systemic (IV) or delivery directly to the heart through an infusion catheter.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120015</wp:posOffset>
            </wp:positionV>
            <wp:extent cx="4529455" cy="20440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29455" cy="2044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0400"/>
          </w:cols>
          <w:pgMar w:left="320" w:top="418" w:right="117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217" w:lineRule="exact"/>
        <w:rPr>
          <w:sz w:val="20"/>
          <w:szCs w:val="20"/>
          <w:color w:val="auto"/>
        </w:rPr>
      </w:pPr>
    </w:p>
    <w:p>
      <w:pPr>
        <w:ind w:left="1660" w:right="120" w:hanging="469"/>
        <w:spacing w:after="0" w:line="275" w:lineRule="auto"/>
        <w:tabs>
          <w:tab w:leader="none" w:pos="1660" w:val="left"/>
        </w:tabs>
        <w:numPr>
          <w:ilvl w:val="0"/>
          <w:numId w:val="104"/>
        </w:numPr>
        <w:rPr>
          <w:rFonts w:ascii="Arial" w:cs="Arial" w:eastAsia="Arial" w:hAnsi="Arial"/>
          <w:sz w:val="15"/>
          <w:szCs w:val="15"/>
          <w:color w:val="auto"/>
        </w:rPr>
      </w:pPr>
      <w:r>
        <w:rPr>
          <w:rFonts w:ascii="Arial" w:cs="Arial" w:eastAsia="Arial" w:hAnsi="Arial"/>
          <w:sz w:val="15"/>
          <w:szCs w:val="15"/>
          <w:i w:val="1"/>
          <w:iCs w:val="1"/>
          <w:color w:val="auto"/>
        </w:rPr>
        <w:t>Results in DCM (with MLP KO model)</w:t>
      </w:r>
      <w:r>
        <w:rPr>
          <w:rFonts w:ascii="Arial" w:cs="Arial" w:eastAsia="Arial" w:hAnsi="Arial"/>
          <w:sz w:val="15"/>
          <w:szCs w:val="15"/>
          <w:color w:val="auto"/>
        </w:rPr>
        <w:t>: Overexpression of</w:t>
      </w:r>
      <w:r>
        <w:rPr>
          <w:rFonts w:ascii="Arial" w:cs="Arial" w:eastAsia="Arial" w:hAnsi="Arial"/>
          <w:sz w:val="15"/>
          <w:szCs w:val="15"/>
          <w:i w:val="1"/>
          <w:iCs w:val="1"/>
          <w:color w:val="auto"/>
        </w:rPr>
        <w:t xml:space="preserve"> DWORF </w:t>
      </w:r>
      <w:r>
        <w:rPr>
          <w:rFonts w:ascii="Arial" w:cs="Arial" w:eastAsia="Arial" w:hAnsi="Arial"/>
          <w:sz w:val="15"/>
          <w:szCs w:val="15"/>
          <w:color w:val="auto"/>
        </w:rPr>
        <w:t>has led to improvements in multiple parameters in mouse models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DCM. Our co-founder Eric Olson, Ph.D. has demonstrated that overexpression of </w:t>
      </w:r>
      <w:r>
        <w:rPr>
          <w:rFonts w:ascii="Arial" w:cs="Arial" w:eastAsia="Arial" w:hAnsi="Arial"/>
          <w:sz w:val="15"/>
          <w:szCs w:val="15"/>
          <w:i w:val="1"/>
          <w:iCs w:val="1"/>
          <w:color w:val="auto"/>
        </w:rPr>
        <w:t>DWORF</w:t>
      </w:r>
      <w:r>
        <w:rPr>
          <w:rFonts w:ascii="Arial" w:cs="Arial" w:eastAsia="Arial" w:hAnsi="Arial"/>
          <w:sz w:val="15"/>
          <w:szCs w:val="15"/>
          <w:color w:val="auto"/>
        </w:rPr>
        <w:t xml:space="preserve"> in a transgenic (Tg) model leads to improvements in heart size, normalization of wall thickness and also improvements in EF, as demonstrated in the Muscle Lim Protein (MLP) KO mouse model of DCM, a model considered representative of the broader DCM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120015</wp:posOffset>
            </wp:positionV>
            <wp:extent cx="4529455" cy="14001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29455"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80"/>
        <w:spacing w:after="0" w:line="266" w:lineRule="auto"/>
        <w:rPr>
          <w:sz w:val="20"/>
          <w:szCs w:val="20"/>
          <w:color w:val="auto"/>
        </w:rPr>
      </w:pPr>
      <w:r>
        <w:rPr>
          <w:rFonts w:ascii="Arial" w:cs="Arial" w:eastAsia="Arial" w:hAnsi="Arial"/>
          <w:sz w:val="16"/>
          <w:szCs w:val="16"/>
          <w:color w:val="auto"/>
        </w:rPr>
        <w:t>In addition to improvement in heart function, as shown in the figure below, Tg DWORF overexpression also prevents muscle cell disarray and fibrosis in the MLP KO model of DCM.</w:t>
      </w:r>
    </w:p>
    <w:p>
      <w:pPr>
        <w:spacing w:after="0" w:line="284"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DWORF Overexpression Prevents Cellular Damage in a Mouse Model of gDCM (MLP KO)</w:t>
      </w:r>
    </w:p>
    <w:p>
      <w:pPr>
        <w:sectPr>
          <w:pgSz w:w="11900" w:h="16838" w:orient="portrait"/>
          <w:cols w:equalWidth="0" w:num="1">
            <w:col w:w="10380"/>
          </w:cols>
          <w:pgMar w:left="320" w:top="418" w:right="1199" w:bottom="1440" w:gutter="0" w:footer="0" w:header="0"/>
        </w:sectPr>
      </w:pPr>
    </w:p>
    <w:p>
      <w:pPr>
        <w:spacing w:after="0" w:line="127" w:lineRule="exact"/>
        <w:rPr>
          <w:sz w:val="20"/>
          <w:szCs w:val="20"/>
          <w:color w:val="auto"/>
        </w:rPr>
      </w:pPr>
    </w:p>
    <w:p>
      <w:pPr>
        <w:jc w:val="both"/>
        <w:ind w:left="1040"/>
        <w:spacing w:after="0" w:line="256" w:lineRule="auto"/>
        <w:rPr>
          <w:sz w:val="20"/>
          <w:szCs w:val="20"/>
          <w:color w:val="auto"/>
        </w:rPr>
      </w:pPr>
      <w:r>
        <w:rPr>
          <w:rFonts w:ascii="Arial" w:cs="Arial" w:eastAsia="Arial" w:hAnsi="Arial"/>
          <w:sz w:val="16"/>
          <w:szCs w:val="16"/>
          <w:color w:val="auto"/>
        </w:rPr>
        <w:t>Pronounced disarray of structures inside cardiomyocytes of MLP KO mice hearts (characteristic of gDCM) is visibly reduced when crossed with DWORF Tg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1089660</wp:posOffset>
            </wp:positionH>
            <wp:positionV relativeFrom="paragraph">
              <wp:posOffset>67945</wp:posOffset>
            </wp:positionV>
            <wp:extent cx="1924050" cy="12579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24050" cy="1257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Pronounced fibrosis in heart muscle of MLP KO mice (characteristic of gDCM) is visibly and measurably reduced when crossed with DWORF Tg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67945</wp:posOffset>
            </wp:positionV>
            <wp:extent cx="1924050" cy="1025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924050" cy="10255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520"/>
            <w:col w:w="4420"/>
          </w:cols>
          <w:pgMar w:left="320" w:top="418"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161</w:t>
      </w:r>
    </w:p>
    <w:p>
      <w:pPr>
        <w:sectPr>
          <w:pgSz w:w="11900" w:h="16838" w:orient="portrait"/>
          <w:cols w:equalWidth="0" w:num="1">
            <w:col w:w="10380"/>
          </w:cols>
          <w:pgMar w:left="320" w:top="418" w:right="1199" w:bottom="1440" w:gutter="0" w:footer="0" w:header="0"/>
          <w:type w:val="continuous"/>
        </w:sectPr>
      </w:pPr>
    </w:p>
    <w:bookmarkStart w:id="164" w:name="page165"/>
    <w:bookmarkEnd w:id="1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200"/>
        <w:spacing w:after="0" w:line="256" w:lineRule="auto"/>
        <w:rPr>
          <w:sz w:val="20"/>
          <w:szCs w:val="20"/>
          <w:color w:val="auto"/>
        </w:rPr>
      </w:pPr>
      <w:r>
        <w:rPr>
          <w:rFonts w:ascii="Arial" w:cs="Arial" w:eastAsia="Arial" w:hAnsi="Arial"/>
          <w:sz w:val="16"/>
          <w:szCs w:val="16"/>
          <w:color w:val="auto"/>
        </w:rPr>
        <w:t>Treatment with AAV:DWORF constructs has shown similar improvements in heart remodeling following treatment. As shown below, experiments conducted in the lab of Eric Olson demonstrated improvements in heart remodeling with an AAV:DWORF construct in the MLP KO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128270</wp:posOffset>
            </wp:positionV>
            <wp:extent cx="1953895" cy="21113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953895"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80"/>
        <w:spacing w:after="0" w:line="329" w:lineRule="auto"/>
        <w:rPr>
          <w:sz w:val="20"/>
          <w:szCs w:val="20"/>
          <w:color w:val="auto"/>
        </w:rPr>
      </w:pPr>
      <w:r>
        <w:rPr>
          <w:rFonts w:ascii="Arial" w:cs="Arial" w:eastAsia="Arial" w:hAnsi="Arial"/>
          <w:sz w:val="13"/>
          <w:szCs w:val="13"/>
          <w:color w:val="auto"/>
        </w:rPr>
        <w:t>We have also demonstrated improvement in the same MLP KO model using our proprietary AAV:DWORF constructs. We have developed multiple proprietary promoters that drive multiple different levels of expression. As shown below, AAV:DWORF constructs containing these promoters (TNP-CM2, TNP-CM4, and TNP-CM7) improved in EF relative to a saline control in the MLP KO mouse model of DCM, with improvements in EF as high as approximately 14% achieved with constructs containing the TNP-CM4 promoter:</w:t>
      </w:r>
    </w:p>
    <w:p>
      <w:pPr>
        <w:spacing w:after="0" w:line="214" w:lineRule="exact"/>
        <w:rPr>
          <w:sz w:val="20"/>
          <w:szCs w:val="20"/>
          <w:color w:val="auto"/>
        </w:rPr>
      </w:pPr>
    </w:p>
    <w:p>
      <w:pPr>
        <w:ind w:left="2540"/>
        <w:spacing w:after="0"/>
        <w:rPr>
          <w:sz w:val="20"/>
          <w:szCs w:val="20"/>
          <w:color w:val="auto"/>
        </w:rPr>
      </w:pPr>
      <w:r>
        <w:rPr>
          <w:rFonts w:ascii="Arial" w:cs="Arial" w:eastAsia="Arial" w:hAnsi="Arial"/>
          <w:sz w:val="16"/>
          <w:szCs w:val="16"/>
          <w:b w:val="1"/>
          <w:bCs w:val="1"/>
          <w:color w:val="auto"/>
        </w:rPr>
        <w:t>Comparison of Effect of Three DWORF Constructs in Severe MLP KO DCM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147955</wp:posOffset>
            </wp:positionV>
            <wp:extent cx="2328545" cy="20135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328545" cy="2013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0400"/>
          </w:cols>
          <w:pgMar w:left="320" w:top="418" w:right="117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120" w:hanging="469"/>
        <w:spacing w:after="0" w:line="251" w:lineRule="auto"/>
        <w:tabs>
          <w:tab w:leader="none" w:pos="1660" w:val="left"/>
        </w:tabs>
        <w:numPr>
          <w:ilvl w:val="0"/>
          <w:numId w:val="105"/>
        </w:numPr>
        <w:rPr>
          <w:rFonts w:ascii="Arial" w:cs="Arial" w:eastAsia="Arial" w:hAnsi="Arial"/>
          <w:sz w:val="16"/>
          <w:szCs w:val="16"/>
          <w:color w:val="auto"/>
        </w:rPr>
      </w:pPr>
      <w:r>
        <w:rPr>
          <w:rFonts w:ascii="Arial" w:cs="Arial" w:eastAsia="Arial" w:hAnsi="Arial"/>
          <w:sz w:val="16"/>
          <w:szCs w:val="16"/>
          <w:i w:val="1"/>
          <w:iCs w:val="1"/>
          <w:color w:val="auto"/>
        </w:rPr>
        <w:t>PLN Mutant DCM</w:t>
      </w:r>
      <w:r>
        <w:rPr>
          <w:rFonts w:ascii="Arial" w:cs="Arial" w:eastAsia="Arial" w:hAnsi="Arial"/>
          <w:sz w:val="16"/>
          <w:szCs w:val="16"/>
          <w:color w:val="auto"/>
        </w:rPr>
        <w:t>: Overexpression of</w:t>
      </w:r>
      <w:r>
        <w:rPr>
          <w:rFonts w:ascii="Arial" w:cs="Arial" w:eastAsia="Arial" w:hAnsi="Arial"/>
          <w:sz w:val="16"/>
          <w:szCs w:val="16"/>
          <w:i w:val="1"/>
          <w:iCs w:val="1"/>
          <w:color w:val="auto"/>
        </w:rPr>
        <w:t xml:space="preserve"> DWORF </w:t>
      </w:r>
      <w:r>
        <w:rPr>
          <w:rFonts w:ascii="Arial" w:cs="Arial" w:eastAsia="Arial" w:hAnsi="Arial"/>
          <w:sz w:val="16"/>
          <w:szCs w:val="16"/>
          <w:color w:val="auto"/>
        </w:rPr>
        <w:t>has also demonstrated meaningful improvements in mouse models of PLN mutant DCM.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experiments conducted in the lab of Eric Olson, mice with PLN R9C mutations are characterized by strong PLN inhibition of the SERCA2a calcium pump, resulting in decreased calcium flux, reduced heart muscle contraction, and decreased heart function. Tg overexpression of </w:t>
      </w:r>
      <w:r>
        <w:rPr>
          <w:rFonts w:ascii="Arial" w:cs="Arial" w:eastAsia="Arial" w:hAnsi="Arial"/>
          <w:sz w:val="16"/>
          <w:szCs w:val="16"/>
          <w:i w:val="1"/>
          <w:iCs w:val="1"/>
          <w:color w:val="auto"/>
        </w:rPr>
        <w:t>DWORF</w:t>
      </w:r>
      <w:r>
        <w:rPr>
          <w:rFonts w:ascii="Arial" w:cs="Arial" w:eastAsia="Arial" w:hAnsi="Arial"/>
          <w:sz w:val="16"/>
          <w:szCs w:val="16"/>
          <w:color w:val="auto"/>
        </w:rPr>
        <w:t xml:space="preserve"> has been shown, as illustrated below, to improve fibrosis and heart remodeling in animals six months of age and improve survival in this genetic model of HF.</w:t>
      </w:r>
    </w:p>
    <w:p>
      <w:pPr>
        <w:spacing w:after="0" w:line="260"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DWORF Overexpression Reduces Fibrosis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147955</wp:posOffset>
            </wp:positionV>
            <wp:extent cx="2567940" cy="1280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567940"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auto"/>
        </w:rPr>
        <w:t>DWORF Overexpression Reduces Adverse Remodeling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148590</wp:posOffset>
            </wp:positionV>
            <wp:extent cx="2418080" cy="13100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418080" cy="131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DWORF Overexpression Improves Survival in PLN R9C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147955</wp:posOffset>
            </wp:positionV>
            <wp:extent cx="3481070" cy="14897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81070" cy="1489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 xml:space="preserve">We have tested different AAV:DWORF constructs in both healthy and disease mouse models and have not observed any safety signals at clinically relevant levels of </w:t>
      </w:r>
      <w:r>
        <w:rPr>
          <w:rFonts w:ascii="Arial" w:cs="Arial" w:eastAsia="Arial" w:hAnsi="Arial"/>
          <w:sz w:val="16"/>
          <w:szCs w:val="16"/>
          <w:i w:val="1"/>
          <w:iCs w:val="1"/>
          <w:color w:val="auto"/>
        </w:rPr>
        <w:t>DWORF</w:t>
      </w:r>
      <w:r>
        <w:rPr>
          <w:rFonts w:ascii="Arial" w:cs="Arial" w:eastAsia="Arial" w:hAnsi="Arial"/>
          <w:sz w:val="16"/>
          <w:szCs w:val="16"/>
          <w:color w:val="auto"/>
        </w:rPr>
        <w:t xml:space="preserve"> overexpression.</w:t>
      </w:r>
    </w:p>
    <w:p>
      <w:pPr>
        <w:spacing w:after="0" w:line="200" w:lineRule="exact"/>
        <w:rPr>
          <w:sz w:val="20"/>
          <w:szCs w:val="20"/>
          <w:color w:val="auto"/>
        </w:rPr>
      </w:pPr>
    </w:p>
    <w:p>
      <w:pPr>
        <w:spacing w:after="0" w:line="21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0420"/>
          </w:cols>
          <w:pgMar w:left="320" w:top="418" w:right="115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1200"/>
        <w:spacing w:after="0"/>
        <w:tabs>
          <w:tab w:leader="none" w:pos="3120" w:val="left"/>
        </w:tabs>
        <w:rPr>
          <w:sz w:val="20"/>
          <w:szCs w:val="20"/>
          <w:color w:val="auto"/>
        </w:rPr>
      </w:pPr>
      <w:r>
        <w:rPr>
          <w:rFonts w:ascii="Arial" w:cs="Arial" w:eastAsia="Arial" w:hAnsi="Arial"/>
          <w:sz w:val="16"/>
          <w:szCs w:val="16"/>
          <w:color w:val="auto"/>
        </w:rPr>
        <w:t>We intend to</w:t>
      </w:r>
      <w:r>
        <w:rPr>
          <w:sz w:val="20"/>
          <w:szCs w:val="20"/>
          <w:color w:val="auto"/>
        </w:rPr>
        <w:tab/>
      </w:r>
      <w:r>
        <w:rPr>
          <w:rFonts w:ascii="Arial" w:cs="Arial" w:eastAsia="Arial" w:hAnsi="Arial"/>
          <w:sz w:val="13"/>
          <w:szCs w:val="13"/>
          <w:color w:val="auto"/>
        </w:rPr>
        <w:t>. We plan to explore the safety and efficacy of AAV:DWORF constructs in both broad indications, such as DCM</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and HFrEF, and rare indications, such as PLN mutant DCM.</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Reprogramming Program for HF due to Prior MI</w:t>
      </w:r>
    </w:p>
    <w:p>
      <w:pPr>
        <w:spacing w:after="0" w:line="99" w:lineRule="exact"/>
        <w:rPr>
          <w:sz w:val="20"/>
          <w:szCs w:val="20"/>
          <w:color w:val="auto"/>
        </w:rPr>
      </w:pPr>
    </w:p>
    <w:p>
      <w:pPr>
        <w:ind w:left="820" w:right="140" w:firstLine="385"/>
        <w:spacing w:after="0" w:line="268" w:lineRule="auto"/>
        <w:rPr>
          <w:sz w:val="20"/>
          <w:szCs w:val="20"/>
          <w:color w:val="auto"/>
        </w:rPr>
      </w:pPr>
      <w:r>
        <w:rPr>
          <w:rFonts w:ascii="Arial" w:cs="Arial" w:eastAsia="Arial" w:hAnsi="Arial"/>
          <w:sz w:val="15"/>
          <w:szCs w:val="15"/>
          <w:color w:val="auto"/>
        </w:rPr>
        <w:t xml:space="preserve">We have made significant advances in our unique approach to cellular regeneration using viral vectors to deliver factors that drive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reprogramming of resident CFs to create new CMs. We have discovered a proprietary combination of three genes that can drive robust reprogramming when delivered together in a single AAV. As shown in the figures below, see “Reprogramming: Preclinical Studies”, significant (p&lt;0.01) and durable improvement in EF has been achieved across 29 weeks post-treatment in rats, as well as tolerability in multiple small and large animal models. Results of this approach in a pig model of HF due to prior MI were presented at the ASGCT conference in 2020 and represent what we believe is the first-ever successful demonstration of the therapeutic benefit of this approach in a large animal model with a human-sized heart. This program is currently at the candidate selection stage.</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 due to prior MI</w:t>
      </w:r>
    </w:p>
    <w:p>
      <w:pPr>
        <w:spacing w:after="0" w:line="99" w:lineRule="exact"/>
        <w:rPr>
          <w:sz w:val="20"/>
          <w:szCs w:val="20"/>
          <w:color w:val="auto"/>
        </w:rPr>
      </w:pPr>
    </w:p>
    <w:p>
      <w:pPr>
        <w:ind w:left="820" w:right="180" w:firstLine="385"/>
        <w:spacing w:after="0" w:line="272" w:lineRule="auto"/>
        <w:rPr>
          <w:sz w:val="20"/>
          <w:szCs w:val="20"/>
          <w:color w:val="auto"/>
        </w:rPr>
      </w:pPr>
      <w:r>
        <w:rPr>
          <w:rFonts w:ascii="Arial" w:cs="Arial" w:eastAsia="Arial" w:hAnsi="Arial"/>
          <w:sz w:val="15"/>
          <w:szCs w:val="15"/>
          <w:color w:val="auto"/>
        </w:rPr>
        <w:t>CAD is the single most common cause of HF. CAD is often associated with an MI, in which blood flow to a section of the heart, usually the LV, becomes limited, causing the cells in that section of the heart, including CMs and CFs, to die. The heart cannot replace the lost CMs while the CFs multiply significantly, resulting in scar tissue formation and stiffening of the LV walls, leading to progressive and irreversible cardiovascular remodeling. As a result, the heart continues to lose its ability to pump as strongly and may fail over time. In addition to HF, these patients also have a persistent risk of arrhythmias and increased likelihood of a second heart attack or sudden death.</w:t>
      </w:r>
    </w:p>
    <w:p>
      <w:pPr>
        <w:spacing w:after="0" w:line="154"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In the United States, greater than 800,000 people have a heart attack every year; of these approximately 200,000 already had a prior heart attack. Approximately 20% of patients age 45 and older will have another heart attack within five years of their first one. Despite advances in treatment options, mortality due to heart attack is still high; data from the U.S. National Vital Statistics Reports shows the median life expectancy among individuals aged 65 to 69 who have had a heart attack is just 8.3 years as compared to 18.7 years among those who have not.</w:t>
      </w:r>
    </w:p>
    <w:p>
      <w:pPr>
        <w:spacing w:after="0" w:line="15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are no known therapies that address the loss of CMs associated with MI and the resulting morbidity and mortality.</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Direct In Vivo Reprogramming of Resident CFs to Create CMs</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 xml:space="preserve">Cellular reprogramming is the process of converting cells of one type into another cell type. Shinya Yamanaka and John Gurdon won the Nobel Prize for their discovery that cells in the body can be reprogrammed to become stem cells, called iPSCs, capable of developing into any other type of cell in the body using a combination of four transcriptional factors. Since then, researchers have also found other combinations of factors capable of directly converting cells from one type to another without first going through the iPSC state. Dr. Srivastava, one of our co-founders and a member of our board of directors, was the first to demonstrate direct reprogramming of CFs into CMs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creating the potential for a new approach to cardiac regeneration.</w:t>
      </w:r>
    </w:p>
    <w:p>
      <w:pPr>
        <w:spacing w:after="0" w:line="171"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 xml:space="preserve">Building on this pioneering work, we have developed a novel AAV-based therapy for direct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resident CFs into CMs to replace the CMs lost due to an MI. Our goal is to convert the CFs into new CMs to help repair the heart after an MI, and ultimately slow down, stabilize or even potentially reverse the progression to HF. Our approach leverages substantial in-house advances in our reprogramming factors, capsid engineering, regulatory elements, and drug delivery to translate cardiac reprogramming science towards clinically relevant solutions.</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0440"/>
          </w:cols>
          <w:pgMar w:left="320" w:top="418" w:right="113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line="329" w:lineRule="auto"/>
        <w:tabs>
          <w:tab w:leader="none" w:pos="1660" w:val="left"/>
        </w:tabs>
        <w:numPr>
          <w:ilvl w:val="0"/>
          <w:numId w:val="106"/>
        </w:numPr>
        <w:rPr>
          <w:rFonts w:ascii="Arial" w:cs="Arial" w:eastAsia="Arial" w:hAnsi="Arial"/>
          <w:sz w:val="13"/>
          <w:szCs w:val="13"/>
          <w:color w:val="auto"/>
        </w:rPr>
      </w:pPr>
      <w:r>
        <w:rPr>
          <w:rFonts w:ascii="Arial" w:cs="Arial" w:eastAsia="Arial" w:hAnsi="Arial"/>
          <w:sz w:val="13"/>
          <w:szCs w:val="13"/>
          <w:i w:val="1"/>
          <w:iCs w:val="1"/>
          <w:color w:val="auto"/>
        </w:rPr>
        <w:t>Reprogramming factors</w:t>
      </w:r>
      <w:r>
        <w:rPr>
          <w:rFonts w:ascii="Arial" w:cs="Arial" w:eastAsia="Arial" w:hAnsi="Arial"/>
          <w:sz w:val="13"/>
          <w:szCs w:val="13"/>
          <w:color w:val="auto"/>
        </w:rPr>
        <w:t>. Through extensive</w:t>
      </w:r>
      <w:r>
        <w:rPr>
          <w:rFonts w:ascii="Arial" w:cs="Arial" w:eastAsia="Arial" w:hAnsi="Arial"/>
          <w:sz w:val="13"/>
          <w:szCs w:val="13"/>
          <w:i w:val="1"/>
          <w:iCs w:val="1"/>
          <w:color w:val="auto"/>
        </w:rPr>
        <w:t xml:space="preserve"> in vitro </w:t>
      </w:r>
      <w:r>
        <w:rPr>
          <w:rFonts w:ascii="Arial" w:cs="Arial" w:eastAsia="Arial" w:hAnsi="Arial"/>
          <w:sz w:val="13"/>
          <w:szCs w:val="13"/>
          <w:color w:val="auto"/>
        </w:rPr>
        <w:t>screening efforts in actual human CFs, we identified a unique combination of three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genes encoding Myocardin, ASCL1, and miR-133 that together can drive robust direct </w:t>
      </w:r>
      <w:r>
        <w:rPr>
          <w:rFonts w:ascii="Arial" w:cs="Arial" w:eastAsia="Arial" w:hAnsi="Arial"/>
          <w:sz w:val="13"/>
          <w:szCs w:val="13"/>
          <w:i w:val="1"/>
          <w:iCs w:val="1"/>
          <w:color w:val="auto"/>
        </w:rPr>
        <w:t>in vivo</w:t>
      </w:r>
      <w:r>
        <w:rPr>
          <w:rFonts w:ascii="Arial" w:cs="Arial" w:eastAsia="Arial" w:hAnsi="Arial"/>
          <w:sz w:val="13"/>
          <w:szCs w:val="13"/>
          <w:color w:val="auto"/>
        </w:rPr>
        <w:t xml:space="preserve"> reprogramming of CFs to CMs, and that we have designed to fit into a single AAV. We use the term reprogramming factors to refer to such combination of genes and any other combinations of genes that when delivered together in a single AAV into CFs, result in the direct reprogramming of the CFs into CMs.</w:t>
      </w:r>
    </w:p>
    <w:p>
      <w:pPr>
        <w:spacing w:after="0" w:line="40" w:lineRule="exact"/>
        <w:rPr>
          <w:rFonts w:ascii="Arial" w:cs="Arial" w:eastAsia="Arial" w:hAnsi="Arial"/>
          <w:sz w:val="13"/>
          <w:szCs w:val="13"/>
          <w:color w:val="auto"/>
        </w:rPr>
      </w:pPr>
    </w:p>
    <w:p>
      <w:pPr>
        <w:ind w:left="1660" w:right="20" w:hanging="469"/>
        <w:spacing w:after="0" w:line="281"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Capsid engineering</w:t>
      </w:r>
      <w:r>
        <w:rPr>
          <w:rFonts w:ascii="Arial" w:cs="Arial" w:eastAsia="Arial" w:hAnsi="Arial"/>
          <w:sz w:val="15"/>
          <w:szCs w:val="15"/>
          <w:color w:val="auto"/>
        </w:rPr>
        <w:t>. While AAV9 can be used to target CMs, it does not sufficiently transduce CFs. We have discovered a novel capsid,</w:t>
      </w:r>
      <w:r>
        <w:rPr>
          <w:rFonts w:ascii="Arial" w:cs="Arial" w:eastAsia="Arial" w:hAnsi="Arial"/>
          <w:sz w:val="15"/>
          <w:szCs w:val="15"/>
          <w:i w:val="1"/>
          <w:iCs w:val="1"/>
          <w:color w:val="auto"/>
        </w:rPr>
        <w:t xml:space="preserve"> </w:t>
      </w:r>
      <w:r>
        <w:rPr>
          <w:rFonts w:ascii="Arial" w:cs="Arial" w:eastAsia="Arial" w:hAnsi="Arial"/>
          <w:sz w:val="15"/>
          <w:szCs w:val="15"/>
          <w:color w:val="auto"/>
        </w:rPr>
        <w:t>TNC-CF1, which has a higher transduction efficiency for human CFs as compared to currently known AAV serotypes. Initial data suggest this novel capsid may also be less susceptible to neutralizing antibodies compared to known serotypes.</w:t>
      </w:r>
    </w:p>
    <w:p>
      <w:pPr>
        <w:spacing w:after="0" w:line="66" w:lineRule="exact"/>
        <w:rPr>
          <w:rFonts w:ascii="Arial" w:cs="Arial" w:eastAsia="Arial" w:hAnsi="Arial"/>
          <w:sz w:val="15"/>
          <w:szCs w:val="15"/>
          <w:color w:val="auto"/>
        </w:rPr>
      </w:pPr>
    </w:p>
    <w:p>
      <w:pPr>
        <w:ind w:left="1660" w:right="20" w:hanging="469"/>
        <w:spacing w:after="0" w:line="272" w:lineRule="auto"/>
        <w:tabs>
          <w:tab w:leader="none" w:pos="1660" w:val="left"/>
        </w:tabs>
        <w:numPr>
          <w:ilvl w:val="0"/>
          <w:numId w:val="106"/>
        </w:numPr>
        <w:rPr>
          <w:rFonts w:ascii="Arial" w:cs="Arial" w:eastAsia="Arial" w:hAnsi="Arial"/>
          <w:sz w:val="15"/>
          <w:szCs w:val="15"/>
          <w:color w:val="auto"/>
        </w:rPr>
      </w:pPr>
      <w:r>
        <w:rPr>
          <w:rFonts w:ascii="Arial" w:cs="Arial" w:eastAsia="Arial" w:hAnsi="Arial"/>
          <w:sz w:val="15"/>
          <w:szCs w:val="15"/>
          <w:i w:val="1"/>
          <w:iCs w:val="1"/>
          <w:color w:val="auto"/>
        </w:rPr>
        <w:t>Regulatory elements</w:t>
      </w:r>
      <w:r>
        <w:rPr>
          <w:rFonts w:ascii="Arial" w:cs="Arial" w:eastAsia="Arial" w:hAnsi="Arial"/>
          <w:sz w:val="15"/>
          <w:szCs w:val="15"/>
          <w:color w:val="auto"/>
        </w:rPr>
        <w:t>. We have pursued rigorous, iterative optimization efforts to create proprietary reprogramming products. We have</w:t>
      </w:r>
      <w:r>
        <w:rPr>
          <w:rFonts w:ascii="Arial" w:cs="Arial" w:eastAsia="Arial" w:hAnsi="Arial"/>
          <w:sz w:val="15"/>
          <w:szCs w:val="15"/>
          <w:i w:val="1"/>
          <w:iCs w:val="1"/>
          <w:color w:val="auto"/>
        </w:rPr>
        <w:t xml:space="preserve"> </w:t>
      </w:r>
      <w:r>
        <w:rPr>
          <w:rFonts w:ascii="Arial" w:cs="Arial" w:eastAsia="Arial" w:hAnsi="Arial"/>
          <w:sz w:val="15"/>
          <w:szCs w:val="15"/>
          <w:color w:val="auto"/>
        </w:rPr>
        <w:t>further optimized Myocardin and cassette regulatory elements to both decrease cassette size and improve reprogramming efficiency. After extensive exploration of single and double promoter strategies, we have selected the CAG promoter to drive robust expression of our reprogramming factors. We limit expression of our reprogramming factors in mature CMs by including a miR-208 binding site that decreases reprogramming factor expression in mature CMs after differentiation from fibroblasts.</w:t>
      </w:r>
    </w:p>
    <w:p>
      <w:pPr>
        <w:spacing w:after="0" w:line="71" w:lineRule="exact"/>
        <w:rPr>
          <w:rFonts w:ascii="Arial" w:cs="Arial" w:eastAsia="Arial" w:hAnsi="Arial"/>
          <w:sz w:val="15"/>
          <w:szCs w:val="15"/>
          <w:color w:val="auto"/>
        </w:rPr>
      </w:pPr>
    </w:p>
    <w:p>
      <w:pPr>
        <w:ind w:left="1660" w:right="120" w:hanging="469"/>
        <w:spacing w:after="0" w:line="253" w:lineRule="auto"/>
        <w:tabs>
          <w:tab w:leader="none" w:pos="1660" w:val="left"/>
        </w:tabs>
        <w:numPr>
          <w:ilvl w:val="0"/>
          <w:numId w:val="106"/>
        </w:numPr>
        <w:rPr>
          <w:rFonts w:ascii="Arial" w:cs="Arial" w:eastAsia="Arial" w:hAnsi="Arial"/>
          <w:sz w:val="16"/>
          <w:szCs w:val="16"/>
          <w:color w:val="auto"/>
        </w:rPr>
      </w:pPr>
      <w:r>
        <w:rPr>
          <w:rFonts w:ascii="Arial" w:cs="Arial" w:eastAsia="Arial" w:hAnsi="Arial"/>
          <w:sz w:val="16"/>
          <w:szCs w:val="16"/>
          <w:i w:val="1"/>
          <w:iCs w:val="1"/>
          <w:color w:val="auto"/>
        </w:rPr>
        <w:t>Drug delivery</w:t>
      </w:r>
      <w:r>
        <w:rPr>
          <w:rFonts w:ascii="Arial" w:cs="Arial" w:eastAsia="Arial" w:hAnsi="Arial"/>
          <w:sz w:val="16"/>
          <w:szCs w:val="16"/>
          <w:color w:val="auto"/>
        </w:rPr>
        <w:t>. We are developing, in conjunction with leaders in interventional cardiology, a proprietary percutaneous endomyocardial</w:t>
      </w:r>
      <w:r>
        <w:rPr>
          <w:rFonts w:ascii="Arial" w:cs="Arial" w:eastAsia="Arial" w:hAnsi="Arial"/>
          <w:sz w:val="16"/>
          <w:szCs w:val="16"/>
          <w:i w:val="1"/>
          <w:iCs w:val="1"/>
          <w:color w:val="auto"/>
        </w:rPr>
        <w:t xml:space="preserve"> </w:t>
      </w:r>
      <w:r>
        <w:rPr>
          <w:rFonts w:ascii="Arial" w:cs="Arial" w:eastAsia="Arial" w:hAnsi="Arial"/>
          <w:sz w:val="16"/>
          <w:szCs w:val="16"/>
          <w:color w:val="auto"/>
        </w:rPr>
        <w:t>injection catheter (TND-INJ1) to inject and deliver our gene therapies around scars in the heart in a non-surgical, minimally-invasive procedure. Many potential sites for future clinical studies have experience with endomyocardial injection catheters through previous and ongoing cell therapy studies.</w:t>
      </w:r>
    </w:p>
    <w:p>
      <w:pPr>
        <w:spacing w:after="0" w:line="73" w:lineRule="exact"/>
        <w:rPr>
          <w:rFonts w:ascii="Arial" w:cs="Arial" w:eastAsia="Arial" w:hAnsi="Arial"/>
          <w:sz w:val="16"/>
          <w:szCs w:val="16"/>
          <w:color w:val="auto"/>
        </w:rPr>
      </w:pPr>
    </w:p>
    <w:p>
      <w:pPr>
        <w:ind w:left="1680" w:right="320"/>
        <w:spacing w:after="0" w:line="266" w:lineRule="auto"/>
        <w:rPr>
          <w:rFonts w:ascii="Arial" w:cs="Arial" w:eastAsia="Arial" w:hAnsi="Arial"/>
          <w:sz w:val="16"/>
          <w:szCs w:val="16"/>
          <w:color w:val="auto"/>
        </w:rPr>
      </w:pPr>
      <w:r>
        <w:rPr>
          <w:rFonts w:ascii="Arial" w:cs="Arial" w:eastAsia="Arial" w:hAnsi="Arial"/>
          <w:sz w:val="16"/>
          <w:szCs w:val="16"/>
          <w:color w:val="auto"/>
        </w:rPr>
        <w:t>The schematic below summarizes the components of our intended reprogramming gene therapy product candidate and mechanism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123190</wp:posOffset>
            </wp:positionV>
            <wp:extent cx="4529455" cy="19615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29455" cy="196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0360"/>
          </w:cols>
          <w:pgMar w:left="320" w:top="418" w:right="121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Preclinical Studies</w:t>
      </w:r>
    </w:p>
    <w:p>
      <w:pPr>
        <w:spacing w:after="0" w:line="99" w:lineRule="exact"/>
        <w:rPr>
          <w:sz w:val="20"/>
          <w:szCs w:val="20"/>
          <w:color w:val="auto"/>
        </w:rPr>
      </w:pPr>
    </w:p>
    <w:p>
      <w:pPr>
        <w:ind w:left="820" w:right="520" w:firstLine="385"/>
        <w:spacing w:after="0" w:line="266" w:lineRule="auto"/>
        <w:rPr>
          <w:sz w:val="20"/>
          <w:szCs w:val="20"/>
          <w:color w:val="auto"/>
        </w:rPr>
      </w:pPr>
      <w:r>
        <w:rPr>
          <w:rFonts w:ascii="Arial" w:cs="Arial" w:eastAsia="Arial" w:hAnsi="Arial"/>
          <w:sz w:val="16"/>
          <w:szCs w:val="16"/>
          <w:color w:val="auto"/>
        </w:rPr>
        <w:t xml:space="preserve">We have conducted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to optimize our direct reprogramming approach</w:t>
      </w:r>
      <w:r>
        <w:rPr>
          <w:rFonts w:ascii="Arial" w:cs="Arial" w:eastAsia="Arial" w:hAnsi="Arial"/>
          <w:sz w:val="16"/>
          <w:szCs w:val="16"/>
          <w:i w:val="1"/>
          <w:iCs w:val="1"/>
          <w:color w:val="auto"/>
        </w:rPr>
        <w:t>.</w:t>
      </w:r>
      <w:r>
        <w:rPr>
          <w:rFonts w:ascii="Arial" w:cs="Arial" w:eastAsia="Arial" w:hAnsi="Arial"/>
          <w:sz w:val="16"/>
          <w:szCs w:val="16"/>
          <w:color w:val="auto"/>
        </w:rPr>
        <w:t xml:space="preserve"> Our most advanced results have been achieved primarily with two different constructs, TN1-002 and TN1-006.</w:t>
      </w:r>
    </w:p>
    <w:p>
      <w:pPr>
        <w:spacing w:after="0" w:line="182" w:lineRule="exact"/>
        <w:rPr>
          <w:sz w:val="20"/>
          <w:szCs w:val="20"/>
          <w:color w:val="auto"/>
        </w:rPr>
      </w:pPr>
    </w:p>
    <w:p>
      <w:pPr>
        <w:ind w:left="1660" w:hanging="469"/>
        <w:spacing w:after="0" w:line="251" w:lineRule="auto"/>
        <w:tabs>
          <w:tab w:leader="none" w:pos="1660" w:val="left"/>
        </w:tabs>
        <w:numPr>
          <w:ilvl w:val="0"/>
          <w:numId w:val="107"/>
        </w:numPr>
        <w:rPr>
          <w:rFonts w:ascii="Arial" w:cs="Arial" w:eastAsia="Arial" w:hAnsi="Arial"/>
          <w:sz w:val="16"/>
          <w:szCs w:val="16"/>
          <w:color w:val="auto"/>
        </w:rPr>
      </w:pPr>
      <w:r>
        <w:rPr>
          <w:rFonts w:ascii="Arial" w:cs="Arial" w:eastAsia="Arial" w:hAnsi="Arial"/>
          <w:sz w:val="16"/>
          <w:szCs w:val="16"/>
          <w:i w:val="1"/>
          <w:iCs w:val="1"/>
          <w:color w:val="auto"/>
        </w:rPr>
        <w:t>Results from in vitro conversion of human CFs</w:t>
      </w:r>
      <w:r>
        <w:rPr>
          <w:rFonts w:ascii="Arial" w:cs="Arial" w:eastAsia="Arial" w:hAnsi="Arial"/>
          <w:sz w:val="16"/>
          <w:szCs w:val="16"/>
          <w:color w:val="auto"/>
        </w:rPr>
        <w:t>. Our reprogramming approach has been optimized</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in adult human CFs.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extensive iterative experiments to compare the relative efficiency of various constructs to convert CFs to CMs. CM-specific markers like cTnT and a-Actinin are measured to determine the proportion of cells that have been converted from CFs to CMs. The figure below illustrates the results from such an experiment, demonstrating how our TN1-006 construct can convert approximately 40% of human CFs to CMs:</w:t>
      </w:r>
    </w:p>
    <w:p>
      <w:pPr>
        <w:spacing w:after="0" w:line="26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i w:val="1"/>
          <w:iCs w:val="1"/>
          <w:color w:val="auto"/>
        </w:rPr>
        <w:t xml:space="preserve">In vitro </w:t>
      </w:r>
      <w:r>
        <w:rPr>
          <w:rFonts w:ascii="Arial" w:cs="Arial" w:eastAsia="Arial" w:hAnsi="Arial"/>
          <w:sz w:val="16"/>
          <w:szCs w:val="16"/>
          <w:b w:val="1"/>
          <w:bCs w:val="1"/>
          <w:color w:val="auto"/>
        </w:rPr>
        <w:t>Comparison of Reprogramming Efficiency</w:t>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of Adult Human Cardiac Fibroblasts to Cardiomyocytes with Different Constructs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1501140</wp:posOffset>
            </wp:positionH>
            <wp:positionV relativeFrom="paragraph">
              <wp:posOffset>138430</wp:posOffset>
            </wp:positionV>
            <wp:extent cx="4140200" cy="20288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140200"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60" w:right="80" w:hanging="469"/>
        <w:spacing w:after="0" w:line="275" w:lineRule="auto"/>
        <w:tabs>
          <w:tab w:leader="none" w:pos="1660" w:val="left"/>
        </w:tabs>
        <w:numPr>
          <w:ilvl w:val="0"/>
          <w:numId w:val="108"/>
        </w:numPr>
        <w:rPr>
          <w:rFonts w:ascii="Arial" w:cs="Arial" w:eastAsia="Arial" w:hAnsi="Arial"/>
          <w:sz w:val="15"/>
          <w:szCs w:val="15"/>
          <w:color w:val="auto"/>
        </w:rPr>
      </w:pPr>
      <w:r>
        <w:rPr>
          <w:rFonts w:ascii="Arial" w:cs="Arial" w:eastAsia="Arial" w:hAnsi="Arial"/>
          <w:sz w:val="15"/>
          <w:szCs w:val="15"/>
          <w:i w:val="1"/>
          <w:iCs w:val="1"/>
          <w:color w:val="auto"/>
        </w:rPr>
        <w:t>Results from rodent disease models</w:t>
      </w:r>
      <w:r>
        <w:rPr>
          <w:rFonts w:ascii="Arial" w:cs="Arial" w:eastAsia="Arial" w:hAnsi="Arial"/>
          <w:sz w:val="15"/>
          <w:szCs w:val="15"/>
          <w:color w:val="auto"/>
        </w:rPr>
        <w:t>. We have demonstrated durable and dose-dependent improvement in EF in both mouse and rat models</w:t>
      </w:r>
      <w:r>
        <w:rPr>
          <w:rFonts w:ascii="Arial" w:cs="Arial" w:eastAsia="Arial" w:hAnsi="Arial"/>
          <w:sz w:val="15"/>
          <w:szCs w:val="15"/>
          <w:i w:val="1"/>
          <w:iCs w:val="1"/>
          <w:color w:val="auto"/>
        </w:rPr>
        <w:t xml:space="preserve"> </w:t>
      </w:r>
      <w:r>
        <w:rPr>
          <w:rFonts w:ascii="Arial" w:cs="Arial" w:eastAsia="Arial" w:hAnsi="Arial"/>
          <w:sz w:val="15"/>
          <w:szCs w:val="15"/>
          <w:color w:val="auto"/>
        </w:rPr>
        <w:t>of HF following an induced MI. In our rat model, TN1-006 was injected directly around the scar area formed two weeks after an induced MI. The figure below demonstrates dose-dependent improvement in EF, with an approximately 10% improvement in EF achieved at the highest dose compared to controls that was sustained up to the end of the experiment at 29 weeks:</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0420"/>
          </w:cols>
          <w:pgMar w:left="320" w:top="418" w:right="115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auto"/>
        </w:rPr>
        <w:t>Improvement in Ejection Fraction with TN1-006 Reprogramming in Rat Model of Heart Failure Post-MI (after 29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155575</wp:posOffset>
            </wp:positionV>
            <wp:extent cx="2335530" cy="2328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335530" cy="232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660" w:hanging="469"/>
        <w:spacing w:after="0" w:line="275" w:lineRule="auto"/>
        <w:tabs>
          <w:tab w:leader="none" w:pos="1660" w:val="left"/>
        </w:tabs>
        <w:numPr>
          <w:ilvl w:val="0"/>
          <w:numId w:val="109"/>
        </w:numPr>
        <w:rPr>
          <w:rFonts w:ascii="Arial" w:cs="Arial" w:eastAsia="Arial" w:hAnsi="Arial"/>
          <w:sz w:val="15"/>
          <w:szCs w:val="15"/>
          <w:color w:val="auto"/>
        </w:rPr>
      </w:pPr>
      <w:r>
        <w:rPr>
          <w:rFonts w:ascii="Arial" w:cs="Arial" w:eastAsia="Arial" w:hAnsi="Arial"/>
          <w:sz w:val="15"/>
          <w:szCs w:val="15"/>
          <w:i w:val="1"/>
          <w:iCs w:val="1"/>
          <w:color w:val="auto"/>
        </w:rPr>
        <w:t>Results from pig disease model</w:t>
      </w:r>
      <w:r>
        <w:rPr>
          <w:rFonts w:ascii="Arial" w:cs="Arial" w:eastAsia="Arial" w:hAnsi="Arial"/>
          <w:sz w:val="15"/>
          <w:szCs w:val="15"/>
          <w:color w:val="auto"/>
        </w:rPr>
        <w:t>. We have demonstrated durable improvement in EF in a pig model of HF following an induced MI. In a pig</w:t>
      </w:r>
      <w:r>
        <w:rPr>
          <w:rFonts w:ascii="Arial" w:cs="Arial" w:eastAsia="Arial" w:hAnsi="Arial"/>
          <w:sz w:val="15"/>
          <w:szCs w:val="15"/>
          <w:i w:val="1"/>
          <w:iCs w:val="1"/>
          <w:color w:val="auto"/>
        </w:rPr>
        <w:t xml:space="preserve"> </w:t>
      </w:r>
      <w:r>
        <w:rPr>
          <w:rFonts w:ascii="Arial" w:cs="Arial" w:eastAsia="Arial" w:hAnsi="Arial"/>
          <w:sz w:val="15"/>
          <w:szCs w:val="15"/>
          <w:color w:val="auto"/>
        </w:rPr>
        <w:t>model, TN1-002 was injected directly around the scar area formed 28 days after an induced MI. The figure below demonstrates approximately 10% improvement in EF compared to each animal’s own pre-dose baseline and more than 11% improvement compared to control-treated animals that remained sustained until the end of the experiment at nine weeks:</w:t>
      </w:r>
    </w:p>
    <w:p>
      <w:pPr>
        <w:spacing w:after="0" w:line="243"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Improvement in Ejection Fraction (EF) following Treatment with TN1-002 from</w:t>
      </w:r>
    </w:p>
    <w:p>
      <w:pPr>
        <w:spacing w:after="0" w:line="20"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2414270</wp:posOffset>
            </wp:positionH>
            <wp:positionV relativeFrom="paragraph">
              <wp:posOffset>138430</wp:posOffset>
            </wp:positionV>
            <wp:extent cx="2313305" cy="1804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313305" cy="1804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0400"/>
          </w:cols>
          <w:pgMar w:left="320" w:top="418" w:right="117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These results were presented at the ASGCT conference in 2020. We believe these data compare favorably to published efficacy data for other cell and gene therapy interventions in large animal models. Very few previous therapeutic attempts have achieved meaningful improvement in EF compared to pre-dose baseline in large animal models, with typical improvements, when observed, of less than 5%. From an assessment of the published literature, including a meta-analysis of multiple therapeutics in HFrEF, we believe that each 5% increase in EF is expected to reduce mortality by approximately 15%.</w:t>
      </w:r>
    </w:p>
    <w:p>
      <w:pPr>
        <w:spacing w:after="0" w:line="170"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This pig model is known to have high variability in disease progression among individual animals. In order to confirm that the results obtained with TN1-002 reflected true improvements in heart function, we conducted extensive additional analysis of other parameters, including heart size (for example, LV diameter and volume during systole and diastole), measures of cardiac output (for example, stroke volume), measures of heart injury (for example, troponin levels), and final scar size at the level of individual animals. As shown in the figure below, our analysis revealed high heterogeneity in the change in absolute EF% among individual animal responses to TN1-002 from a decline of -2% to improvement of +24%, and that seven out of ten treated animals were considered “responders” (based on EF% increase of greater than 5% over pre-dose baseline) while three out of ten were considered “non-responders”.</w:t>
      </w:r>
    </w:p>
    <w:p>
      <w:pPr>
        <w:spacing w:after="0" w:line="251"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Analysis of Individual Animal Changes in Ejection Fraction Following Treatment with TN1-002 from</w:t>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138430</wp:posOffset>
            </wp:positionV>
            <wp:extent cx="2305685" cy="2200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305685" cy="2200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820" w:right="220" w:firstLine="385"/>
        <w:spacing w:after="0" w:line="256" w:lineRule="auto"/>
        <w:rPr>
          <w:sz w:val="20"/>
          <w:szCs w:val="20"/>
          <w:color w:val="auto"/>
        </w:rPr>
      </w:pPr>
      <w:r>
        <w:rPr>
          <w:rFonts w:ascii="Arial" w:cs="Arial" w:eastAsia="Arial" w:hAnsi="Arial"/>
          <w:sz w:val="16"/>
          <w:szCs w:val="16"/>
          <w:color w:val="auto"/>
        </w:rPr>
        <w:t>Further analysis of responder animals as compared to non-responder animals demonstrated responders generally had improvement in most parameters that were internally consistent and suggestive of positive heart remodeling. By comparison, the pattern of these additional parameters was not internally consistent among non-responders.</w:t>
      </w:r>
    </w:p>
    <w:p>
      <w:pPr>
        <w:spacing w:after="0" w:line="21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0420"/>
          </w:cols>
          <w:pgMar w:left="320" w:top="418" w:right="115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spacing w:after="0" w:line="266" w:lineRule="auto"/>
        <w:rPr>
          <w:sz w:val="20"/>
          <w:szCs w:val="20"/>
          <w:color w:val="auto"/>
        </w:rPr>
      </w:pPr>
      <w:r>
        <w:rPr>
          <w:rFonts w:ascii="Arial" w:cs="Arial" w:eastAsia="Arial" w:hAnsi="Arial"/>
          <w:sz w:val="16"/>
          <w:szCs w:val="16"/>
          <w:color w:val="auto"/>
        </w:rPr>
        <w:t>The figure below demonstrates the expected inverse correlation of the degree of EF improvement of responders to the change in heart size, as measured by LV end systolic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123190</wp:posOffset>
            </wp:positionV>
            <wp:extent cx="3601085" cy="21113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601085" cy="2111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80" w:right="60"/>
        <w:spacing w:after="0" w:line="253" w:lineRule="auto"/>
        <w:rPr>
          <w:sz w:val="20"/>
          <w:szCs w:val="20"/>
          <w:color w:val="auto"/>
        </w:rPr>
      </w:pPr>
      <w:r>
        <w:rPr>
          <w:rFonts w:ascii="Arial" w:cs="Arial" w:eastAsia="Arial" w:hAnsi="Arial"/>
          <w:sz w:val="16"/>
          <w:szCs w:val="16"/>
          <w:color w:val="auto"/>
        </w:rPr>
        <w:t>Further analysis of heart samples from responder as compared to non-responder animals from this study revealed that responder animals had significantly higher measurable levels of the TN1-002 vector and the reprogramming factors than the non-responder animals. This provides additional support that the improvements in EF results seen in this experiment were a direct result of the delivery and expression of reprogramming factors by our AAV capsid.</w:t>
      </w:r>
    </w:p>
    <w:p>
      <w:pPr>
        <w:spacing w:after="0" w:line="167" w:lineRule="exact"/>
        <w:rPr>
          <w:sz w:val="20"/>
          <w:szCs w:val="20"/>
          <w:color w:val="auto"/>
        </w:rPr>
      </w:pPr>
    </w:p>
    <w:p>
      <w:pPr>
        <w:ind w:left="1680" w:right="200"/>
        <w:spacing w:after="0" w:line="383" w:lineRule="auto"/>
        <w:rPr>
          <w:sz w:val="20"/>
          <w:szCs w:val="20"/>
          <w:color w:val="auto"/>
        </w:rPr>
      </w:pPr>
      <w:r>
        <w:rPr>
          <w:rFonts w:ascii="Arial" w:cs="Arial" w:eastAsia="Arial" w:hAnsi="Arial"/>
          <w:sz w:val="13"/>
          <w:szCs w:val="13"/>
          <w:color w:val="auto"/>
        </w:rPr>
        <w:t>The figures below illustrate that the level of AAV transduction and transgene expression was observed to be higher in samples obtained from responders compared to non-responders to TN1-002 in the study of reprogramming in the pig model of heart failure post-MI:</w:t>
      </w:r>
    </w:p>
    <w:p>
      <w:pPr>
        <w:spacing w:after="0" w:line="179" w:lineRule="exact"/>
        <w:rPr>
          <w:sz w:val="20"/>
          <w:szCs w:val="20"/>
          <w:color w:val="auto"/>
        </w:rPr>
      </w:pPr>
    </w:p>
    <w:p>
      <w:pPr>
        <w:jc w:val="center"/>
        <w:ind w:left="1160" w:right="20"/>
        <w:spacing w:after="0" w:line="272" w:lineRule="auto"/>
        <w:rPr>
          <w:sz w:val="20"/>
          <w:szCs w:val="20"/>
          <w:color w:val="auto"/>
        </w:rPr>
      </w:pPr>
      <w:r>
        <w:rPr>
          <w:rFonts w:ascii="Arial" w:cs="Arial" w:eastAsia="Arial" w:hAnsi="Arial"/>
          <w:sz w:val="16"/>
          <w:szCs w:val="16"/>
          <w:b w:val="1"/>
          <w:bCs w:val="1"/>
          <w:color w:val="auto"/>
        </w:rPr>
        <w:t>Comparison of TN1-002 AAV Transduction in Heart Samples of Responders vs. Non-Responders from 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2459355</wp:posOffset>
            </wp:positionH>
            <wp:positionV relativeFrom="paragraph">
              <wp:posOffset>120015</wp:posOffset>
            </wp:positionV>
            <wp:extent cx="2230755" cy="801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230755" cy="80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1160"/>
        <w:spacing w:after="0" w:line="272" w:lineRule="auto"/>
        <w:rPr>
          <w:sz w:val="20"/>
          <w:szCs w:val="20"/>
          <w:color w:val="auto"/>
        </w:rPr>
      </w:pPr>
      <w:r>
        <w:rPr>
          <w:rFonts w:ascii="Arial" w:cs="Arial" w:eastAsia="Arial" w:hAnsi="Arial"/>
          <w:sz w:val="16"/>
          <w:szCs w:val="16"/>
          <w:b w:val="1"/>
          <w:bCs w:val="1"/>
          <w:color w:val="auto"/>
        </w:rPr>
        <w:t>Comparison of TN1-002 Transgene Expression in Heart Samples of Responders vs. Non-Responders from Reprogramming Study in Pig Model of Heart Failure Post-MI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2923540</wp:posOffset>
            </wp:positionH>
            <wp:positionV relativeFrom="paragraph">
              <wp:posOffset>120015</wp:posOffset>
            </wp:positionV>
            <wp:extent cx="1295400" cy="8312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95400"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0400"/>
          </w:cols>
          <w:pgMar w:left="320" w:top="418" w:right="117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100"/>
        <w:spacing w:after="0" w:line="300" w:lineRule="auto"/>
        <w:rPr>
          <w:sz w:val="20"/>
          <w:szCs w:val="20"/>
          <w:color w:val="auto"/>
        </w:rPr>
      </w:pPr>
      <w:r>
        <w:rPr>
          <w:rFonts w:ascii="Arial" w:cs="Arial" w:eastAsia="Arial" w:hAnsi="Arial"/>
          <w:sz w:val="15"/>
          <w:szCs w:val="15"/>
          <w:color w:val="auto"/>
        </w:rPr>
        <w:t>These data provide direction to our ongoing candidate selection efforts. We continue to seek ways to ensure more consistent delivery and expression of our reprogramming factors to CFs, including with the use of novel capsids and novel delivery methods.</w:t>
      </w:r>
    </w:p>
    <w:p>
      <w:pPr>
        <w:spacing w:after="0" w:line="158" w:lineRule="exact"/>
        <w:rPr>
          <w:sz w:val="20"/>
          <w:szCs w:val="20"/>
          <w:color w:val="auto"/>
        </w:rPr>
      </w:pPr>
    </w:p>
    <w:p>
      <w:pPr>
        <w:ind w:left="1660" w:right="260" w:hanging="469"/>
        <w:spacing w:after="0" w:line="300" w:lineRule="auto"/>
        <w:tabs>
          <w:tab w:leader="none" w:pos="1660" w:val="left"/>
        </w:tabs>
        <w:numPr>
          <w:ilvl w:val="0"/>
          <w:numId w:val="110"/>
        </w:numPr>
        <w:rPr>
          <w:rFonts w:ascii="Arial" w:cs="Arial" w:eastAsia="Arial" w:hAnsi="Arial"/>
          <w:sz w:val="15"/>
          <w:szCs w:val="15"/>
          <w:color w:val="auto"/>
        </w:rPr>
      </w:pPr>
      <w:r>
        <w:rPr>
          <w:rFonts w:ascii="Arial" w:cs="Arial" w:eastAsia="Arial" w:hAnsi="Arial"/>
          <w:sz w:val="15"/>
          <w:szCs w:val="15"/>
          <w:i w:val="1"/>
          <w:iCs w:val="1"/>
          <w:color w:val="auto"/>
        </w:rPr>
        <w:t>Safety</w:t>
      </w:r>
      <w:r>
        <w:rPr>
          <w:rFonts w:ascii="Arial" w:cs="Arial" w:eastAsia="Arial" w:hAnsi="Arial"/>
          <w:sz w:val="15"/>
          <w:szCs w:val="15"/>
          <w:color w:val="auto"/>
        </w:rPr>
        <w:t>. To date, no negative safety findings have been associated with either TN1-002 or TN1-006 in</w:t>
      </w:r>
      <w:r>
        <w:rPr>
          <w:rFonts w:ascii="Arial" w:cs="Arial" w:eastAsia="Arial" w:hAnsi="Arial"/>
          <w:sz w:val="15"/>
          <w:szCs w:val="15"/>
          <w:i w:val="1"/>
          <w:iCs w:val="1"/>
          <w:color w:val="auto"/>
        </w:rPr>
        <w:t xml:space="preserve"> in vivo </w:t>
      </w:r>
      <w:r>
        <w:rPr>
          <w:rFonts w:ascii="Arial" w:cs="Arial" w:eastAsia="Arial" w:hAnsi="Arial"/>
          <w:sz w:val="15"/>
          <w:szCs w:val="15"/>
          <w:color w:val="auto"/>
        </w:rPr>
        <w:t>experiments in rat and pig</w:t>
      </w:r>
      <w:r>
        <w:rPr>
          <w:rFonts w:ascii="Arial" w:cs="Arial" w:eastAsia="Arial" w:hAnsi="Arial"/>
          <w:sz w:val="15"/>
          <w:szCs w:val="15"/>
          <w:i w:val="1"/>
          <w:iCs w:val="1"/>
          <w:color w:val="auto"/>
        </w:rPr>
        <w:t xml:space="preserve"> </w:t>
      </w:r>
      <w:r>
        <w:rPr>
          <w:rFonts w:ascii="Arial" w:cs="Arial" w:eastAsia="Arial" w:hAnsi="Arial"/>
          <w:sz w:val="15"/>
          <w:szCs w:val="15"/>
          <w:color w:val="auto"/>
        </w:rPr>
        <w:t>models, including clinical findings, histopathology, assessment of arrhythmia, and other measures.</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Planned Clinical Development</w:t>
      </w:r>
    </w:p>
    <w:p>
      <w:pPr>
        <w:spacing w:after="0" w:line="99" w:lineRule="exact"/>
        <w:rPr>
          <w:sz w:val="20"/>
          <w:szCs w:val="20"/>
          <w:color w:val="auto"/>
        </w:rPr>
      </w:pPr>
    </w:p>
    <w:p>
      <w:pPr>
        <w:ind w:left="1200"/>
        <w:spacing w:after="0"/>
        <w:tabs>
          <w:tab w:leader="none" w:pos="3120" w:val="left"/>
        </w:tabs>
        <w:rPr>
          <w:sz w:val="20"/>
          <w:szCs w:val="20"/>
          <w:color w:val="auto"/>
        </w:rPr>
      </w:pPr>
      <w:r>
        <w:rPr>
          <w:rFonts w:ascii="Arial" w:cs="Arial" w:eastAsia="Arial" w:hAnsi="Arial"/>
          <w:sz w:val="16"/>
          <w:szCs w:val="16"/>
          <w:color w:val="auto"/>
        </w:rPr>
        <w:t>We intend to</w:t>
      </w:r>
      <w:r>
        <w:rPr>
          <w:sz w:val="20"/>
          <w:szCs w:val="20"/>
          <w:color w:val="auto"/>
        </w:rPr>
        <w:tab/>
      </w:r>
      <w:r>
        <w:rPr>
          <w:rFonts w:ascii="Arial" w:cs="Arial" w:eastAsia="Arial" w:hAnsi="Arial"/>
          <w:sz w:val="13"/>
          <w:szCs w:val="13"/>
          <w:color w:val="auto"/>
        </w:rPr>
        <w:t>. After selection of our product candidate, we plan to initiate IND-enabling studies. We have received feedback</w:t>
      </w:r>
    </w:p>
    <w:p>
      <w:pPr>
        <w:spacing w:after="0" w:line="16" w:lineRule="exact"/>
        <w:rPr>
          <w:sz w:val="20"/>
          <w:szCs w:val="20"/>
          <w:color w:val="auto"/>
        </w:rPr>
      </w:pPr>
    </w:p>
    <w:p>
      <w:pPr>
        <w:ind w:left="820" w:right="280"/>
        <w:spacing w:after="0" w:line="252" w:lineRule="auto"/>
        <w:rPr>
          <w:sz w:val="20"/>
          <w:szCs w:val="20"/>
          <w:color w:val="auto"/>
        </w:rPr>
      </w:pPr>
      <w:r>
        <w:rPr>
          <w:rFonts w:ascii="Arial" w:cs="Arial" w:eastAsia="Arial" w:hAnsi="Arial"/>
          <w:sz w:val="16"/>
          <w:szCs w:val="16"/>
          <w:color w:val="auto"/>
        </w:rPr>
        <w:t>from the FDA through an INTERACT (INitial Targeted Engagement for Regulatory Advice on CBER producTs) review to inform the design of our future preclinical studies.</w:t>
      </w:r>
    </w:p>
    <w:p>
      <w:pPr>
        <w:spacing w:after="0" w:line="168"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Our development plan is anticipated to include patients with advanced HF due to prior MI who meet qualifications for a heart transplant or LVAD as well as a broader patient population with severe ischemic cardiomyopathy. In the future, we also may explore potential for development in other forms of HF caused by a loss of cardiomyocytes, but not involving a myocardial infarction.</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HDAC6i Program for HFpEF and gDCM</w:t>
      </w:r>
    </w:p>
    <w:p>
      <w:pPr>
        <w:spacing w:after="0" w:line="99" w:lineRule="exact"/>
        <w:rPr>
          <w:sz w:val="20"/>
          <w:szCs w:val="20"/>
          <w:color w:val="auto"/>
        </w:rPr>
      </w:pPr>
    </w:p>
    <w:p>
      <w:pPr>
        <w:ind w:left="820" w:right="100"/>
        <w:spacing w:after="0" w:line="272" w:lineRule="auto"/>
        <w:rPr>
          <w:sz w:val="20"/>
          <w:szCs w:val="20"/>
          <w:color w:val="auto"/>
        </w:rPr>
      </w:pPr>
      <w:r>
        <w:rPr>
          <w:rFonts w:ascii="Arial" w:cs="Arial" w:eastAsia="Arial" w:hAnsi="Arial"/>
          <w:sz w:val="15"/>
          <w:szCs w:val="15"/>
          <w:color w:val="auto"/>
        </w:rPr>
        <w:t xml:space="preserve">Our HDAC6i program is intended for development in multiple patient populations with significant unmet need including HFpEF and gDCM. We have discovered a highly specific and potent HDAC6i for which medicinal chemistry has been completed and we have filed patent applications for two chemical series. We have also demonstrated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activity of these molecules in multiple animal models, including in two different models of HFpEF and a single model of gDCM. Our HDAC6i product candidate, TYA-11631, has not demonstrated evidence of toxicity at levels dosed to date in small and large animal species. This program is currently in IND-enabling studies.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HFpEF</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HFpEF is generally defined as HF with an EF greater than or equal to 50%. In patients with HFpEF, the LV is stiffened and does not adequately relax, and increased pressure is needed for the ventricle to properly fill. As a result, blood begins to build up inside the left atrium of the heart and eventually swells into the lungs, veins and tissues of the body. HFpEF is progressive in many patients. Symptoms initially include fatigue, shortness of breath, and tissue swelling, resulting in reduced physical activity. Over time, this results in a substantial limitation in activities and impact on quality of life, and patients are at risk of premature death.</w:t>
      </w:r>
    </w:p>
    <w:p>
      <w:pPr>
        <w:spacing w:after="0" w:line="170" w:lineRule="exact"/>
        <w:rPr>
          <w:sz w:val="20"/>
          <w:szCs w:val="20"/>
          <w:color w:val="auto"/>
        </w:rPr>
      </w:pPr>
    </w:p>
    <w:p>
      <w:pPr>
        <w:ind w:left="820" w:right="120" w:firstLine="385"/>
        <w:spacing w:after="0" w:line="343" w:lineRule="auto"/>
        <w:rPr>
          <w:sz w:val="20"/>
          <w:szCs w:val="20"/>
          <w:color w:val="auto"/>
        </w:rPr>
      </w:pPr>
      <w:r>
        <w:rPr>
          <w:rFonts w:ascii="Arial" w:cs="Arial" w:eastAsia="Arial" w:hAnsi="Arial"/>
          <w:sz w:val="13"/>
          <w:szCs w:val="13"/>
          <w:color w:val="auto"/>
        </w:rPr>
        <w:t>At least half of all hospital admissions for HF are related to HFpEF and approximately 24% of the HFpEF population is considered to have New York Heart Association Class III or Class IV disease, representing a disease burden that markedly impacts quality of life and limits physical activity. Among patients hospitalized for HFpEF, readmission for HF and mortality rates over a five-year period are as high as 40% and 75%, respectively.</w:t>
      </w:r>
    </w:p>
    <w:p>
      <w:pPr>
        <w:spacing w:after="0" w:line="114" w:lineRule="exact"/>
        <w:rPr>
          <w:sz w:val="20"/>
          <w:szCs w:val="20"/>
          <w:color w:val="auto"/>
        </w:rPr>
      </w:pPr>
    </w:p>
    <w:p>
      <w:pPr>
        <w:ind w:left="820" w:right="80" w:firstLine="385"/>
        <w:spacing w:after="0" w:line="300" w:lineRule="auto"/>
        <w:rPr>
          <w:sz w:val="20"/>
          <w:szCs w:val="20"/>
          <w:color w:val="auto"/>
        </w:rPr>
      </w:pPr>
      <w:r>
        <w:rPr>
          <w:rFonts w:ascii="Arial" w:cs="Arial" w:eastAsia="Arial" w:hAnsi="Arial"/>
          <w:sz w:val="15"/>
          <w:szCs w:val="15"/>
          <w:color w:val="auto"/>
        </w:rPr>
        <w:t>Patients with HFpEF represent approximately half of HF patients. There are estimated to be over three million patients diagnosed with HFpEF in the United States alone. HFpEF prevalence is rapidly increasing, with prevalence anticipated to increase by more than 45% by 2030.</w:t>
      </w:r>
    </w:p>
    <w:p>
      <w:pPr>
        <w:spacing w:after="0" w:line="135"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Despite limited data demonstrating efficacy in the HFpEF setting, patients generally receive therapies prescribed for HFrEF, including diuretics, beta-blockers, and ACE inhibitors. Patients with HFpEF are generally not responsive to therapies that have been shown to improve outcomes of patients with HFrEF. Without the development of more effective therapies specifically for HFpEF patients, disease management is mostly directed toward treating associated conditions and symptoms. Despite agreement for the need for therapies that alter the</w:t>
      </w:r>
    </w:p>
    <w:p>
      <w:pPr>
        <w:spacing w:after="0" w:line="9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0400"/>
          </w:cols>
          <w:pgMar w:left="320" w:top="418" w:right="117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spacing w:after="0" w:line="383" w:lineRule="auto"/>
        <w:rPr>
          <w:sz w:val="20"/>
          <w:szCs w:val="20"/>
          <w:color w:val="auto"/>
        </w:rPr>
      </w:pPr>
      <w:r>
        <w:rPr>
          <w:rFonts w:ascii="Arial" w:cs="Arial" w:eastAsia="Arial" w:hAnsi="Arial"/>
          <w:sz w:val="13"/>
          <w:szCs w:val="13"/>
          <w:color w:val="auto"/>
        </w:rPr>
        <w:t>trajectory of HFpEF, clinical trials that have enrolled patients with HFpEF have not led to new therapies that meaningfully improve morbidity or mortality for the HFpEF patient population. We believe that HFpEF remains one of the greatest unmet needs in cardiovascular medicine.</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Overview of gDCM</w:t>
      </w:r>
    </w:p>
    <w:p>
      <w:pPr>
        <w:spacing w:after="0" w:line="99"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Genetic abnormalities linked to gDCM are estimated to be present in about 30% to 40% of DCM patients. Variants in more than 40 genes have been linked with gDCM with many patients having more than two mutations meeting criteria for causation of DCM. Despite a common disease phenotype, mutations linked to gDCM are present in proteins with diverse cellular locations within the cardiomyocyte, including localization to the nucleus, cellular membrane, sarcomere, and ion channels. Mutations, deletions, and truncations in one such protein, Bcl2-associated anthanogene 3 (BAG3), have been thought to be causative of DCM in a subset of gDCM patients. Patients with BAG3 DCM represents a particularly high unmet need with an average age of onset of 37 years and an increased rate of heart transplant and LVAD placement. For additional information regarding DCM and gDCM, see the “</w:t>
      </w:r>
      <w:r>
        <w:rPr>
          <w:rFonts w:ascii="Arial" w:cs="Arial" w:eastAsia="Arial" w:hAnsi="Arial"/>
          <w:sz w:val="15"/>
          <w:szCs w:val="15"/>
          <w:i w:val="1"/>
          <w:iCs w:val="1"/>
          <w:color w:val="auto"/>
        </w:rPr>
        <w:t>DWORF Program for DCM and HFrEF— Overview of DCM</w:t>
      </w:r>
      <w:r>
        <w:rPr>
          <w:rFonts w:ascii="Arial" w:cs="Arial" w:eastAsia="Arial" w:hAnsi="Arial"/>
          <w:sz w:val="15"/>
          <w:szCs w:val="15"/>
          <w:color w:val="auto"/>
        </w:rPr>
        <w:t>” above.</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Our Solution: HDAC6 inhibitor (TYA-11631)</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Following identification of HDAC6 as a prospective target for gDCM through our Precision Medicine platform, we have developed a number of highly selective proprietary HDAC6 small molecule inhibitors (HDAC6i), including TYA-11018 and our product candidate, TYA-11631. HDAC inhibitors have long been considered promising targets for many indications in a range of therapeutic areas, including oncology and other indications. Several partially selective HDAC6i are already in clinical development, but none yet for heart disease. There are currently no other HDAC inhibitors in clinical development for heart disease indications and we intend to be the first to advance a selective HDAC6i into clinical development for the treatment of HF.</w:t>
      </w:r>
    </w:p>
    <w:p>
      <w:pPr>
        <w:spacing w:after="0" w:line="171"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Less selective HDAC inhibitors in development in other indications have been associated with dose-limiting toxicities and safety liabilities, such as thrombocytopenia. In contrast, we have identified a number of highly selective and potent HDAC6i with high levels of selectivity for HDAC6. As demonstrated in the figure below, some of our proprietary inhibitors are greater than 1,000 times more selective for HDAC6 than for other HDAC family members.</w:t>
      </w:r>
    </w:p>
    <w:p>
      <w:pPr>
        <w:spacing w:after="0" w:line="352" w:lineRule="exact"/>
        <w:rPr>
          <w:sz w:val="20"/>
          <w:szCs w:val="20"/>
          <w:color w:val="auto"/>
        </w:rPr>
      </w:pPr>
    </w:p>
    <w:p>
      <w:pPr>
        <w:ind w:left="2740"/>
        <w:spacing w:after="0"/>
        <w:rPr>
          <w:sz w:val="20"/>
          <w:szCs w:val="20"/>
          <w:color w:val="auto"/>
        </w:rPr>
      </w:pPr>
      <w:r>
        <w:rPr>
          <w:rFonts w:ascii="Arial" w:cs="Arial" w:eastAsia="Arial" w:hAnsi="Arial"/>
          <w:sz w:val="16"/>
          <w:szCs w:val="16"/>
          <w:b w:val="1"/>
          <w:bCs w:val="1"/>
          <w:color w:val="auto"/>
        </w:rPr>
        <w:t>TYA-11018 demonstrates 1000x Biochemical Selectivity for HDAC6 vs. Other HDACs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147955</wp:posOffset>
            </wp:positionV>
            <wp:extent cx="2538095" cy="14001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38095" cy="140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0360"/>
          </w:cols>
          <w:pgMar w:left="320" w:top="418" w:right="121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firstLine="385"/>
        <w:spacing w:after="0" w:line="275" w:lineRule="auto"/>
        <w:rPr>
          <w:sz w:val="20"/>
          <w:szCs w:val="20"/>
          <w:color w:val="auto"/>
        </w:rPr>
      </w:pPr>
      <w:r>
        <w:rPr>
          <w:rFonts w:ascii="Arial" w:cs="Arial" w:eastAsia="Arial" w:hAnsi="Arial"/>
          <w:sz w:val="15"/>
          <w:szCs w:val="15"/>
          <w:color w:val="auto"/>
        </w:rPr>
        <w:t xml:space="preserve">Internal data indicate that the higher selectivity of our compounds may translate to lower safety risks as compared to other selective compounds. As shown below,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experiments we have observed reduced off-target effects relative to other pan-HDAC inhibitors or partially selective HDAC6 inhibitors in clinical development, as measured by the relative number of megakaryocyte colonies formed in the presence of the compounds tested at different concentrations. No thrombocytopenia has been observed in animal models.</w:t>
      </w:r>
    </w:p>
    <w:p>
      <w:pPr>
        <w:spacing w:after="0" w:line="243"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Significantly Reduced Risk of Thrombocytopenia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2346960</wp:posOffset>
            </wp:positionH>
            <wp:positionV relativeFrom="paragraph">
              <wp:posOffset>147955</wp:posOffset>
            </wp:positionV>
            <wp:extent cx="2455545" cy="21259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4555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Our product candidate, TYA-11631, has favorable drug-like properties, including pharmacokinetics (PK), oral bioavailability, panel selectivity, protein-binding activity, and cellular toxicity, supporting the potential for once-daily oral dosing in humans. To date, there have been no adverse findings in multiple pilot toxicology studies in rats and NHPs with TYA-11631 and TYA-11018. We have filed patent applications across multiple chemical series encompassing TYA-11631, TYA-11018, and other potential back-up molecules.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Preclinical Studies in HFpEF</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Treatment with TYA-11631 has reversed measures of HFpEF, including heart filling defects known as diastolic dysfunction, in multiple animal models. In one HFpEF model developed in-house, we surgically applied moderate aortic banding (mTAC) in wild type mice fed a high fat diet (HFD). These interventions induced a cardio-metabolic HF phenotype that simulated the systemic and cardiovascular features of HFpEF in humans. Aspects of the HFpEF phenotype included increased LV wall thickness, LV hypertrophy, increased diastolic pressure, impaired LV relaxation and filling, and glucose intolerance, all with a preserved EF.</w:t>
      </w:r>
    </w:p>
    <w:p>
      <w:pPr>
        <w:spacing w:after="0" w:line="3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0420"/>
          </w:cols>
          <w:pgMar w:left="320" w:top="418" w:right="115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After the HFpEF phenotypes were established, animals were dosed orally with TYA-11631 or vehicle for six weeks. As illustrated below, TYA-11631 treatment reversed HFpEF disease phenotype across all studied parameters, including restoration of LV wall thickness, LV end diastolic pressure, LV relaxation and filling, and LV mass, compared to control. In addition, as shown below, the treated mice exhibited a clear trend of decreased lung weight, indicative of improvement in pulmonary congestion consistent with the reduction of filling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120015</wp:posOffset>
            </wp:positionV>
            <wp:extent cx="6123940" cy="3593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123940" cy="3593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In addition, as illustrated below, in multiple studies in HFpEF models, we have also observed an improvement in glucose tolerance suggesting that treatment with a selective HDAC6i may have a positive impact on glucose metabolism.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123190</wp:posOffset>
            </wp:positionV>
            <wp:extent cx="2096135" cy="11455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96135" cy="114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0420"/>
          </w:cols>
          <w:pgMar w:left="320" w:top="418" w:right="115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Consistent with the observed improvement in HFpEF phenotype, TYA-11631 treatment in this HFpEF model was also associated with reductions of key biomarkers of fibrosis, hypertrophy and cardiac damage, and inflammation in heart samples compared to levels observed in control animals, as shown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128270</wp:posOffset>
            </wp:positionV>
            <wp:extent cx="4529455" cy="24853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29455" cy="248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Preclinical Studies in Models of Metabolic Disease</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In addition to improvements in glucose metabolism associated with TYA-11631 treatment in HFpEF mouse models, treatment with TYA-11631 has also lead to improvements in glucose tolerance and insulin sensitivity in a Diet Induced Obesity (DIO) mouse model. As shown below, treatment with a single dose of TYA-11631 improves glucose tolerance in a dose-dependent manner in the DIO model. Furthermore, TYA-11631 treatment improves glucose tolerance in a dose-dependent manner after treatment for two weeks and insulin sensitivity in a dose-dependent manner after treatment for four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130810</wp:posOffset>
            </wp:positionV>
            <wp:extent cx="4529455" cy="18643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29455" cy="186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0420"/>
          </w:cols>
          <w:pgMar w:left="320" w:top="418" w:right="1159" w:bottom="1440" w:gutter="0" w:footer="0" w:header="0"/>
        </w:sectPr>
      </w:pPr>
    </w:p>
    <w:bookmarkStart w:id="177" w:name="page178"/>
    <w:bookmarkEnd w:id="1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A single dose treatment of TYA-11631 in the DIO model is also associated with a significant reduction in inflammatory markers in adipose tissue relative to controls. These data are shown below. Inflammatory biomarkers in adipose tissue are thought to be linked to glucose tolerance and insulin sensitivity. For example, adipose IL-6 deficiency has been associated with improvements in glucose tolerance. Loss of IL-10 has also been shown to protect mice from diet-induced obesity and improve glucose tolerance and insulin sensitivity. Collectively, these data are supportive of a role for HDAC6 inhibition on glucose tolerance and insulin resistance with potential applicability to sub-populations of HFpEF patients with obesity, diabetes, or metabolic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131445</wp:posOffset>
            </wp:positionV>
            <wp:extent cx="4529455" cy="12649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29455" cy="126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HDAC6 Inhibitors: Potential Mechanism of Action in HFpEF</w:t>
      </w:r>
    </w:p>
    <w:p>
      <w:pPr>
        <w:spacing w:after="0" w:line="99"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The mechanisms underlying HFpEF is an active area of scientific research. Defects in glucose metabolism have also been proposed to play a role in HFpEF onset and progression due to overlap in the HFpEF population with diabetes and obesity. One model is focused on a systemic inflammatory state leading to endothelial dysfunction, causing the hallmark pathophysiology associated with HFpEF. Key aspects of HFpEF disease biology include oxidative stress and inflammation, increased fibrosis, and hypertrophy, all resulting in diastolic dysfunction and decreased ability of the heart to fill its chambers during contraction.</w:t>
      </w:r>
    </w:p>
    <w:p>
      <w:pPr>
        <w:spacing w:after="0" w:line="170" w:lineRule="exact"/>
        <w:rPr>
          <w:sz w:val="20"/>
          <w:szCs w:val="20"/>
          <w:color w:val="auto"/>
        </w:rPr>
      </w:pPr>
    </w:p>
    <w:p>
      <w:pPr>
        <w:jc w:val="both"/>
        <w:ind w:left="820" w:right="100" w:firstLine="385"/>
        <w:spacing w:after="0" w:line="256" w:lineRule="auto"/>
        <w:rPr>
          <w:sz w:val="20"/>
          <w:szCs w:val="20"/>
          <w:color w:val="auto"/>
        </w:rPr>
      </w:pPr>
      <w:r>
        <w:rPr>
          <w:rFonts w:ascii="Arial" w:cs="Arial" w:eastAsia="Arial" w:hAnsi="Arial"/>
          <w:sz w:val="16"/>
          <w:szCs w:val="16"/>
          <w:color w:val="auto"/>
        </w:rPr>
        <w:t>In the literature, HDAC6 has been associated with several of these potential HFpEF mechanisms, including glucose metabolism, inflammation / oxidative stress, fibrosis, and hypertrophy, and diastolic dysfunction, suggesting a multi-modal mechanism of action that may address multiple aspects of disease.</w:t>
      </w:r>
    </w:p>
    <w:p>
      <w:pPr>
        <w:spacing w:after="0" w:line="83" w:lineRule="exact"/>
        <w:rPr>
          <w:sz w:val="20"/>
          <w:szCs w:val="20"/>
          <w:color w:val="auto"/>
        </w:rPr>
      </w:pPr>
    </w:p>
    <w:p>
      <w:pPr>
        <w:ind w:left="1660" w:right="80" w:hanging="469"/>
        <w:spacing w:after="0" w:line="270" w:lineRule="auto"/>
        <w:tabs>
          <w:tab w:leader="none" w:pos="1660" w:val="left"/>
        </w:tabs>
        <w:numPr>
          <w:ilvl w:val="0"/>
          <w:numId w:val="111"/>
        </w:numPr>
        <w:rPr>
          <w:rFonts w:ascii="Arial" w:cs="Arial" w:eastAsia="Arial" w:hAnsi="Arial"/>
          <w:sz w:val="15"/>
          <w:szCs w:val="15"/>
          <w:color w:val="auto"/>
        </w:rPr>
      </w:pPr>
      <w:r>
        <w:rPr>
          <w:rFonts w:ascii="Arial" w:cs="Arial" w:eastAsia="Arial" w:hAnsi="Arial"/>
          <w:sz w:val="15"/>
          <w:szCs w:val="15"/>
          <w:i w:val="1"/>
          <w:iCs w:val="1"/>
          <w:color w:val="auto"/>
        </w:rPr>
        <w:t xml:space="preserve">Glucose metabolism: </w:t>
      </w:r>
      <w:r>
        <w:rPr>
          <w:rFonts w:ascii="Arial" w:cs="Arial" w:eastAsia="Arial" w:hAnsi="Arial"/>
          <w:sz w:val="15"/>
          <w:szCs w:val="15"/>
          <w:color w:val="auto"/>
        </w:rPr>
        <w:t>In a published study, HDAC6 KO mice had a significant improvement in dexamethasone-induced whole-body</w:t>
      </w:r>
      <w:r>
        <w:rPr>
          <w:rFonts w:ascii="Arial" w:cs="Arial" w:eastAsia="Arial" w:hAnsi="Arial"/>
          <w:sz w:val="15"/>
          <w:szCs w:val="15"/>
          <w:i w:val="1"/>
          <w:iCs w:val="1"/>
          <w:color w:val="auto"/>
        </w:rPr>
        <w:t xml:space="preserve"> </w:t>
      </w:r>
      <w:r>
        <w:rPr>
          <w:rFonts w:ascii="Arial" w:cs="Arial" w:eastAsia="Arial" w:hAnsi="Arial"/>
          <w:sz w:val="15"/>
          <w:szCs w:val="15"/>
          <w:color w:val="auto"/>
        </w:rPr>
        <w:t>glucose intolerance and insulin resistance compared to wildtype mice, suggesting that HDAC6 may be an important regulator of gluconeogenesis and glucose metabolism. Treatment with our lead HDAC6 inhibitors is also associated with an improvement in glucose tolerance in HFpEF models and dose-dependent improvements in glucose tolerance and insulin resistance in a DIO mouse model. The study of glucose metabolism and other bioenergetic pathways has been an active area of research and clinical investigation in HFpEF due to frequent diabetes and obesity comorbidities.</w:t>
      </w:r>
    </w:p>
    <w:p>
      <w:pPr>
        <w:spacing w:after="0" w:line="73" w:lineRule="exact"/>
        <w:rPr>
          <w:rFonts w:ascii="Arial" w:cs="Arial" w:eastAsia="Arial" w:hAnsi="Arial"/>
          <w:sz w:val="15"/>
          <w:szCs w:val="15"/>
          <w:color w:val="auto"/>
        </w:rPr>
      </w:pPr>
    </w:p>
    <w:p>
      <w:pPr>
        <w:ind w:left="1660" w:right="20" w:hanging="469"/>
        <w:spacing w:after="0" w:line="256" w:lineRule="auto"/>
        <w:tabs>
          <w:tab w:leader="none" w:pos="1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Inflammation / Oxidative stress: </w:t>
      </w:r>
      <w:r>
        <w:rPr>
          <w:rFonts w:ascii="Arial" w:cs="Arial" w:eastAsia="Arial" w:hAnsi="Arial"/>
          <w:sz w:val="16"/>
          <w:szCs w:val="16"/>
          <w:color w:val="auto"/>
        </w:rPr>
        <w:t>Scientific literature has linked inhibition of HDAC6 with inflammasome biology and enhancement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T cell activity. In our preclinical studies, our lead compounds have also demonstrated improvement in inflammatory markers in a model of DCM.</w:t>
      </w:r>
    </w:p>
    <w:p>
      <w:pPr>
        <w:spacing w:after="0" w:line="83"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 xml:space="preserve">Fibrosis: </w:t>
      </w:r>
      <w:r>
        <w:rPr>
          <w:rFonts w:ascii="Arial" w:cs="Arial" w:eastAsia="Arial" w:hAnsi="Arial"/>
          <w:sz w:val="16"/>
          <w:szCs w:val="16"/>
          <w:color w:val="auto"/>
        </w:rPr>
        <w:t>In published studies, HDAC6 inhibition by siRNA or partially selective inhibitors attenuates myofibroblast markers and HDAC6</w:t>
      </w:r>
      <w:r>
        <w:rPr>
          <w:rFonts w:ascii="Arial" w:cs="Arial" w:eastAsia="Arial" w:hAnsi="Arial"/>
          <w:sz w:val="16"/>
          <w:szCs w:val="16"/>
          <w:i w:val="1"/>
          <w:iCs w:val="1"/>
          <w:color w:val="auto"/>
        </w:rPr>
        <w:t xml:space="preserve"> </w:t>
      </w:r>
      <w:r>
        <w:rPr>
          <w:rFonts w:ascii="Arial" w:cs="Arial" w:eastAsia="Arial" w:hAnsi="Arial"/>
          <w:sz w:val="16"/>
          <w:szCs w:val="16"/>
          <w:color w:val="auto"/>
        </w:rPr>
        <w:t>knockdown has been demonstrated to inhibit CF proliferation.</w:t>
      </w:r>
    </w:p>
    <w:p>
      <w:pPr>
        <w:spacing w:after="0" w:line="75" w:lineRule="exact"/>
        <w:rPr>
          <w:rFonts w:ascii="Arial" w:cs="Arial" w:eastAsia="Arial" w:hAnsi="Arial"/>
          <w:sz w:val="16"/>
          <w:szCs w:val="16"/>
          <w:color w:val="auto"/>
        </w:rPr>
      </w:pPr>
    </w:p>
    <w:p>
      <w:pPr>
        <w:ind w:left="1660" w:right="160" w:hanging="469"/>
        <w:spacing w:after="0" w:line="343" w:lineRule="auto"/>
        <w:tabs>
          <w:tab w:leader="none" w:pos="1660" w:val="left"/>
        </w:tabs>
        <w:numPr>
          <w:ilvl w:val="0"/>
          <w:numId w:val="111"/>
        </w:numPr>
        <w:rPr>
          <w:rFonts w:ascii="Arial" w:cs="Arial" w:eastAsia="Arial" w:hAnsi="Arial"/>
          <w:sz w:val="13"/>
          <w:szCs w:val="13"/>
          <w:color w:val="auto"/>
        </w:rPr>
      </w:pPr>
      <w:r>
        <w:rPr>
          <w:rFonts w:ascii="Arial" w:cs="Arial" w:eastAsia="Arial" w:hAnsi="Arial"/>
          <w:sz w:val="13"/>
          <w:szCs w:val="13"/>
          <w:i w:val="1"/>
          <w:iCs w:val="1"/>
          <w:color w:val="auto"/>
        </w:rPr>
        <w:t xml:space="preserve">Hypertrophy: </w:t>
      </w:r>
      <w:r>
        <w:rPr>
          <w:rFonts w:ascii="Arial" w:cs="Arial" w:eastAsia="Arial" w:hAnsi="Arial"/>
          <w:sz w:val="13"/>
          <w:szCs w:val="13"/>
          <w:color w:val="auto"/>
        </w:rPr>
        <w:t>HDAC inhibitors can prevent cardiac hypertrophy in animal models in response to various hypertrophic stimuli. In a</w:t>
      </w:r>
      <w:r>
        <w:rPr>
          <w:rFonts w:ascii="Arial" w:cs="Arial" w:eastAsia="Arial" w:hAnsi="Arial"/>
          <w:sz w:val="13"/>
          <w:szCs w:val="13"/>
          <w:i w:val="1"/>
          <w:iCs w:val="1"/>
          <w:color w:val="auto"/>
        </w:rPr>
        <w:t xml:space="preserve"> </w:t>
      </w:r>
      <w:r>
        <w:rPr>
          <w:rFonts w:ascii="Arial" w:cs="Arial" w:eastAsia="Arial" w:hAnsi="Arial"/>
          <w:sz w:val="13"/>
          <w:szCs w:val="13"/>
          <w:color w:val="auto"/>
        </w:rPr>
        <w:t>published study, HDAC inhibition suppressed cardiac hypertrophy and fibrosis in a model of hypertension through regulation of HDAC6/HDAC8 enzyme activity, suggesting that a novel HDAC6 inhibitor may help treat or prevent pathological cardiac hypertrophy.</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0380"/>
          </w:cols>
          <w:pgMar w:left="320" w:top="418" w:right="1199" w:bottom="1440" w:gutter="0" w:footer="0" w:header="0"/>
        </w:sectPr>
      </w:pPr>
    </w:p>
    <w:bookmarkStart w:id="178" w:name="page179"/>
    <w:bookmarkEnd w:id="1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line="266" w:lineRule="auto"/>
        <w:tabs>
          <w:tab w:leader="none" w:pos="1660" w:val="left"/>
        </w:tabs>
        <w:numPr>
          <w:ilvl w:val="0"/>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Diastolic dysfunction: </w:t>
      </w:r>
      <w:r>
        <w:rPr>
          <w:rFonts w:ascii="Arial" w:cs="Arial" w:eastAsia="Arial" w:hAnsi="Arial"/>
          <w:sz w:val="16"/>
          <w:szCs w:val="16"/>
          <w:color w:val="auto"/>
        </w:rPr>
        <w:t>In a published study, pan-HDAC inhibitors improved diastolic dysfunction in two distinct murine models of HFpEF</w:t>
      </w:r>
      <w:r>
        <w:rPr>
          <w:rFonts w:ascii="Arial" w:cs="Arial" w:eastAsia="Arial" w:hAnsi="Arial"/>
          <w:sz w:val="16"/>
          <w:szCs w:val="16"/>
          <w:i w:val="1"/>
          <w:iCs w:val="1"/>
          <w:color w:val="auto"/>
        </w:rPr>
        <w:t xml:space="preserve"> </w:t>
      </w:r>
      <w:r>
        <w:rPr>
          <w:rFonts w:ascii="Arial" w:cs="Arial" w:eastAsia="Arial" w:hAnsi="Arial"/>
          <w:sz w:val="16"/>
          <w:szCs w:val="16"/>
          <w:color w:val="auto"/>
        </w:rPr>
        <w:t>and HDAC inhibition and improved cardiopulmonary function in a feline model of diastolic dysfunction.</w:t>
      </w:r>
    </w:p>
    <w:p>
      <w:pPr>
        <w:spacing w:after="0" w:line="158"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schematic below shows a conceptual model of HFpEF disease biology highlighting key aspects (the yellow boxes in the figure below) for which there are external and internal data supporting the potential utility of HDAC6i.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123190</wp:posOffset>
            </wp:positionV>
            <wp:extent cx="4529455" cy="17741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294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HDAC6 Inhibitors: Preclinical Studies in DCM</w:t>
      </w:r>
    </w:p>
    <w:p>
      <w:pPr>
        <w:spacing w:after="0" w:line="99" w:lineRule="exact"/>
        <w:rPr>
          <w:sz w:val="20"/>
          <w:szCs w:val="20"/>
          <w:color w:val="auto"/>
        </w:rPr>
      </w:pPr>
    </w:p>
    <w:p>
      <w:pPr>
        <w:ind w:left="820" w:right="280" w:firstLine="385"/>
        <w:spacing w:after="0" w:line="272" w:lineRule="auto"/>
        <w:rPr>
          <w:sz w:val="20"/>
          <w:szCs w:val="20"/>
          <w:color w:val="auto"/>
        </w:rPr>
      </w:pPr>
      <w:r>
        <w:rPr>
          <w:rFonts w:ascii="Arial" w:cs="Arial" w:eastAsia="Arial" w:hAnsi="Arial"/>
          <w:sz w:val="15"/>
          <w:szCs w:val="15"/>
          <w:color w:val="auto"/>
        </w:rPr>
        <w:t xml:space="preserve">Through our target identification Precision Medicine platform, HDAC6 was initially identified as a target for a genetically defined subset of DCM, BAG3 mutant DCM. We screened a large chemical library to identify compounds able to reverse sarcomere defects in BAG3-deficient iPSC-CMs. Sarcomere defects were rapidly and systemically assessed through our proprietary machine learning algorithms. Whereas a pan-HDAC inhibitor was identified in the initial compound screen as reversing sarcomere defects, we conducted follow-up screens using RNAi knockdowns of HDAC family members to identify HDAC6 as a potential therapeutic target </w:t>
      </w:r>
      <w:r>
        <w:rPr>
          <w:rFonts w:ascii="Arial" w:cs="Arial" w:eastAsia="Arial" w:hAnsi="Arial"/>
          <w:sz w:val="15"/>
          <w:szCs w:val="15"/>
          <w:i w:val="1"/>
          <w:iCs w:val="1"/>
          <w:color w:val="auto"/>
        </w:rPr>
        <w:t>in vitro</w:t>
      </w:r>
      <w:r>
        <w:rPr>
          <w:rFonts w:ascii="Arial" w:cs="Arial" w:eastAsia="Arial" w:hAnsi="Arial"/>
          <w:sz w:val="15"/>
          <w:szCs w:val="15"/>
          <w:color w:val="auto"/>
        </w:rPr>
        <w:t>.</w:t>
      </w:r>
    </w:p>
    <w:p>
      <w:pPr>
        <w:spacing w:after="0" w:line="154"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 xml:space="preserve">We have validated these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findings by testing our HDAC6i compounds in BAG3 mutant mice models. As shown in the figure below, treatment of a rapidly worsening mouse model of BAG3 mutant DCM with TYA-11018 resulted in a greater than 20% improvement in EF after eight weeks of treatment compared to a control group treated with vehicle.</w:t>
      </w:r>
    </w:p>
    <w:p>
      <w:pPr>
        <w:spacing w:after="0" w:line="256"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Significant and Durable Improvement in Ejection Fraction</w:t>
      </w:r>
    </w:p>
    <w:p>
      <w:pPr>
        <w:spacing w:after="0" w:line="20"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in Severe BAG3 Mutant DCM Mouse Model</w:t>
      </w:r>
    </w:p>
    <w:p>
      <w:pPr>
        <w:spacing w:after="0" w:line="5" w:lineRule="exact"/>
        <w:rPr>
          <w:sz w:val="20"/>
          <w:szCs w:val="20"/>
          <w:color w:val="auto"/>
        </w:rPr>
      </w:pPr>
    </w:p>
    <w:p>
      <w:pPr>
        <w:jc w:val="center"/>
        <w:ind w:right="-859"/>
        <w:spacing w:after="0"/>
        <w:rPr>
          <w:sz w:val="20"/>
          <w:szCs w:val="20"/>
          <w:color w:val="auto"/>
        </w:rPr>
      </w:pPr>
      <w:r>
        <w:rPr>
          <w:rFonts w:ascii="Arial" w:cs="Arial" w:eastAsia="Arial" w:hAnsi="Arial"/>
          <w:sz w:val="16"/>
          <w:szCs w:val="16"/>
          <w:b w:val="1"/>
          <w:bCs w:val="1"/>
          <w:color w:val="auto"/>
        </w:rPr>
        <w:t>Treated with TYA-11018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1972945</wp:posOffset>
            </wp:positionH>
            <wp:positionV relativeFrom="paragraph">
              <wp:posOffset>138430</wp:posOffset>
            </wp:positionV>
            <wp:extent cx="3204210" cy="15868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4210" cy="158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0380"/>
          </w:cols>
          <w:pgMar w:left="320" w:top="418" w:right="1199" w:bottom="1440" w:gutter="0" w:footer="0" w:header="0"/>
        </w:sectPr>
      </w:pPr>
    </w:p>
    <w:bookmarkStart w:id="179" w:name="page180"/>
    <w:bookmarkEnd w:id="1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HDAC6 Inhibitors: Potential Mechanism of Action in DCM</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In contrast to other HDAC proteins, HDAC6 is a tubulin deacetylase. When HDAC6 is inhibited, tubulin acetylation is promoted, leading to increased microtubule stability. Increased microtubule stability has been linked to an increase in assembly of vesicles called autophagosomes which are involved in the clearance of aggregated and misfolded proteins in diseased cells. In the diseased heart, one potential mechanism of action for HDAC6 inhibition is promoting autophagy, driving a clearance of aggregated proteins in the heart, and thus restoring normal cellular function and structure. Protein aggregation is characteristic of some forms of DCM and have been linked to cardiomyocyte and cardiac dysfunction. The BAG3 mutant DCM patient population may be particularly sensitive to this mechanism of action for HDAC6 inhibition. BAG3 facilitates autophagy as a co-chaperone protein with heat shock proteins and mutation in BAG3 may lead to potentially defective autophagy in the heart.</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schematic below shows promotion of autophagy as a potential mechanism of action for HDAC6 inhibition in DCM.</w:t>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16"/>
          <w:szCs w:val="16"/>
          <w:b w:val="1"/>
          <w:bCs w:val="1"/>
          <w:color w:val="auto"/>
        </w:rPr>
        <w:t>Mechanism for HDAC6i Inhibition to Promote Autophagy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147955</wp:posOffset>
            </wp:positionV>
            <wp:extent cx="1654810" cy="15722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654810" cy="1572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20" w:right="40" w:firstLine="385"/>
        <w:spacing w:after="0" w:line="281" w:lineRule="auto"/>
        <w:rPr>
          <w:sz w:val="20"/>
          <w:szCs w:val="20"/>
          <w:color w:val="auto"/>
        </w:rPr>
      </w:pPr>
      <w:r>
        <w:rPr>
          <w:rFonts w:ascii="Arial" w:cs="Arial" w:eastAsia="Arial" w:hAnsi="Arial"/>
          <w:sz w:val="15"/>
          <w:szCs w:val="15"/>
          <w:color w:val="auto"/>
        </w:rPr>
        <w:t xml:space="preserve">The role of HDAC6 inhibition in the promotion of autophagy is supported by biomarker analyses in TYA-11018 </w:t>
      </w:r>
      <w:r>
        <w:rPr>
          <w:rFonts w:ascii="Arial" w:cs="Arial" w:eastAsia="Arial" w:hAnsi="Arial"/>
          <w:sz w:val="15"/>
          <w:szCs w:val="15"/>
          <w:i w:val="1"/>
          <w:iCs w:val="1"/>
          <w:color w:val="auto"/>
        </w:rPr>
        <w:t>in vivo</w:t>
      </w:r>
      <w:r>
        <w:rPr>
          <w:rFonts w:ascii="Arial" w:cs="Arial" w:eastAsia="Arial" w:hAnsi="Arial"/>
          <w:sz w:val="15"/>
          <w:szCs w:val="15"/>
          <w:color w:val="auto"/>
        </w:rPr>
        <w:t xml:space="preserve"> efficacy studies in the BAG3 DCM mouse model. As shown in the figure below, one autophagy marker, LC3, increases in correlation with functional measures such as EF in efficacy studies, suggestive of the potential role of autophagy as a mechanism of action for HDAC6 inhibition in DCM.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2145030</wp:posOffset>
            </wp:positionH>
            <wp:positionV relativeFrom="paragraph">
              <wp:posOffset>117475</wp:posOffset>
            </wp:positionV>
            <wp:extent cx="2852420" cy="16846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52420"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0340"/>
          </w:cols>
          <w:pgMar w:left="320" w:top="418" w:right="123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TYA-11631: Planned Clinical Development</w:t>
      </w:r>
    </w:p>
    <w:p>
      <w:pPr>
        <w:spacing w:after="0" w:line="99"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We plan to submit an IND to the FDA in 2022 and, if approved, initiate first-in-human safety studies in healthy volunteers before initiating proof-of-concept studies in HFpEF and patient populations with DCM. During clinical development, we plan to examine the role of TYA-11631 in sub-populations of HFpEF patients with obesity, diabetes or metabolic syndrome.</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Pipeline Expansion Opportunities</w:t>
      </w:r>
    </w:p>
    <w:p>
      <w:pPr>
        <w:spacing w:after="0" w:line="9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We believe the versatility of our three product platforms and our related differentiated capabilities enables us to rapidly expand our portfolio beyond the initial areas of focus. In addition to the named programs in our current pipeline, there are several programs emerging from each of our platforms that are intended to address rare genetic cardiomyopathies as well as more prevalent forms of heart disease. We continue to research, discover and evaluate new programs arising from our three product platforms. We also continue to explore opportunities to collaborate with leading academic and biopharmaceutical organizations with complementary science and capabilities that share our bold vision for the development of next-generation therapies to benefit individuals and families fighting heart disease.</w:t>
      </w:r>
    </w:p>
    <w:p>
      <w:pPr>
        <w:spacing w:after="0" w:line="247"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Third Party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2020 License Agreement with The Board of Regents of the University of Texas System on behalf of UTSW</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We have licensed intellectual property from UTSW in a license agreement effective January 10, 2020 with regard to our DWORF program. We entered into the license agreement with The Board of Regents of the University of Texas System on behalf of UTSW for a worldwide license to develop and commercialize products covered by the UTSW-licensed intellectual property relating to therapeutics overexpressing the peptide named DWORF for all uses. Our license under the license agreement is exclusive with respect to the UTSW patent rights licensed thereunder and non-exclusive with respect to the UTSW tangible materials provided thereunder. All of the DWORF gene therapy product candidates currently in our pipeline rely upon the license granted to us under this agreement.</w:t>
      </w:r>
    </w:p>
    <w:p>
      <w:pPr>
        <w:spacing w:after="0" w:line="171"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Under the license agreement, we are obligated to make milestone payments to UTSW aggregating up to $2.75 million upon the achievement of specified development and regulatory approval milestones and up to $12 million upon the achievement of specified sales milestones, in each case, for products covered by the UTSW licensed patent rights. We are also obligated to pay single-digit royalties to UTSW based on net sales by us or our affiliates and sublicensees of products covered by the UTSW licensed patent rights. In addition, in the event we grant a sublicense or an option to obtain a sublicense under the UTSW licensed patent rights, we are obligated to pay UTSW a specified portion of the income we receive therefrom. Further, in the event we undergo a change of control, we may be obligated to make a payment to UTSW of up to $3 million.</w:t>
      </w:r>
    </w:p>
    <w:p>
      <w:pPr>
        <w:spacing w:after="0" w:line="128"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Our royalty obligations with respect to each product covered by UTSW licensed patent rights in a country extend until the latest of expiration of the last-to-expire patent claim licensed from UTSW covering the product in the country, the exclusivity term covering the product in the country and a specified number of years after the first commercial sale of the product in the country.</w:t>
      </w:r>
    </w:p>
    <w:p>
      <w:pPr>
        <w:spacing w:after="0" w:line="166" w:lineRule="exact"/>
        <w:rPr>
          <w:sz w:val="20"/>
          <w:szCs w:val="20"/>
          <w:color w:val="auto"/>
        </w:rPr>
      </w:pPr>
    </w:p>
    <w:p>
      <w:pPr>
        <w:jc w:val="both"/>
        <w:ind w:left="820" w:right="160" w:firstLine="385"/>
        <w:spacing w:after="0" w:line="383" w:lineRule="auto"/>
        <w:rPr>
          <w:sz w:val="20"/>
          <w:szCs w:val="20"/>
          <w:color w:val="auto"/>
        </w:rPr>
      </w:pPr>
      <w:r>
        <w:rPr>
          <w:rFonts w:ascii="Arial" w:cs="Arial" w:eastAsia="Arial" w:hAnsi="Arial"/>
          <w:sz w:val="13"/>
          <w:szCs w:val="13"/>
          <w:color w:val="auto"/>
        </w:rPr>
        <w:t>Under the license agreement, we are obligated to use a certain level of effort to develop and commercialize one or more products covered by the UTSW licensed patent rights and to achieve certain development or regulatory approval milestones within set times, subject to certain extensions.</w:t>
      </w:r>
    </w:p>
    <w:p>
      <w:pPr>
        <w:spacing w:after="0" w:line="89"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UTSW has the right to terminate the license agreement for our uncured material breach of the license agreement, including if we fail to use a certain level of effort to achieve specified development or regulatory approval milestones within specified timeframes, or if we unsuccessfully challenge the validity of the UTSW licensed patent rights or for certain events related to our bankruptcy. We have the right to terminate the agreement at any time.</w:t>
      </w:r>
    </w:p>
    <w:p>
      <w:pPr>
        <w:spacing w:after="0" w:line="5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0420"/>
          </w:cols>
          <w:pgMar w:left="320" w:top="418" w:right="1159" w:bottom="1440" w:gutter="0" w:footer="0" w:header="0"/>
        </w:sectPr>
      </w:pPr>
    </w:p>
    <w:bookmarkStart w:id="181" w:name="page182"/>
    <w:bookmarkEnd w:id="1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Competition</w:t>
      </w:r>
    </w:p>
    <w:p>
      <w:pPr>
        <w:spacing w:after="0" w:line="103" w:lineRule="exact"/>
        <w:rPr>
          <w:sz w:val="20"/>
          <w:szCs w:val="20"/>
          <w:color w:val="auto"/>
        </w:rPr>
      </w:pPr>
    </w:p>
    <w:p>
      <w:pPr>
        <w:ind w:left="820" w:firstLine="385"/>
        <w:spacing w:after="0" w:line="250"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intellectual property. We believe our three product platforms, scientific know-how, five core internal capabilities, and experience provides us with competitive advantages. However, we face substantial competition from many different sources, including large and specialty pharmaceutical companies and biotechnology companies, academic research institutions and governmental agencies, and public and private research institutions. Any product candidate we develop and commercialize will have to compete with existing therapies as well as therapies currently in development and that may be developed in the future.</w:t>
      </w:r>
    </w:p>
    <w:p>
      <w:pPr>
        <w:spacing w:after="0" w:line="17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Due to the depth and diversity of our pipeline, we may face competition from a variety of companies, including:</w:t>
      </w:r>
    </w:p>
    <w:p>
      <w:pPr>
        <w:spacing w:after="0" w:line="107" w:lineRule="exact"/>
        <w:rPr>
          <w:sz w:val="20"/>
          <w:szCs w:val="20"/>
          <w:color w:val="auto"/>
        </w:rPr>
      </w:pPr>
    </w:p>
    <w:p>
      <w:pPr>
        <w:ind w:left="1660" w:right="420" w:hanging="469"/>
        <w:spacing w:after="0" w:line="259" w:lineRule="auto"/>
        <w:tabs>
          <w:tab w:leader="none" w:pos="166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General cardiovascular drug development: </w:t>
      </w:r>
      <w:r>
        <w:rPr>
          <w:rFonts w:ascii="Arial" w:cs="Arial" w:eastAsia="Arial" w:hAnsi="Arial"/>
          <w:sz w:val="16"/>
          <w:szCs w:val="16"/>
          <w:color w:val="auto"/>
        </w:rPr>
        <w:t>Companies known to have approved products and active drug development efforts for</w:t>
      </w:r>
      <w:r>
        <w:rPr>
          <w:rFonts w:ascii="Arial" w:cs="Arial" w:eastAsia="Arial" w:hAnsi="Arial"/>
          <w:sz w:val="16"/>
          <w:szCs w:val="16"/>
          <w:b w:val="1"/>
          <w:bCs w:val="1"/>
          <w:color w:val="auto"/>
        </w:rPr>
        <w:t xml:space="preserve"> </w:t>
      </w:r>
      <w:r>
        <w:rPr>
          <w:rFonts w:ascii="Arial" w:cs="Arial" w:eastAsia="Arial" w:hAnsi="Arial"/>
          <w:sz w:val="16"/>
          <w:szCs w:val="16"/>
          <w:color w:val="auto"/>
        </w:rPr>
        <w:t>cardiovascular disease include but are not limited to AstraZeneca, Bayer, Bristol Myers Squibb, Cytokinetics, Eli Lilly, Johnson &amp; Johnson/Janssen, Maze Therapeutics, Merck, Novartis, and Novo Nordisk;</w:t>
      </w:r>
    </w:p>
    <w:p>
      <w:pPr>
        <w:spacing w:after="0" w:line="76" w:lineRule="exact"/>
        <w:rPr>
          <w:rFonts w:ascii="Arial" w:cs="Arial" w:eastAsia="Arial" w:hAnsi="Arial"/>
          <w:sz w:val="16"/>
          <w:szCs w:val="16"/>
          <w:color w:val="auto"/>
        </w:rPr>
      </w:pPr>
    </w:p>
    <w:p>
      <w:pPr>
        <w:ind w:left="1660" w:right="60" w:hanging="469"/>
        <w:spacing w:after="0" w:line="259" w:lineRule="auto"/>
        <w:tabs>
          <w:tab w:leader="none" w:pos="166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Gene Therapy platform: </w:t>
      </w:r>
      <w:r>
        <w:rPr>
          <w:rFonts w:ascii="Arial" w:cs="Arial" w:eastAsia="Arial" w:hAnsi="Arial"/>
          <w:sz w:val="16"/>
          <w:szCs w:val="16"/>
          <w:color w:val="auto"/>
        </w:rPr>
        <w:t>Companies known to be pursuing gene therapy approaches for the heart include but are not limited to 4D</w:t>
      </w:r>
      <w:r>
        <w:rPr>
          <w:rFonts w:ascii="Arial" w:cs="Arial" w:eastAsia="Arial" w:hAnsi="Arial"/>
          <w:sz w:val="16"/>
          <w:szCs w:val="16"/>
          <w:b w:val="1"/>
          <w:bCs w:val="1"/>
          <w:color w:val="auto"/>
        </w:rPr>
        <w:t xml:space="preserve"> </w:t>
      </w:r>
      <w:r>
        <w:rPr>
          <w:rFonts w:ascii="Arial" w:cs="Arial" w:eastAsia="Arial" w:hAnsi="Arial"/>
          <w:sz w:val="16"/>
          <w:szCs w:val="16"/>
          <w:color w:val="auto"/>
        </w:rPr>
        <w:t>Molecular Therapeutics, Bayer, Bristol Myers Squibb, BioMarin Pharmaceutical, DiNAQOR, Precigen, Renova Therapeutics, Renovacor, Rocket Pharmaceuticals, Sardicor, Stride Bio, and uniQure;</w:t>
      </w:r>
    </w:p>
    <w:p>
      <w:pPr>
        <w:spacing w:after="0" w:line="76" w:lineRule="exact"/>
        <w:rPr>
          <w:rFonts w:ascii="Arial" w:cs="Arial" w:eastAsia="Arial" w:hAnsi="Arial"/>
          <w:sz w:val="16"/>
          <w:szCs w:val="16"/>
          <w:color w:val="auto"/>
        </w:rPr>
      </w:pPr>
    </w:p>
    <w:p>
      <w:pPr>
        <w:ind w:left="1660" w:right="100" w:hanging="469"/>
        <w:spacing w:after="0" w:line="259" w:lineRule="auto"/>
        <w:tabs>
          <w:tab w:leader="none" w:pos="166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Cellular Regeneration platform: </w:t>
      </w:r>
      <w:r>
        <w:rPr>
          <w:rFonts w:ascii="Arial" w:cs="Arial" w:eastAsia="Arial" w:hAnsi="Arial"/>
          <w:sz w:val="16"/>
          <w:szCs w:val="16"/>
          <w:color w:val="auto"/>
        </w:rPr>
        <w:t>Companies known to be pursuing approaches to cellular regeneration for the heart include but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to AstraZeneca, Bayer, BioCardia, Cardior Pharmaceuticals, Jaan Biotherapeutics, Khloris Biosciences, Mesoblast, Mogrify, Sana Biotechnologies and Xylocor Therapeutics; and</w:t>
      </w:r>
    </w:p>
    <w:p>
      <w:pPr>
        <w:spacing w:after="0" w:line="76" w:lineRule="exact"/>
        <w:rPr>
          <w:rFonts w:ascii="Arial" w:cs="Arial" w:eastAsia="Arial" w:hAnsi="Arial"/>
          <w:sz w:val="16"/>
          <w:szCs w:val="16"/>
          <w:color w:val="auto"/>
        </w:rPr>
      </w:pPr>
    </w:p>
    <w:p>
      <w:pPr>
        <w:ind w:left="1660" w:hanging="469"/>
        <w:spacing w:after="0" w:line="272" w:lineRule="auto"/>
        <w:tabs>
          <w:tab w:leader="none" w:pos="1660" w:val="left"/>
        </w:tabs>
        <w:numPr>
          <w:ilvl w:val="0"/>
          <w:numId w:val="113"/>
        </w:numPr>
        <w:rPr>
          <w:rFonts w:ascii="Arial" w:cs="Arial" w:eastAsia="Arial" w:hAnsi="Arial"/>
          <w:sz w:val="16"/>
          <w:szCs w:val="16"/>
          <w:color w:val="auto"/>
        </w:rPr>
      </w:pPr>
      <w:r>
        <w:rPr>
          <w:rFonts w:ascii="Arial" w:cs="Arial" w:eastAsia="Arial" w:hAnsi="Arial"/>
          <w:sz w:val="16"/>
          <w:szCs w:val="16"/>
          <w:b w:val="1"/>
          <w:bCs w:val="1"/>
          <w:color w:val="auto"/>
        </w:rPr>
        <w:t xml:space="preserve">Precision Medicine platform: </w:t>
      </w:r>
      <w:r>
        <w:rPr>
          <w:rFonts w:ascii="Arial" w:cs="Arial" w:eastAsia="Arial" w:hAnsi="Arial"/>
          <w:sz w:val="16"/>
          <w:szCs w:val="16"/>
          <w:color w:val="auto"/>
        </w:rPr>
        <w:t>Companies known to be pursuing approaches to drug discovery for the heart using disease models based on</w:t>
      </w:r>
      <w:r>
        <w:rPr>
          <w:rFonts w:ascii="Arial" w:cs="Arial" w:eastAsia="Arial" w:hAnsi="Arial"/>
          <w:sz w:val="16"/>
          <w:szCs w:val="16"/>
          <w:b w:val="1"/>
          <w:bCs w:val="1"/>
          <w:color w:val="auto"/>
        </w:rPr>
        <w:t xml:space="preserve"> </w:t>
      </w:r>
      <w:r>
        <w:rPr>
          <w:rFonts w:ascii="Arial" w:cs="Arial" w:eastAsia="Arial" w:hAnsi="Arial"/>
          <w:sz w:val="16"/>
          <w:szCs w:val="16"/>
          <w:color w:val="auto"/>
        </w:rPr>
        <w:t>iPSC-CMs include but are not limited to DiNAQOR and Tara Biosystems.</w:t>
      </w:r>
    </w:p>
    <w:p>
      <w:pPr>
        <w:spacing w:after="0" w:line="153"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We cannot predict whether other therapies may be developed that demonstrate greater efficacy, and we may have direct and substantial competition from such therapies in the future. We expect to face increasing competition as new, more effective treatments enter the market and further advancements in technologies are made. We expect market adoption of any treatments that we develop and commercialize to be dependent on, among other things, efficacy, safety, delivery, price and the availability of reimbursement from government and other third-party payors.</w:t>
      </w:r>
    </w:p>
    <w:p>
      <w:pPr>
        <w:spacing w:after="0" w:line="123"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Many of our current or potential competitors, either alone or with their collaboration partners, have significantly greater financial resources and expertise in research and development, manufacturing, preclinical testing, conducting clinical trials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 as well as in acquiring technologies complementary to, or necessary for, our product candidates.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Intellectual Property</w:t>
      </w:r>
    </w:p>
    <w:p>
      <w:pPr>
        <w:spacing w:after="0" w:line="103"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product candidates, technology and know-how, to operate without infringing, misappropriating or otherwise violating the intellectual property or other the proprietary rights of others and to prevent others from infringing,</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0420"/>
          </w:cols>
          <w:pgMar w:left="320" w:top="418" w:right="1159" w:bottom="1440" w:gutter="0" w:footer="0" w:header="0"/>
        </w:sectPr>
      </w:pPr>
    </w:p>
    <w:bookmarkStart w:id="182" w:name="page183"/>
    <w:bookmarkEnd w:id="1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65" w:lineRule="auto"/>
        <w:rPr>
          <w:sz w:val="20"/>
          <w:szCs w:val="20"/>
          <w:color w:val="auto"/>
        </w:rPr>
      </w:pPr>
      <w:r>
        <w:rPr>
          <w:rFonts w:ascii="Arial" w:cs="Arial" w:eastAsia="Arial" w:hAnsi="Arial"/>
          <w:sz w:val="15"/>
          <w:szCs w:val="15"/>
          <w:color w:val="auto"/>
        </w:rPr>
        <w:t>misappropriating or otherwise violating our intellectual property or other proprietary rights. To protect our intellectual property rights, we primarily rely on patent and trade secret laws, confidentiality procedures, and employee disclosure and invention assignment agreements. Our policy is to seek to protect our proprietary position by, among other methods, pursuing patent applications in the United States and in certain jurisdictions outside of the United States related to our proprietary technology, inventions, improvements and product candidates that are important to the development and implementation of our business. Our patent portfolio is intended to cover our product candidates and components thereof, their methods of use and processes for their manufacture, our proprietary reagents and assays and any other inventions that are commercially important to our business. The development of our product candidates and technology is at an early stage and consequently, our patent portfolio is also at an early stage. For example, although we exclusively in-license one issued patent from UTSW related to our DWORF program, we do not currently own or license any other issued patents relating to any of our product candidates and technology and many of our and our licensors’ patent applications are either at the provisional stage or at an early stage in prosecution. We cannot be sure that any patents will be granted with respect to any of our pending patent applications or with respect to any patent applications filed by us in the future, nor can we be sure that any patents that may be granted to us in the future will be commercially useful in protecting our technology and product candidates.</w:t>
      </w:r>
    </w:p>
    <w:p>
      <w:pPr>
        <w:spacing w:after="0" w:line="167" w:lineRule="exact"/>
        <w:rPr>
          <w:sz w:val="20"/>
          <w:szCs w:val="20"/>
          <w:color w:val="auto"/>
        </w:rPr>
      </w:pPr>
    </w:p>
    <w:p>
      <w:pPr>
        <w:ind w:left="820" w:right="540" w:firstLine="385"/>
        <w:spacing w:after="0" w:line="383" w:lineRule="auto"/>
        <w:rPr>
          <w:sz w:val="20"/>
          <w:szCs w:val="20"/>
          <w:color w:val="auto"/>
        </w:rPr>
      </w:pPr>
      <w:r>
        <w:rPr>
          <w:rFonts w:ascii="Arial" w:cs="Arial" w:eastAsia="Arial" w:hAnsi="Arial"/>
          <w:sz w:val="13"/>
          <w:szCs w:val="13"/>
          <w:color w:val="auto"/>
        </w:rPr>
        <w:t>Our owned and exclusively licensed patent portfolio covers various aspects of our programs and technology, including our small-molecule compounds, gene delivery vectors, and gene therapy programs. Further details on certain segments of our patent portfolio are included below.</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Gene Therapy Platform</w:t>
      </w:r>
    </w:p>
    <w:p>
      <w:pPr>
        <w:spacing w:after="0" w:line="99"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i w:val="1"/>
          <w:iCs w:val="1"/>
          <w:color w:val="auto"/>
        </w:rPr>
        <w:t>MYBPC3</w:t>
      </w:r>
      <w:r>
        <w:rPr>
          <w:rFonts w:ascii="Arial" w:cs="Arial" w:eastAsia="Arial" w:hAnsi="Arial"/>
          <w:sz w:val="13"/>
          <w:szCs w:val="13"/>
          <w:color w:val="auto"/>
        </w:rPr>
        <w:t>: With regard to our MYBPC3 program, as of April 15, 2021, we solely own two pending Patent Cooperation Treaty (PCT) patent</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applications and one pending U.S. patent application. Any U.S. or foreign patents issued from national stage filings of the PCT patent applications are expected to expire in 2041, assuming payment of all appropriate maintenance, renewal, annuity or other governmental fees and that national phase entries are timely made based upon the pending PCT applications, and without taking potential patent term extensions or adjustments into account. The pending U.S. provisional patent applications cover various aspects of our MYBPC3 lead products, including </w:t>
      </w:r>
      <w:r>
        <w:rPr>
          <w:rFonts w:ascii="Arial" w:cs="Arial" w:eastAsia="Arial" w:hAnsi="Arial"/>
          <w:sz w:val="13"/>
          <w:szCs w:val="13"/>
          <w:i w:val="1"/>
          <w:iCs w:val="1"/>
          <w:color w:val="auto"/>
        </w:rPr>
        <w:t>MYBPC3</w:t>
      </w:r>
      <w:r>
        <w:rPr>
          <w:rFonts w:ascii="Arial" w:cs="Arial" w:eastAsia="Arial" w:hAnsi="Arial"/>
          <w:sz w:val="13"/>
          <w:szCs w:val="13"/>
          <w:color w:val="auto"/>
        </w:rPr>
        <w:t xml:space="preserve"> gene expression vectors, recombinant AAV (rAAV) virions, rAAV viral genomes, expression cassettes, and methods of using such compositions for therapeutic indications.</w:t>
      </w:r>
    </w:p>
    <w:p>
      <w:pPr>
        <w:spacing w:after="0" w:line="128" w:lineRule="exact"/>
        <w:rPr>
          <w:sz w:val="20"/>
          <w:szCs w:val="20"/>
          <w:color w:val="auto"/>
        </w:rPr>
      </w:pPr>
    </w:p>
    <w:p>
      <w:pPr>
        <w:ind w:left="820" w:right="320" w:firstLine="385"/>
        <w:spacing w:after="0" w:line="275" w:lineRule="auto"/>
        <w:rPr>
          <w:sz w:val="20"/>
          <w:szCs w:val="20"/>
          <w:color w:val="auto"/>
        </w:rPr>
      </w:pPr>
      <w:r>
        <w:rPr>
          <w:rFonts w:ascii="Arial" w:cs="Arial" w:eastAsia="Arial" w:hAnsi="Arial"/>
          <w:sz w:val="15"/>
          <w:szCs w:val="15"/>
          <w:i w:val="1"/>
          <w:iCs w:val="1"/>
          <w:color w:val="auto"/>
        </w:rPr>
        <w:t>PKP2</w:t>
      </w:r>
      <w:r>
        <w:rPr>
          <w:rFonts w:ascii="Arial" w:cs="Arial" w:eastAsia="Arial" w:hAnsi="Arial"/>
          <w:sz w:val="15"/>
          <w:szCs w:val="15"/>
          <w:color w:val="auto"/>
        </w:rPr>
        <w:t>: With regard to our PKP2 program, as of April 15, 2021, we have two pending U.S. provisional patent applications. Patents claiming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priority to these two provisional patent applications, if issued, are expected to expire, in 2041, assuming payment of all appropriate maintenance, renewal, annuity or other governmental fees and without taking potential patent term extensions or adjustments into account. The provisional patent application is related to proprietary </w:t>
      </w:r>
      <w:r>
        <w:rPr>
          <w:rFonts w:ascii="Arial" w:cs="Arial" w:eastAsia="Arial" w:hAnsi="Arial"/>
          <w:sz w:val="15"/>
          <w:szCs w:val="15"/>
          <w:i w:val="1"/>
          <w:iCs w:val="1"/>
          <w:color w:val="auto"/>
        </w:rPr>
        <w:t>PKP2</w:t>
      </w:r>
      <w:r>
        <w:rPr>
          <w:rFonts w:ascii="Arial" w:cs="Arial" w:eastAsia="Arial" w:hAnsi="Arial"/>
          <w:sz w:val="15"/>
          <w:szCs w:val="15"/>
          <w:color w:val="auto"/>
        </w:rPr>
        <w:t xml:space="preserve"> gene expression vectors and methods of use.</w:t>
      </w:r>
    </w:p>
    <w:p>
      <w:pPr>
        <w:spacing w:after="0" w:line="153"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i w:val="1"/>
          <w:iCs w:val="1"/>
          <w:color w:val="auto"/>
        </w:rPr>
        <w:t>DWORF</w:t>
      </w:r>
      <w:r>
        <w:rPr>
          <w:rFonts w:ascii="Arial" w:cs="Arial" w:eastAsia="Arial" w:hAnsi="Arial"/>
          <w:sz w:val="13"/>
          <w:szCs w:val="13"/>
          <w:color w:val="auto"/>
        </w:rPr>
        <w:t>: With regard to our DWORF program, as of April 15, 2021, we exclusively license one U.S. patent and one pending U.S. patent</w:t>
      </w:r>
      <w:r>
        <w:rPr>
          <w:rFonts w:ascii="Arial" w:cs="Arial" w:eastAsia="Arial" w:hAnsi="Arial"/>
          <w:sz w:val="13"/>
          <w:szCs w:val="13"/>
          <w:i w:val="1"/>
          <w:iCs w:val="1"/>
          <w:color w:val="auto"/>
        </w:rPr>
        <w:t xml:space="preserve"> </w:t>
      </w:r>
      <w:r>
        <w:rPr>
          <w:rFonts w:ascii="Arial" w:cs="Arial" w:eastAsia="Arial" w:hAnsi="Arial"/>
          <w:sz w:val="13"/>
          <w:szCs w:val="13"/>
          <w:color w:val="auto"/>
        </w:rPr>
        <w:t>application from UTSW (the UT Patents). The U.S. patent is expected to expire, and the pending U.S. patent application, if issued, is expected to expire, in 2037, assuming payment of all appropriate maintenance, renewal, annuity or other governmental fees and without taking potential patent term extensions or adjustments into account. The UT Patents covers methods of enhancing activity of the SERCA pump using the DWORF peptide and using such methods to treat heart disease. Furthermore, we solely own a pending U.S. provisional patent application related to proprietary vectors and methods of use. Patents claiming priority to this U.S. provisional patent application, if issued, are expected to expire in 2041, assuming payment of all appropriate maintenance, renewal, annuity or other governmental fees, and without taking potential patent term extensions or adjustments into account.</w:t>
      </w: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0440"/>
          </w:cols>
          <w:pgMar w:left="320" w:top="418" w:right="1139" w:bottom="1440" w:gutter="0" w:footer="0" w:header="0"/>
        </w:sectPr>
      </w:pPr>
    </w:p>
    <w:bookmarkStart w:id="183" w:name="page184"/>
    <w:bookmarkEnd w:id="1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Cellular Regeneration Platform</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With respect to our Cellular Regeneration platform, as of April 15, 2021, we solely own three patent families directed to product candidates in our Reprogramming program, including two pending PCT patent applications, two pending U.S. patent applications, and nine foreign counterparts of these patent applications. Any U.S. or foreign patents issued from national stage filings of the PCT patent applications are expected to expire between 2039 and 2041, assuming payment of all appropriate maintenance, renewal, annuity or other governmental fees and that national phase entries are timely made based upon the pending PCT applications, and without taking potential patent term extensions or adjustments into account. The three patent families cover various aspects of our Reprogramming program, including gene delivery vectors, methods of treating a heart condition, engineered myocardin proteins, vectors encoding engineered myocardins, and methods of use. Additionally, we solely own a fourth patent family that is directed to AAV-based gene vectors for cardiac cell transduction, with one pending international PCT patent application. Any U.S. or foreign patents issued from national stage filings of this PCT patent application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Precision Medicine Platform</w:t>
      </w:r>
    </w:p>
    <w:p>
      <w:pPr>
        <w:spacing w:after="0" w:line="99" w:lineRule="exact"/>
        <w:rPr>
          <w:sz w:val="20"/>
          <w:szCs w:val="20"/>
          <w:color w:val="auto"/>
        </w:rPr>
      </w:pPr>
    </w:p>
    <w:p>
      <w:pPr>
        <w:ind w:left="820" w:right="40" w:firstLine="385"/>
        <w:spacing w:after="0" w:line="329" w:lineRule="auto"/>
        <w:rPr>
          <w:sz w:val="20"/>
          <w:szCs w:val="20"/>
          <w:color w:val="auto"/>
        </w:rPr>
      </w:pPr>
      <w:r>
        <w:rPr>
          <w:rFonts w:ascii="Arial" w:cs="Arial" w:eastAsia="Arial" w:hAnsi="Arial"/>
          <w:sz w:val="13"/>
          <w:szCs w:val="13"/>
          <w:color w:val="auto"/>
        </w:rPr>
        <w:t>With regard to our HDA6i program, as of April 15, 2021, we solely own two pending PCT patent applications. Any U.S. or foreign patents issued from national stage filings of these PCT patent applications are expected to expire in 2040, assuming payment of all appropriate maintenance, renewal, annuity or other governmental fees and that national phase entries are timely made based upon the pending PCT applications, and without taking potential patent term extensions or adjustments into account. Our patent applications cover our lead HDAC6i compounds and various analogs.</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Trade Secrets</w:t>
      </w:r>
    </w:p>
    <w:p>
      <w:pPr>
        <w:spacing w:after="0" w:line="99" w:lineRule="exact"/>
        <w:rPr>
          <w:sz w:val="20"/>
          <w:szCs w:val="20"/>
          <w:color w:val="auto"/>
        </w:rPr>
      </w:pPr>
    </w:p>
    <w:p>
      <w:pPr>
        <w:ind w:left="820" w:right="20" w:firstLine="385"/>
        <w:spacing w:after="0" w:line="310" w:lineRule="auto"/>
        <w:rPr>
          <w:sz w:val="20"/>
          <w:szCs w:val="20"/>
          <w:color w:val="auto"/>
        </w:rPr>
      </w:pPr>
      <w:r>
        <w:rPr>
          <w:rFonts w:ascii="Arial" w:cs="Arial" w:eastAsia="Arial" w:hAnsi="Arial"/>
          <w:sz w:val="13"/>
          <w:szCs w:val="13"/>
          <w:color w:val="auto"/>
        </w:rPr>
        <w:t>In addition to our reliance on patent protection for our technology and product candidates, we also rely on trade secret protection of our confidential information and know-how relating to our proprietary technology, product platforms and product candidates. Through development of internal manufacturing capabilities for AAV-based gene vectors, we have secured proprietary know-how and trade secrets related to our most-advanced programs as well as vector technologies widely applicable to potential AAV therapies. However, trade secrets can be difficult to protect. We seek to protect our trade secrets, proprietary technology and processes, in part, by entering into confidentiality and invention assignment agreements with our employees, consultants, scientific advisors, contractors and other third parties. However, we cannot guarantee that we have entered into such agreements with each party that has or may have had access to our trade secrets or proprietary information or has been involved in the development of intellectual property. Additionally, these agreements may be breached and we may not have adequate remedies for any breach. Furthermore, third parties may independently develop substantially equivalent proprietary information and techniques or otherwise gain access to our trade secrets or disclose our technology. As a result, we may not be able to meaningfully protect our trade secrets. We also seek to preserve the integrity and confidentiality of our data and trade secrets by maintaining physical security of our premises and physical and electronic security of our information technology systems. However, such security measures may be breached and we may not have adequate remedies for such breaches.</w:t>
      </w:r>
    </w:p>
    <w:p>
      <w:pPr>
        <w:spacing w:after="0" w:line="3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For more information regarding the risks related to our intellectual property, see “Risk Factors—Risks Related to Our Intellectual Property.”</w:t>
      </w:r>
    </w:p>
    <w:p>
      <w:pPr>
        <w:spacing w:after="0" w:line="200" w:lineRule="exact"/>
        <w:rPr>
          <w:sz w:val="20"/>
          <w:szCs w:val="20"/>
          <w:color w:val="auto"/>
        </w:rPr>
      </w:pPr>
    </w:p>
    <w:p>
      <w:pPr>
        <w:spacing w:after="0" w:line="26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0420"/>
          </w:cols>
          <w:pgMar w:left="320" w:top="418" w:right="115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Manufacturing</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intend to rely on both our internal manufacturing capabilities and external CDMOs for our programs.</w:t>
      </w:r>
    </w:p>
    <w:p>
      <w:pPr>
        <w:spacing w:after="0" w:line="193"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efficacy, pharmacology and toxicology studies. This facility is compliant with Good Laboratory Practice (GLP) regulations and can produce materials sufficient for large animal studies including pigs and NHPs. Our initial production at this scale has been at yields and with full to empty capsid ratios that compare favorably to industry standards.</w:t>
      </w:r>
    </w:p>
    <w:p>
      <w:pPr>
        <w:spacing w:after="0" w:line="170"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We have initiated construction of a dedicated approximately 94,000 square-foot cGMP facility for drug product manufacturing in the San Francisco Bay Area that we expect will be operational by the end of 2021. The facility will initially produce drug product at the 1000L scale to support first-in-human studies for our MYBPC3 program. The facility will use a modular pod design that will support scale-out and scale-up of manufacturing capacity in response to evolving needs.</w:t>
      </w:r>
    </w:p>
    <w:p>
      <w:pPr>
        <w:spacing w:after="0" w:line="167"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In addition to our internal cGMP manufacturing capabilities, we have also negotiated and entered into master service agreements with two CDMOs for additional capacity and risk mitigation. Additionally, we will rely on third parties for certain manufacturing related release assays, for which we intend to secure dual-sourced capacity for risk mitigation.</w:t>
      </w:r>
    </w:p>
    <w:p>
      <w:pPr>
        <w:spacing w:after="0" w:line="166" w:lineRule="exact"/>
        <w:rPr>
          <w:sz w:val="20"/>
          <w:szCs w:val="20"/>
          <w:color w:val="auto"/>
        </w:rPr>
      </w:pPr>
    </w:p>
    <w:p>
      <w:pPr>
        <w:ind w:left="820" w:right="40" w:firstLine="385"/>
        <w:spacing w:after="0" w:line="300" w:lineRule="auto"/>
        <w:rPr>
          <w:sz w:val="20"/>
          <w:szCs w:val="20"/>
          <w:color w:val="auto"/>
        </w:rPr>
      </w:pPr>
      <w:r>
        <w:rPr>
          <w:rFonts w:ascii="Arial" w:cs="Arial" w:eastAsia="Arial" w:hAnsi="Arial"/>
          <w:sz w:val="15"/>
          <w:szCs w:val="15"/>
          <w:color w:val="auto"/>
        </w:rPr>
        <w:t>To optimize our use of resources and utilize extensive experience in small molecule manufacturing, we intend to work with CDMOs for our small molecule programs. We intend to initiate cGMP manufacturing for our HDAC6 inhibitor program, TYA-11631, before the end of 2021.</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Government Regulation</w:t>
      </w:r>
    </w:p>
    <w:p>
      <w:pPr>
        <w:spacing w:after="0" w:line="103" w:lineRule="exact"/>
        <w:rPr>
          <w:sz w:val="20"/>
          <w:szCs w:val="20"/>
          <w:color w:val="auto"/>
        </w:rPr>
      </w:pPr>
    </w:p>
    <w:p>
      <w:pPr>
        <w:ind w:left="820" w:right="80" w:firstLine="385"/>
        <w:spacing w:after="0" w:line="267" w:lineRule="auto"/>
        <w:rPr>
          <w:sz w:val="20"/>
          <w:szCs w:val="20"/>
          <w:color w:val="auto"/>
        </w:rPr>
      </w:pPr>
      <w:r>
        <w:rPr>
          <w:rFonts w:ascii="Arial" w:cs="Arial" w:eastAsia="Arial" w:hAnsi="Arial"/>
          <w:sz w:val="15"/>
          <w:szCs w:val="15"/>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biologic and small molecule therapeutic products. Generally, before a new therapeutic product can be marketed, considerable data demonstrating a biologic candidate’s quality, safety, purity and potency, or a small molecule candidate’s quality, safety and efficacy, must be obtained, organized into a format specific for each regulatory authority, submitted for review and approved by the regulatory authority. For biologic candidates, potency is similar to efficacy and is interpreted to mean the specific ability or capacity of the product, as indicated by appropriate laboratory tests or by adequately controlled clinical data obtained through the administration of the product in the manner intended, to effect a given result.</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Biologic and Small Molecule Drug Product Development</w:t>
      </w:r>
    </w:p>
    <w:p>
      <w:pPr>
        <w:spacing w:after="0" w:line="99"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In the United States, the FDA regulates small molecule and biologic therapeutic products under the Food, Drug and Cosmetic Act (FDCA) and the Public Health Service Act (PHSA). Biopharmaceuticals, including both small molecule and biologic products,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0420"/>
          </w:cols>
          <w:pgMar w:left="320" w:top="418" w:right="115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383" w:lineRule="auto"/>
        <w:rPr>
          <w:sz w:val="20"/>
          <w:szCs w:val="20"/>
          <w:color w:val="auto"/>
        </w:rPr>
      </w:pPr>
      <w:r>
        <w:rPr>
          <w:rFonts w:ascii="Arial" w:cs="Arial" w:eastAsia="Arial" w:hAnsi="Arial"/>
          <w:sz w:val="13"/>
          <w:szCs w:val="13"/>
          <w:color w:val="auto"/>
        </w:rPr>
        <w:t>Biologics must be licensed by the FDA through a biologics license application (BLA), and small molecule products must be approved by the FDA through a new drug application (NDA), before they may be legally marketed in the United States. The process generally involves the following:</w:t>
      </w:r>
    </w:p>
    <w:p>
      <w:pPr>
        <w:spacing w:after="0" w:line="6" w:lineRule="exact"/>
        <w:rPr>
          <w:sz w:val="20"/>
          <w:szCs w:val="20"/>
          <w:color w:val="auto"/>
        </w:rPr>
      </w:pPr>
    </w:p>
    <w:p>
      <w:pPr>
        <w:ind w:left="1660" w:right="20" w:hanging="469"/>
        <w:spacing w:after="0" w:line="26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Completion of extensive preclinical studies in accordance with applicable regulations, including studies conducted in accordance with GLP requirements;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human clinical trials may begin;</w:t>
      </w:r>
    </w:p>
    <w:p>
      <w:pPr>
        <w:spacing w:after="0" w:line="110" w:lineRule="exact"/>
        <w:rPr>
          <w:rFonts w:ascii="Arial" w:cs="Arial" w:eastAsia="Arial" w:hAnsi="Arial"/>
          <w:sz w:val="16"/>
          <w:szCs w:val="16"/>
          <w:color w:val="auto"/>
        </w:rPr>
      </w:pPr>
    </w:p>
    <w:p>
      <w:pPr>
        <w:ind w:left="1660" w:right="520" w:hanging="469"/>
        <w:spacing w:after="0" w:line="26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(IRB), or ethics committee at each clinical trial site before each trial may be initiated;</w:t>
      </w:r>
    </w:p>
    <w:p>
      <w:pPr>
        <w:spacing w:after="0" w:line="75" w:lineRule="exact"/>
        <w:rPr>
          <w:rFonts w:ascii="Arial" w:cs="Arial" w:eastAsia="Arial" w:hAnsi="Arial"/>
          <w:sz w:val="16"/>
          <w:szCs w:val="16"/>
          <w:color w:val="auto"/>
        </w:rPr>
      </w:pPr>
    </w:p>
    <w:p>
      <w:pPr>
        <w:ind w:left="1660" w:right="140" w:hanging="469"/>
        <w:spacing w:after="0" w:line="25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regulations, GCP requirements and other clinical trial-related regulations to establish the safety and potency or efficacy of the investigational product for each proposed indication;</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Submission to the FDA of a BLA or NDA;</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 determination by the FDA within 60 days of its receipt of a BLA or NDA to accept the filing for review;</w:t>
      </w:r>
    </w:p>
    <w:p>
      <w:pPr>
        <w:spacing w:after="0" w:line="110" w:lineRule="exact"/>
        <w:rPr>
          <w:rFonts w:ascii="Arial" w:cs="Arial" w:eastAsia="Arial" w:hAnsi="Arial"/>
          <w:sz w:val="16"/>
          <w:szCs w:val="16"/>
          <w:color w:val="auto"/>
        </w:rPr>
      </w:pPr>
    </w:p>
    <w:p>
      <w:pPr>
        <w:ind w:left="1660" w:right="140" w:hanging="469"/>
        <w:spacing w:after="0" w:line="253"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Satisfactory completion of a FDA pre-approval inspection of the manufacturing facility or facilities where biologic or small molecule product will be produced to assess compliance with cGMP requirements to assure that the facilities, methods and controls are adequate to preserve the biologic’s identity, strength, purity, potency, and quality controls, or the small molecule product’s identity, chemistry, and quality controls;</w:t>
      </w:r>
    </w:p>
    <w:p>
      <w:pPr>
        <w:spacing w:after="0" w:line="84" w:lineRule="exact"/>
        <w:rPr>
          <w:rFonts w:ascii="Arial" w:cs="Arial" w:eastAsia="Arial" w:hAnsi="Arial"/>
          <w:sz w:val="16"/>
          <w:szCs w:val="16"/>
          <w:color w:val="auto"/>
        </w:rPr>
      </w:pPr>
    </w:p>
    <w:p>
      <w:pPr>
        <w:ind w:left="1660" w:hanging="469"/>
        <w:spacing w:after="0"/>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Potential FDA audit of the preclinical study and/or clinical trial sites that generated the data in support of the BLA or NDA;</w:t>
      </w:r>
    </w:p>
    <w:p>
      <w:pPr>
        <w:spacing w:after="0" w:line="110" w:lineRule="exact"/>
        <w:rPr>
          <w:rFonts w:ascii="Arial" w:cs="Arial" w:eastAsia="Arial" w:hAnsi="Arial"/>
          <w:sz w:val="16"/>
          <w:szCs w:val="16"/>
          <w:color w:val="auto"/>
        </w:rPr>
      </w:pPr>
    </w:p>
    <w:p>
      <w:pPr>
        <w:ind w:left="1660" w:right="460" w:hanging="469"/>
        <w:spacing w:after="0" w:line="26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Satisfactory completion of other studies required by the FDA, including immunogenicity, carcinogenicity, genotoxicity, and stability studies;</w:t>
      </w:r>
    </w:p>
    <w:p>
      <w:pPr>
        <w:spacing w:after="0" w:line="75" w:lineRule="exact"/>
        <w:rPr>
          <w:rFonts w:ascii="Arial" w:cs="Arial" w:eastAsia="Arial" w:hAnsi="Arial"/>
          <w:sz w:val="16"/>
          <w:szCs w:val="16"/>
          <w:color w:val="auto"/>
        </w:rPr>
      </w:pPr>
    </w:p>
    <w:p>
      <w:pPr>
        <w:ind w:left="1660" w:right="580" w:hanging="469"/>
        <w:spacing w:after="0" w:line="26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FDA review and approval of the BLA or NDA, including consideration of the views of any FDA advisory committee, prior to any commercial marketing or sale of the biologic or small molecular therapeutic in the United States; and</w:t>
      </w:r>
    </w:p>
    <w:p>
      <w:pPr>
        <w:spacing w:after="0" w:line="75"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Compliance with any post-approval requirements, including the potential requirement to implement a REMS, and the potential requirement to conduct post-approval studies.</w:t>
      </w:r>
    </w:p>
    <w:p>
      <w:pPr>
        <w:spacing w:after="0" w:line="158" w:lineRule="exact"/>
        <w:rPr>
          <w:sz w:val="20"/>
          <w:szCs w:val="20"/>
          <w:color w:val="auto"/>
        </w:rPr>
      </w:pPr>
    </w:p>
    <w:p>
      <w:pPr>
        <w:ind w:left="820" w:right="120" w:firstLine="385"/>
        <w:spacing w:after="0" w:line="256" w:lineRule="auto"/>
        <w:rPr>
          <w:sz w:val="20"/>
          <w:szCs w:val="20"/>
          <w:color w:val="auto"/>
        </w:rPr>
      </w:pPr>
      <w:r>
        <w:rPr>
          <w:rFonts w:ascii="Arial" w:cs="Arial" w:eastAsia="Arial" w:hAnsi="Arial"/>
          <w:sz w:val="16"/>
          <w:szCs w:val="16"/>
          <w:color w:val="auto"/>
        </w:rPr>
        <w:t>The data required to support a BLA or NDA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Preclinical Studies and IND</w:t>
      </w:r>
    </w:p>
    <w:p>
      <w:pPr>
        <w:spacing w:after="0" w:line="99"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 xml:space="preserve">Preclinical studies include laboratory evaluation of product biochemistry, formulation and stability, as well as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and animal studies to assess the potential for toxicity and to establish a rationale for therapeutic use for supporting subsequent clinical testing.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long-term preclinical testing, such as animal tests of reproductive adverse events and carcinogenicity, may continue after the IND is submitted. An IND automatically becomes effective 30 days after receipt by the FDA, unless before that time the FDA raises concerns or questions</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183</w:t>
      </w:r>
    </w:p>
    <w:p>
      <w:pPr>
        <w:sectPr>
          <w:pgSz w:w="11900" w:h="16838" w:orient="portrait"/>
          <w:cols w:equalWidth="0" w:num="1">
            <w:col w:w="10440"/>
          </w:cols>
          <w:pgMar w:left="320" w:top="418" w:right="1139"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80"/>
        <w:spacing w:after="0" w:line="256" w:lineRule="auto"/>
        <w:rPr>
          <w:sz w:val="20"/>
          <w:szCs w:val="20"/>
          <w:color w:val="auto"/>
        </w:rPr>
      </w:pPr>
      <w:r>
        <w:rPr>
          <w:rFonts w:ascii="Arial" w:cs="Arial" w:eastAsia="Arial" w:hAnsi="Arial"/>
          <w:sz w:val="16"/>
          <w:szCs w:val="16"/>
          <w:color w:val="auto"/>
        </w:rPr>
        <w:t>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Clinical Trials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63"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or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2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Clinical trials in the United States generally are conducted in three sequential phases, known as Phase 1, Phase 2 and Phase 3, and may overlap.</w:t>
      </w:r>
    </w:p>
    <w:p>
      <w:pPr>
        <w:spacing w:after="0" w:line="145" w:lineRule="exact"/>
        <w:rPr>
          <w:sz w:val="20"/>
          <w:szCs w:val="20"/>
          <w:color w:val="auto"/>
        </w:rPr>
      </w:pPr>
    </w:p>
    <w:p>
      <w:pPr>
        <w:ind w:left="1660" w:right="260" w:hanging="469"/>
        <w:spacing w:after="0" w:line="256" w:lineRule="auto"/>
        <w:tabs>
          <w:tab w:leader="none" w:pos="1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w:t>
      </w:r>
    </w:p>
    <w:p>
      <w:pPr>
        <w:spacing w:after="0" w:line="83" w:lineRule="exact"/>
        <w:rPr>
          <w:rFonts w:ascii="Arial" w:cs="Arial" w:eastAsia="Arial" w:hAnsi="Arial"/>
          <w:sz w:val="16"/>
          <w:szCs w:val="16"/>
          <w:color w:val="auto"/>
        </w:rPr>
      </w:pPr>
    </w:p>
    <w:p>
      <w:pPr>
        <w:ind w:left="1660" w:right="20" w:hanging="469"/>
        <w:spacing w:after="0" w:line="256" w:lineRule="auto"/>
        <w:tabs>
          <w:tab w:leader="none" w:pos="1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83" w:lineRule="exact"/>
        <w:rPr>
          <w:rFonts w:ascii="Arial" w:cs="Arial" w:eastAsia="Arial" w:hAnsi="Arial"/>
          <w:sz w:val="16"/>
          <w:szCs w:val="16"/>
          <w:color w:val="auto"/>
        </w:rPr>
      </w:pPr>
    </w:p>
    <w:p>
      <w:pPr>
        <w:ind w:left="1660" w:right="20" w:hanging="469"/>
        <w:spacing w:after="0" w:line="329" w:lineRule="auto"/>
        <w:tabs>
          <w:tab w:leader="none" w:pos="16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123" w:lineRule="exact"/>
        <w:rPr>
          <w:sz w:val="20"/>
          <w:szCs w:val="20"/>
          <w:color w:val="auto"/>
        </w:rPr>
      </w:pPr>
    </w:p>
    <w:p>
      <w:pPr>
        <w:ind w:left="820" w:right="260" w:firstLine="385"/>
        <w:spacing w:after="0" w:line="256" w:lineRule="auto"/>
        <w:rPr>
          <w:sz w:val="20"/>
          <w:szCs w:val="20"/>
          <w:color w:val="auto"/>
        </w:rPr>
      </w:pPr>
      <w:r>
        <w:rPr>
          <w:rFonts w:ascii="Arial" w:cs="Arial" w:eastAsia="Arial" w:hAnsi="Arial"/>
          <w:sz w:val="16"/>
          <w:szCs w:val="16"/>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w:t>
      </w:r>
    </w:p>
    <w:p>
      <w:pPr>
        <w:spacing w:after="0" w:line="31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184</w:t>
      </w:r>
    </w:p>
    <w:p>
      <w:pPr>
        <w:sectPr>
          <w:pgSz w:w="11900" w:h="16838" w:orient="portrait"/>
          <w:cols w:equalWidth="0" w:num="1">
            <w:col w:w="10420"/>
          </w:cols>
          <w:pgMar w:left="320" w:top="418" w:right="1159" w:bottom="1440" w:gutter="0" w:footer="0" w:header="0"/>
        </w:sectPr>
      </w:pPr>
    </w:p>
    <w:bookmarkStart w:id="187" w:name="page188"/>
    <w:bookmarkEnd w:id="1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investigational product, findings from animal or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that suggest a significant risk for human subjects and any clinically important increase in the rate of a serious suspected adverse reaction over that listed in the protocol or investigator brochure.</w:t>
      </w:r>
    </w:p>
    <w:p>
      <w:pPr>
        <w:spacing w:after="0" w:line="170"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or non-compliance with GCP requirements. Similarly, an IRB can suspend or terminate approval of a clinical trial at its institution if the clinical trial is not being conducted in accordance with the IRB’s requirements or if the investigational product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Concurrent with clinical trials, companies usually complete additional animal studies and also must develop additional information about the biochemical and physical characteristics of the investigational product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candidates do not undergo unacceptable deterioration over their shelf life.</w:t>
      </w:r>
    </w:p>
    <w:p>
      <w:pPr>
        <w:spacing w:after="0" w:line="328"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Further, as a result of the COVID-19 pandemic, the extent and length of which are uncertain, we will be required to develop and implement additional clinical trial policies and procedures designed to help protect trial participants from the COVID-19 virus, which may include using telemedicine visits and remote monitoring of patients and clinical sites. We will also need to ensure data from our clinical studies that may be disrupted as a result of the pandemic is collected pursuant to the trial protocol and is consistent with GCPs, with any material protocol deviation reviewed and approved by the site IRB. Patients who may miss scheduled appoints, any interruption in trial drug supply, or other consequence that may result in incomplete data being generated during a trial as a result of the pandemic must be adequately documented and justified. For example, on March 18, 2020, the FDA issued a guidance, as updated subsequently by the FDA, on conducting clinical trials during the pandemic. The guidance describes a number of considerations for sponsors of clinical trials impacted by the pandemic, including the requirement to include in the clinical trial report (or as a separate document) contingency measures implemented to manage the trial and any disruption of the trial as a result of COVID-19, among others. Other industry guidance issued by the FDA during the COVID-19 pandemic includes manufacturing, supply chain, and drug and biological product inspections during the COVID-19 public health emergency; GMP considerations for responding to COVID-19 infection in employees in biopharmaceutical manufacturing; and remote interactive evaluations of drug manufacturing and bioresearch monitoring facilities, among others. If new guidance and policies are promulgated by the FDA that require changes in our clinical protocol or clinical development plans, our anticipated timelines and regulatory approval may be delayed or materially impacted.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NDA and BLA Review Process</w:t>
      </w:r>
    </w:p>
    <w:p>
      <w:pPr>
        <w:spacing w:after="0" w:line="99"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Following completion of the clinical trials, data is analyzed to assess whether the investigational product is safe and effective for the proposed indicated use or uses. The results of preclinical studies and clinical trials are then submitted to the FDA as part of a BLA for a biologic product or an NDA for a small molecule drug product, along with proposed labeling, biochemistry and manufacturing information to ensure product quality, identity, purity and other relevant data. In short, the BLA or NDA is a request for approval to market the biologic or drug product for one or more specified indications and must contain proof of safety, purity and potency for a biologic,</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185</w:t>
      </w:r>
    </w:p>
    <w:p>
      <w:pPr>
        <w:sectPr>
          <w:pgSz w:w="11900" w:h="16838" w:orient="portrait"/>
          <w:cols w:equalWidth="0" w:num="1">
            <w:col w:w="10400"/>
          </w:cols>
          <w:pgMar w:left="320" w:top="418" w:right="1179" w:bottom="1440" w:gutter="0" w:footer="0" w:header="0"/>
        </w:sectPr>
      </w:pPr>
    </w:p>
    <w:bookmarkStart w:id="188" w:name="page189"/>
    <w:bookmarkEnd w:id="1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spacing w:after="0" w:line="272" w:lineRule="auto"/>
        <w:rPr>
          <w:sz w:val="20"/>
          <w:szCs w:val="20"/>
          <w:color w:val="auto"/>
        </w:rPr>
      </w:pPr>
      <w:r>
        <w:rPr>
          <w:rFonts w:ascii="Arial" w:cs="Arial" w:eastAsia="Arial" w:hAnsi="Arial"/>
          <w:sz w:val="15"/>
          <w:szCs w:val="15"/>
          <w:color w:val="auto"/>
        </w:rPr>
        <w:t>or safety and efficacy for a small molecule drug product.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FDA approval of a BLA or NDA must be obtained before the product may be marketed in the United States.</w:t>
      </w:r>
    </w:p>
    <w:p>
      <w:pPr>
        <w:spacing w:after="0" w:line="154" w:lineRule="exact"/>
        <w:rPr>
          <w:sz w:val="20"/>
          <w:szCs w:val="20"/>
          <w:color w:val="auto"/>
        </w:rPr>
      </w:pPr>
    </w:p>
    <w:p>
      <w:pPr>
        <w:ind w:left="820" w:right="80" w:firstLine="385"/>
        <w:spacing w:after="0" w:line="268" w:lineRule="auto"/>
        <w:rPr>
          <w:sz w:val="20"/>
          <w:szCs w:val="20"/>
          <w:color w:val="auto"/>
        </w:rPr>
      </w:pPr>
      <w:r>
        <w:rPr>
          <w:rFonts w:ascii="Arial" w:cs="Arial" w:eastAsia="Arial" w:hAnsi="Arial"/>
          <w:sz w:val="15"/>
          <w:szCs w:val="15"/>
          <w:color w:val="auto"/>
        </w:rPr>
        <w:t>Under the Prescription Drug User Fee Act (PDUFA), as amended, each BLA or NDA must be accompanied by a user fee. FDA adjusts the PDUFA user fees on an annual basis. According to the FDA’s FY 2021 fee schedule, effective through September 30, 2021, the user fee for an application requiring clinical data, such as a BLA or NDA, is approximately $2.9 million. PDUFA also imposes an annual program fee for each marketed human prescription drug product ($336,432 in 2021) and an annual establishment fee on facilities used to manufacture prescription biologics or small molecular drug products. Fee waivers or reductions are available in certain circumstances, including a waiver of the application fee for the first application filed by a small business. Additionally, no user fees are assessed on BLAs or NDA for products designated as orphan drugs, unless the product also includes a non-orphan indication.</w:t>
      </w:r>
    </w:p>
    <w:p>
      <w:pPr>
        <w:spacing w:after="0" w:line="16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The FDA reviews all submitted BLAs and NDAs before it accepts them for filing and may request additional information rather than accepting the BLA or NDA for filing. The FDA must make a decision on accepting a BLA or NDA for filing within 60 days of receipt. Once the submission is accepted for filing, the FDA begins an in-depth review of the BLA or NDA. Under the goals and policies agreed to by the FDA under PDUFA, the FDA has ten months, from the filing date, in which to complete its initial review of an original BLA or NDA and respond to the applicant, and six months from the filing date of an original BLA or NDA designated for priority review. The FDA does not always meet its PDUFA goal dates for standard and priority BLAs or NDAs, and the review process is often extended by FDA requests for additional information or clarification.</w:t>
      </w:r>
    </w:p>
    <w:p>
      <w:pPr>
        <w:spacing w:after="0" w:line="128" w:lineRule="exact"/>
        <w:rPr>
          <w:sz w:val="20"/>
          <w:szCs w:val="20"/>
          <w:color w:val="auto"/>
        </w:rPr>
      </w:pPr>
    </w:p>
    <w:p>
      <w:pPr>
        <w:ind w:left="820" w:right="40" w:firstLine="385"/>
        <w:spacing w:after="0" w:line="308" w:lineRule="auto"/>
        <w:rPr>
          <w:sz w:val="20"/>
          <w:szCs w:val="20"/>
          <w:color w:val="auto"/>
        </w:rPr>
      </w:pPr>
      <w:r>
        <w:rPr>
          <w:rFonts w:ascii="Arial" w:cs="Arial" w:eastAsia="Arial" w:hAnsi="Arial"/>
          <w:sz w:val="13"/>
          <w:szCs w:val="13"/>
          <w:color w:val="auto"/>
        </w:rPr>
        <w:t>Before approving a BLA or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physicians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 BLA or NDA, it will issue an approval letter or a Complete Response Letter. An approval letter authorizes commercial marketing of the drug product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BLA or NDA identified by the FDA. The Complete Response Letter may require additional clinical data, additional pivotal Phase 3 clinical trial(s) and/ or other significant and time-consuming requirements related to clinical trials, preclinical studies or manufacturing. If a Complete Response Letter is issued, the applicant may either resubmit the BLA or NDA, addressing all of the deficiencies identified in the letter, or withdraw the application. Even if such data and information are submitted, the FDA may decide that the BLA or NDA does not satisfy the criteria for approval. Data obtained from clinical trials are not always conclusive and the FDA may interpret data differently than we interpret the same data.</w:t>
      </w: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186</w:t>
      </w:r>
    </w:p>
    <w:p>
      <w:pPr>
        <w:sectPr>
          <w:pgSz w:w="11900" w:h="16838" w:orient="portrait"/>
          <w:cols w:equalWidth="0" w:num="1">
            <w:col w:w="10440"/>
          </w:cols>
          <w:pgMar w:left="320" w:top="418" w:right="1139" w:bottom="1440" w:gutter="0" w:footer="0" w:header="0"/>
        </w:sectPr>
      </w:pPr>
    </w:p>
    <w:bookmarkStart w:id="189" w:name="page190"/>
    <w:bookmarkEnd w:id="1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Orphan Drugs</w:t>
      </w:r>
    </w:p>
    <w:p>
      <w:pPr>
        <w:spacing w:after="0" w:line="99"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67" w:lineRule="exact"/>
        <w:rPr>
          <w:sz w:val="20"/>
          <w:szCs w:val="20"/>
          <w:color w:val="auto"/>
        </w:rPr>
      </w:pPr>
    </w:p>
    <w:p>
      <w:pPr>
        <w:ind w:left="820" w:right="260" w:firstLine="385"/>
        <w:spacing w:after="0" w:line="281" w:lineRule="auto"/>
        <w:rPr>
          <w:sz w:val="20"/>
          <w:szCs w:val="20"/>
          <w:color w:val="auto"/>
        </w:rPr>
      </w:pPr>
      <w:r>
        <w:rPr>
          <w:rFonts w:ascii="Arial" w:cs="Arial" w:eastAsia="Arial" w:hAnsi="Arial"/>
          <w:sz w:val="15"/>
          <w:szCs w:val="15"/>
          <w:color w:val="auto"/>
        </w:rPr>
        <w:t>For biologic or small molecule drug products, an orphan drug designation must be requested before submitting a BLA or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49" w:lineRule="exact"/>
        <w:rPr>
          <w:sz w:val="20"/>
          <w:szCs w:val="20"/>
          <w:color w:val="auto"/>
        </w:rPr>
      </w:pPr>
    </w:p>
    <w:p>
      <w:pPr>
        <w:ind w:left="820" w:right="40" w:firstLine="385"/>
        <w:spacing w:after="0" w:line="312" w:lineRule="auto"/>
        <w:rPr>
          <w:sz w:val="20"/>
          <w:szCs w:val="20"/>
          <w:color w:val="auto"/>
        </w:rPr>
      </w:pPr>
      <w:r>
        <w:rPr>
          <w:rFonts w:ascii="Arial" w:cs="Arial" w:eastAsia="Arial" w:hAnsi="Arial"/>
          <w:sz w:val="13"/>
          <w:szCs w:val="13"/>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designated as an orphan drug receives marketing approval for an indication broader than the indication for which it is designated, it may not be entitled to orphan drug exclusivity. Orphan drug status in the European Union has similar, but not identical, requirements and benefits.</w:t>
      </w:r>
    </w:p>
    <w:p>
      <w:pPr>
        <w:spacing w:after="0" w:line="200" w:lineRule="exact"/>
        <w:rPr>
          <w:sz w:val="20"/>
          <w:szCs w:val="20"/>
          <w:color w:val="auto"/>
        </w:rPr>
      </w:pP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Expedited Development and Review Programs</w:t>
      </w:r>
    </w:p>
    <w:p>
      <w:pPr>
        <w:spacing w:after="0" w:line="99"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The FDA has a fast-track program that is intended to expedite or facilitate the process for reviewing new drug products that meet certain criteria. Specifically, new drug products are eligible for fast-track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fast-track status any time before receiving a BLA or NDA approval, but ideally no later than the pre-BLA or pre-NDA meeting.</w:t>
      </w:r>
    </w:p>
    <w:p>
      <w:pPr>
        <w:spacing w:after="0" w:line="154"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Any product submitted to the FDA for marketing, including under a fast-track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114" w:lineRule="exact"/>
        <w:rPr>
          <w:sz w:val="20"/>
          <w:szCs w:val="20"/>
          <w:color w:val="auto"/>
        </w:rPr>
      </w:pPr>
    </w:p>
    <w:p>
      <w:pPr>
        <w:ind w:left="820" w:right="120" w:firstLine="385"/>
        <w:spacing w:after="0" w:line="267" w:lineRule="auto"/>
        <w:rPr>
          <w:sz w:val="20"/>
          <w:szCs w:val="20"/>
          <w:color w:val="auto"/>
        </w:rPr>
      </w:pPr>
      <w:r>
        <w:rPr>
          <w:rFonts w:ascii="Arial" w:cs="Arial" w:eastAsia="Arial" w:hAnsi="Arial"/>
          <w:sz w:val="15"/>
          <w:szCs w:val="15"/>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product receiving accelerated approval to perform adequate and well-controlled post-marketing clinical trials. If the FDA concludes that a biologic or small molecule drug product shown to be potent or effective for the proposed indication can be safely used only if distribution or use is restricted, it may require such post-marketing restrictions as it deems necessary to assure safe use of the product. In some cases, FDA may limit the scope of the indication. Such restrictions could have a materially adverse effect on our business and our ability to obtain profitability.</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187</w:t>
      </w:r>
    </w:p>
    <w:p>
      <w:pPr>
        <w:sectPr>
          <w:pgSz w:w="11900" w:h="16838" w:orient="portrait"/>
          <w:cols w:equalWidth="0" w:num="1">
            <w:col w:w="10440"/>
          </w:cols>
          <w:pgMar w:left="320" w:top="418" w:right="11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Additionally, a drug product may be eligible for designation as a breakthrough therapy if the product is intended, alone or in combination with one or more other drug products,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 Depending on other factors that impact clinical trial timelines and development, such as our ability to identify and onboard clinical sites and rates of study participant enrollment and drop-out, we may not realize all the benefits of these expedited or accelerated review programs.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Abbreviated Licensure Pathway of Biological Products as Biosimilars or Interchangeable Biosimilars</w:t>
      </w:r>
    </w:p>
    <w:p>
      <w:pPr>
        <w:spacing w:after="0" w:line="99"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The Patient Protection and Affordable Care Act (Affordable Care Act or ACA), signed into law in 2010, includes the Biologics Price Competition and Innovation Act of 2009 (BPCIA), which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7" w:lineRule="exact"/>
        <w:rPr>
          <w:sz w:val="20"/>
          <w:szCs w:val="20"/>
          <w:color w:val="auto"/>
        </w:rPr>
      </w:pPr>
    </w:p>
    <w:p>
      <w:pPr>
        <w:ind w:left="1660" w:right="320" w:hanging="469"/>
        <w:spacing w:after="0" w:line="266" w:lineRule="auto"/>
        <w:tabs>
          <w:tab w:leader="none" w:pos="1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Analytical studies demonstrating that the proposed biosimilar product is highly similar to the approved product notwithstanding minor differences in clinically inactive components;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Animal studies (including the assessment of toxicity); and</w:t>
      </w:r>
    </w:p>
    <w:p>
      <w:pPr>
        <w:spacing w:after="0" w:line="110" w:lineRule="exact"/>
        <w:rPr>
          <w:rFonts w:ascii="Arial" w:cs="Arial" w:eastAsia="Arial" w:hAnsi="Arial"/>
          <w:sz w:val="16"/>
          <w:szCs w:val="16"/>
          <w:color w:val="auto"/>
        </w:rPr>
      </w:pPr>
    </w:p>
    <w:p>
      <w:pPr>
        <w:ind w:left="1660" w:right="80" w:hanging="469"/>
        <w:spacing w:after="0" w:line="383" w:lineRule="auto"/>
        <w:tabs>
          <w:tab w:leader="none" w:pos="16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A clinical trial or trials (including the assessment of immunogenicity and pharmacokinetic or pharmacodynamic) sufficient to demonstrate safety, purity and potency in one or more conditions for which the reference product is licensed and intended to be used.</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In addition, an application must include information demonstrating that:</w:t>
      </w:r>
    </w:p>
    <w:p>
      <w:pPr>
        <w:spacing w:after="0" w:line="111" w:lineRule="exact"/>
        <w:rPr>
          <w:sz w:val="20"/>
          <w:szCs w:val="20"/>
          <w:color w:val="auto"/>
        </w:rPr>
      </w:pPr>
    </w:p>
    <w:p>
      <w:pPr>
        <w:ind w:left="1660" w:hanging="469"/>
        <w:spacing w:after="0" w:line="383" w:lineRule="auto"/>
        <w:tabs>
          <w:tab w:leader="none" w:pos="16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6" w:lineRule="exact"/>
        <w:rPr>
          <w:rFonts w:ascii="Arial" w:cs="Arial" w:eastAsia="Arial" w:hAnsi="Arial"/>
          <w:sz w:val="13"/>
          <w:szCs w:val="13"/>
          <w:color w:val="auto"/>
        </w:rPr>
      </w:pPr>
    </w:p>
    <w:p>
      <w:pPr>
        <w:ind w:left="1660" w:right="260" w:hanging="469"/>
        <w:spacing w:after="0" w:line="266" w:lineRule="auto"/>
        <w:tabs>
          <w:tab w:leader="none" w:pos="1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condition or conditions of use prescribed, recommended or suggested in the labeling for the proposed biosimilar product have been previously approved for the reference product;</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route of administration, the dosage form and the strength of the proposed biosimilar product are the same as those for the reference product; and</w:t>
      </w:r>
    </w:p>
    <w:p>
      <w:pPr>
        <w:spacing w:after="0" w:line="75" w:lineRule="exact"/>
        <w:rPr>
          <w:rFonts w:ascii="Arial" w:cs="Arial" w:eastAsia="Arial" w:hAnsi="Arial"/>
          <w:sz w:val="16"/>
          <w:szCs w:val="16"/>
          <w:color w:val="auto"/>
        </w:rPr>
      </w:pPr>
    </w:p>
    <w:p>
      <w:pPr>
        <w:ind w:left="1660" w:right="560" w:hanging="469"/>
        <w:spacing w:after="0" w:line="266" w:lineRule="auto"/>
        <w:tabs>
          <w:tab w:leader="none" w:pos="16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facility in which the biological product is manufactured, processed, packed or held meets standards designed to assure that the biological product continues to be safe, pure and potent.</w:t>
      </w:r>
    </w:p>
    <w:p>
      <w:pPr>
        <w:spacing w:after="0" w:line="158"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healthcare provider who prescribed the reference product. The higher standard of interchangeability must be demonstrated by information sufficient to show that:</w:t>
      </w:r>
    </w:p>
    <w:p>
      <w:pPr>
        <w:spacing w:after="0" w:line="72" w:lineRule="exact"/>
        <w:rPr>
          <w:sz w:val="20"/>
          <w:szCs w:val="20"/>
          <w:color w:val="auto"/>
        </w:rPr>
      </w:pPr>
    </w:p>
    <w:p>
      <w:pPr>
        <w:ind w:left="1660" w:hanging="469"/>
        <w:spacing w:after="0"/>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proposed product is biosimilar to the reference product;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proposed product is expected to produce the same clinical result as the reference product in any given patient; and</w:t>
      </w: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188</w:t>
      </w:r>
    </w:p>
    <w:p>
      <w:pPr>
        <w:sectPr>
          <w:pgSz w:w="11900" w:h="16838" w:orient="portrait"/>
          <w:cols w:equalWidth="0" w:num="1">
            <w:col w:w="10440"/>
          </w:cols>
          <w:pgMar w:left="320" w:top="418" w:right="1139"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80" w:hanging="469"/>
        <w:spacing w:after="0" w:line="256" w:lineRule="auto"/>
        <w:tabs>
          <w:tab w:leader="none" w:pos="1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166" w:lineRule="exact"/>
        <w:rPr>
          <w:sz w:val="20"/>
          <w:szCs w:val="20"/>
          <w:color w:val="auto"/>
        </w:rPr>
      </w:pPr>
    </w:p>
    <w:p>
      <w:pPr>
        <w:ind w:left="820" w:right="60" w:firstLine="385"/>
        <w:spacing w:after="0" w:line="275" w:lineRule="auto"/>
        <w:rPr>
          <w:sz w:val="20"/>
          <w:szCs w:val="20"/>
          <w:color w:val="auto"/>
        </w:rPr>
      </w:pPr>
      <w:r>
        <w:rPr>
          <w:rFonts w:ascii="Arial" w:cs="Arial" w:eastAsia="Arial" w:hAnsi="Arial"/>
          <w:sz w:val="15"/>
          <w:szCs w:val="15"/>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53" w:lineRule="exact"/>
        <w:rPr>
          <w:sz w:val="20"/>
          <w:szCs w:val="20"/>
          <w:color w:val="auto"/>
        </w:rPr>
      </w:pPr>
    </w:p>
    <w:p>
      <w:pPr>
        <w:jc w:val="both"/>
        <w:ind w:left="820" w:right="20" w:firstLine="385"/>
        <w:spacing w:after="0" w:line="268" w:lineRule="auto"/>
        <w:rPr>
          <w:sz w:val="20"/>
          <w:szCs w:val="20"/>
          <w:color w:val="auto"/>
        </w:rPr>
      </w:pPr>
      <w:r>
        <w:rPr>
          <w:rFonts w:ascii="Arial" w:cs="Arial" w:eastAsia="Arial" w:hAnsi="Arial"/>
          <w:sz w:val="15"/>
          <w:szCs w:val="15"/>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161"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126"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w:t>
      </w:r>
    </w:p>
    <w:p>
      <w:pPr>
        <w:spacing w:after="0" w:line="16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163" w:lineRule="exact"/>
        <w:rPr>
          <w:sz w:val="20"/>
          <w:szCs w:val="20"/>
          <w:color w:val="auto"/>
        </w:rPr>
      </w:pPr>
    </w:p>
    <w:p>
      <w:pPr>
        <w:ind w:left="820" w:right="140" w:firstLine="385"/>
        <w:spacing w:after="0" w:line="250" w:lineRule="auto"/>
        <w:rPr>
          <w:sz w:val="20"/>
          <w:szCs w:val="20"/>
          <w:color w:val="auto"/>
        </w:rPr>
      </w:pPr>
      <w:r>
        <w:rPr>
          <w:rFonts w:ascii="Arial" w:cs="Arial" w:eastAsia="Arial" w:hAnsi="Arial"/>
          <w:sz w:val="16"/>
          <w:szCs w:val="16"/>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one year after the first commercial marketing of the first interchangeable product; 18 months after resolution of a patent infringement suit against the applicant that submitted the application for the first interchangeable product, based on a final court decision regarding all of the patents in the litigation or dismissal of the litigation with or without prejudice; 42 months after approval of the first interchangeable product, if a</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189</w:t>
      </w:r>
    </w:p>
    <w:p>
      <w:pPr>
        <w:sectPr>
          <w:pgSz w:w="11900" w:h="16838" w:orient="portrait"/>
          <w:cols w:equalWidth="0" w:num="1">
            <w:col w:w="10420"/>
          </w:cols>
          <w:pgMar w:left="320" w:top="418" w:right="1159" w:bottom="1440" w:gutter="0" w:footer="0" w:header="0"/>
        </w:sectPr>
      </w:pPr>
    </w:p>
    <w:bookmarkStart w:id="192" w:name="page193"/>
    <w:bookmarkEnd w:id="1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spacing w:after="0" w:line="383" w:lineRule="auto"/>
        <w:rPr>
          <w:sz w:val="20"/>
          <w:szCs w:val="20"/>
          <w:color w:val="auto"/>
        </w:rPr>
      </w:pPr>
      <w:r>
        <w:rPr>
          <w:rFonts w:ascii="Arial" w:cs="Arial" w:eastAsia="Arial" w:hAnsi="Arial"/>
          <w:sz w:val="13"/>
          <w:szCs w:val="13"/>
          <w:color w:val="auto"/>
        </w:rPr>
        <w:t>patent infringement suit against the applicant that submitted the application for the first interchangeable product is still ongoing; or 18 months after approval of the first interchangeable product if the applicant that submitted the application for the first interchangeable product has not been sued.</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Abbreviated NDA Pathway for Generic Drug Products</w:t>
      </w:r>
    </w:p>
    <w:p>
      <w:pPr>
        <w:spacing w:after="0" w:line="99"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The Drug Price Competition and Patent Term Restoration Act of 1984, commonly known as “the Hatch-Waxman Act,” established abbreviated FDA approval procedures for drugs that are shown to be bioequivalent to drugs previously approved by the FDA through its NDA process, which are commonly referred to as the “innovator” or “reference” drugs. Approval to market and to distribute these bioequivalent drugs is obtained by filing an abbreviated NDA (ANDA) with the FDA. An ANDA is a comprehensive submission that contains, among other things, data and information pertaining to the API, drug product formulation, specifications, stability, analytical methods, manufacturing process validation data, quality control procedures and bioequivalence. Rather than demonstrating safety and effectiveness, an ANDA applicant must demonstrate that its product is bioequivalent to an approved reference drug. In certain situations, an applicant may submit an ANDA for a product with a strength or dosage form that differs from a reference drug based upon FDA approval of an ANDA Suitability Petition. The FDA will approve an ANDA Suitability Petition if it finds that the product does not raise questions of safety and efficacy requiring new clinical data. ANDAs generally cannot be submitted for products that are not bioequivalent to the referenced drug or that are labeled for a use that is not approved for the reference drug. Applicants seeking to market such products can submit an NDA under Section 505(b)(2) of the FDCA with supportive data from clinical trials.</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product, including changes in indications, labeling or manufacturing processes or facilities, the applicant may be required to submit and obtain FDA approval of a new application or supplement, which may require the development of additional data or preclinical studies and clinical trials.</w:t>
      </w:r>
    </w:p>
    <w:p>
      <w:pPr>
        <w:spacing w:after="0" w:line="163"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FDA may also place other conditions on approvals including the requirement for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70"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2" w:lineRule="exact"/>
        <w:rPr>
          <w:sz w:val="20"/>
          <w:szCs w:val="20"/>
          <w:color w:val="auto"/>
        </w:rPr>
      </w:pPr>
    </w:p>
    <w:p>
      <w:pPr>
        <w:ind w:left="1660" w:hanging="469"/>
        <w:spacing w:after="0"/>
        <w:tabs>
          <w:tab w:leader="none" w:pos="16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Restrictions on the marketing or manufacturing of the product, complete withdrawal of the product from the market, or product recalls;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Warning letters, or holds on post-approval clinical studies;</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190</w:t>
      </w:r>
    </w:p>
    <w:p>
      <w:pPr>
        <w:sectPr>
          <w:pgSz w:w="11900" w:h="16838" w:orient="portrait"/>
          <w:cols w:equalWidth="0" w:num="1">
            <w:col w:w="10400"/>
          </w:cols>
          <w:pgMar w:left="320" w:top="418" w:right="1179" w:bottom="1440" w:gutter="0" w:footer="0" w:header="0"/>
        </w:sectPr>
      </w:pPr>
    </w:p>
    <w:bookmarkStart w:id="193" w:name="page194"/>
    <w:bookmarkEnd w:id="1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Applications, or suspension or revocation of product license approvals;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or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9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FDA Regulation of Combination Biologic-Medical Device Products</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the FDA. The determination of which Center will be the lead Center is based on the “primary mode of action” of the combination product. Thus, if the primary mode of action of a biologic-device combination product candidate is attributable to the biologic product candidate,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67" w:lineRule="exact"/>
        <w:rPr>
          <w:sz w:val="20"/>
          <w:szCs w:val="20"/>
          <w:color w:val="auto"/>
        </w:rPr>
      </w:pPr>
    </w:p>
    <w:p>
      <w:pPr>
        <w:ind w:left="820" w:right="160" w:firstLine="385"/>
        <w:spacing w:after="0" w:line="250" w:lineRule="auto"/>
        <w:rPr>
          <w:sz w:val="20"/>
          <w:szCs w:val="20"/>
          <w:color w:val="auto"/>
        </w:rPr>
      </w:pPr>
      <w:r>
        <w:rPr>
          <w:rFonts w:ascii="Arial" w:cs="Arial" w:eastAsia="Arial" w:hAnsi="Arial"/>
          <w:sz w:val="16"/>
          <w:szCs w:val="16"/>
          <w:color w:val="auto"/>
        </w:rPr>
        <w:t>A combination product with a biologic product candidate as the primary mode of action generally would be reviewed and approved pursuant to the biologic approval processes under the FDCA. In reviewing the BLA application for such a product, however, FDA reviewers in the Center for Biologics Evaluation and Research could consult with their counterparts in the device center to ensure that the device component of the combination product meet applicable requirements regarding safety, effectiveness, durability and performance. In addition, under FDA regulations, combination products are subject to cGMP requirements applicable to both biologics and devices, including the Quality System (QS), regulations applicable to medical devices.</w:t>
      </w:r>
    </w:p>
    <w:p>
      <w:pPr>
        <w:spacing w:after="0" w:line="171"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We may develop one or more of our biologic product candidates in combination with a novel delivery medical device, such as an injection catheter device for more precise delivery of a biologic product candidate. Regulatory review of such combination product candidate will increase the timing, cost, and the complexity of the FDA review and approval process, and subject us to additional regulations and exposure to liability. Pending discussion with the FDA, if the medical device is considered a significant risk device under the FDA’s Investigational Device Exemption (IDE) regulations, then we may be required to comply with the IDE regulations for clinical studies in addition to the IND regulations and may be required to submit both an IDE and an IND before commencing clinical testing of the combination product. We cannot provide any assurance regarding how FDA will regulate our combination product, or if we will be successful in obtaining approval for any combination product.</w:t>
      </w: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191</w:t>
      </w:r>
    </w:p>
    <w:p>
      <w:pPr>
        <w:sectPr>
          <w:pgSz w:w="11900" w:h="16838" w:orient="portrait"/>
          <w:cols w:equalWidth="0" w:num="1">
            <w:col w:w="10360"/>
          </w:cols>
          <w:pgMar w:left="320" w:top="418" w:right="1219" w:bottom="1440" w:gutter="0" w:footer="0" w:header="0"/>
        </w:sectPr>
      </w:pPr>
    </w:p>
    <w:bookmarkStart w:id="194" w:name="page195"/>
    <w:bookmarkEnd w:id="1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510(k) clearance process</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To obtain 510(k) clearance, a pre-market notification is submitted to the FDA demonstrating that the proposed device is substantially equivalent to a previously cleared 510(k) device or a device that was in commercial distribution before May 28, 1976 for which the FDA has not yet required the submission of a PMA application. The FDA’s 510(k) clearance process may take three to twelve months from the date the application is submitted and filed with the FDA, but may take longer if FDA requests additional information, among other reasons. In some cases, the FDA may require clinical data to support substantial equivalence. In reviewing a pre-market notification submission, the FDA may request additional information, which may significantly prolong the review process. Notwithstanding compliance with all these requirements, clearance is never assured.</w:t>
      </w:r>
    </w:p>
    <w:p>
      <w:pPr>
        <w:spacing w:after="0" w:line="128"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After a device receives 510(k) clearance, any subsequent modification of the device that could significantly affect its safety or effectiveness, or that would constitute a major change in its intended use, will require a new 510(k) clearance or require a PMA. In addition, the FDA may make substantial changes to industry requirements, including which devices are eligible for 510(k) clearance, which may significantly affect the process.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 novo classification process</w:t>
      </w:r>
    </w:p>
    <w:p>
      <w:pPr>
        <w:spacing w:after="0" w:line="99"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If a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different route to market for low to moderate risk medical devices that are automatically placed into Class III due to the absence of a predicate device, called the “Request for Evaluation of Automatic Class III Designation,” or the de novo classification process. This process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and requires PMA or that general controls would be inadequate to control the risks and special controls cannot be developed. Obtaining FDA marketing authorization, de novo down-classification, or approval for medical devices is expensive and uncertain, and may take several years, and generally requires significant scientific and clinical data.</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PMA approval process</w:t>
      </w:r>
    </w:p>
    <w:p>
      <w:pPr>
        <w:spacing w:after="0" w:line="99"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The PMA process, including the gathering of clinical and nonclinical data and the submission to and review by the FDA, can take several years or longer. The applicant must prepare and provide the FDA with reasonable assurance of the device’s safety and effectiveness, including information about the device and its components regarding, among other things, device design, manufacturing, and labeling. PMA applications are subject to an application fee. In addition, PMAs for medical devices must generally include the results from extensive preclinical and adequate and well-controlled clinical trials to establish the safety and effectiveness of the device for each indication for which FDA approval is sought. As part of the PMA review, the FDA will typically inspect the manufacturer’s facilities for compliance with the Quality System Regulation (QSR), which imposes extensive testing, control, documentation, and other quality assurance and GMP requirements.</w:t>
      </w:r>
    </w:p>
    <w:p>
      <w:pPr>
        <w:spacing w:after="0" w:line="25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U.S. Regulatory Matters</w:t>
      </w:r>
    </w:p>
    <w:p>
      <w:pPr>
        <w:spacing w:after="0" w:line="99"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color w:val="auto"/>
        </w:rPr>
        <w:t>Manufacturing, sales, promotion and other activities following product approval are also subject to regulation by numerous regulatory authorities in the United States in addition to the FDA, including the Centers for Medicare &amp; Medicaid Services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0420"/>
          </w:cols>
          <w:pgMar w:left="320" w:top="418" w:right="1159" w:bottom="1440" w:gutter="0" w:footer="0" w:header="0"/>
        </w:sectPr>
      </w:pPr>
    </w:p>
    <w:bookmarkStart w:id="195" w:name="page196"/>
    <w:bookmarkEnd w:id="1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49" w:lineRule="auto"/>
        <w:rPr>
          <w:sz w:val="20"/>
          <w:szCs w:val="20"/>
          <w:color w:val="auto"/>
        </w:rPr>
      </w:pPr>
      <w:r>
        <w:rPr>
          <w:rFonts w:ascii="Arial" w:cs="Arial" w:eastAsia="Arial" w:hAnsi="Arial"/>
          <w:sz w:val="16"/>
          <w:szCs w:val="16"/>
          <w:color w:val="auto"/>
        </w:rPr>
        <w:t>For example, in the United States, sales, marketing and scientific and 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w:t>
      </w:r>
    </w:p>
    <w:p>
      <w:pPr>
        <w:spacing w:after="0" w:line="171"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70"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58" w:lineRule="exact"/>
        <w:rPr>
          <w:sz w:val="20"/>
          <w:szCs w:val="20"/>
          <w:color w:val="auto"/>
        </w:rPr>
      </w:pPr>
    </w:p>
    <w:p>
      <w:pPr>
        <w:ind w:left="820" w:right="260" w:firstLine="385"/>
        <w:spacing w:after="0" w:line="319" w:lineRule="auto"/>
        <w:rPr>
          <w:sz w:val="20"/>
          <w:szCs w:val="20"/>
          <w:color w:val="auto"/>
        </w:rPr>
      </w:pPr>
      <w:r>
        <w:rPr>
          <w:rFonts w:ascii="Arial" w:cs="Arial" w:eastAsia="Arial" w:hAnsi="Arial"/>
          <w:sz w:val="13"/>
          <w:szCs w:val="13"/>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128"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Changes in regulations, statutes or the interpretation of existing regulations could impact our business in the future by requiring, for example: changes to our manufacturing arrangements; additions or modifications to product labeling; the recall or discontinuation of our products; or additional record-keeping requirements. If any such changes were to be imposed, they could adversely affect the operation of our business.</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Data Privacy and Security Laws</w:t>
      </w:r>
    </w:p>
    <w:p>
      <w:pPr>
        <w:spacing w:after="0" w:line="99"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5"/>
          <w:szCs w:val="15"/>
          <w:color w:val="auto"/>
        </w:rPr>
        <w:t>In the United States, there are a broad variety of laws, rules, regulations and standards relating to privacy, data protection and information security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193</w:t>
      </w:r>
    </w:p>
    <w:p>
      <w:pPr>
        <w:sectPr>
          <w:pgSz w:w="11900" w:h="16838" w:orient="portrait"/>
          <w:cols w:equalWidth="0" w:num="1">
            <w:col w:w="10440"/>
          </w:cols>
          <w:pgMar w:left="320" w:top="418" w:right="113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310" w:lineRule="auto"/>
        <w:rPr>
          <w:sz w:val="20"/>
          <w:szCs w:val="20"/>
          <w:color w:val="auto"/>
        </w:rPr>
      </w:pPr>
      <w:r>
        <w:rPr>
          <w:rFonts w:ascii="Arial" w:cs="Arial" w:eastAsia="Arial" w:hAnsi="Arial"/>
          <w:sz w:val="13"/>
          <w:szCs w:val="13"/>
          <w:color w:val="auto"/>
        </w:rPr>
        <w:t>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We will continue to monitor and assess the impact of these state laws, which may impose substantial penalties for violations, impose significant costs for investigation and compliance, allow private class-action litigation and carry significant potential liability for our business. For more information, see “Risk Factors— 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 Patent-Term Restoration and Marketing Exclusivity</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 BLA or NDA plus the time between the submission date of a BLA or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BLA or NDA. However, there can be no assurance that our pending patent applications will issue or that we will benefit from any patent term extension or favorable adjustments to the terms of any patents we may own or in-license in the future.</w:t>
      </w:r>
    </w:p>
    <w:p>
      <w:pPr>
        <w:spacing w:after="0" w:line="167" w:lineRule="exact"/>
        <w:rPr>
          <w:sz w:val="20"/>
          <w:szCs w:val="20"/>
          <w:color w:val="auto"/>
        </w:rPr>
      </w:pPr>
    </w:p>
    <w:p>
      <w:pPr>
        <w:ind w:left="820" w:right="20" w:firstLine="385"/>
        <w:spacing w:after="0" w:line="310" w:lineRule="auto"/>
        <w:rPr>
          <w:sz w:val="20"/>
          <w:szCs w:val="20"/>
          <w:color w:val="auto"/>
        </w:rPr>
      </w:pPr>
      <w:r>
        <w:rPr>
          <w:rFonts w:ascii="Arial" w:cs="Arial" w:eastAsia="Arial" w:hAnsi="Arial"/>
          <w:sz w:val="13"/>
          <w:szCs w:val="13"/>
          <w:color w:val="auto"/>
        </w:rPr>
        <w:t>Market exclusivity provisions under the FDCA also can delay the submission or the approval of certain applications. 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00" w:lineRule="exact"/>
        <w:rPr>
          <w:sz w:val="20"/>
          <w:szCs w:val="20"/>
          <w:color w:val="auto"/>
        </w:rPr>
      </w:pPr>
    </w:p>
    <w:p>
      <w:pPr>
        <w:spacing w:after="0" w:line="28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194</w:t>
      </w:r>
    </w:p>
    <w:p>
      <w:pPr>
        <w:sectPr>
          <w:pgSz w:w="11900" w:h="16838" w:orient="portrait"/>
          <w:cols w:equalWidth="0" w:num="1">
            <w:col w:w="10420"/>
          </w:cols>
          <w:pgMar w:left="320" w:top="418" w:right="1159" w:bottom="1440" w:gutter="0" w:footer="0" w:header="0"/>
        </w:sectPr>
      </w:pPr>
    </w:p>
    <w:bookmarkStart w:id="197" w:name="page198"/>
    <w:bookmarkEnd w:id="1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color w:val="auto"/>
        </w:rPr>
        <w:t>The FDCA provides a five-year period of non-patent marketing exclusivity 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 generic version of such drug where the applicant does not own or have a legal right of reference to all the data required for approval. However, an application may be submitted after four years if it contains a certification of patent invalidity or non-infringement with respect to one or more patents listed for the drug in the FDA’s Approved Drug Products with Therapeutic Equivalence Evaluations publication.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 generate such data themselves.</w:t>
      </w:r>
    </w:p>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European Union Drug Development</w:t>
      </w:r>
    </w:p>
    <w:p>
      <w:pPr>
        <w:spacing w:after="0" w:line="99"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Under the current regime, all suspected unexpected serious adverse reactions to the investigated drug that occur during the clinical trial have to be reported to the NCA and ECs of the Member State where they occurred.</w:t>
      </w:r>
    </w:p>
    <w:p>
      <w:pPr>
        <w:spacing w:after="0" w:line="131" w:lineRule="exact"/>
        <w:rPr>
          <w:sz w:val="20"/>
          <w:szCs w:val="20"/>
          <w:color w:val="auto"/>
        </w:rPr>
      </w:pPr>
    </w:p>
    <w:p>
      <w:pPr>
        <w:ind w:left="820" w:right="220" w:firstLine="385"/>
        <w:spacing w:after="0" w:line="275" w:lineRule="auto"/>
        <w:rPr>
          <w:sz w:val="20"/>
          <w:szCs w:val="20"/>
          <w:color w:val="auto"/>
        </w:rPr>
      </w:pPr>
      <w:r>
        <w:rPr>
          <w:rFonts w:ascii="Arial" w:cs="Arial" w:eastAsia="Arial" w:hAnsi="Arial"/>
          <w:sz w:val="15"/>
          <w:szCs w:val="15"/>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European Union will be identical. In the meantime, Clinical Trials Directive 2001/20/EC continues to govern all clinical trials performed in the European Union.</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 Drug Review and Approval</w:t>
      </w:r>
    </w:p>
    <w:p>
      <w:pPr>
        <w:spacing w:after="0" w:line="99" w:lineRule="exact"/>
        <w:rPr>
          <w:sz w:val="20"/>
          <w:szCs w:val="20"/>
          <w:color w:val="auto"/>
        </w:rPr>
      </w:pPr>
    </w:p>
    <w:p>
      <w:pPr>
        <w:jc w:val="both"/>
        <w:ind w:left="820" w:right="240" w:firstLine="385"/>
        <w:spacing w:after="0" w:line="256" w:lineRule="auto"/>
        <w:rPr>
          <w:sz w:val="20"/>
          <w:szCs w:val="20"/>
          <w:color w:val="auto"/>
        </w:rPr>
      </w:pPr>
      <w:r>
        <w:rPr>
          <w:rFonts w:ascii="Arial" w:cs="Arial" w:eastAsia="Arial" w:hAnsi="Arial"/>
          <w:sz w:val="16"/>
          <w:szCs w:val="16"/>
          <w:color w:val="auto"/>
        </w:rPr>
        <w:t>In the European Economic Area (EEA), which is comprised of the 27 Member States of the European Union (including Norway and excluding Croatia), Iceland and Liechtenstein, medicinal products can only be commercialized after obtaining a Marketing Authorization (MA). There are two types of Marketing Authorizations:</w:t>
      </w:r>
    </w:p>
    <w:p>
      <w:pPr>
        <w:spacing w:after="0" w:line="83" w:lineRule="exact"/>
        <w:rPr>
          <w:sz w:val="20"/>
          <w:szCs w:val="20"/>
          <w:color w:val="auto"/>
        </w:rPr>
      </w:pPr>
    </w:p>
    <w:p>
      <w:pPr>
        <w:ind w:left="1660" w:hanging="469"/>
        <w:spacing w:after="0" w:line="250" w:lineRule="auto"/>
        <w:tabs>
          <w:tab w:leader="none" w:pos="1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Community MA is issued by the European Commission through the Centralized Procedure, based on the opinion of the Committee for Medicinal Products for Human Use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195</w:t>
      </w:r>
    </w:p>
    <w:p>
      <w:pPr>
        <w:sectPr>
          <w:pgSz w:w="11900" w:h="16838" w:orient="portrait"/>
          <w:cols w:equalWidth="0" w:num="1">
            <w:col w:w="10420"/>
          </w:cols>
          <w:pgMar w:left="320" w:top="418" w:right="1159" w:bottom="1440" w:gutter="0" w:footer="0" w:header="0"/>
        </w:sectPr>
      </w:pPr>
    </w:p>
    <w:bookmarkStart w:id="198" w:name="page199"/>
    <w:bookmarkEnd w:id="1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80" w:right="40"/>
        <w:spacing w:after="0" w:line="256" w:lineRule="auto"/>
        <w:rPr>
          <w:sz w:val="20"/>
          <w:szCs w:val="20"/>
          <w:color w:val="auto"/>
        </w:rPr>
      </w:pPr>
      <w:r>
        <w:rPr>
          <w:rFonts w:ascii="Arial" w:cs="Arial" w:eastAsia="Arial" w:hAnsi="Arial"/>
          <w:sz w:val="16"/>
          <w:szCs w:val="16"/>
          <w:color w:val="auto"/>
        </w:rPr>
        <w:t>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sz w:val="20"/>
          <w:szCs w:val="20"/>
          <w:color w:val="auto"/>
        </w:rPr>
      </w:pPr>
    </w:p>
    <w:p>
      <w:pPr>
        <w:ind w:left="1660" w:hanging="469"/>
        <w:spacing w:after="0" w:line="311" w:lineRule="auto"/>
        <w:tabs>
          <w:tab w:leader="none" w:pos="16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326" w:lineRule="exact"/>
        <w:rPr>
          <w:sz w:val="20"/>
          <w:szCs w:val="20"/>
          <w:color w:val="auto"/>
        </w:rPr>
      </w:pPr>
    </w:p>
    <w:p>
      <w:pPr>
        <w:ind w:left="820" w:right="160" w:firstLine="385"/>
        <w:spacing w:after="0" w:line="300" w:lineRule="auto"/>
        <w:rPr>
          <w:sz w:val="20"/>
          <w:szCs w:val="20"/>
          <w:color w:val="auto"/>
        </w:rPr>
      </w:pPr>
      <w:r>
        <w:rPr>
          <w:rFonts w:ascii="Arial" w:cs="Arial" w:eastAsia="Arial" w:hAnsi="Arial"/>
          <w:sz w:val="15"/>
          <w:szCs w:val="15"/>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Foreign Data Privacy and Security Laws</w:t>
      </w:r>
    </w:p>
    <w:p>
      <w:pPr>
        <w:spacing w:after="0" w:line="99"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Outside of the United States, legal requirements relating to the collection, storage, processing, and transfer of personal data continue to evolve. For example, in the EU, the GDPR requires data controllers to implement more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and regulations in the EU, including those of EU member states, relating to privacy and data protection. We are also subject to the UK GDPR, a version of the GDPR as implemented into UK law. If our efforts to comply with GDPR or other applicable foreign laws, rules and regulations are not successful, or are perceived to be unsuccessful, it could adversely affect our business. For more information, see “Risk Factors—Risks Related to Regulatory Approval and Other Legal Compliance Matters—We are subject to stringent laws, rules, regulations, policies, industry standards and contractual obligations regarding data privacy and security and may be subject to additional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200" w:lineRule="exact"/>
        <w:rPr>
          <w:sz w:val="20"/>
          <w:szCs w:val="20"/>
          <w:color w:val="auto"/>
        </w:rPr>
      </w:pPr>
    </w:p>
    <w:p>
      <w:pPr>
        <w:spacing w:after="0" w:line="2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Coverage and Reimbursement</w:t>
      </w:r>
    </w:p>
    <w:p>
      <w:pPr>
        <w:spacing w:after="0" w:line="99"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196</w:t>
      </w:r>
    </w:p>
    <w:p>
      <w:pPr>
        <w:sectPr>
          <w:pgSz w:w="11900" w:h="16838" w:orient="portrait"/>
          <w:cols w:equalWidth="0" w:num="1">
            <w:col w:w="10440"/>
          </w:cols>
          <w:pgMar w:left="320" w:top="418" w:right="1139" w:bottom="1440" w:gutter="0" w:footer="0" w:header="0"/>
        </w:sectPr>
      </w:pPr>
    </w:p>
    <w:bookmarkStart w:id="199" w:name="page200"/>
    <w:bookmarkEnd w:id="1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161"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CMS has proposed to expand Medicaid rebate liability to the territories of the United States as well.</w:t>
      </w:r>
    </w:p>
    <w:p>
      <w:pPr>
        <w:spacing w:after="0" w:line="159" w:lineRule="exact"/>
        <w:rPr>
          <w:sz w:val="20"/>
          <w:szCs w:val="20"/>
          <w:color w:val="auto"/>
        </w:rPr>
      </w:pPr>
    </w:p>
    <w:p>
      <w:pPr>
        <w:ind w:left="820" w:right="60" w:firstLine="385"/>
        <w:spacing w:after="0" w:line="265" w:lineRule="auto"/>
        <w:rPr>
          <w:sz w:val="20"/>
          <w:szCs w:val="20"/>
          <w:color w:val="auto"/>
        </w:rPr>
      </w:pPr>
      <w:r>
        <w:rPr>
          <w:rFonts w:ascii="Arial" w:cs="Arial" w:eastAsia="Arial" w:hAnsi="Arial"/>
          <w:sz w:val="15"/>
          <w:szCs w:val="15"/>
          <w:color w:val="auto"/>
        </w:rPr>
        <w:t>The Medicare Prescription Drug, Improvement and Modernization Act of 2003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67" w:lineRule="exact"/>
        <w:rPr>
          <w:sz w:val="20"/>
          <w:szCs w:val="20"/>
          <w:color w:val="auto"/>
        </w:rPr>
      </w:pPr>
    </w:p>
    <w:p>
      <w:pPr>
        <w:jc w:val="both"/>
        <w:ind w:left="820" w:right="160" w:firstLine="385"/>
        <w:spacing w:after="0" w:line="281" w:lineRule="auto"/>
        <w:rPr>
          <w:sz w:val="20"/>
          <w:szCs w:val="20"/>
          <w:color w:val="auto"/>
        </w:rPr>
      </w:pPr>
      <w:r>
        <w:rPr>
          <w:rFonts w:ascii="Arial" w:cs="Arial" w:eastAsia="Arial" w:hAnsi="Arial"/>
          <w:sz w:val="15"/>
          <w:szCs w:val="15"/>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149" w:lineRule="exact"/>
        <w:rPr>
          <w:sz w:val="20"/>
          <w:szCs w:val="20"/>
          <w:color w:val="auto"/>
        </w:rPr>
      </w:pPr>
    </w:p>
    <w:p>
      <w:pPr>
        <w:jc w:val="both"/>
        <w:ind w:left="820" w:right="20" w:firstLine="385"/>
        <w:spacing w:after="0" w:line="323" w:lineRule="auto"/>
        <w:rPr>
          <w:sz w:val="20"/>
          <w:szCs w:val="20"/>
          <w:color w:val="auto"/>
        </w:rPr>
      </w:pPr>
      <w:r>
        <w:rPr>
          <w:rFonts w:ascii="Arial" w:cs="Arial" w:eastAsia="Arial" w:hAnsi="Arial"/>
          <w:sz w:val="13"/>
          <w:szCs w:val="13"/>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it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197</w:t>
      </w:r>
    </w:p>
    <w:p>
      <w:pPr>
        <w:sectPr>
          <w:pgSz w:w="11900" w:h="16838" w:orient="portrait"/>
          <w:cols w:equalWidth="0" w:num="1">
            <w:col w:w="10420"/>
          </w:cols>
          <w:pgMar w:left="320" w:top="418" w:right="1159" w:bottom="1440" w:gutter="0" w:footer="0" w:header="0"/>
        </w:sectPr>
      </w:pPr>
    </w:p>
    <w:bookmarkStart w:id="200" w:name="page201"/>
    <w:bookmarkEnd w:id="2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firstLine="385"/>
        <w:spacing w:after="0" w:line="267" w:lineRule="auto"/>
        <w:rPr>
          <w:sz w:val="20"/>
          <w:szCs w:val="20"/>
          <w:color w:val="auto"/>
        </w:rPr>
      </w:pPr>
      <w:r>
        <w:rPr>
          <w:rFonts w:ascii="Arial" w:cs="Arial" w:eastAsia="Arial" w:hAnsi="Arial"/>
          <w:sz w:val="15"/>
          <w:szCs w:val="15"/>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in order to control the prices of medicinal products for human use. A member state may approve a specific price for the medicinal product or it may instead adopt a system of direct or indirect controls on the profitability of the company placing the medicinal product in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63"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We are unable to predict the future course of federal or state healthcare legislation in U.S. or foreign legislation directed at containing or lowering the cost of healthcare and prescription drug prices. These and any further changes in the law or regulatory framework that reduce our revenue or increase our costs could have a material and adverse effect on our business, financial condition and results of operations. It is also possible that additional governmental action will be taken to address the COVID-19 pandemic. The continuing efforts of the government, insurance companies, managed care organizations, and other payors of healthcare services and medical products to contain or reduce costs of healthcare and/or impose price controls may adversely affect the demand for our product candidates, if approved, and our ability to achieve or maintain profitability.</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103"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As of March 31, 2021, we had more than 75 full-time employees, with approximately 45 engaged in research and development activities and approximately 20 engaged in manufacturing activities. None of our employees are represented by a labor union or covered under a collective bargaining agreement. We consider our relationship with our employees to be good, in part as measured by relatively high scores from employees surveys and our relatively low turnover.</w:t>
      </w:r>
    </w:p>
    <w:p>
      <w:pPr>
        <w:spacing w:after="0" w:line="167" w:lineRule="exact"/>
        <w:rPr>
          <w:sz w:val="20"/>
          <w:szCs w:val="20"/>
          <w:color w:val="auto"/>
        </w:rPr>
      </w:pPr>
    </w:p>
    <w:p>
      <w:pPr>
        <w:ind w:left="820" w:right="40" w:firstLine="385"/>
        <w:spacing w:after="0" w:line="275" w:lineRule="auto"/>
        <w:rPr>
          <w:sz w:val="20"/>
          <w:szCs w:val="20"/>
          <w:color w:val="auto"/>
        </w:rPr>
      </w:pPr>
      <w:r>
        <w:rPr>
          <w:rFonts w:ascii="Arial" w:cs="Arial" w:eastAsia="Arial" w:hAnsi="Arial"/>
          <w:sz w:val="15"/>
          <w:szCs w:val="15"/>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Facilities</w:t>
      </w:r>
    </w:p>
    <w:p>
      <w:pPr>
        <w:spacing w:after="0" w:line="103" w:lineRule="exact"/>
        <w:rPr>
          <w:sz w:val="20"/>
          <w:szCs w:val="20"/>
          <w:color w:val="auto"/>
        </w:rPr>
      </w:pPr>
    </w:p>
    <w:p>
      <w:pPr>
        <w:jc w:val="both"/>
        <w:ind w:left="820" w:right="480" w:firstLine="385"/>
        <w:spacing w:after="0" w:line="281" w:lineRule="auto"/>
        <w:rPr>
          <w:sz w:val="20"/>
          <w:szCs w:val="20"/>
          <w:color w:val="auto"/>
        </w:rPr>
      </w:pPr>
      <w:r>
        <w:rPr>
          <w:rFonts w:ascii="Arial" w:cs="Arial" w:eastAsia="Arial" w:hAnsi="Arial"/>
          <w:sz w:val="15"/>
          <w:szCs w:val="15"/>
          <w:color w:val="auto"/>
        </w:rPr>
        <w:t>Our corporate headquarters are in South San Francisco, where we lease a facility containing approximately 32,370 square feet of office and laboratory space located at 171 Oyster Point Blvd., 5</w:t>
      </w:r>
      <w:r>
        <w:rPr>
          <w:rFonts w:ascii="Arial" w:cs="Arial" w:eastAsia="Arial" w:hAnsi="Arial"/>
          <w:sz w:val="12"/>
          <w:szCs w:val="12"/>
          <w:color w:val="auto"/>
        </w:rPr>
        <w:t>th</w:t>
      </w:r>
      <w:r>
        <w:rPr>
          <w:rFonts w:ascii="Arial" w:cs="Arial" w:eastAsia="Arial" w:hAnsi="Arial"/>
          <w:sz w:val="15"/>
          <w:szCs w:val="15"/>
          <w:color w:val="auto"/>
        </w:rPr>
        <w:t xml:space="preserve"> Floor, South San Francisco, CA 94080. The lease expires on May 31, 2025, unless earlier terminated in accordance with the lease, and we may renew the lease term for two additional five-year periods.</w:t>
      </w:r>
    </w:p>
    <w:p>
      <w:pPr>
        <w:spacing w:after="0" w:line="149" w:lineRule="exact"/>
        <w:rPr>
          <w:sz w:val="20"/>
          <w:szCs w:val="20"/>
          <w:color w:val="auto"/>
        </w:rPr>
      </w:pPr>
    </w:p>
    <w:p>
      <w:pPr>
        <w:jc w:val="both"/>
        <w:ind w:left="820" w:right="380" w:firstLine="385"/>
        <w:spacing w:after="0" w:line="256" w:lineRule="auto"/>
        <w:rPr>
          <w:sz w:val="20"/>
          <w:szCs w:val="20"/>
          <w:color w:val="auto"/>
        </w:rPr>
      </w:pPr>
      <w:r>
        <w:rPr>
          <w:rFonts w:ascii="Arial" w:cs="Arial" w:eastAsia="Arial" w:hAnsi="Arial"/>
          <w:sz w:val="16"/>
          <w:szCs w:val="16"/>
          <w:color w:val="auto"/>
        </w:rPr>
        <w:t>We also have subleased space at another facility in South San Francisco containing approximately 24,000 square feet of additional office and laboratory space located at 131 Oyster Point Blvd, 4</w:t>
      </w:r>
      <w:r>
        <w:rPr>
          <w:rFonts w:ascii="Arial" w:cs="Arial" w:eastAsia="Arial" w:hAnsi="Arial"/>
          <w:sz w:val="13"/>
          <w:szCs w:val="13"/>
          <w:color w:val="auto"/>
        </w:rPr>
        <w:t>th</w:t>
      </w:r>
      <w:r>
        <w:rPr>
          <w:rFonts w:ascii="Arial" w:cs="Arial" w:eastAsia="Arial" w:hAnsi="Arial"/>
          <w:sz w:val="16"/>
          <w:szCs w:val="16"/>
          <w:color w:val="auto"/>
        </w:rPr>
        <w:t xml:space="preserve"> Floor, South San Francisco, CA 94080. The sublease expires on November 30, 2021, unless earlier terminated in accordance with the sublease.</w:t>
      </w:r>
    </w:p>
    <w:p>
      <w:pPr>
        <w:spacing w:after="0" w:line="166" w:lineRule="exact"/>
        <w:rPr>
          <w:sz w:val="20"/>
          <w:szCs w:val="20"/>
          <w:color w:val="auto"/>
        </w:rPr>
      </w:pPr>
    </w:p>
    <w:p>
      <w:pPr>
        <w:ind w:left="820" w:right="60" w:firstLine="385"/>
        <w:spacing w:after="0" w:line="343" w:lineRule="auto"/>
        <w:rPr>
          <w:sz w:val="20"/>
          <w:szCs w:val="20"/>
          <w:color w:val="auto"/>
        </w:rPr>
      </w:pPr>
      <w:r>
        <w:rPr>
          <w:rFonts w:ascii="Arial" w:cs="Arial" w:eastAsia="Arial" w:hAnsi="Arial"/>
          <w:sz w:val="13"/>
          <w:szCs w:val="13"/>
          <w:color w:val="auto"/>
        </w:rPr>
        <w:t>We also have a leased space at a facility in Union City containing approximately 94,000 square feet of manufacturing and office space located at 33498 Central Avenue, Union City, CA 94587. The lease expires ten years and three months following the date the premises is delivered by the landlord in the required condition, unless earlier terminated in accordance with the lease. We may renew the lease term for one additional five-year period.</w:t>
      </w:r>
    </w:p>
    <w:p>
      <w:pPr>
        <w:spacing w:after="0" w:line="2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198</w:t>
      </w:r>
    </w:p>
    <w:p>
      <w:pPr>
        <w:sectPr>
          <w:pgSz w:w="11900" w:h="16838" w:orient="portrait"/>
          <w:cols w:equalWidth="0" w:num="1">
            <w:col w:w="10440"/>
          </w:cols>
          <w:pgMar w:left="320" w:top="418" w:right="1139" w:bottom="1440" w:gutter="0" w:footer="0" w:header="0"/>
        </w:sectPr>
      </w:pPr>
    </w:p>
    <w:bookmarkStart w:id="201" w:name="page202"/>
    <w:bookmarkEnd w:id="2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We believe that these existing facilities are adequate for our current needs and that suitable additional or alternative space will be available in the future on commercially reasonable terms, if required.</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Legal Proceedings</w:t>
      </w:r>
    </w:p>
    <w:p>
      <w:pPr>
        <w:spacing w:after="0" w:line="103" w:lineRule="exact"/>
        <w:rPr>
          <w:sz w:val="20"/>
          <w:szCs w:val="20"/>
          <w:color w:val="auto"/>
        </w:rPr>
      </w:pPr>
    </w:p>
    <w:p>
      <w:pPr>
        <w:ind w:left="820" w:right="60" w:firstLine="385"/>
        <w:spacing w:after="0" w:line="281" w:lineRule="auto"/>
        <w:rPr>
          <w:sz w:val="20"/>
          <w:szCs w:val="20"/>
          <w:color w:val="auto"/>
        </w:rPr>
      </w:pPr>
      <w:r>
        <w:rPr>
          <w:rFonts w:ascii="Arial" w:cs="Arial" w:eastAsia="Arial" w:hAnsi="Arial"/>
          <w:sz w:val="15"/>
          <w:szCs w:val="15"/>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199</w:t>
      </w:r>
    </w:p>
    <w:p>
      <w:pPr>
        <w:sectPr>
          <w:pgSz w:w="11900" w:h="16838" w:orient="portrait"/>
          <w:cols w:equalWidth="0" w:num="1">
            <w:col w:w="10300"/>
          </w:cols>
          <w:pgMar w:left="320" w:top="418" w:right="1279" w:bottom="1440" w:gutter="0" w:footer="0" w:header="0"/>
        </w:sectPr>
      </w:pPr>
    </w:p>
    <w:bookmarkStart w:id="202" w:name="page203"/>
    <w:bookmarkEnd w:id="2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MANAGEMENT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Officers and Directors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the names and positions of our executive officers and directors and their ages as of March 31, 2021:</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2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rPr>
              <w:t>Age</w:t>
            </w:r>
          </w:p>
        </w:tc>
        <w:tc>
          <w:tcPr>
            <w:tcW w:w="5500" w:type="dxa"/>
            <w:vAlign w:val="bottom"/>
            <w:gridSpan w:val="3"/>
          </w:tcPr>
          <w:p>
            <w:pPr>
              <w:ind w:left="24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2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b w:val="1"/>
                <w:bCs w:val="1"/>
                <w:i w:val="1"/>
                <w:iCs w:val="1"/>
                <w:color w:val="auto"/>
              </w:rPr>
              <w:t>Executive Officers:</w:t>
            </w: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Faraz Ali</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Chief Executive Officer, Secretary and 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Charles Hoey,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Chief Scientific Officer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Whittemore (Whit) Tingley, M.D., Ph.D.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Chief Medical Officer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Non-Employee Directors:</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Eli Casdin</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Jin-Long Chen,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David Goeddel, Ph.D.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69</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JeenJoo (JJ) Kang, Ph.D.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Deepak Srivastava, M.D.</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Catherine Stehman-Breen, M.D.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46"/>
        </w:trPr>
        <w:tc>
          <w:tcPr>
            <w:tcW w:w="3240" w:type="dxa"/>
            <w:vAlign w:val="bottom"/>
            <w:gridSpan w:val="3"/>
          </w:tcPr>
          <w:p>
            <w:pPr>
              <w:spacing w:after="0"/>
              <w:rPr>
                <w:sz w:val="20"/>
                <w:szCs w:val="20"/>
                <w:color w:val="auto"/>
              </w:rPr>
            </w:pPr>
            <w:r>
              <w:rPr>
                <w:rFonts w:ascii="Arial" w:cs="Arial" w:eastAsia="Arial" w:hAnsi="Arial"/>
                <w:sz w:val="16"/>
                <w:szCs w:val="16"/>
                <w:color w:val="auto"/>
              </w:rPr>
              <w:t>Jeffrey T. Walsh</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5500" w:type="dxa"/>
            <w:vAlign w:val="bottom"/>
            <w:gridSpan w:val="3"/>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2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 Sanders (Sandy) Williams, M.D.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550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hanging="386"/>
        <w:spacing w:after="0"/>
        <w:tabs>
          <w:tab w:leader="none" w:pos="1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16" w:lineRule="exact"/>
        <w:rPr>
          <w:rFonts w:ascii="Arial" w:cs="Arial" w:eastAsia="Arial" w:hAnsi="Arial"/>
          <w:sz w:val="16"/>
          <w:szCs w:val="16"/>
          <w:color w:val="auto"/>
        </w:rPr>
      </w:pPr>
    </w:p>
    <w:p>
      <w:pPr>
        <w:ind w:left="1200" w:hanging="386"/>
        <w:spacing w:after="0"/>
        <w:tabs>
          <w:tab w:leader="none" w:pos="1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Member of the corporate governance and nominating committee.</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Officers</w:t>
      </w:r>
    </w:p>
    <w:p>
      <w:pPr>
        <w:spacing w:after="0" w:line="103" w:lineRule="exact"/>
        <w:rPr>
          <w:sz w:val="20"/>
          <w:szCs w:val="20"/>
          <w:color w:val="auto"/>
        </w:rPr>
      </w:pPr>
    </w:p>
    <w:p>
      <w:pPr>
        <w:ind w:left="820" w:right="60" w:firstLine="385"/>
        <w:spacing w:after="0" w:line="319" w:lineRule="auto"/>
        <w:rPr>
          <w:sz w:val="20"/>
          <w:szCs w:val="20"/>
          <w:color w:val="auto"/>
        </w:rPr>
      </w:pPr>
      <w:r>
        <w:rPr>
          <w:rFonts w:ascii="Arial" w:cs="Arial" w:eastAsia="Arial" w:hAnsi="Arial"/>
          <w:sz w:val="13"/>
          <w:szCs w:val="13"/>
          <w:b w:val="1"/>
          <w:bCs w:val="1"/>
          <w:i w:val="1"/>
          <w:iCs w:val="1"/>
          <w:color w:val="auto"/>
        </w:rPr>
        <w:t xml:space="preserve">Faraz Ali </w:t>
      </w:r>
      <w:r>
        <w:rPr>
          <w:rFonts w:ascii="Arial" w:cs="Arial" w:eastAsia="Arial" w:hAnsi="Arial"/>
          <w:sz w:val="13"/>
          <w:szCs w:val="13"/>
          <w:color w:val="auto"/>
        </w:rPr>
        <w:t>has served as our Chief Executive Officer and Secretary since June 2018 and as a member of our board of directors since September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2018. Prior to joining us, Mr. Ali was Chief Business Officer at REGENXBIO, a public biotechnology company, from February 2016 to January 2018. From May 2011 to February 2016, Mr. Ali was Vice President, Global Commercial Development and External Affairs at bluebird bio, a public biotechnology company. From August 2001 to November 2010, Mr. Ali held various roles at Genzyme, including Head of U.S. Marketing and Strategic Planning for the rare disease business unit. Prior to Genzyme, Mr. Ali served in leadership roles at GE Corporate and GE Healthcare. Mr. Ali holds a B.S. in Electrical Engineering from Stanford University and an M.B.A. with distinction from Harvard Business School.</w:t>
      </w:r>
    </w:p>
    <w:p>
      <w:pPr>
        <w:spacing w:after="0" w:line="12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We believe Mr. Ali is qualified to serve on our board of directors because of the perspective and experience he brings as our Chief Executive Officer, his experience in leadership and corporate development positions in the biotechnology industry and with companies focused on gene therapies, and his educational background.</w:t>
      </w:r>
    </w:p>
    <w:p>
      <w:pPr>
        <w:spacing w:after="0" w:line="166" w:lineRule="exact"/>
        <w:rPr>
          <w:sz w:val="20"/>
          <w:szCs w:val="20"/>
          <w:color w:val="auto"/>
        </w:rPr>
      </w:pPr>
    </w:p>
    <w:p>
      <w:pPr>
        <w:ind w:left="820" w:right="260" w:firstLine="385"/>
        <w:spacing w:after="0" w:line="272" w:lineRule="auto"/>
        <w:rPr>
          <w:sz w:val="20"/>
          <w:szCs w:val="20"/>
          <w:color w:val="auto"/>
        </w:rPr>
      </w:pPr>
      <w:r>
        <w:rPr>
          <w:rFonts w:ascii="Arial" w:cs="Arial" w:eastAsia="Arial" w:hAnsi="Arial"/>
          <w:sz w:val="15"/>
          <w:szCs w:val="15"/>
          <w:b w:val="1"/>
          <w:bCs w:val="1"/>
          <w:i w:val="1"/>
          <w:iCs w:val="1"/>
          <w:color w:val="auto"/>
        </w:rPr>
        <w:t xml:space="preserve">Timothy Charles Hoey, Ph.D. </w:t>
      </w:r>
      <w:r>
        <w:rPr>
          <w:rFonts w:ascii="Arial" w:cs="Arial" w:eastAsia="Arial" w:hAnsi="Arial"/>
          <w:sz w:val="15"/>
          <w:szCs w:val="15"/>
          <w:color w:val="auto"/>
        </w:rPr>
        <w:t>has served as our Chief Scientific Officer since August 2017. From 2005 to June 2017, he held various roles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OncoMed Pharmaceuticals, a public biotechnology company, including as the Senior Vice-President, Cancer Biology and co-Chief Scientific Officer from January 2016 to June 2017. From 1993 to 2005, Dr. Hoey served in various roles at Tularik, a public biopharmaceutical company acquired by Amgen in 2004, including as Director, Biology Department at both Tularik and Amgen. Dr. Hoey received a B.S. in Biology from the University of Michigan and a Ph.D. in Biological Sciences from Columbia University.</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200</w:t>
      </w:r>
    </w:p>
    <w:p>
      <w:pPr>
        <w:sectPr>
          <w:pgSz w:w="11900" w:h="16838" w:orient="portrait"/>
          <w:cols w:equalWidth="0" w:num="1">
            <w:col w:w="10440"/>
          </w:cols>
          <w:pgMar w:left="320" w:top="418" w:right="1139" w:bottom="1440" w:gutter="0" w:footer="0" w:header="0"/>
        </w:sectPr>
      </w:pPr>
    </w:p>
    <w:bookmarkStart w:id="203" w:name="page204"/>
    <w:bookmarkEnd w:id="2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b w:val="1"/>
          <w:bCs w:val="1"/>
          <w:i w:val="1"/>
          <w:iCs w:val="1"/>
          <w:color w:val="auto"/>
        </w:rPr>
        <w:t xml:space="preserve">Whittemore (Whit) Tingley, M.D., Ph.D. </w:t>
      </w:r>
      <w:r>
        <w:rPr>
          <w:rFonts w:ascii="Arial" w:cs="Arial" w:eastAsia="Arial" w:hAnsi="Arial"/>
          <w:sz w:val="15"/>
          <w:szCs w:val="15"/>
          <w:color w:val="auto"/>
        </w:rPr>
        <w:t>has served as our Chief Medical Officer since December 2018. Before joining us, he served as the Vice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President of Clinical Research, Cardiology, at Cytokinetics, a public biotechnology company, from September 2017 to December 2018. From 2009 to September 2017, Dr. Tingley held various medical director and group medical director roles at Genentech. Before that, Dr. Tingley was adjunct associate professor of medicine in the cardiology division at the University of California, San Francisco, and was an attending cardiologist in the UCSF Cardiology Faculty Practice. Dr. Tingley earned a B.A. degree from Brown University and an M.D. and a Ph.D. from the Johns Hopkins University School of Medicine. He completed internship and residency programs at the Johns Hopkins Hospital, a cardiology fellowship at University of California, San Francisco and post-doctoral research at Gladstone Institutes.</w:t>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Non-Employee Directors</w:t>
      </w:r>
    </w:p>
    <w:p>
      <w:pPr>
        <w:spacing w:after="0" w:line="103"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b w:val="1"/>
          <w:bCs w:val="1"/>
          <w:i w:val="1"/>
          <w:iCs w:val="1"/>
          <w:color w:val="auto"/>
        </w:rPr>
        <w:t xml:space="preserve">Eli Casdin </w:t>
      </w:r>
      <w:r>
        <w:rPr>
          <w:rFonts w:ascii="Arial" w:cs="Arial" w:eastAsia="Arial" w:hAnsi="Arial"/>
          <w:sz w:val="13"/>
          <w:szCs w:val="13"/>
          <w:color w:val="auto"/>
        </w:rPr>
        <w:t>has served as a member of our board of directors since August 2019 and as a member of our audit committee since September 2019.</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Since founding Casdin Capital LLC in 2011, Mr. Casdin has served as its Chief Investment Officer. Mr. Casdin has served as Chief Executive Officer and a director of CM Life Sciences, Inc., CM Life Sciences II Inc., and CM Life Sciences III Inc., respectively, since July 2020, December 2020, and January 2021, all blank check companies. Mr. Casdin also served as a director of Exact Science, a public biotechnology company, from October 2017 to September 2020. From 2007 to July 2011, Mr. Casdin served as a Vice President and Analyst at Alliance Bernstein, with a focus on the life science and healthcare industries. Mr. Casdin was an Associate at Bear Stearns in 2007, and an Analyst at Cooper Hill Partners, one of the earliest biotechnology-focused investment firms, from 2003 to 2006. Mr. Casdin earned a B.S. from Columbia University and an M.B.A. from Columbia Business School and he currently serves on the Columbia University School of General Studies Board of Directors.</w:t>
      </w:r>
    </w:p>
    <w:p>
      <w:pPr>
        <w:spacing w:after="0" w:line="133" w:lineRule="exact"/>
        <w:rPr>
          <w:sz w:val="20"/>
          <w:szCs w:val="20"/>
          <w:color w:val="auto"/>
        </w:rPr>
      </w:pPr>
    </w:p>
    <w:p>
      <w:pPr>
        <w:ind w:left="820" w:right="520" w:firstLine="385"/>
        <w:spacing w:after="0" w:line="266" w:lineRule="auto"/>
        <w:rPr>
          <w:sz w:val="20"/>
          <w:szCs w:val="20"/>
          <w:color w:val="auto"/>
        </w:rPr>
      </w:pPr>
      <w:r>
        <w:rPr>
          <w:rFonts w:ascii="Arial" w:cs="Arial" w:eastAsia="Arial" w:hAnsi="Arial"/>
          <w:sz w:val="16"/>
          <w:szCs w:val="16"/>
          <w:color w:val="auto"/>
        </w:rPr>
        <w:t>We believe Mr. Casdin is qualified to serve on our board because his extensive expertise and experience analyzing and investing in the life sciences industry.</w:t>
      </w:r>
    </w:p>
    <w:p>
      <w:pPr>
        <w:spacing w:after="0" w:line="158" w:lineRule="exact"/>
        <w:rPr>
          <w:sz w:val="20"/>
          <w:szCs w:val="20"/>
          <w:color w:val="auto"/>
        </w:rPr>
      </w:pPr>
    </w:p>
    <w:p>
      <w:pPr>
        <w:ind w:left="820" w:right="100" w:firstLine="385"/>
        <w:spacing w:after="0" w:line="250" w:lineRule="auto"/>
        <w:rPr>
          <w:sz w:val="20"/>
          <w:szCs w:val="20"/>
          <w:color w:val="auto"/>
        </w:rPr>
      </w:pPr>
      <w:r>
        <w:rPr>
          <w:rFonts w:ascii="Arial" w:cs="Arial" w:eastAsia="Arial" w:hAnsi="Arial"/>
          <w:sz w:val="16"/>
          <w:szCs w:val="16"/>
          <w:b w:val="1"/>
          <w:bCs w:val="1"/>
          <w:i w:val="1"/>
          <w:iCs w:val="1"/>
          <w:color w:val="auto"/>
        </w:rPr>
        <w:t xml:space="preserve">Jin-Long Chen, Ph.D. </w:t>
      </w:r>
      <w:r>
        <w:rPr>
          <w:rFonts w:ascii="Arial" w:cs="Arial" w:eastAsia="Arial" w:hAnsi="Arial"/>
          <w:sz w:val="16"/>
          <w:szCs w:val="16"/>
          <w:color w:val="auto"/>
        </w:rPr>
        <w:t>has served as member of our board of directors since October 2016. Dr. Chen is the founder of NGM Biopharmaceuticals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has served as a member of the NGM board of directors and as Chief Scientific Officer since January 2008. He was also NGM’s President until November 2014. Previously, Dr. Chen held various positions at Amgen, most recently as Vice President, Metabolic Disorders. Prior to joining Amgen when Amgen acquired Tularik in 2004, Dr. Chen served as Vice President of Biology at Tularik. Dr. Chen received a B.S. in nutrition and food science from Fu-Jen Catholic University, an M.S. in biochemistry from National Taiwan University, and a Ph.D. in molecular and cell biology from the University of California, Berkeley.</w:t>
      </w:r>
    </w:p>
    <w:p>
      <w:pPr>
        <w:spacing w:after="0" w:line="171"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We believe Dr. Chen is qualified to serve on our board because of his extensive medical research experience, and his experience as a founder, executive, and director of a public biopharmaceutical company.</w:t>
      </w:r>
    </w:p>
    <w:p>
      <w:pPr>
        <w:spacing w:after="0" w:line="158"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b w:val="1"/>
          <w:bCs w:val="1"/>
          <w:i w:val="1"/>
          <w:iCs w:val="1"/>
          <w:color w:val="auto"/>
        </w:rPr>
        <w:t xml:space="preserve">David Goeddel, Ph.D. </w:t>
      </w:r>
      <w:r>
        <w:rPr>
          <w:rFonts w:ascii="Arial" w:cs="Arial" w:eastAsia="Arial" w:hAnsi="Arial"/>
          <w:sz w:val="15"/>
          <w:szCs w:val="15"/>
          <w:color w:val="auto"/>
        </w:rPr>
        <w:t>has served as a member of our board of directors since August 2016 and as a member of our compensation committee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December 2018. Dr. Goeddel has served as a Managing Partner of The Column Group, a venture capital firm, since 2007. Dr. Goeddel is a member of the board of directors at NGM Biopharmaceuticals, a public biopharmaceutical company. Additionally, Dr. Goeddel serves on the board of directors for A2 Biotherapeutics (Chairman), Surrozen and Hexagon Bio (Chairman), all privately held biopharmaceutical companies. Dr. Goeddel co-founded Tularik in November 1991, was Vice President of Research until 1996, and served as Chief Executive Officer from 1996 until 2004. He then served as Amgen’s first Senior Vice President until May 2006. Prior to Tularik, he was the first scientist hired by Genentech, and from 1978 to 1993 served in various positions, including Fellow, Staff Scientist and Director of Molecular Biology. His pioneering work in the fields of gene cloning and expression of human proteins was the basis for five marketed therapeutics developed by Genentech, including human insulin, human growth hormone, interferon-alpha, interferon-gamma and tissue plasminogen activator. Dr. Goeddel has received numerous scientific awards including the Scheele Medal, the Eli Lilly Award in Biological Chemistry, the Inventor of the Year Award, the Jacob Heskel Gabbay Award, the Howley Prize for Arthritis Research and the Warren Alpert</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201</w:t>
      </w:r>
    </w:p>
    <w:p>
      <w:pPr>
        <w:sectPr>
          <w:pgSz w:w="11900" w:h="16838" w:orient="portrait"/>
          <w:cols w:equalWidth="0" w:num="1">
            <w:col w:w="10420"/>
          </w:cols>
          <w:pgMar w:left="320" w:top="418" w:right="1159" w:bottom="1440" w:gutter="0" w:footer="0" w:header="0"/>
        </w:sectPr>
      </w:pPr>
    </w:p>
    <w:bookmarkStart w:id="204" w:name="page205"/>
    <w:bookmarkEnd w:id="2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66" w:lineRule="auto"/>
        <w:rPr>
          <w:sz w:val="20"/>
          <w:szCs w:val="20"/>
          <w:color w:val="auto"/>
        </w:rPr>
      </w:pPr>
      <w:r>
        <w:rPr>
          <w:rFonts w:ascii="Arial" w:cs="Arial" w:eastAsia="Arial" w:hAnsi="Arial"/>
          <w:sz w:val="16"/>
          <w:szCs w:val="16"/>
          <w:color w:val="auto"/>
        </w:rPr>
        <w:t>Foundation Prize. He is a member of the National Academy of Sciences and the American Academy of Arts and Sciences. He holds a B.A. in chemistry from the University of California, San Diego and a Ph.D. in biochemistry from the University of Colorado.</w:t>
      </w:r>
    </w:p>
    <w:p>
      <w:pPr>
        <w:spacing w:after="0" w:line="158" w:lineRule="exact"/>
        <w:rPr>
          <w:sz w:val="20"/>
          <w:szCs w:val="20"/>
          <w:color w:val="auto"/>
        </w:rPr>
      </w:pPr>
    </w:p>
    <w:p>
      <w:pPr>
        <w:jc w:val="both"/>
        <w:ind w:left="820" w:right="120" w:firstLine="385"/>
        <w:spacing w:after="0" w:line="343" w:lineRule="auto"/>
        <w:rPr>
          <w:sz w:val="20"/>
          <w:szCs w:val="20"/>
          <w:color w:val="auto"/>
        </w:rPr>
      </w:pPr>
      <w:r>
        <w:rPr>
          <w:rFonts w:ascii="Arial" w:cs="Arial" w:eastAsia="Arial" w:hAnsi="Arial"/>
          <w:sz w:val="13"/>
          <w:szCs w:val="13"/>
          <w:color w:val="auto"/>
        </w:rPr>
        <w:t>We believe Dr. Goeddel is qualified to serve on our board of directors because of his experience serving as a board member of public and private life sciences companies, his experience as a founder and Chief Executive Officer of a public biopharmaceutical company, his depth of knowledge and substantial experience as a research scientist, and his extensive experience in investing in diverse biotechnology companies.</w:t>
      </w:r>
    </w:p>
    <w:p>
      <w:pPr>
        <w:spacing w:after="0" w:line="114" w:lineRule="exact"/>
        <w:rPr>
          <w:sz w:val="20"/>
          <w:szCs w:val="20"/>
          <w:color w:val="auto"/>
        </w:rPr>
      </w:pPr>
    </w:p>
    <w:p>
      <w:pPr>
        <w:ind w:left="820" w:right="100" w:firstLine="385"/>
        <w:spacing w:after="0" w:line="319" w:lineRule="auto"/>
        <w:rPr>
          <w:sz w:val="20"/>
          <w:szCs w:val="20"/>
          <w:color w:val="auto"/>
        </w:rPr>
      </w:pPr>
      <w:r>
        <w:rPr>
          <w:rFonts w:ascii="Arial" w:cs="Arial" w:eastAsia="Arial" w:hAnsi="Arial"/>
          <w:sz w:val="13"/>
          <w:szCs w:val="13"/>
          <w:b w:val="1"/>
          <w:bCs w:val="1"/>
          <w:i w:val="1"/>
          <w:iCs w:val="1"/>
          <w:color w:val="auto"/>
        </w:rPr>
        <w:t xml:space="preserve">JeenJoo (JJ) Kang, Ph.D. </w:t>
      </w:r>
      <w:r>
        <w:rPr>
          <w:rFonts w:ascii="Arial" w:cs="Arial" w:eastAsia="Arial" w:hAnsi="Arial"/>
          <w:sz w:val="13"/>
          <w:szCs w:val="13"/>
          <w:color w:val="auto"/>
        </w:rPr>
        <w:t>has served as a member of our board of directors since August 2016. Dr. Kang has also served as a member of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compensation committee since December 2018, as a member of our audit committee since September 2019, and as our President, Treasurer and Secretary from August 2016 to June 2018. Dr. Kang has served as a Venture Partner at The Column Group since 2020, and prior to that served as an Associate beginning in 2015, then as a Partner from 2019 to 2020. She has served as the Chief Executive Officer of Appia Bio, a private biotechnology company, since July 2020. Previously, she worked at FibroGen in project management and corporate strategy from 2005 to 2009. Dr. Kang earned a B.A. in Chemistry from Harvard University and a Ph.D. in chemical biology at the California Institute of Technology.</w:t>
      </w:r>
    </w:p>
    <w:p>
      <w:pPr>
        <w:spacing w:after="0" w:line="128" w:lineRule="exact"/>
        <w:rPr>
          <w:sz w:val="20"/>
          <w:szCs w:val="20"/>
          <w:color w:val="auto"/>
        </w:rPr>
      </w:pPr>
    </w:p>
    <w:p>
      <w:pPr>
        <w:ind w:left="820" w:right="180" w:firstLine="385"/>
        <w:spacing w:after="0" w:line="266" w:lineRule="auto"/>
        <w:rPr>
          <w:sz w:val="20"/>
          <w:szCs w:val="20"/>
          <w:color w:val="auto"/>
        </w:rPr>
      </w:pPr>
      <w:r>
        <w:rPr>
          <w:rFonts w:ascii="Arial" w:cs="Arial" w:eastAsia="Arial" w:hAnsi="Arial"/>
          <w:sz w:val="16"/>
          <w:szCs w:val="16"/>
          <w:color w:val="auto"/>
        </w:rPr>
        <w:t>We believe Dr. Kang is qualified to serve on our board of directors due to her educational background and her experience in investing in the life sciences industry.</w:t>
      </w:r>
    </w:p>
    <w:p>
      <w:pPr>
        <w:spacing w:after="0" w:line="158" w:lineRule="exact"/>
        <w:rPr>
          <w:sz w:val="20"/>
          <w:szCs w:val="20"/>
          <w:color w:val="auto"/>
        </w:rPr>
      </w:pPr>
    </w:p>
    <w:p>
      <w:pPr>
        <w:ind w:left="820" w:right="240" w:firstLine="385"/>
        <w:spacing w:after="0" w:line="314" w:lineRule="auto"/>
        <w:rPr>
          <w:sz w:val="20"/>
          <w:szCs w:val="20"/>
          <w:color w:val="auto"/>
        </w:rPr>
      </w:pPr>
      <w:r>
        <w:rPr>
          <w:rFonts w:ascii="Arial" w:cs="Arial" w:eastAsia="Arial" w:hAnsi="Arial"/>
          <w:sz w:val="13"/>
          <w:szCs w:val="13"/>
          <w:b w:val="1"/>
          <w:bCs w:val="1"/>
          <w:i w:val="1"/>
          <w:iCs w:val="1"/>
          <w:color w:val="auto"/>
        </w:rPr>
        <w:t xml:space="preserve">Deepak Srivastava, M.D. </w:t>
      </w:r>
      <w:r>
        <w:rPr>
          <w:rFonts w:ascii="Arial" w:cs="Arial" w:eastAsia="Arial" w:hAnsi="Arial"/>
          <w:sz w:val="13"/>
          <w:szCs w:val="13"/>
          <w:color w:val="auto"/>
        </w:rPr>
        <w:t>has served as a member of our board of directors since October 2016. Dr. Srivastava has been a consultant for our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company since September 2016 and Chairman of our Scientific Advisory Board since October 2016. Dr. Srivastava has been President of Gladstone Institutes since January 2018. He is currently the Younger Family Professor and a senior investigator at the Gladstone Institute of Cardiovascular Disease and director of the Roddenberry Stem Cell Center. Since 2005, Dr. Srivastava has been a professor in the Departments of Pediatrics and Biochemistry and Biophysics at UC San Francisco, and he is the Wilma and Adeline Pirag Distinguished Professor in pediatric developmental cardiology. He is the immediate past-president of the International Society for Stem Cell Research. Dr. Srivastava is a member of the American Academy of Arts and Sciences and the National Academy of Medicine. He received a B.S. from Rice University and an M.D. from the University of Texas. He trained in pediatrics at the University of California, San Francisco, and in pediatric cardiology at Harvard Medical School.</w:t>
      </w:r>
    </w:p>
    <w:p>
      <w:pPr>
        <w:spacing w:after="0" w:line="133"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We believe Dr. Srivastava is qualified to serve on our board because of his scientific and educational background and his extensive expertise in the cardiovascular field.</w:t>
      </w:r>
    </w:p>
    <w:p>
      <w:pPr>
        <w:spacing w:after="0" w:line="158" w:lineRule="exact"/>
        <w:rPr>
          <w:sz w:val="20"/>
          <w:szCs w:val="20"/>
          <w:color w:val="auto"/>
        </w:rPr>
      </w:pPr>
    </w:p>
    <w:p>
      <w:pPr>
        <w:jc w:val="both"/>
        <w:ind w:left="820" w:right="100" w:firstLine="385"/>
        <w:spacing w:after="0" w:line="308" w:lineRule="auto"/>
        <w:rPr>
          <w:sz w:val="20"/>
          <w:szCs w:val="20"/>
          <w:color w:val="auto"/>
        </w:rPr>
      </w:pPr>
      <w:r>
        <w:rPr>
          <w:rFonts w:ascii="Arial" w:cs="Arial" w:eastAsia="Arial" w:hAnsi="Arial"/>
          <w:sz w:val="13"/>
          <w:szCs w:val="13"/>
          <w:b w:val="1"/>
          <w:bCs w:val="1"/>
          <w:i w:val="1"/>
          <w:iCs w:val="1"/>
          <w:color w:val="auto"/>
        </w:rPr>
        <w:t xml:space="preserve">Catherine Stehman-Breen, M.D. </w:t>
      </w:r>
      <w:r>
        <w:rPr>
          <w:rFonts w:ascii="Arial" w:cs="Arial" w:eastAsia="Arial" w:hAnsi="Arial"/>
          <w:sz w:val="13"/>
          <w:szCs w:val="13"/>
          <w:color w:val="auto"/>
        </w:rPr>
        <w:t>has served as a member of our board of directors since June 2020. Beginning in December 2020, Dr. Stehman-Breen has served as the Chief Executive Officer and a member of the board of directors of Chroma Medicine, a private biotechnology company. From July 2019 to December 2020, Dr. Stehman-Breen served as Chief Development Officer of Obsidian Therapeutics, a private biotechnology company.</w:t>
      </w:r>
    </w:p>
    <w:p>
      <w:pPr>
        <w:spacing w:after="0" w:line="2" w:lineRule="exact"/>
        <w:rPr>
          <w:sz w:val="20"/>
          <w:szCs w:val="20"/>
          <w:color w:val="auto"/>
        </w:rPr>
      </w:pPr>
    </w:p>
    <w:p>
      <w:pPr>
        <w:ind w:left="820" w:right="40"/>
        <w:spacing w:after="0" w:line="310" w:lineRule="auto"/>
        <w:rPr>
          <w:sz w:val="20"/>
          <w:szCs w:val="20"/>
          <w:color w:val="auto"/>
        </w:rPr>
      </w:pPr>
      <w:r>
        <w:rPr>
          <w:rFonts w:ascii="Arial" w:cs="Arial" w:eastAsia="Arial" w:hAnsi="Arial"/>
          <w:sz w:val="13"/>
          <w:szCs w:val="13"/>
          <w:color w:val="auto"/>
        </w:rPr>
        <w:t>Since March 2018, she has served as an entrepreneur-in-residence at Atlas Ventures, a venture capital firm. Dr. Stehman-Brown serves as a director of Generation Bio, a public biotechnology company. Dr. Stehman-Breen also serves a member of the board of directors of Dyne Therapeutics, a public biotechnology company. She also previously served as Dyne’s Chief Medical Officer from March 2018 to July 2019. From April 2018 to July 2019, Dr. Stehman-Breen served as Chief Medical Officer Disarm Therapeutics, a private biotechnology company. From March 2017 to December 2017, she served as Chief Medical Officer of Sarepta Therapeutics, a public biopharmaceutical company. Before that, she served as Vice President, Clinical Development and Regulatory Affairs at Regeneron Pharmaceuticals, a public biotechnology company, from January 2015 to March 2017. From 2003 to 2015, she held senior leadership roles at Amgen including Vice President, Global Development, leading the neuroscience, nephrology and bone therapeutic areas. Dr. Stehman-Breen earned a B.A. in biology and psychology from Colby College, an M.S. in epidemiology from the University of Washington, where she also completed her residency and fellowship training, and an M.D. from the University of Chicago in 1990. Dr. Stehman-Breen spent six years as a faculty member in the Division of Nephrology at the University of Washington.</w:t>
      </w:r>
    </w:p>
    <w:p>
      <w:pPr>
        <w:spacing w:after="0" w:line="26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202</w:t>
      </w:r>
    </w:p>
    <w:p>
      <w:pPr>
        <w:sectPr>
          <w:pgSz w:w="11900" w:h="16838" w:orient="portrait"/>
          <w:cols w:equalWidth="0" w:num="1">
            <w:col w:w="10420"/>
          </w:cols>
          <w:pgMar w:left="320" w:top="418" w:right="1159" w:bottom="1440" w:gutter="0" w:footer="0" w:header="0"/>
        </w:sectPr>
      </w:pPr>
    </w:p>
    <w:bookmarkStart w:id="205" w:name="page206"/>
    <w:bookmarkEnd w:id="2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880" w:firstLine="385"/>
        <w:spacing w:after="0" w:line="383" w:lineRule="auto"/>
        <w:rPr>
          <w:sz w:val="20"/>
          <w:szCs w:val="20"/>
          <w:color w:val="auto"/>
        </w:rPr>
      </w:pPr>
      <w:r>
        <w:rPr>
          <w:rFonts w:ascii="Arial" w:cs="Arial" w:eastAsia="Arial" w:hAnsi="Arial"/>
          <w:sz w:val="13"/>
          <w:szCs w:val="13"/>
          <w:color w:val="auto"/>
        </w:rPr>
        <w:t>We believe Dr. Stehman-Breen is qualified to serve on our board based on her medical expertise, her expertise as an executive in the biotechnology industry and her experience as a public company board member, including within the biotechnology industry.</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3"/>
          <w:szCs w:val="13"/>
          <w:b w:val="1"/>
          <w:bCs w:val="1"/>
          <w:i w:val="1"/>
          <w:iCs w:val="1"/>
          <w:color w:val="auto"/>
        </w:rPr>
        <w:t xml:space="preserve">Jeffrey T. Walsh </w:t>
      </w:r>
      <w:r>
        <w:rPr>
          <w:rFonts w:ascii="Arial" w:cs="Arial" w:eastAsia="Arial" w:hAnsi="Arial"/>
          <w:sz w:val="13"/>
          <w:szCs w:val="13"/>
          <w:color w:val="auto"/>
        </w:rPr>
        <w:t>has served as a member of our board of directors since March 2020 and as a member of our audit committee since September</w:t>
      </w:r>
    </w:p>
    <w:p>
      <w:pPr>
        <w:spacing w:after="0" w:line="51" w:lineRule="exact"/>
        <w:rPr>
          <w:sz w:val="20"/>
          <w:szCs w:val="20"/>
          <w:color w:val="auto"/>
        </w:rPr>
      </w:pPr>
    </w:p>
    <w:p>
      <w:pPr>
        <w:ind w:left="820"/>
        <w:spacing w:after="0" w:line="266" w:lineRule="auto"/>
        <w:rPr>
          <w:sz w:val="20"/>
          <w:szCs w:val="20"/>
          <w:color w:val="auto"/>
        </w:rPr>
      </w:pPr>
      <w:r>
        <w:rPr>
          <w:rFonts w:ascii="Arial" w:cs="Arial" w:eastAsia="Arial" w:hAnsi="Arial"/>
          <w:sz w:val="15"/>
          <w:szCs w:val="15"/>
          <w:color w:val="auto"/>
        </w:rPr>
        <w:t>2020. Since 2011, Mr. Walsh has served in various roles at bluebird bio, including most recently as Strategic Advisor from January 2020 to April 2021, and previously as Chief Operating Officer, Chief Financial Officer, and Chief Strategy Officer. From 2008 to 2011, Mr. Walsh served as Chief Business Officer of Taligen Therapeutics, Inc. until it was acquired by Alexion Pharmaceuticals, Inc. Mr. Walsh started his career at SmithKline Beecham Corporation in finance and worldwide business development roles from 1987 to 1995. He subsequently held senior business development, finance, sales and operations roles at Allscripts Healthcare Solutions Inc. from 1995 to 1998, PathoGenesis Corp. from 1998 to 2000, EXACT Sciences Corporation from 2000 to 2004, and Inotek Pharmaceuticals Corp. from 2004 to 2008. He received a B.A. in sociology and economics from Yale University and an M.B.A. from the Kellogg Graduate School of Management at Northwestern University.</w:t>
      </w:r>
    </w:p>
    <w:p>
      <w:pPr>
        <w:spacing w:after="0" w:line="160" w:lineRule="exact"/>
        <w:rPr>
          <w:sz w:val="20"/>
          <w:szCs w:val="20"/>
          <w:color w:val="auto"/>
        </w:rPr>
      </w:pPr>
    </w:p>
    <w:p>
      <w:pPr>
        <w:ind w:left="820" w:right="300" w:firstLine="385"/>
        <w:spacing w:after="0" w:line="383" w:lineRule="auto"/>
        <w:rPr>
          <w:sz w:val="20"/>
          <w:szCs w:val="20"/>
          <w:color w:val="auto"/>
        </w:rPr>
      </w:pPr>
      <w:r>
        <w:rPr>
          <w:rFonts w:ascii="Arial" w:cs="Arial" w:eastAsia="Arial" w:hAnsi="Arial"/>
          <w:sz w:val="13"/>
          <w:szCs w:val="13"/>
          <w:color w:val="auto"/>
        </w:rPr>
        <w:t>We believe that Mr. Walsh’s qualifications to serve on our board of directors include his leadership and management experience in the biotechnology industry and his experience in business development and strategic planning as an executive officer at multiple healthcare companies.</w:t>
      </w:r>
    </w:p>
    <w:p>
      <w:pPr>
        <w:spacing w:after="0" w:line="89" w:lineRule="exact"/>
        <w:rPr>
          <w:sz w:val="20"/>
          <w:szCs w:val="20"/>
          <w:color w:val="auto"/>
        </w:rPr>
      </w:pPr>
    </w:p>
    <w:p>
      <w:pPr>
        <w:ind w:left="820" w:right="20" w:firstLine="385"/>
        <w:spacing w:after="0" w:line="308" w:lineRule="auto"/>
        <w:rPr>
          <w:sz w:val="20"/>
          <w:szCs w:val="20"/>
          <w:color w:val="auto"/>
        </w:rPr>
      </w:pPr>
      <w:r>
        <w:rPr>
          <w:rFonts w:ascii="Arial" w:cs="Arial" w:eastAsia="Arial" w:hAnsi="Arial"/>
          <w:sz w:val="13"/>
          <w:szCs w:val="13"/>
          <w:b w:val="1"/>
          <w:bCs w:val="1"/>
          <w:i w:val="1"/>
          <w:iCs w:val="1"/>
          <w:color w:val="auto"/>
        </w:rPr>
        <w:t xml:space="preserve">R. Sanders (Sandy) Williams, M.D. </w:t>
      </w:r>
      <w:r>
        <w:rPr>
          <w:rFonts w:ascii="Arial" w:cs="Arial" w:eastAsia="Arial" w:hAnsi="Arial"/>
          <w:sz w:val="13"/>
          <w:szCs w:val="13"/>
          <w:color w:val="auto"/>
        </w:rPr>
        <w:t>has served as a member of our board of directors since October 2016 and as a member of our compensation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committee since December 2018. Dr. Williams has served as the President Emeritus of Gladstone Institutes, a non-profit biomedical research enterprise since January 2018 and previously served as its President from November 2009 to December 2017. Dr. Williams also served as the Chief Executive Officer of Gladstone Foundation, a not-for-profit organization supporting Gladstone Institutes from January 2016 to December 2018. Since January 2018, Dr. Williams has served as Professor of Medicine and Senior Advisor for International Strategy at Duke University and, beginning in February 2021, is acting as its Interim Vice President for Research and Innovation. Dr. Williams has also served as a Professor of Medicine at the University of California, San Francisco since 2010. From 2010 to 2017, Dr. Williams was the President and the Robert W. and Linda L. Mahley Distinguished Professor of Medicine of Gladstone Institutes. Prior to this, Dr. Williams served in various roles, including as Dean and Senior Vice Chancellor of the Duke University School of Medicine, from 2001 to 2010. He was the founding Dean of the Duke-NUS Graduate Medical School, Singapore, from 2003 to 2008 and served on its Governing Board from 2003 to 2010. From 1990 to 2001, Dr. Williams was Chief of Cardiology and Director of the Ryburn Center for Molecular Cardiology at the University of Texas, Southwestern Medical Center. Dr. Williams is a member of the board of directors of the Laboratory Corporation of America Holdings, a public diagnostic technologies company, serving on the audit committee and chairing the quality and compliance committee. Dr. Williams also serves as a member of the board of directors of Amgen, Inc., a biotechnology company, serving as a member of the governance and nominating and corporate responsibility and compliance committees. Dr. Williams was elected to the National Academy of Medicine in 2002. Dr. Williams received an A.B. from Princeton University and an M.D. from Duke University.</w:t>
      </w:r>
    </w:p>
    <w:p>
      <w:pPr>
        <w:spacing w:after="0" w:line="332"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We believe Dr. Williams is qualified to serve on our board because of his scientific and educational background and his extensive expertise in the cardiovascular field.</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Family Relationships</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are no family relationships among any of our executive officers or directors.</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Legal Proceedings and Bankruptcy</w:t>
      </w:r>
    </w:p>
    <w:p>
      <w:pPr>
        <w:spacing w:after="0" w:line="103"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There are no material legal proceedings to which any of our directors is a party adverse to us or in which any such person has a material interest adverse to us.</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203</w:t>
      </w:r>
    </w:p>
    <w:p>
      <w:pPr>
        <w:sectPr>
          <w:pgSz w:w="11900" w:h="16838" w:orient="portrait"/>
          <w:cols w:equalWidth="0" w:num="1">
            <w:col w:w="10400"/>
          </w:cols>
          <w:pgMar w:left="320" w:top="418" w:right="1179" w:bottom="1440" w:gutter="0" w:footer="0" w:header="0"/>
        </w:sectPr>
      </w:pPr>
    </w:p>
    <w:bookmarkStart w:id="206" w:name="page207"/>
    <w:bookmarkEnd w:id="2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Composition</w:t>
      </w:r>
    </w:p>
    <w:p>
      <w:pPr>
        <w:spacing w:after="0" w:line="10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Our board of directors currently consists of nine members. After the completion of this offering, the number of directors will be fixed from time to time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67" w:lineRule="exact"/>
        <w:rPr>
          <w:sz w:val="20"/>
          <w:szCs w:val="20"/>
          <w:color w:val="auto"/>
        </w:rPr>
      </w:pPr>
    </w:p>
    <w:p>
      <w:pPr>
        <w:ind w:left="820" w:right="100" w:firstLine="385"/>
        <w:spacing w:after="0" w:line="281" w:lineRule="auto"/>
        <w:rPr>
          <w:sz w:val="20"/>
          <w:szCs w:val="20"/>
          <w:color w:val="auto"/>
        </w:rPr>
      </w:pPr>
      <w:r>
        <w:rPr>
          <w:rFonts w:ascii="Arial" w:cs="Arial" w:eastAsia="Arial" w:hAnsi="Arial"/>
          <w:sz w:val="15"/>
          <w:szCs w:val="15"/>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66" w:lineRule="exact"/>
        <w:rPr>
          <w:sz w:val="20"/>
          <w:szCs w:val="20"/>
          <w:color w:val="auto"/>
        </w:rPr>
      </w:pPr>
    </w:p>
    <w:tbl>
      <w:tblPr>
        <w:tblLayout w:type="fixed"/>
        <w:tblInd w:w="1200" w:type="dxa"/>
        <w:tblCellMar>
          <w:top w:w="0" w:type="dxa"/>
          <w:left w:w="0" w:type="dxa"/>
          <w:bottom w:w="0" w:type="dxa"/>
          <w:right w:w="0" w:type="dxa"/>
        </w:tblCellMar>
      </w:tblPr>
      <w:tr>
        <w:trPr>
          <w:trHeight w:val="200"/>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2240" w:type="dxa"/>
            <w:vAlign w:val="bottom"/>
          </w:tcPr>
          <w:p>
            <w:pPr>
              <w:ind w:left="200"/>
              <w:spacing w:after="0"/>
              <w:rPr>
                <w:sz w:val="20"/>
                <w:szCs w:val="20"/>
                <w:color w:val="auto"/>
              </w:rPr>
            </w:pPr>
            <w:r>
              <w:rPr>
                <w:rFonts w:ascii="Arial" w:cs="Arial" w:eastAsia="Arial" w:hAnsi="Arial"/>
                <w:sz w:val="16"/>
                <w:szCs w:val="16"/>
                <w:color w:val="auto"/>
              </w:rPr>
              <w:t>the Class I directors will be</w:t>
            </w:r>
          </w:p>
        </w:tc>
        <w:tc>
          <w:tcPr>
            <w:tcW w:w="5860" w:type="dxa"/>
            <w:vAlign w:val="bottom"/>
          </w:tcPr>
          <w:p>
            <w:pPr>
              <w:ind w:left="200"/>
              <w:spacing w:after="0"/>
              <w:rPr>
                <w:sz w:val="20"/>
                <w:szCs w:val="20"/>
                <w:color w:val="auto"/>
              </w:rPr>
            </w:pPr>
            <w:r>
              <w:rPr>
                <w:rFonts w:ascii="Arial" w:cs="Arial" w:eastAsia="Arial" w:hAnsi="Arial"/>
                <w:sz w:val="16"/>
                <w:szCs w:val="16"/>
                <w:color w:val="auto"/>
                <w:w w:val="94"/>
              </w:rPr>
              <w:t>, and their terms will expire at the annual meeting of stockholders to be held in 2022;</w:t>
            </w:r>
          </w:p>
        </w:tc>
      </w:tr>
      <w:tr>
        <w:trPr>
          <w:trHeight w:val="29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2240" w:type="dxa"/>
            <w:vAlign w:val="bottom"/>
          </w:tcPr>
          <w:p>
            <w:pPr>
              <w:ind w:left="200"/>
              <w:spacing w:after="0"/>
              <w:rPr>
                <w:sz w:val="20"/>
                <w:szCs w:val="20"/>
                <w:color w:val="auto"/>
              </w:rPr>
            </w:pPr>
            <w:r>
              <w:rPr>
                <w:rFonts w:ascii="Arial" w:cs="Arial" w:eastAsia="Arial" w:hAnsi="Arial"/>
                <w:sz w:val="16"/>
                <w:szCs w:val="16"/>
                <w:color w:val="auto"/>
              </w:rPr>
              <w:t>the Class II directors will be</w:t>
            </w:r>
          </w:p>
        </w:tc>
        <w:tc>
          <w:tcPr>
            <w:tcW w:w="5860" w:type="dxa"/>
            <w:vAlign w:val="bottom"/>
          </w:tcPr>
          <w:p>
            <w:pPr>
              <w:ind w:left="240"/>
              <w:spacing w:after="0"/>
              <w:rPr>
                <w:sz w:val="20"/>
                <w:szCs w:val="20"/>
                <w:color w:val="auto"/>
              </w:rPr>
            </w:pPr>
            <w:r>
              <w:rPr>
                <w:rFonts w:ascii="Arial" w:cs="Arial" w:eastAsia="Arial" w:hAnsi="Arial"/>
                <w:sz w:val="16"/>
                <w:szCs w:val="16"/>
                <w:color w:val="auto"/>
                <w:w w:val="89"/>
              </w:rPr>
              <w:t>, and their terms will expire at the annual meeting of stockholders to be held in 2023; and</w:t>
            </w:r>
          </w:p>
        </w:tc>
      </w:tr>
      <w:tr>
        <w:trPr>
          <w:trHeight w:val="295"/>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2240" w:type="dxa"/>
            <w:vAlign w:val="bottom"/>
          </w:tcPr>
          <w:p>
            <w:pPr>
              <w:ind w:left="200"/>
              <w:spacing w:after="0"/>
              <w:rPr>
                <w:sz w:val="20"/>
                <w:szCs w:val="20"/>
                <w:color w:val="auto"/>
              </w:rPr>
            </w:pPr>
            <w:r>
              <w:rPr>
                <w:rFonts w:ascii="Arial" w:cs="Arial" w:eastAsia="Arial" w:hAnsi="Arial"/>
                <w:sz w:val="16"/>
                <w:szCs w:val="16"/>
                <w:color w:val="auto"/>
              </w:rPr>
              <w:t>the Class III directors will be</w:t>
            </w:r>
          </w:p>
        </w:tc>
        <w:tc>
          <w:tcPr>
            <w:tcW w:w="5860" w:type="dxa"/>
            <w:vAlign w:val="bottom"/>
          </w:tcPr>
          <w:p>
            <w:pPr>
              <w:ind w:left="300"/>
              <w:spacing w:after="0"/>
              <w:rPr>
                <w:sz w:val="20"/>
                <w:szCs w:val="20"/>
                <w:color w:val="auto"/>
              </w:rPr>
            </w:pPr>
            <w:r>
              <w:rPr>
                <w:rFonts w:ascii="Arial" w:cs="Arial" w:eastAsia="Arial" w:hAnsi="Arial"/>
                <w:sz w:val="16"/>
                <w:szCs w:val="16"/>
                <w:color w:val="auto"/>
                <w:w w:val="92"/>
              </w:rPr>
              <w:t>, and their terms will expire at the annual meeting of stockholders to be held in 2024.</w:t>
            </w:r>
          </w:p>
        </w:tc>
      </w:tr>
    </w:tbl>
    <w:p>
      <w:pPr>
        <w:spacing w:after="0" w:line="177"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 third of our directors.</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This classification of our board of directors may have the effect of delaying or preventing changes in control of our company.</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Director Independence</w:t>
      </w:r>
    </w:p>
    <w:p>
      <w:pPr>
        <w:spacing w:after="0" w:line="103" w:lineRule="exact"/>
        <w:rPr>
          <w:sz w:val="20"/>
          <w:szCs w:val="20"/>
          <w:color w:val="auto"/>
        </w:rPr>
      </w:pPr>
    </w:p>
    <w:p>
      <w:pPr>
        <w:ind w:left="1200"/>
        <w:spacing w:after="0"/>
        <w:tabs>
          <w:tab w:leader="none" w:pos="7760" w:val="left"/>
          <w:tab w:leader="none" w:pos="9480" w:val="left"/>
        </w:tabs>
        <w:rPr>
          <w:sz w:val="20"/>
          <w:szCs w:val="20"/>
          <w:color w:val="auto"/>
        </w:rPr>
      </w:pPr>
      <w:r>
        <w:rPr>
          <w:rFonts w:ascii="Arial" w:cs="Arial" w:eastAsia="Arial" w:hAnsi="Arial"/>
          <w:sz w:val="16"/>
          <w:szCs w:val="16"/>
          <w:color w:val="auto"/>
        </w:rPr>
        <w:t>Upon the completion of this offering, we anticipate that our common stock will be listed on</w:t>
      </w:r>
      <w:r>
        <w:rPr>
          <w:sz w:val="20"/>
          <w:szCs w:val="20"/>
          <w:color w:val="auto"/>
        </w:rPr>
        <w:tab/>
      </w:r>
      <w:r>
        <w:rPr>
          <w:rFonts w:ascii="Arial" w:cs="Arial" w:eastAsia="Arial" w:hAnsi="Arial"/>
          <w:sz w:val="16"/>
          <w:szCs w:val="16"/>
          <w:color w:val="auto"/>
        </w:rPr>
        <w:t>. Under the rules of</w:t>
      </w:r>
      <w:r>
        <w:rPr>
          <w:sz w:val="20"/>
          <w:szCs w:val="20"/>
          <w:color w:val="auto"/>
        </w:rPr>
        <w:tab/>
      </w:r>
      <w:r>
        <w:rPr>
          <w:rFonts w:ascii="Arial" w:cs="Arial" w:eastAsia="Arial" w:hAnsi="Arial"/>
          <w:sz w:val="13"/>
          <w:szCs w:val="13"/>
          <w:color w:val="auto"/>
        </w:rPr>
        <w:t>, independent</w:t>
      </w:r>
    </w:p>
    <w:p>
      <w:pPr>
        <w:spacing w:after="0" w:line="16" w:lineRule="exact"/>
        <w:rPr>
          <w:sz w:val="20"/>
          <w:szCs w:val="20"/>
          <w:color w:val="auto"/>
        </w:rPr>
      </w:pPr>
    </w:p>
    <w:p>
      <w:pPr>
        <w:ind w:left="1320" w:right="80" w:hanging="510"/>
        <w:spacing w:after="0" w:line="302" w:lineRule="auto"/>
        <w:rPr>
          <w:sz w:val="20"/>
          <w:szCs w:val="20"/>
          <w:color w:val="auto"/>
        </w:rPr>
      </w:pPr>
      <w:r>
        <w:rPr>
          <w:rFonts w:ascii="Arial" w:cs="Arial" w:eastAsia="Arial" w:hAnsi="Arial"/>
          <w:sz w:val="13"/>
          <w:szCs w:val="13"/>
          <w:color w:val="auto"/>
        </w:rPr>
        <w:t>directors must comprise a majority of a listed company’s board of directors within one year of the completion of this offering. In addition, the rules of require that, subject to specified exceptions, each member of a listed company’s audit, compensation and corporate governance and nominating</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committees be independent. Audit committee members and compensation committee members must also satisfy the independence criteria set forth in</w:t>
      </w:r>
    </w:p>
    <w:p>
      <w:pPr>
        <w:spacing w:after="0" w:line="39" w:lineRule="exact"/>
        <w:rPr>
          <w:sz w:val="20"/>
          <w:szCs w:val="20"/>
          <w:color w:val="auto"/>
        </w:rPr>
      </w:pPr>
    </w:p>
    <w:p>
      <w:pPr>
        <w:jc w:val="both"/>
        <w:ind w:left="820" w:right="220"/>
        <w:spacing w:after="0" w:line="273" w:lineRule="auto"/>
        <w:rPr>
          <w:sz w:val="20"/>
          <w:szCs w:val="20"/>
          <w:color w:val="auto"/>
        </w:rPr>
      </w:pPr>
      <w:r>
        <w:rPr>
          <w:rFonts w:ascii="Arial" w:cs="Arial" w:eastAsia="Arial" w:hAnsi="Arial"/>
          <w:sz w:val="15"/>
          <w:szCs w:val="15"/>
          <w:color w:val="auto"/>
        </w:rPr>
        <w:t>Rule 10A-3 and Rule 10C-1, respectively, under the Securities Exchange Act of 1934, as amended (the Exchange Act). Under the rules of ,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5"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To be considered to be independent for purposes of Rule 10A-3 and under the rules of ,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7"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To be considered independent for purposes of Rule 10C-1 and under the rules of , the board of directors must affirmatively determine that each member of the compensation committee is independent, including a consideration of all factors specifically relevant to determining whether the director has a relationship</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204</w:t>
      </w:r>
    </w:p>
    <w:p>
      <w:pPr>
        <w:sectPr>
          <w:pgSz w:w="11900" w:h="16838" w:orient="portrait"/>
          <w:cols w:equalWidth="0" w:num="1">
            <w:col w:w="10420"/>
          </w:cols>
          <w:pgMar w:left="320" w:top="418" w:right="1159" w:bottom="1440" w:gutter="0" w:footer="0" w:header="0"/>
        </w:sectPr>
      </w:pPr>
    </w:p>
    <w:bookmarkStart w:id="207" w:name="page208"/>
    <w:bookmarkEnd w:id="20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53" w:lineRule="auto"/>
        <w:rPr>
          <w:sz w:val="20"/>
          <w:szCs w:val="20"/>
          <w:color w:val="auto"/>
        </w:rPr>
      </w:pPr>
      <w:r>
        <w:rPr>
          <w:rFonts w:ascii="Arial" w:cs="Arial" w:eastAsia="Arial" w:hAnsi="Arial"/>
          <w:sz w:val="16"/>
          <w:szCs w:val="16"/>
          <w:color w:val="auto"/>
        </w:rPr>
        <w:t>to the company which is material to that director’s ability to be independent from management in connection with the duties of a compensation committee member, including: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67" w:lineRule="exact"/>
        <w:rPr>
          <w:sz w:val="20"/>
          <w:szCs w:val="20"/>
          <w:color w:val="auto"/>
        </w:rPr>
      </w:pPr>
    </w:p>
    <w:p>
      <w:pPr>
        <w:jc w:val="both"/>
        <w:ind w:left="820" w:right="500" w:firstLine="385"/>
        <w:spacing w:after="0" w:line="308" w:lineRule="auto"/>
        <w:rPr>
          <w:sz w:val="20"/>
          <w:szCs w:val="20"/>
          <w:color w:val="auto"/>
        </w:rPr>
      </w:pPr>
      <w:r>
        <w:rPr>
          <w:rFonts w:ascii="Arial" w:cs="Arial" w:eastAsia="Arial" w:hAnsi="Arial"/>
          <w:sz w:val="13"/>
          <w:szCs w:val="13"/>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w:t>
      </w:r>
    </w:p>
    <w:p>
      <w:pPr>
        <w:spacing w:after="0" w:line="2" w:lineRule="exact"/>
        <w:rPr>
          <w:sz w:val="20"/>
          <w:szCs w:val="20"/>
          <w:color w:val="auto"/>
        </w:rPr>
      </w:pPr>
    </w:p>
    <w:p>
      <w:pPr>
        <w:ind w:left="820" w:right="80"/>
        <w:spacing w:after="0" w:line="262" w:lineRule="auto"/>
        <w:rPr>
          <w:sz w:val="20"/>
          <w:szCs w:val="20"/>
          <w:color w:val="auto"/>
        </w:rPr>
      </w:pPr>
      <w:r>
        <w:rPr>
          <w:rFonts w:ascii="Arial" w:cs="Arial" w:eastAsia="Arial" w:hAnsi="Arial"/>
          <w:sz w:val="15"/>
          <w:szCs w:val="15"/>
          <w:color w:val="auto"/>
        </w:rPr>
        <w:t>employment and affiliations, including family relationships, our board of directors has determined that representing of our nine directors, do not have a relationship that would interfere with the exercise of independent judgment in carrying out the responsibilities of a director and</w:t>
      </w:r>
    </w:p>
    <w:p>
      <w:pPr>
        <w:spacing w:after="0" w:line="1" w:lineRule="exact"/>
        <w:rPr>
          <w:sz w:val="20"/>
          <w:szCs w:val="20"/>
          <w:color w:val="auto"/>
        </w:rPr>
      </w:pPr>
    </w:p>
    <w:p>
      <w:pPr>
        <w:ind w:left="820"/>
        <w:spacing w:after="0"/>
        <w:tabs>
          <w:tab w:leader="none" w:pos="6640" w:val="left"/>
        </w:tabs>
        <w:rPr>
          <w:sz w:val="20"/>
          <w:szCs w:val="20"/>
          <w:color w:val="auto"/>
        </w:rPr>
      </w:pPr>
      <w:r>
        <w:rPr>
          <w:rFonts w:ascii="Arial" w:cs="Arial" w:eastAsia="Arial" w:hAnsi="Arial"/>
          <w:sz w:val="15"/>
          <w:szCs w:val="15"/>
          <w:color w:val="auto"/>
        </w:rPr>
        <w:t>that each of these directors is “independent” as that term is defined under the rules of</w:t>
      </w:r>
      <w:r>
        <w:rPr>
          <w:sz w:val="20"/>
          <w:szCs w:val="20"/>
          <w:color w:val="auto"/>
        </w:rPr>
        <w:tab/>
      </w:r>
      <w:r>
        <w:rPr>
          <w:rFonts w:ascii="Arial" w:cs="Arial" w:eastAsia="Arial" w:hAnsi="Arial"/>
          <w:sz w:val="13"/>
          <w:szCs w:val="13"/>
          <w:color w:val="auto"/>
        </w:rPr>
        <w:t>.</w:t>
      </w:r>
    </w:p>
    <w:p>
      <w:pPr>
        <w:spacing w:after="0" w:line="193"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Leadership Structure</w:t>
      </w:r>
    </w:p>
    <w:p>
      <w:pPr>
        <w:spacing w:after="0" w:line="103" w:lineRule="exact"/>
        <w:rPr>
          <w:sz w:val="20"/>
          <w:szCs w:val="20"/>
          <w:color w:val="auto"/>
        </w:rPr>
      </w:pPr>
    </w:p>
    <w:p>
      <w:pPr>
        <w:ind w:left="1200"/>
        <w:spacing w:after="0"/>
        <w:tabs>
          <w:tab w:leader="none" w:pos="4540" w:val="left"/>
        </w:tabs>
        <w:rPr>
          <w:sz w:val="20"/>
          <w:szCs w:val="20"/>
          <w:color w:val="auto"/>
        </w:rPr>
      </w:pPr>
      <w:r>
        <w:rPr>
          <w:rFonts w:ascii="Arial" w:cs="Arial" w:eastAsia="Arial" w:hAnsi="Arial"/>
          <w:sz w:val="16"/>
          <w:szCs w:val="16"/>
          <w:color w:val="auto"/>
        </w:rPr>
        <w:t>Our board of directors is currently chaired by</w:t>
      </w:r>
      <w:r>
        <w:rPr>
          <w:sz w:val="20"/>
          <w:szCs w:val="20"/>
          <w:color w:val="auto"/>
        </w:rPr>
        <w:tab/>
      </w:r>
      <w:r>
        <w:rPr>
          <w:rFonts w:ascii="Arial" w:cs="Arial" w:eastAsia="Arial" w:hAnsi="Arial"/>
          <w:sz w:val="13"/>
          <w:szCs w:val="13"/>
          <w:color w:val="auto"/>
        </w:rPr>
        <w:t>. As a general policy, our board of directors believes that separation of the positions of Chair</w:t>
      </w:r>
    </w:p>
    <w:p>
      <w:pPr>
        <w:spacing w:after="0" w:line="16" w:lineRule="exact"/>
        <w:rPr>
          <w:sz w:val="20"/>
          <w:szCs w:val="20"/>
          <w:color w:val="auto"/>
        </w:rPr>
      </w:pPr>
    </w:p>
    <w:p>
      <w:pPr>
        <w:ind w:left="820" w:right="60"/>
        <w:spacing w:after="0" w:line="302" w:lineRule="auto"/>
        <w:rPr>
          <w:sz w:val="20"/>
          <w:szCs w:val="20"/>
          <w:color w:val="auto"/>
        </w:rPr>
      </w:pPr>
      <w:r>
        <w:rPr>
          <w:rFonts w:ascii="Arial" w:cs="Arial" w:eastAsia="Arial" w:hAnsi="Arial"/>
          <w:sz w:val="13"/>
          <w:szCs w:val="13"/>
          <w:color w:val="auto"/>
        </w:rPr>
        <w:t>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Mr. Ali</w:t>
      </w:r>
    </w:p>
    <w:p>
      <w:pPr>
        <w:spacing w:after="0" w:line="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serves as our Chief Executive Officer while serves as the Chair of our board of directors but is not an officer. We currently expect and intend the positions of Chair of our board of directors and Chief Executive Officer to continue to be held by two individuals in the future.</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Role of the Board in Risk Oversight</w:t>
      </w:r>
    </w:p>
    <w:p>
      <w:pPr>
        <w:spacing w:after="0" w:line="103" w:lineRule="exact"/>
        <w:rPr>
          <w:sz w:val="20"/>
          <w:szCs w:val="20"/>
          <w:color w:val="auto"/>
        </w:rPr>
      </w:pPr>
    </w:p>
    <w:p>
      <w:pPr>
        <w:ind w:left="820" w:right="60" w:firstLine="385"/>
        <w:spacing w:after="0" w:line="316" w:lineRule="auto"/>
        <w:rPr>
          <w:sz w:val="20"/>
          <w:szCs w:val="20"/>
          <w:color w:val="auto"/>
        </w:rPr>
      </w:pPr>
      <w:r>
        <w:rPr>
          <w:rFonts w:ascii="Arial" w:cs="Arial" w:eastAsia="Arial" w:hAnsi="Arial"/>
          <w:sz w:val="13"/>
          <w:szCs w:val="13"/>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Committees</w:t>
      </w:r>
    </w:p>
    <w:p>
      <w:pPr>
        <w:spacing w:after="0" w:line="103" w:lineRule="exact"/>
        <w:rPr>
          <w:sz w:val="20"/>
          <w:szCs w:val="20"/>
          <w:color w:val="auto"/>
        </w:rPr>
      </w:pPr>
    </w:p>
    <w:p>
      <w:pPr>
        <w:ind w:left="820" w:right="700" w:firstLine="385"/>
        <w:spacing w:after="0" w:line="300" w:lineRule="auto"/>
        <w:rPr>
          <w:sz w:val="20"/>
          <w:szCs w:val="20"/>
          <w:color w:val="auto"/>
        </w:rPr>
      </w:pPr>
      <w:r>
        <w:rPr>
          <w:rFonts w:ascii="Arial" w:cs="Arial" w:eastAsia="Arial" w:hAnsi="Arial"/>
          <w:sz w:val="15"/>
          <w:szCs w:val="15"/>
          <w:color w:val="auto"/>
        </w:rPr>
        <w:t>Prior to the completion of this offering, our board of directors will have an audit committee, a compensation committee and a corporate governance and nominating committee, each of which will have the composition and the responsibilities described below.</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Audit Committee</w:t>
      </w:r>
    </w:p>
    <w:p>
      <w:pPr>
        <w:sectPr>
          <w:pgSz w:w="11900" w:h="16838" w:orient="portrait"/>
          <w:cols w:equalWidth="0" w:num="1">
            <w:col w:w="10400"/>
          </w:cols>
          <w:pgMar w:left="320" w:top="418" w:right="1179" w:bottom="1440" w:gutter="0" w:footer="0" w:header="0"/>
        </w:sectPr>
      </w:pP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Upon the effectiveness of the registration statement of which this prospectus forms a part, the members of our audit committee will be</w:t>
      </w:r>
    </w:p>
    <w:p>
      <w:pPr>
        <w:spacing w:after="0" w:line="51" w:lineRule="exact"/>
        <w:rPr>
          <w:sz w:val="20"/>
          <w:szCs w:val="20"/>
          <w:color w:val="auto"/>
        </w:rPr>
      </w:pPr>
    </w:p>
    <w:p>
      <w:pPr>
        <w:ind w:left="1320"/>
        <w:spacing w:after="0"/>
        <w:tabs>
          <w:tab w:leader="none" w:pos="4620" w:val="left"/>
        </w:tabs>
        <w:rPr>
          <w:sz w:val="20"/>
          <w:szCs w:val="20"/>
          <w:color w:val="auto"/>
        </w:rPr>
      </w:pPr>
      <w:r>
        <w:rPr>
          <w:rFonts w:ascii="Arial" w:cs="Arial" w:eastAsia="Arial" w:hAnsi="Arial"/>
          <w:sz w:val="16"/>
          <w:szCs w:val="16"/>
          <w:color w:val="auto"/>
        </w:rPr>
        <w:t>will be the chair of our audit committee and</w:t>
      </w:r>
      <w:r>
        <w:rPr>
          <w:sz w:val="20"/>
          <w:szCs w:val="20"/>
          <w:color w:val="auto"/>
        </w:rPr>
        <w:tab/>
      </w:r>
      <w:r>
        <w:rPr>
          <w:rFonts w:ascii="Arial" w:cs="Arial" w:eastAsia="Arial" w:hAnsi="Arial"/>
          <w:sz w:val="13"/>
          <w:szCs w:val="13"/>
          <w:color w:val="auto"/>
        </w:rPr>
        <w:t>is an audit</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357" w:lineRule="exact"/>
        <w:rPr>
          <w:sz w:val="20"/>
          <w:szCs w:val="20"/>
          <w:color w:val="auto"/>
        </w:rPr>
      </w:pPr>
    </w:p>
    <w:p>
      <w:pPr>
        <w:sectPr>
          <w:pgSz w:w="11900" w:h="16838" w:orient="portrait"/>
          <w:cols w:equalWidth="0" w:num="2">
            <w:col w:w="9640" w:space="500"/>
            <w:col w:w="260"/>
          </w:cols>
          <w:pgMar w:left="320" w:top="418" w:right="1179" w:bottom="1440" w:gutter="0" w:footer="0" w:header="0"/>
          <w:type w:val="continuous"/>
        </w:sectPr>
      </w:pPr>
    </w:p>
    <w:p>
      <w:pPr>
        <w:ind w:left="5500"/>
        <w:spacing w:after="0"/>
        <w:rPr>
          <w:sz w:val="20"/>
          <w:szCs w:val="20"/>
          <w:color w:val="auto"/>
        </w:rPr>
      </w:pPr>
      <w:r>
        <w:rPr>
          <w:rFonts w:ascii="Arial" w:cs="Arial" w:eastAsia="Arial" w:hAnsi="Arial"/>
          <w:sz w:val="13"/>
          <w:szCs w:val="13"/>
          <w:color w:val="auto"/>
        </w:rPr>
        <w:t>205</w:t>
      </w:r>
    </w:p>
    <w:p>
      <w:pPr>
        <w:sectPr>
          <w:pgSz w:w="11900" w:h="16838" w:orient="portrait"/>
          <w:cols w:equalWidth="0" w:num="1">
            <w:col w:w="10400"/>
          </w:cols>
          <w:pgMar w:left="320" w:top="418" w:right="1179" w:bottom="1440" w:gutter="0" w:footer="0" w:header="0"/>
          <w:type w:val="continuous"/>
        </w:sectPr>
      </w:pPr>
    </w:p>
    <w:bookmarkStart w:id="208" w:name="page209"/>
    <w:bookmarkEnd w:id="2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committee financial expert, as that term is defined under the SEC rules implementing Section 407 of the Sarbanes-Oxley Act of 2002, and possesses</w:t>
      </w:r>
    </w:p>
    <w:p>
      <w:pPr>
        <w:spacing w:after="0" w:line="5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financial sophistication, as defined under the rules of . Our audit committee will oversee our corporate accounting and financial reporting process and assist our board of directors in monitoring our financial systems. Our audit committee will also:</w:t>
      </w:r>
    </w:p>
    <w:p>
      <w:pPr>
        <w:spacing w:after="0" w:line="86" w:lineRule="exact"/>
        <w:rPr>
          <w:sz w:val="20"/>
          <w:szCs w:val="20"/>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select and hire the independent registered public accounting firm to audit our financial statements;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help to ensure the independence and performance of the independent registered public accounting firm;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approve audit and non-audit services and fees;</w:t>
      </w:r>
    </w:p>
    <w:p>
      <w:pPr>
        <w:spacing w:after="0" w:line="110" w:lineRule="exact"/>
        <w:rPr>
          <w:rFonts w:ascii="Arial" w:cs="Arial" w:eastAsia="Arial" w:hAnsi="Arial"/>
          <w:sz w:val="16"/>
          <w:szCs w:val="16"/>
          <w:color w:val="auto"/>
        </w:rPr>
      </w:pPr>
    </w:p>
    <w:p>
      <w:pPr>
        <w:jc w:val="both"/>
        <w:ind w:left="1660" w:right="200" w:hanging="469"/>
        <w:spacing w:after="0" w:line="256" w:lineRule="auto"/>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financial statements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83"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prepare the audit committee report that the SEC requires to be included in our annual proxy statement;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reports and communications from the independent registered public accounting firm;</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the adequacy and effectiveness of our internal controls and disclosure controls and procedure;</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our policies on risk assessment and risk management;</w:t>
      </w:r>
    </w:p>
    <w:p>
      <w:pPr>
        <w:spacing w:after="0" w:line="110" w:lineRule="exact"/>
        <w:rPr>
          <w:rFonts w:ascii="Arial" w:cs="Arial" w:eastAsia="Arial" w:hAnsi="Arial"/>
          <w:sz w:val="16"/>
          <w:szCs w:val="16"/>
          <w:color w:val="auto"/>
        </w:rPr>
      </w:pPr>
    </w:p>
    <w:p>
      <w:pPr>
        <w:ind w:left="1660" w:right="420" w:hanging="469"/>
        <w:spacing w:after="0" w:line="266" w:lineRule="auto"/>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and monitor conflicts of interest situations, and approve or prohibit any involvement in matters that may involve a conflict of interest or taking of a corporate opportunity;</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review related party transactions; and</w:t>
      </w:r>
    </w:p>
    <w:p>
      <w:pPr>
        <w:spacing w:after="0" w:line="110"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58" w:lineRule="exact"/>
        <w:rPr>
          <w:sz w:val="20"/>
          <w:szCs w:val="20"/>
          <w:color w:val="auto"/>
        </w:rPr>
      </w:pPr>
    </w:p>
    <w:p>
      <w:pPr>
        <w:ind w:left="820" w:right="600" w:firstLine="385"/>
        <w:spacing w:after="0" w:line="383" w:lineRule="auto"/>
        <w:rPr>
          <w:sz w:val="20"/>
          <w:szCs w:val="20"/>
          <w:color w:val="auto"/>
        </w:rPr>
      </w:pPr>
      <w:r>
        <w:rPr>
          <w:rFonts w:ascii="Arial" w:cs="Arial" w:eastAsia="Arial" w:hAnsi="Arial"/>
          <w:sz w:val="13"/>
          <w:szCs w:val="13"/>
          <w:color w:val="auto"/>
        </w:rPr>
        <w:t>Our audit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Upon the effectiveness of the registration statement of which this prospectus forms a part, the members of our compensation committee will be</w:t>
      </w:r>
    </w:p>
    <w:p>
      <w:pPr>
        <w:spacing w:after="0" w:line="51" w:lineRule="exact"/>
        <w:rPr>
          <w:sz w:val="20"/>
          <w:szCs w:val="20"/>
          <w:color w:val="auto"/>
        </w:rPr>
      </w:pPr>
    </w:p>
    <w:p>
      <w:pPr>
        <w:ind w:left="820" w:right="380" w:firstLine="465"/>
        <w:spacing w:after="0" w:line="252" w:lineRule="auto"/>
        <w:tabs>
          <w:tab w:leader="none" w:pos="188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will be the chair of our compensation committee. Our compensation committee will oversee our compensation policies, plans and benefits programs. The compensation committee will also:</w:t>
      </w:r>
    </w:p>
    <w:p>
      <w:pPr>
        <w:spacing w:after="0" w:line="85" w:lineRule="exact"/>
        <w:rPr>
          <w:rFonts w:ascii="Arial" w:cs="Arial" w:eastAsia="Arial" w:hAnsi="Arial"/>
          <w:sz w:val="16"/>
          <w:szCs w:val="16"/>
          <w:color w:val="auto"/>
        </w:rPr>
      </w:pPr>
    </w:p>
    <w:p>
      <w:pPr>
        <w:ind w:left="1660" w:hanging="469"/>
        <w:spacing w:after="0"/>
        <w:tabs>
          <w:tab w:leader="none" w:pos="1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oversee our overall compensation philosophy and compensation policies, plans and benefit programs;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review and approve compensation for our executive officers and directors;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prepare the compensation committee report that the SEC will require to be included in our annual proxy statement;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administer our equity compensation plans.</w:t>
      </w:r>
    </w:p>
    <w:p>
      <w:pPr>
        <w:spacing w:after="0" w:line="193" w:lineRule="exact"/>
        <w:rPr>
          <w:sz w:val="20"/>
          <w:szCs w:val="20"/>
          <w:color w:val="auto"/>
        </w:rPr>
      </w:pPr>
    </w:p>
    <w:p>
      <w:pPr>
        <w:ind w:left="820" w:right="40" w:firstLine="385"/>
        <w:spacing w:after="0" w:line="300" w:lineRule="auto"/>
        <w:rPr>
          <w:sz w:val="20"/>
          <w:szCs w:val="20"/>
          <w:color w:val="auto"/>
        </w:rPr>
      </w:pPr>
      <w:r>
        <w:rPr>
          <w:rFonts w:ascii="Arial" w:cs="Arial" w:eastAsia="Arial" w:hAnsi="Arial"/>
          <w:sz w:val="15"/>
          <w:szCs w:val="15"/>
          <w:color w:val="auto"/>
        </w:rPr>
        <w:t>Our compensation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Corporate Governance and Nominating Committee</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Upon the effectiveness of the registration statement of which this prospectus forms a part, the members of our corporate governance and</w:t>
      </w:r>
    </w:p>
    <w:p>
      <w:pPr>
        <w:spacing w:after="0" w:line="28" w:lineRule="exact"/>
        <w:rPr>
          <w:sz w:val="20"/>
          <w:szCs w:val="20"/>
          <w:color w:val="auto"/>
        </w:rPr>
      </w:pPr>
    </w:p>
    <w:p>
      <w:pPr>
        <w:ind w:left="820"/>
        <w:spacing w:after="0"/>
        <w:tabs>
          <w:tab w:leader="none" w:pos="3200" w:val="left"/>
          <w:tab w:leader="none" w:pos="3780" w:val="left"/>
        </w:tabs>
        <w:rPr>
          <w:sz w:val="20"/>
          <w:szCs w:val="20"/>
          <w:color w:val="auto"/>
        </w:rPr>
      </w:pPr>
      <w:r>
        <w:rPr>
          <w:rFonts w:ascii="Arial" w:cs="Arial" w:eastAsia="Arial" w:hAnsi="Arial"/>
          <w:sz w:val="16"/>
          <w:szCs w:val="16"/>
          <w:color w:val="auto"/>
        </w:rPr>
        <w:t>nominating committee will be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will be the chair of our corporate</w:t>
      </w:r>
    </w:p>
    <w:p>
      <w:pPr>
        <w:spacing w:after="0" w:line="12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206</w:t>
      </w:r>
    </w:p>
    <w:p>
      <w:pPr>
        <w:sectPr>
          <w:pgSz w:w="11900" w:h="16838" w:orient="portrait"/>
          <w:cols w:equalWidth="0" w:num="1">
            <w:col w:w="10420"/>
          </w:cols>
          <w:pgMar w:left="320" w:top="418" w:right="115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300" w:lineRule="auto"/>
        <w:rPr>
          <w:sz w:val="20"/>
          <w:szCs w:val="20"/>
          <w:color w:val="auto"/>
        </w:rPr>
      </w:pPr>
      <w:r>
        <w:rPr>
          <w:rFonts w:ascii="Arial" w:cs="Arial" w:eastAsia="Arial" w:hAnsi="Arial"/>
          <w:sz w:val="15"/>
          <w:szCs w:val="15"/>
          <w:color w:val="auto"/>
        </w:rPr>
        <w:t>governance and nominating committee. Our corporate governance and nominating committee will oversee and assist our board of directors in reviewing and recommending nominees for election as directors. Specifically, the corporate governance and nominating committee will:</w:t>
      </w:r>
    </w:p>
    <w:p>
      <w:pPr>
        <w:spacing w:after="0" w:line="52" w:lineRule="exact"/>
        <w:rPr>
          <w:sz w:val="20"/>
          <w:szCs w:val="20"/>
          <w:color w:val="auto"/>
        </w:rPr>
      </w:pPr>
    </w:p>
    <w:p>
      <w:pPr>
        <w:ind w:left="1660" w:right="260" w:hanging="469"/>
        <w:spacing w:after="0" w:line="266" w:lineRule="auto"/>
        <w:tabs>
          <w:tab w:leader="none" w:pos="1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identify, evaluate and make recommendations to our board of directors regarding nominees for election to our board of directors and its committees;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consider and make recommendations to our board of directors regarding the composition of our board of directors and its committees;</w:t>
      </w:r>
    </w:p>
    <w:p>
      <w:pPr>
        <w:spacing w:after="0" w:line="145" w:lineRule="exact"/>
        <w:rPr>
          <w:rFonts w:ascii="Arial" w:cs="Arial" w:eastAsia="Arial" w:hAnsi="Arial"/>
          <w:sz w:val="13"/>
          <w:szCs w:val="13"/>
          <w:color w:val="auto"/>
        </w:rPr>
      </w:pPr>
    </w:p>
    <w:p>
      <w:pPr>
        <w:ind w:left="1660" w:hanging="469"/>
        <w:spacing w:after="0"/>
        <w:tabs>
          <w:tab w:leader="none" w:pos="1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review developments in corporate governance practices;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evaluate the adequacy of our corporate governance practices and reporting;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evaluate the performance of our board of directors and of individual directors.</w:t>
      </w:r>
    </w:p>
    <w:p>
      <w:pPr>
        <w:spacing w:after="0" w:line="193" w:lineRule="exact"/>
        <w:rPr>
          <w:sz w:val="20"/>
          <w:szCs w:val="20"/>
          <w:color w:val="auto"/>
        </w:rPr>
      </w:pPr>
    </w:p>
    <w:p>
      <w:pPr>
        <w:jc w:val="both"/>
        <w:ind w:left="820" w:right="60" w:firstLine="385"/>
        <w:spacing w:after="0" w:line="383" w:lineRule="auto"/>
        <w:rPr>
          <w:sz w:val="20"/>
          <w:szCs w:val="20"/>
          <w:color w:val="auto"/>
        </w:rPr>
      </w:pPr>
      <w:r>
        <w:rPr>
          <w:rFonts w:ascii="Arial" w:cs="Arial" w:eastAsia="Arial" w:hAnsi="Arial"/>
          <w:sz w:val="13"/>
          <w:szCs w:val="13"/>
          <w:color w:val="auto"/>
        </w:rPr>
        <w:t>Our corporate governance and nominating committee will operate under a written charter, to be effective upon the effectiveness of the registration statement of which this prospectus forms a part, which will satisfy the applicable rules of the SEC and the listing standards of the Nasdaq Stock Market.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Director Compensation</w:t>
      </w:r>
    </w:p>
    <w:p>
      <w:pPr>
        <w:spacing w:after="0" w:line="103" w:lineRule="exact"/>
        <w:rPr>
          <w:sz w:val="20"/>
          <w:szCs w:val="20"/>
          <w:color w:val="auto"/>
        </w:rPr>
      </w:pPr>
    </w:p>
    <w:p>
      <w:pPr>
        <w:ind w:left="820" w:right="160" w:firstLine="385"/>
        <w:spacing w:after="0" w:line="281" w:lineRule="auto"/>
        <w:rPr>
          <w:sz w:val="20"/>
          <w:szCs w:val="20"/>
          <w:color w:val="auto"/>
        </w:rPr>
      </w:pPr>
      <w:r>
        <w:rPr>
          <w:rFonts w:ascii="Arial" w:cs="Arial" w:eastAsia="Arial" w:hAnsi="Arial"/>
          <w:sz w:val="15"/>
          <w:szCs w:val="15"/>
          <w:color w:val="auto"/>
        </w:rPr>
        <w:t>Prior to this offering, we have not implemented a formal policy with respect to compensation payable to our non-employee directors. We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presents the total compensation each of our non-employee directors received during the year ended December 31, 2020.</w:t>
      </w:r>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20" w:type="dxa"/>
            <w:vAlign w:val="bottom"/>
            <w:vMerge w:val="restart"/>
          </w:tcPr>
          <w:p>
            <w:pPr>
              <w:spacing w:after="0"/>
              <w:rPr>
                <w:sz w:val="20"/>
                <w:szCs w:val="20"/>
                <w:color w:val="auto"/>
              </w:rPr>
            </w:pPr>
            <w:r>
              <w:rPr>
                <w:rFonts w:ascii="Arial" w:cs="Arial" w:eastAsia="Arial" w:hAnsi="Arial"/>
                <w:sz w:val="13"/>
                <w:szCs w:val="13"/>
                <w:b w:val="1"/>
                <w:bCs w:val="1"/>
                <w:color w:val="auto"/>
                <w:w w:val="84"/>
              </w:rPr>
              <w:t>Name</w:t>
            </w:r>
          </w:p>
        </w:tc>
        <w:tc>
          <w:tcPr>
            <w:tcW w:w="3900" w:type="dxa"/>
            <w:vAlign w:val="bottom"/>
            <w:vMerge w:val="restart"/>
          </w:tcPr>
          <w:p>
            <w:pPr>
              <w:spacing w:after="0"/>
              <w:rPr>
                <w:sz w:val="13"/>
                <w:szCs w:val="13"/>
                <w:color w:val="auto"/>
              </w:rPr>
            </w:pPr>
          </w:p>
        </w:tc>
        <w:tc>
          <w:tcPr>
            <w:tcW w:w="2000" w:type="dxa"/>
            <w:vAlign w:val="bottom"/>
          </w:tcPr>
          <w:p>
            <w:pPr>
              <w:spacing w:after="0"/>
              <w:rPr>
                <w:sz w:val="13"/>
                <w:szCs w:val="13"/>
                <w:color w:val="auto"/>
              </w:rPr>
            </w:pPr>
          </w:p>
        </w:tc>
        <w:tc>
          <w:tcPr>
            <w:tcW w:w="700" w:type="dxa"/>
            <w:vAlign w:val="bottom"/>
          </w:tcPr>
          <w:p>
            <w:pPr>
              <w:jc w:val="right"/>
              <w:ind w:right="104"/>
              <w:spacing w:after="0"/>
              <w:rPr>
                <w:sz w:val="20"/>
                <w:szCs w:val="20"/>
                <w:color w:val="auto"/>
              </w:rPr>
            </w:pPr>
            <w:r>
              <w:rPr>
                <w:rFonts w:ascii="Arial" w:cs="Arial" w:eastAsia="Arial" w:hAnsi="Arial"/>
                <w:sz w:val="13"/>
                <w:szCs w:val="13"/>
                <w:b w:val="1"/>
                <w:bCs w:val="1"/>
                <w:color w:val="auto"/>
              </w:rPr>
              <w:t>Option</w:t>
            </w:r>
          </w:p>
        </w:tc>
        <w:tc>
          <w:tcPr>
            <w:tcW w:w="480" w:type="dxa"/>
            <w:vAlign w:val="bottom"/>
          </w:tcPr>
          <w:p>
            <w:pPr>
              <w:spacing w:after="0"/>
              <w:rPr>
                <w:sz w:val="13"/>
                <w:szCs w:val="13"/>
                <w:color w:val="auto"/>
              </w:rPr>
            </w:pPr>
          </w:p>
        </w:tc>
        <w:tc>
          <w:tcPr>
            <w:tcW w:w="160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All Other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20" w:type="dxa"/>
            <w:vAlign w:val="bottom"/>
            <w:tcBorders>
              <w:bottom w:val="single" w:sz="8" w:color="auto"/>
            </w:tcBorders>
            <w:vMerge w:val="continue"/>
          </w:tcPr>
          <w:p>
            <w:pPr>
              <w:spacing w:after="0"/>
              <w:rPr>
                <w:sz w:val="13"/>
                <w:szCs w:val="13"/>
                <w:color w:val="auto"/>
              </w:rPr>
            </w:pPr>
          </w:p>
        </w:tc>
        <w:tc>
          <w:tcPr>
            <w:tcW w:w="3900" w:type="dxa"/>
            <w:vAlign w:val="bottom"/>
            <w:vMerge w:val="continue"/>
          </w:tcPr>
          <w:p>
            <w:pPr>
              <w:spacing w:after="0"/>
              <w:rPr>
                <w:sz w:val="13"/>
                <w:szCs w:val="13"/>
                <w:color w:val="auto"/>
              </w:rPr>
            </w:pPr>
          </w:p>
        </w:tc>
        <w:tc>
          <w:tcPr>
            <w:tcW w:w="2700" w:type="dxa"/>
            <w:vAlign w:val="bottom"/>
            <w:gridSpan w:val="2"/>
          </w:tcPr>
          <w:p>
            <w:pPr>
              <w:jc w:val="right"/>
              <w:spacing w:after="0" w:line="138" w:lineRule="exact"/>
              <w:rPr>
                <w:sz w:val="20"/>
                <w:szCs w:val="20"/>
                <w:color w:val="auto"/>
              </w:rPr>
            </w:pPr>
            <w:r>
              <w:rPr>
                <w:rFonts w:ascii="Arial" w:cs="Arial" w:eastAsia="Arial" w:hAnsi="Arial"/>
                <w:sz w:val="13"/>
                <w:szCs w:val="13"/>
                <w:b w:val="1"/>
                <w:bCs w:val="1"/>
                <w:u w:val="single" w:color="auto"/>
                <w:color w:val="auto"/>
              </w:rPr>
              <w:t>Awards($</w:t>
            </w:r>
            <w:r>
              <w:rPr>
                <w:rFonts w:ascii="Arial" w:cs="Arial" w:eastAsia="Arial" w:hAnsi="Arial"/>
                <w:sz w:val="13"/>
                <w:szCs w:val="13"/>
                <w:b w:val="1"/>
                <w:bCs w:val="1"/>
                <w:color w:val="auto"/>
              </w:rPr>
              <w:t>)(1)</w:t>
            </w:r>
          </w:p>
        </w:tc>
        <w:tc>
          <w:tcPr>
            <w:tcW w:w="2080" w:type="dxa"/>
            <w:vAlign w:val="bottom"/>
            <w:gridSpan w:val="3"/>
          </w:tcPr>
          <w:p>
            <w:pPr>
              <w:jc w:val="right"/>
              <w:ind w:right="640"/>
              <w:spacing w:after="0" w:line="138" w:lineRule="exact"/>
              <w:rPr>
                <w:sz w:val="20"/>
                <w:szCs w:val="20"/>
                <w:color w:val="auto"/>
              </w:rPr>
            </w:pPr>
            <w:r>
              <w:rPr>
                <w:rFonts w:ascii="Arial" w:cs="Arial" w:eastAsia="Arial" w:hAnsi="Arial"/>
                <w:sz w:val="13"/>
                <w:szCs w:val="13"/>
                <w:b w:val="1"/>
                <w:bCs w:val="1"/>
                <w:color w:val="auto"/>
              </w:rPr>
              <w:t xml:space="preserve">Compensation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w:t>
            </w:r>
          </w:p>
        </w:tc>
        <w:tc>
          <w:tcPr>
            <w:tcW w:w="62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172"/>
        </w:trPr>
        <w:tc>
          <w:tcPr>
            <w:tcW w:w="422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Eli Casdin</w:t>
            </w:r>
          </w:p>
        </w:tc>
        <w:tc>
          <w:tcPr>
            <w:tcW w:w="20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Jin-Long Chen, Ph.D.</w:t>
            </w:r>
          </w:p>
        </w:tc>
        <w:tc>
          <w:tcPr>
            <w:tcW w:w="2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Goeddel, Ph.D.</w:t>
            </w:r>
          </w:p>
        </w:tc>
        <w:tc>
          <w:tcPr>
            <w:tcW w:w="20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JeenJoo (JJ) Kang, Ph.D.</w:t>
            </w:r>
          </w:p>
        </w:tc>
        <w:tc>
          <w:tcPr>
            <w:tcW w:w="20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Deepak Srivastava, M.D.</w:t>
            </w:r>
          </w:p>
        </w:tc>
        <w:tc>
          <w:tcPr>
            <w:tcW w:w="20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8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75,000(2)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rPr>
                <w:sz w:val="20"/>
                <w:szCs w:val="20"/>
                <w:color w:val="auto"/>
              </w:rPr>
            </w:pPr>
            <w:r>
              <w:rPr>
                <w:rFonts w:ascii="Arial" w:cs="Arial" w:eastAsia="Arial" w:hAnsi="Arial"/>
                <w:sz w:val="16"/>
                <w:szCs w:val="16"/>
                <w:color w:val="auto"/>
              </w:rPr>
              <w:t>Catherine Stehman-Breen, M.D.</w:t>
            </w:r>
          </w:p>
        </w:tc>
        <w:tc>
          <w:tcPr>
            <w:tcW w:w="2700" w:type="dxa"/>
            <w:vAlign w:val="bottom"/>
            <w:gridSpan w:val="2"/>
          </w:tcPr>
          <w:p>
            <w:pPr>
              <w:jc w:val="right"/>
              <w:spacing w:after="0"/>
              <w:rPr>
                <w:sz w:val="20"/>
                <w:szCs w:val="20"/>
                <w:color w:val="auto"/>
              </w:rPr>
            </w:pPr>
            <w:r>
              <w:rPr>
                <w:rFonts w:ascii="Arial" w:cs="Arial" w:eastAsia="Arial" w:hAnsi="Arial"/>
                <w:sz w:val="16"/>
                <w:szCs w:val="16"/>
                <w:color w:val="auto"/>
              </w:rPr>
              <w:t>151,983</w:t>
            </w:r>
          </w:p>
        </w:tc>
        <w:tc>
          <w:tcPr>
            <w:tcW w:w="480" w:type="dxa"/>
            <w:vAlign w:val="bottom"/>
          </w:tcPr>
          <w:p>
            <w:pPr>
              <w:spacing w:after="0"/>
              <w:rPr>
                <w:sz w:val="16"/>
                <w:szCs w:val="16"/>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151,983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T. Walsh</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142,713</w:t>
            </w:r>
          </w:p>
        </w:tc>
        <w:tc>
          <w:tcPr>
            <w:tcW w:w="4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142,713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20" w:type="dxa"/>
            <w:vAlign w:val="bottom"/>
            <w:gridSpan w:val="2"/>
          </w:tcPr>
          <w:p>
            <w:pPr>
              <w:spacing w:after="0"/>
              <w:rPr>
                <w:sz w:val="20"/>
                <w:szCs w:val="20"/>
                <w:color w:val="auto"/>
              </w:rPr>
            </w:pPr>
            <w:r>
              <w:rPr>
                <w:rFonts w:ascii="Arial" w:cs="Arial" w:eastAsia="Arial" w:hAnsi="Arial"/>
                <w:sz w:val="16"/>
                <w:szCs w:val="16"/>
                <w:color w:val="auto"/>
              </w:rPr>
              <w:t>R. Sanders (Sandy) Williams, M.D.</w:t>
            </w:r>
          </w:p>
        </w:tc>
        <w:tc>
          <w:tcPr>
            <w:tcW w:w="20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67945</wp:posOffset>
            </wp:positionV>
            <wp:extent cx="666115"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21" w:lineRule="exact"/>
        <w:rPr>
          <w:sz w:val="20"/>
          <w:szCs w:val="20"/>
          <w:color w:val="auto"/>
        </w:rPr>
      </w:pPr>
    </w:p>
    <w:p>
      <w:pPr>
        <w:ind w:left="1200" w:right="20" w:hanging="386"/>
        <w:spacing w:after="0" w:line="249" w:lineRule="auto"/>
        <w:tabs>
          <w:tab w:leader="none" w:pos="12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 w:lineRule="exact"/>
        <w:rPr>
          <w:rFonts w:ascii="Arial" w:cs="Arial" w:eastAsia="Arial" w:hAnsi="Arial"/>
          <w:sz w:val="16"/>
          <w:szCs w:val="16"/>
          <w:color w:val="auto"/>
        </w:rPr>
      </w:pPr>
    </w:p>
    <w:p>
      <w:pPr>
        <w:ind w:left="1200" w:hanging="386"/>
        <w:spacing w:after="0"/>
        <w:tabs>
          <w:tab w:leader="none" w:pos="12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amount disclosed relates to compensation paid under the Company’s consulting agreement with Dr. Srivastava.</w:t>
      </w:r>
    </w:p>
    <w:p>
      <w:pPr>
        <w:spacing w:after="0" w:line="27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Compensation Committee Interlocks and Inside Participation</w:t>
      </w:r>
    </w:p>
    <w:p>
      <w:pPr>
        <w:spacing w:after="0" w:line="10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None of the members of our board of directors who will serve on our compensation committee upon the effectiveness of the registration statement of which this prospectus forms a part is or has been an officer or employee of our company.</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207</w:t>
      </w:r>
    </w:p>
    <w:p>
      <w:pPr>
        <w:sectPr>
          <w:pgSz w:w="11900" w:h="16838" w:orient="portrait"/>
          <w:cols w:equalWidth="0" w:num="1">
            <w:col w:w="10440"/>
          </w:cols>
          <w:pgMar w:left="320" w:top="418" w:right="1139" w:bottom="1440" w:gutter="0" w:footer="0" w:header="0"/>
        </w:sectPr>
      </w:pPr>
    </w:p>
    <w:bookmarkStart w:id="210" w:name="page211"/>
    <w:bookmarkEnd w:id="2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40" w:firstLine="385"/>
        <w:spacing w:after="0" w:line="281" w:lineRule="auto"/>
        <w:rPr>
          <w:sz w:val="20"/>
          <w:szCs w:val="20"/>
          <w:color w:val="auto"/>
        </w:rPr>
      </w:pPr>
      <w:r>
        <w:rPr>
          <w:rFonts w:ascii="Arial" w:cs="Arial" w:eastAsia="Arial" w:hAnsi="Arial"/>
          <w:sz w:val="15"/>
          <w:szCs w:val="15"/>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3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03"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In , our board of directors adopted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 tenayatherapeutics.com.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or in a current report on Form 8-K. Information contained on the website is not incorporated by reference into this prospectus and should not be considered to be part of this prospectus. The inclusion of our website address in this prospectus is an inactive textual reference only.</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0380"/>
          </w:cols>
          <w:pgMar w:left="320" w:top="418" w:right="1199" w:bottom="1440" w:gutter="0" w:footer="0" w:header="0"/>
        </w:sectPr>
      </w:pPr>
    </w:p>
    <w:bookmarkStart w:id="211" w:name="page212"/>
    <w:bookmarkEnd w:id="2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EXECUTIVE COMPENSATION</w:t>
      </w:r>
    </w:p>
    <w:p>
      <w:pPr>
        <w:spacing w:after="0" w:line="197"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Our named executive officers for 2020, which consist of our principal executive officer and the next two most highly compensated executive officers during 2020, are:</w:t>
      </w:r>
    </w:p>
    <w:p>
      <w:pPr>
        <w:spacing w:after="0" w:line="76" w:lineRule="exact"/>
        <w:rPr>
          <w:sz w:val="20"/>
          <w:szCs w:val="20"/>
          <w:color w:val="auto"/>
        </w:rPr>
      </w:pPr>
    </w:p>
    <w:p>
      <w:pPr>
        <w:ind w:left="1660" w:hanging="469"/>
        <w:spacing w:after="0"/>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Faraz Ali, Chief Executive Officer;</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Timothy Charles Hoey, Ph.D., Chief Scientific Officer;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Whittemore (Whit) Tingley, M.D., Ph.D., Chief Medical Officer.</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Summary Compensation Table</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sets forth information regarding the compensation of our named executive officers for the year ended December 31, 2020.</w:t>
      </w:r>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24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All Other</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8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120"/>
              <w:spacing w:after="0" w:line="130" w:lineRule="exact"/>
              <w:rPr>
                <w:sz w:val="20"/>
                <w:szCs w:val="20"/>
                <w:color w:val="auto"/>
              </w:rPr>
            </w:pPr>
            <w:r>
              <w:rPr>
                <w:rFonts w:ascii="Arial" w:cs="Arial" w:eastAsia="Arial" w:hAnsi="Arial"/>
                <w:sz w:val="13"/>
                <w:szCs w:val="13"/>
                <w:b w:val="1"/>
                <w:bCs w:val="1"/>
                <w:color w:val="auto"/>
              </w:rPr>
              <w:t>Salary</w:t>
            </w:r>
          </w:p>
        </w:tc>
        <w:tc>
          <w:tcPr>
            <w:tcW w:w="820" w:type="dxa"/>
            <w:vAlign w:val="bottom"/>
            <w:gridSpan w:val="2"/>
          </w:tcPr>
          <w:p>
            <w:pPr>
              <w:ind w:left="120"/>
              <w:spacing w:after="0" w:line="130" w:lineRule="exact"/>
              <w:rPr>
                <w:sz w:val="20"/>
                <w:szCs w:val="20"/>
                <w:color w:val="auto"/>
              </w:rPr>
            </w:pPr>
            <w:r>
              <w:rPr>
                <w:rFonts w:ascii="Arial" w:cs="Arial" w:eastAsia="Arial" w:hAnsi="Arial"/>
                <w:sz w:val="13"/>
                <w:szCs w:val="13"/>
                <w:b w:val="1"/>
                <w:bCs w:val="1"/>
                <w:color w:val="auto"/>
              </w:rPr>
              <w:t>Bonus</w:t>
            </w:r>
          </w:p>
        </w:tc>
        <w:tc>
          <w:tcPr>
            <w:tcW w:w="5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Awards</w:t>
            </w:r>
          </w:p>
        </w:tc>
        <w:tc>
          <w:tcPr>
            <w:tcW w:w="1240" w:type="dxa"/>
            <w:vAlign w:val="bottom"/>
            <w:gridSpan w:val="3"/>
          </w:tcPr>
          <w:p>
            <w:pPr>
              <w:jc w:val="right"/>
              <w:ind w:right="240"/>
              <w:spacing w:after="0" w:line="130" w:lineRule="exact"/>
              <w:rPr>
                <w:sz w:val="20"/>
                <w:szCs w:val="20"/>
                <w:color w:val="auto"/>
              </w:rPr>
            </w:pPr>
            <w:r>
              <w:rPr>
                <w:rFonts w:ascii="Arial" w:cs="Arial" w:eastAsia="Arial" w:hAnsi="Arial"/>
                <w:sz w:val="13"/>
                <w:szCs w:val="13"/>
                <w:b w:val="1"/>
                <w:bCs w:val="1"/>
                <w:color w:val="auto"/>
              </w:rPr>
              <w:t>Compensation</w:t>
            </w:r>
          </w:p>
        </w:tc>
        <w:tc>
          <w:tcPr>
            <w:tcW w:w="620" w:type="dxa"/>
            <w:vAlign w:val="bottom"/>
            <w:gridSpan w:val="2"/>
          </w:tcPr>
          <w:p>
            <w:pPr>
              <w:ind w:left="140"/>
              <w:spacing w:after="0" w:line="130"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8"/>
        </w:trPr>
        <w:tc>
          <w:tcPr>
            <w:tcW w:w="480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ind w:left="60"/>
              <w:spacing w:after="0" w:line="138" w:lineRule="exact"/>
              <w:rPr>
                <w:sz w:val="20"/>
                <w:szCs w:val="20"/>
                <w:color w:val="auto"/>
              </w:rPr>
            </w:pPr>
            <w:r>
              <w:rPr>
                <w:rFonts w:ascii="Arial" w:cs="Arial" w:eastAsia="Arial" w:hAnsi="Arial"/>
                <w:sz w:val="13"/>
                <w:szCs w:val="13"/>
                <w:b w:val="1"/>
                <w:bCs w:val="1"/>
                <w:color w:val="auto"/>
              </w:rPr>
              <w:t>Year</w:t>
            </w: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3"/>
                <w:szCs w:val="13"/>
                <w:color w:val="auto"/>
              </w:rPr>
            </w:pPr>
          </w:p>
        </w:tc>
        <w:tc>
          <w:tcPr>
            <w:tcW w:w="56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4"/>
              </w:rPr>
              <w:t>($)(1)</w:t>
            </w:r>
          </w:p>
        </w:tc>
        <w:tc>
          <w:tcPr>
            <w:tcW w:w="1020" w:type="dxa"/>
            <w:vAlign w:val="bottom"/>
            <w:gridSpan w:val="2"/>
          </w:tcPr>
          <w:p>
            <w:pPr>
              <w:jc w:val="right"/>
              <w:ind w:right="269"/>
              <w:spacing w:after="0" w:line="138"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580" w:type="dxa"/>
            <w:vAlign w:val="bottom"/>
          </w:tcPr>
          <w:p>
            <w:pPr>
              <w:jc w:val="right"/>
              <w:ind w:right="148"/>
              <w:spacing w:after="0" w:line="138"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2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Faraz Ali</w:t>
            </w:r>
          </w:p>
        </w:tc>
        <w:tc>
          <w:tcPr>
            <w:tcW w:w="32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w w:val="84"/>
              </w:rPr>
              <w:t>2020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425,000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126,500</w:t>
            </w:r>
          </w:p>
        </w:tc>
        <w:tc>
          <w:tcPr>
            <w:tcW w:w="2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197,500</w:t>
            </w:r>
          </w:p>
        </w:tc>
        <w:tc>
          <w:tcPr>
            <w:tcW w:w="2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1,300</w:t>
            </w:r>
          </w:p>
        </w:tc>
        <w:tc>
          <w:tcPr>
            <w:tcW w:w="2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750,300</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Executive Officer</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800" w:type="dxa"/>
            <w:vAlign w:val="bottom"/>
            <w:gridSpan w:val="3"/>
          </w:tcPr>
          <w:p>
            <w:pPr>
              <w:spacing w:after="0"/>
              <w:rPr>
                <w:sz w:val="20"/>
                <w:szCs w:val="20"/>
                <w:color w:val="auto"/>
              </w:rPr>
            </w:pPr>
            <w:r>
              <w:rPr>
                <w:rFonts w:ascii="Arial" w:cs="Arial" w:eastAsia="Arial" w:hAnsi="Arial"/>
                <w:sz w:val="16"/>
                <w:szCs w:val="16"/>
                <w:color w:val="auto"/>
              </w:rPr>
              <w:t>Timothy Charles Hoey, Ph.D.</w:t>
            </w:r>
          </w:p>
        </w:tc>
        <w:tc>
          <w:tcPr>
            <w:tcW w:w="560" w:type="dxa"/>
            <w:vAlign w:val="bottom"/>
            <w:gridSpan w:val="2"/>
          </w:tcPr>
          <w:p>
            <w:pPr>
              <w:ind w:left="240"/>
              <w:spacing w:after="0"/>
              <w:rPr>
                <w:sz w:val="20"/>
                <w:szCs w:val="20"/>
                <w:color w:val="auto"/>
              </w:rPr>
            </w:pPr>
            <w:r>
              <w:rPr>
                <w:rFonts w:ascii="Arial" w:cs="Arial" w:eastAsia="Arial" w:hAnsi="Arial"/>
                <w:sz w:val="16"/>
                <w:szCs w:val="16"/>
                <w:color w:val="auto"/>
                <w:w w:val="84"/>
              </w:rPr>
              <w:t>2020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375,000</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46,800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3,557</w:t>
            </w:r>
          </w:p>
        </w:tc>
        <w:tc>
          <w:tcPr>
            <w:tcW w:w="2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520,357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gridSpan w:val="2"/>
          </w:tcPr>
          <w:p>
            <w:pPr>
              <w:ind w:left="140"/>
              <w:spacing w:after="0"/>
              <w:rPr>
                <w:sz w:val="20"/>
                <w:szCs w:val="20"/>
                <w:color w:val="auto"/>
              </w:rPr>
            </w:pPr>
            <w:r>
              <w:rPr>
                <w:rFonts w:ascii="Arial" w:cs="Arial" w:eastAsia="Arial" w:hAnsi="Arial"/>
                <w:sz w:val="16"/>
                <w:szCs w:val="16"/>
                <w:i w:val="1"/>
                <w:iCs w:val="1"/>
                <w:color w:val="auto"/>
              </w:rPr>
              <w:t>Chief Scientific Officer</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4"/>
              </w:rPr>
              <w:t>2020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371,000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1,520</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467,520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Chief Medical Officer</w:t>
            </w: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right="20" w:hanging="386"/>
        <w:spacing w:after="0" w:line="253" w:lineRule="auto"/>
        <w:tabs>
          <w:tab w:leader="none" w:pos="12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amounts disclosed represent the aggregate grant date fair value of the award as calculated in accordance with ASC 718. The assumptions used in calculating the grant date fair value of the award disclosed in this column are set forth in Note 2 to our audited financial statements included elsewhere in this prospectus. These amounts do not correspond to the actual value that may be recognized by the named executive officers upon vesting of the applicable awards.</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Outstanding Equity Awards at Fiscal Year End</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sets forth information concerning outstanding equity awards held by each of our named executive officers as of December 31,</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2020:</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4"/>
          </w:tcPr>
          <w:p>
            <w:pPr>
              <w:ind w:left="3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top w:val="single" w:sz="8" w:color="auto"/>
            </w:tcBorders>
            <w:gridSpan w:val="2"/>
          </w:tcPr>
          <w:p>
            <w:pPr>
              <w:jc w:val="center"/>
              <w:ind w:right="320"/>
              <w:spacing w:after="0" w:line="102" w:lineRule="exact"/>
              <w:rPr>
                <w:sz w:val="20"/>
                <w:szCs w:val="20"/>
                <w:color w:val="auto"/>
              </w:rPr>
            </w:pPr>
            <w:r>
              <w:rPr>
                <w:rFonts w:ascii="Arial" w:cs="Arial" w:eastAsia="Arial" w:hAnsi="Arial"/>
                <w:sz w:val="10"/>
                <w:szCs w:val="10"/>
                <w:b w:val="1"/>
                <w:bCs w:val="1"/>
                <w:color w:val="auto"/>
              </w:rPr>
              <w:t>Number of</w:t>
            </w:r>
          </w:p>
        </w:tc>
        <w:tc>
          <w:tcPr>
            <w:tcW w:w="10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jc w:val="center"/>
              <w:ind w:right="400"/>
              <w:spacing w:after="0" w:line="102" w:lineRule="exact"/>
              <w:rPr>
                <w:sz w:val="20"/>
                <w:szCs w:val="20"/>
                <w:color w:val="auto"/>
              </w:rPr>
            </w:pPr>
            <w:r>
              <w:rPr>
                <w:rFonts w:ascii="Arial" w:cs="Arial" w:eastAsia="Arial" w:hAnsi="Arial"/>
                <w:sz w:val="10"/>
                <w:szCs w:val="10"/>
                <w:b w:val="1"/>
                <w:bCs w:val="1"/>
                <w:color w:val="auto"/>
              </w:rPr>
              <w:t>Number of</w:t>
            </w:r>
          </w:p>
        </w:tc>
        <w:tc>
          <w:tcPr>
            <w:tcW w:w="2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Market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3"/>
              </w:rPr>
              <w:t>Securities</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jc w:val="center"/>
              <w:ind w:left="132"/>
              <w:spacing w:after="0" w:line="130"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2"/>
              </w:rPr>
              <w:t>Value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8"/>
              </w:rPr>
              <w:t>Underlying</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8"/>
              </w:rPr>
              <w:t>Underlying</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4"/>
              </w:rPr>
              <w:t>Shares of</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4"/>
              </w:rPr>
              <w:t>Shares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2"/>
              </w:rPr>
              <w:t>Unexercised</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2"/>
              </w:rPr>
              <w:t>Unexercised</w:t>
            </w:r>
          </w:p>
        </w:tc>
        <w:tc>
          <w:tcPr>
            <w:tcW w:w="20" w:type="dxa"/>
            <w:vAlign w:val="bottom"/>
          </w:tcPr>
          <w:p>
            <w:pPr>
              <w:spacing w:after="0"/>
              <w:rPr>
                <w:sz w:val="11"/>
                <w:szCs w:val="11"/>
                <w:color w:val="auto"/>
              </w:rPr>
            </w:pPr>
          </w:p>
        </w:tc>
        <w:tc>
          <w:tcPr>
            <w:tcW w:w="680" w:type="dxa"/>
            <w:vAlign w:val="bottom"/>
            <w:gridSpan w:val="2"/>
          </w:tcPr>
          <w:p>
            <w:pPr>
              <w:jc w:val="center"/>
              <w:ind w:right="220"/>
              <w:spacing w:after="0" w:line="130" w:lineRule="exact"/>
              <w:rPr>
                <w:sz w:val="20"/>
                <w:szCs w:val="20"/>
                <w:color w:val="auto"/>
              </w:rPr>
            </w:pPr>
            <w:r>
              <w:rPr>
                <w:rFonts w:ascii="Arial" w:cs="Arial" w:eastAsia="Arial" w:hAnsi="Arial"/>
                <w:sz w:val="13"/>
                <w:szCs w:val="13"/>
                <w:b w:val="1"/>
                <w:bCs w:val="1"/>
                <w:color w:val="auto"/>
                <w:w w:val="90"/>
              </w:rPr>
              <w:t>Option</w:t>
            </w: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Stock that</w:t>
            </w:r>
          </w:p>
        </w:tc>
        <w:tc>
          <w:tcPr>
            <w:tcW w:w="820" w:type="dxa"/>
            <w:vAlign w:val="bottom"/>
            <w:gridSpan w:val="3"/>
          </w:tcPr>
          <w:p>
            <w:pPr>
              <w:jc w:val="center"/>
              <w:ind w:left="92"/>
              <w:spacing w:after="0" w:line="130" w:lineRule="exact"/>
              <w:rPr>
                <w:sz w:val="20"/>
                <w:szCs w:val="20"/>
                <w:color w:val="auto"/>
              </w:rPr>
            </w:pPr>
            <w:r>
              <w:rPr>
                <w:rFonts w:ascii="Arial" w:cs="Arial" w:eastAsia="Arial" w:hAnsi="Arial"/>
                <w:sz w:val="13"/>
                <w:szCs w:val="13"/>
                <w:b w:val="1"/>
                <w:bCs w:val="1"/>
                <w:color w:val="auto"/>
                <w:w w:val="85"/>
              </w:rPr>
              <w:t>Stock that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1"/>
                <w:szCs w:val="11"/>
                <w:color w:val="auto"/>
              </w:rPr>
            </w:pPr>
          </w:p>
        </w:tc>
        <w:tc>
          <w:tcPr>
            <w:tcW w:w="1140" w:type="dxa"/>
            <w:vAlign w:val="bottom"/>
            <w:gridSpan w:val="2"/>
          </w:tcPr>
          <w:p>
            <w:pPr>
              <w:jc w:val="center"/>
              <w:ind w:right="380"/>
              <w:spacing w:after="0" w:line="130" w:lineRule="exact"/>
              <w:rPr>
                <w:sz w:val="20"/>
                <w:szCs w:val="20"/>
                <w:color w:val="auto"/>
              </w:rPr>
            </w:pPr>
            <w:r>
              <w:rPr>
                <w:rFonts w:ascii="Arial" w:cs="Arial" w:eastAsia="Arial" w:hAnsi="Arial"/>
                <w:sz w:val="13"/>
                <w:szCs w:val="13"/>
                <w:b w:val="1"/>
                <w:bCs w:val="1"/>
                <w:color w:val="auto"/>
                <w:w w:val="89"/>
              </w:rPr>
              <w:t>Options</w:t>
            </w:r>
          </w:p>
        </w:tc>
        <w:tc>
          <w:tcPr>
            <w:tcW w:w="700" w:type="dxa"/>
            <w:vAlign w:val="bottom"/>
            <w:gridSpan w:val="3"/>
          </w:tcPr>
          <w:p>
            <w:pPr>
              <w:jc w:val="center"/>
              <w:ind w:right="200"/>
              <w:spacing w:after="0" w:line="130" w:lineRule="exact"/>
              <w:rPr>
                <w:sz w:val="20"/>
                <w:szCs w:val="20"/>
                <w:color w:val="auto"/>
              </w:rPr>
            </w:pPr>
            <w:r>
              <w:rPr>
                <w:rFonts w:ascii="Arial" w:cs="Arial" w:eastAsia="Arial" w:hAnsi="Arial"/>
                <w:sz w:val="13"/>
                <w:szCs w:val="13"/>
                <w:b w:val="1"/>
                <w:bCs w:val="1"/>
                <w:color w:val="auto"/>
                <w:w w:val="85"/>
              </w:rPr>
              <w:t>Exercise</w:t>
            </w: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8"/>
              </w:rPr>
              <w:t>Have Not</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88"/>
              </w:rPr>
              <w:t>Have Not</w:t>
            </w:r>
          </w:p>
        </w:tc>
        <w:tc>
          <w:tcPr>
            <w:tcW w:w="0" w:type="dxa"/>
            <w:vAlign w:val="bottom"/>
          </w:tcPr>
          <w:p>
            <w:pPr>
              <w:spacing w:after="0"/>
              <w:rPr>
                <w:sz w:val="1"/>
                <w:szCs w:val="1"/>
                <w:color w:val="auto"/>
              </w:rPr>
            </w:pPr>
          </w:p>
        </w:tc>
      </w:tr>
      <w:tr>
        <w:trPr>
          <w:trHeight w:val="130"/>
        </w:trPr>
        <w:tc>
          <w:tcPr>
            <w:tcW w:w="3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3"/>
                <w:szCs w:val="13"/>
                <w:b w:val="1"/>
                <w:bCs w:val="1"/>
                <w:color w:val="auto"/>
                <w:w w:val="97"/>
              </w:rPr>
              <w:t>Grant</w:t>
            </w:r>
          </w:p>
        </w:tc>
        <w:tc>
          <w:tcPr>
            <w:tcW w:w="98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85"/>
              </w:rPr>
              <w:t>Exercisable</w:t>
            </w:r>
          </w:p>
        </w:tc>
        <w:tc>
          <w:tcPr>
            <w:tcW w:w="1240" w:type="dxa"/>
            <w:vAlign w:val="bottom"/>
            <w:gridSpan w:val="3"/>
          </w:tcPr>
          <w:p>
            <w:pPr>
              <w:jc w:val="center"/>
              <w:ind w:right="280"/>
              <w:spacing w:after="0" w:line="130" w:lineRule="exact"/>
              <w:rPr>
                <w:sz w:val="20"/>
                <w:szCs w:val="20"/>
                <w:color w:val="auto"/>
              </w:rPr>
            </w:pPr>
            <w:r>
              <w:rPr>
                <w:rFonts w:ascii="Arial" w:cs="Arial" w:eastAsia="Arial" w:hAnsi="Arial"/>
                <w:sz w:val="13"/>
                <w:szCs w:val="13"/>
                <w:b w:val="1"/>
                <w:bCs w:val="1"/>
                <w:color w:val="auto"/>
                <w:w w:val="86"/>
              </w:rPr>
              <w:t>Unexercisable</w:t>
            </w:r>
          </w:p>
        </w:tc>
        <w:tc>
          <w:tcPr>
            <w:tcW w:w="20" w:type="dxa"/>
            <w:vAlign w:val="bottom"/>
          </w:tcPr>
          <w:p>
            <w:pPr>
              <w:spacing w:after="0"/>
              <w:rPr>
                <w:sz w:val="11"/>
                <w:szCs w:val="11"/>
                <w:color w:val="auto"/>
              </w:rPr>
            </w:pPr>
          </w:p>
        </w:tc>
        <w:tc>
          <w:tcPr>
            <w:tcW w:w="680" w:type="dxa"/>
            <w:vAlign w:val="bottom"/>
            <w:gridSpan w:val="2"/>
          </w:tcPr>
          <w:p>
            <w:pPr>
              <w:jc w:val="center"/>
              <w:ind w:right="240"/>
              <w:spacing w:after="0" w:line="130" w:lineRule="exact"/>
              <w:rPr>
                <w:sz w:val="20"/>
                <w:szCs w:val="20"/>
                <w:color w:val="auto"/>
              </w:rPr>
            </w:pPr>
            <w:r>
              <w:rPr>
                <w:rFonts w:ascii="Arial" w:cs="Arial" w:eastAsia="Arial" w:hAnsi="Arial"/>
                <w:sz w:val="13"/>
                <w:szCs w:val="13"/>
                <w:b w:val="1"/>
                <w:bCs w:val="1"/>
                <w:color w:val="auto"/>
                <w:w w:val="87"/>
              </w:rPr>
              <w:t>Price</w:t>
            </w:r>
          </w:p>
        </w:tc>
        <w:tc>
          <w:tcPr>
            <w:tcW w:w="7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1"/>
              </w:rPr>
              <w:t>Expiration</w:t>
            </w:r>
          </w:p>
        </w:tc>
        <w:tc>
          <w:tcPr>
            <w:tcW w:w="220" w:type="dxa"/>
            <w:vAlign w:val="bottom"/>
          </w:tcPr>
          <w:p>
            <w:pPr>
              <w:spacing w:after="0"/>
              <w:rPr>
                <w:sz w:val="11"/>
                <w:szCs w:val="11"/>
                <w:color w:val="auto"/>
              </w:rPr>
            </w:pPr>
          </w:p>
        </w:tc>
        <w:tc>
          <w:tcPr>
            <w:tcW w:w="6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79"/>
              </w:rPr>
              <w:t>Vested</w:t>
            </w:r>
          </w:p>
        </w:tc>
        <w:tc>
          <w:tcPr>
            <w:tcW w:w="220" w:type="dxa"/>
            <w:vAlign w:val="bottom"/>
          </w:tcPr>
          <w:p>
            <w:pPr>
              <w:spacing w:after="0"/>
              <w:rPr>
                <w:sz w:val="11"/>
                <w:szCs w:val="11"/>
                <w:color w:val="auto"/>
              </w:rPr>
            </w:pPr>
          </w:p>
        </w:tc>
        <w:tc>
          <w:tcPr>
            <w:tcW w:w="60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38"/>
        </w:trPr>
        <w:tc>
          <w:tcPr>
            <w:tcW w:w="320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6"/>
              </w:rPr>
              <w:t>Date(1)</w:t>
            </w:r>
          </w:p>
        </w:tc>
        <w:tc>
          <w:tcPr>
            <w:tcW w:w="6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1"/>
                <w:szCs w:val="11"/>
                <w:color w:val="auto"/>
              </w:rPr>
            </w:pPr>
          </w:p>
        </w:tc>
        <w:tc>
          <w:tcPr>
            <w:tcW w:w="860" w:type="dxa"/>
            <w:vAlign w:val="bottom"/>
            <w:gridSpan w:val="2"/>
          </w:tcPr>
          <w:p>
            <w:pPr>
              <w:jc w:val="center"/>
              <w:ind w:left="29"/>
              <w:spacing w:after="0" w:line="138"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1"/>
                <w:szCs w:val="11"/>
                <w:color w:val="auto"/>
              </w:rPr>
            </w:pPr>
          </w:p>
        </w:tc>
        <w:tc>
          <w:tcPr>
            <w:tcW w:w="48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4"/>
              </w:rPr>
              <w:t>($)(2)</w:t>
            </w:r>
          </w:p>
        </w:tc>
        <w:tc>
          <w:tcPr>
            <w:tcW w:w="22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92"/>
              </w:rPr>
              <w:t>Date</w:t>
            </w:r>
          </w:p>
        </w:tc>
        <w:tc>
          <w:tcPr>
            <w:tcW w:w="820" w:type="dxa"/>
            <w:vAlign w:val="bottom"/>
            <w:gridSpan w:val="2"/>
          </w:tcPr>
          <w:p>
            <w:pPr>
              <w:jc w:val="center"/>
              <w:ind w:left="132"/>
              <w:spacing w:after="0" w:line="138" w:lineRule="exact"/>
              <w:rPr>
                <w:sz w:val="20"/>
                <w:szCs w:val="20"/>
                <w:color w:val="auto"/>
              </w:rPr>
            </w:pPr>
            <w:r>
              <w:rPr>
                <w:rFonts w:ascii="Arial" w:cs="Arial" w:eastAsia="Arial" w:hAnsi="Arial"/>
                <w:sz w:val="13"/>
                <w:szCs w:val="13"/>
                <w:b w:val="1"/>
                <w:bCs w:val="1"/>
                <w:color w:val="auto"/>
                <w:w w:val="87"/>
              </w:rPr>
              <w:t>(#)</w:t>
            </w:r>
          </w:p>
        </w:tc>
        <w:tc>
          <w:tcPr>
            <w:tcW w:w="780" w:type="dxa"/>
            <w:vAlign w:val="bottom"/>
            <w:gridSpan w:val="2"/>
          </w:tcPr>
          <w:p>
            <w:pPr>
              <w:jc w:val="center"/>
              <w:ind w:left="132"/>
              <w:spacing w:after="0" w:line="138" w:lineRule="exact"/>
              <w:rPr>
                <w:sz w:val="20"/>
                <w:szCs w:val="20"/>
                <w:color w:val="auto"/>
              </w:rPr>
            </w:pPr>
            <w:r>
              <w:rPr>
                <w:rFonts w:ascii="Arial" w:cs="Arial" w:eastAsia="Arial" w:hAnsi="Arial"/>
                <w:sz w:val="13"/>
                <w:szCs w:val="13"/>
                <w:b w:val="1"/>
                <w:bCs w:val="1"/>
                <w:color w:val="auto"/>
                <w:w w:val="94"/>
              </w:rPr>
              <w:t>($)(3)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Faraz Ali</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9/6/2018</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72"/>
              </w:rPr>
              <w:t>2,550,000(4)</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0.11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9/5/2028</w:t>
            </w: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3/10/2020</w:t>
            </w: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46,875</w:t>
            </w:r>
          </w:p>
        </w:tc>
        <w:tc>
          <w:tcPr>
            <w:tcW w:w="3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203,125(5)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3/9/2030</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200" w:type="dxa"/>
            <w:vAlign w:val="bottom"/>
            <w:gridSpan w:val="3"/>
          </w:tcPr>
          <w:p>
            <w:pPr>
              <w:spacing w:after="0"/>
              <w:rPr>
                <w:sz w:val="20"/>
                <w:szCs w:val="20"/>
                <w:color w:val="auto"/>
              </w:rPr>
            </w:pPr>
            <w:r>
              <w:rPr>
                <w:rFonts w:ascii="Arial" w:cs="Arial" w:eastAsia="Arial" w:hAnsi="Arial"/>
                <w:sz w:val="16"/>
                <w:szCs w:val="16"/>
                <w:color w:val="auto"/>
              </w:rPr>
              <w:t>Timothy Charles Hoey, Ph.D.</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9/13/2017</w:t>
            </w:r>
          </w:p>
        </w:tc>
        <w:tc>
          <w:tcPr>
            <w:tcW w:w="220" w:type="dxa"/>
            <w:vAlign w:val="bottom"/>
          </w:tcPr>
          <w:p>
            <w:pPr>
              <w:spacing w:after="0"/>
              <w:rPr>
                <w:sz w:val="23"/>
                <w:szCs w:val="23"/>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166,667</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13,333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2/6/2019</w:t>
            </w:r>
          </w:p>
        </w:tc>
        <w:tc>
          <w:tcPr>
            <w:tcW w:w="22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200,000(6)</w:t>
            </w:r>
          </w:p>
        </w:tc>
        <w:tc>
          <w:tcPr>
            <w:tcW w:w="10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2/5/2029</w:t>
            </w: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2/7/2020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13,750</w:t>
            </w:r>
          </w:p>
        </w:tc>
        <w:tc>
          <w:tcPr>
            <w:tcW w:w="300" w:type="dxa"/>
            <w:vAlign w:val="bottom"/>
          </w:tcPr>
          <w:p>
            <w:pPr>
              <w:spacing w:after="0"/>
              <w:rPr>
                <w:sz w:val="17"/>
                <w:szCs w:val="17"/>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6"/>
                <w:szCs w:val="16"/>
                <w:color w:val="auto"/>
              </w:rPr>
              <w:t>46,250(5)</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0.45</w:t>
            </w: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2/6/2030</w:t>
            </w: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Whittemore (Whit) Tingley, M.D., Ph.D.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12/10/2018</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450,000(7)</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12/9/2028</w:t>
            </w: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hanging="386"/>
        <w:spacing w:after="0"/>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Each of the outstanding equity awards was granted pursuant to our Amended and Restated 2016 Equity Incentive Plan (the 2016 Plan).</w:t>
      </w:r>
    </w:p>
    <w:p>
      <w:pPr>
        <w:spacing w:after="0" w:line="27" w:lineRule="exact"/>
        <w:rPr>
          <w:rFonts w:ascii="Arial" w:cs="Arial" w:eastAsia="Arial" w:hAnsi="Arial"/>
          <w:sz w:val="15"/>
          <w:szCs w:val="15"/>
          <w:color w:val="auto"/>
        </w:rPr>
      </w:pPr>
    </w:p>
    <w:p>
      <w:pPr>
        <w:ind w:left="1200" w:hanging="386"/>
        <w:spacing w:after="0"/>
        <w:tabs>
          <w:tab w:leader="none" w:pos="120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This column represents the fair market value of a share of our common stock on the date of grant, as determined by our board of directors.</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0440"/>
          </w:cols>
          <w:pgMar w:left="320" w:top="418" w:right="1139" w:bottom="1440" w:gutter="0" w:footer="0" w:header="0"/>
        </w:sectPr>
      </w:pPr>
    </w:p>
    <w:bookmarkStart w:id="212" w:name="page213"/>
    <w:bookmarkEnd w:id="2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hanging="386"/>
        <w:spacing w:after="0" w:line="253"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This column represents the fair market value of a share of our common stock as of December 31, 2020, the market value has been calculated based on an estimated per-share common stock value of $0.08 per share as of December 31, 2020.</w:t>
      </w:r>
    </w:p>
    <w:p>
      <w:pPr>
        <w:ind w:left="1200" w:right="160" w:hanging="386"/>
        <w:spacing w:after="0" w:line="246"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1/5th of the shares subject to this option vested on the first anniversary of the vesting commencement date and 1/60th of the shares vest monthly thereafter, subject to the optionee’s continued status as a service provider through each vest date. All of the shares underlying this option are subject to an early exercise provision.</w:t>
      </w:r>
    </w:p>
    <w:p>
      <w:pPr>
        <w:ind w:left="1200" w:right="40" w:hanging="386"/>
        <w:spacing w:after="0" w:line="246"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1/48th of the shares subject to this option vest monthly after the grant date, subject to the optionee’s continued status as a service provider through each vest date.</w:t>
      </w:r>
    </w:p>
    <w:p>
      <w:pPr>
        <w:ind w:left="1200" w:right="40" w:hanging="386"/>
        <w:spacing w:after="0" w:line="246"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1/48th of the shares subject to this option vest monthly after the grant date, subject to the optionee’s continued status as a service provider through each vest date. All of the shares underlying this option are subject to an early exercise provision.</w:t>
      </w:r>
    </w:p>
    <w:p>
      <w:pPr>
        <w:ind w:left="1200" w:right="160" w:hanging="386"/>
        <w:spacing w:after="0" w:line="249" w:lineRule="auto"/>
        <w:tabs>
          <w:tab w:leader="none" w:pos="12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1/4th of the shares subject to this option vested on the first anniversary of the vesting commencement date and 1/48th of the shares vest monthly thereafter, subject to the optionee’s continued status as a service provider through each vest date. All of the shares underlying this option are subject to an early exercise provision.</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Employment Arrangements</w:t>
      </w:r>
    </w:p>
    <w:p>
      <w:pPr>
        <w:spacing w:after="0" w:line="103" w:lineRule="exact"/>
        <w:rPr>
          <w:sz w:val="20"/>
          <w:szCs w:val="20"/>
          <w:color w:val="auto"/>
        </w:rPr>
      </w:pPr>
    </w:p>
    <w:p>
      <w:pPr>
        <w:ind w:left="820" w:right="720" w:firstLine="385"/>
        <w:spacing w:after="0" w:line="266" w:lineRule="auto"/>
        <w:rPr>
          <w:sz w:val="20"/>
          <w:szCs w:val="20"/>
          <w:color w:val="auto"/>
        </w:rPr>
      </w:pPr>
      <w:r>
        <w:rPr>
          <w:rFonts w:ascii="Arial" w:cs="Arial" w:eastAsia="Arial" w:hAnsi="Arial"/>
          <w:sz w:val="16"/>
          <w:szCs w:val="16"/>
          <w:color w:val="auto"/>
        </w:rPr>
        <w:t>Each of our current executive officers has executed our standard form of confidential information, invention assignment and arbitration agreement.</w:t>
      </w:r>
    </w:p>
    <w:p>
      <w:pPr>
        <w:spacing w:after="0" w:line="158"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Prior to the completion of this offering, we intend to enter into a confirmatory employment letter with each of our executive officers. Each confirmatory employment letter will provide for continued employment with us on an at-will basis and include terms for base salary, benefits and target cash incentive payments.</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103"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Prior to the completion of this offering, we expect to adopt arrangements for our executive officers that provide for certain severance and change in control benefits.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Employee Benefit and Stock Plans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Equity Incentive Plan</w:t>
      </w:r>
    </w:p>
    <w:p>
      <w:pPr>
        <w:spacing w:after="0" w:line="99"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Prior to the effectiveness of this offering, we expect that our board of directors will adopt, and our stockholders will approve, our 2021 Equity Incentive Plan (2021 Plan). The 2021 Plan will be effective on the business day immediately prior to the effective date of the registration statement of which this prospectus forms a part. Our 2021 Plan will provide for the grant of incentive stock options, within the meaning of Section 422 of the Internal Revenue Code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our subsidiary corporations’ employees and consultants.</w:t>
      </w:r>
    </w:p>
    <w:p>
      <w:pPr>
        <w:spacing w:after="0" w:line="156" w:lineRule="exact"/>
        <w:rPr>
          <w:sz w:val="20"/>
          <w:szCs w:val="20"/>
          <w:color w:val="auto"/>
        </w:rPr>
      </w:pPr>
    </w:p>
    <w:p>
      <w:pPr>
        <w:ind w:left="820" w:firstLine="385"/>
        <w:spacing w:after="0" w:line="307" w:lineRule="auto"/>
        <w:rPr>
          <w:sz w:val="20"/>
          <w:szCs w:val="20"/>
          <w:color w:val="auto"/>
        </w:rPr>
      </w:pPr>
      <w:r>
        <w:rPr>
          <w:rFonts w:ascii="Arial" w:cs="Arial" w:eastAsia="Arial" w:hAnsi="Arial"/>
          <w:sz w:val="13"/>
          <w:szCs w:val="13"/>
          <w:i w:val="1"/>
          <w:iCs w:val="1"/>
          <w:color w:val="auto"/>
        </w:rPr>
        <w:t>Authorized shares</w:t>
      </w:r>
      <w:r>
        <w:rPr>
          <w:rFonts w:ascii="Arial" w:cs="Arial" w:eastAsia="Arial" w:hAnsi="Arial"/>
          <w:sz w:val="13"/>
          <w:szCs w:val="13"/>
          <w:color w:val="auto"/>
        </w:rPr>
        <w:t>. A total of shares of our common stock are reserved for issuance pursuant to our 2021 Plan. In addition, the shares</w:t>
      </w:r>
      <w:r>
        <w:rPr>
          <w:rFonts w:ascii="Arial" w:cs="Arial" w:eastAsia="Arial" w:hAnsi="Arial"/>
          <w:sz w:val="13"/>
          <w:szCs w:val="13"/>
          <w:i w:val="1"/>
          <w:iCs w:val="1"/>
          <w:color w:val="auto"/>
        </w:rPr>
        <w:t xml:space="preserve"> </w:t>
      </w:r>
      <w:r>
        <w:rPr>
          <w:rFonts w:ascii="Arial" w:cs="Arial" w:eastAsia="Arial" w:hAnsi="Arial"/>
          <w:sz w:val="13"/>
          <w:szCs w:val="13"/>
          <w:color w:val="auto"/>
        </w:rPr>
        <w:t>reserved for issuance under our 2021 Plan will also include (1) those shares reserved but unissued under our 2016 Plan as of the date of stockholder approval of the 2021 Plan and (2) shares of our common stock subject to or issued pursuant to awards granted under our 2016 Plan that, after the date of stockholder approval of the 2021 Plan, expire or otherwise terminate without having been exercised in full or are forfeited to or repurchased by us due to</w:t>
      </w:r>
    </w:p>
    <w:p>
      <w:pPr>
        <w:spacing w:after="0" w:line="1" w:lineRule="exact"/>
        <w:rPr>
          <w:sz w:val="20"/>
          <w:szCs w:val="20"/>
          <w:color w:val="auto"/>
        </w:rPr>
      </w:pPr>
    </w:p>
    <w:p>
      <w:pPr>
        <w:ind w:left="820" w:right="100"/>
        <w:spacing w:after="0" w:line="365" w:lineRule="auto"/>
        <w:rPr>
          <w:sz w:val="20"/>
          <w:szCs w:val="20"/>
          <w:color w:val="auto"/>
        </w:rPr>
      </w:pPr>
      <w:r>
        <w:rPr>
          <w:rFonts w:ascii="Arial" w:cs="Arial" w:eastAsia="Arial" w:hAnsi="Arial"/>
          <w:sz w:val="13"/>
          <w:szCs w:val="13"/>
          <w:color w:val="auto"/>
        </w:rPr>
        <w:t>failure to vest (provided that the maximum number of shares that may be added to the 2021 Plan pursuant to (1) and (2) is shares). The number of shares available for issuance under our 2021 Plan will also include an annual increase on the first day of each fiscal year beginning with our</w:t>
      </w:r>
    </w:p>
    <w:p>
      <w:pPr>
        <w:spacing w:after="0" w:line="4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210</w:t>
      </w:r>
    </w:p>
    <w:p>
      <w:pPr>
        <w:sectPr>
          <w:pgSz w:w="11900" w:h="16838" w:orient="portrait"/>
          <w:cols w:equalWidth="0" w:num="1">
            <w:col w:w="10420"/>
          </w:cols>
          <w:pgMar w:left="320" w:top="418" w:right="1159" w:bottom="1440" w:gutter="0" w:footer="0" w:header="0"/>
        </w:sectPr>
      </w:pPr>
    </w:p>
    <w:bookmarkStart w:id="213" w:name="page214"/>
    <w:bookmarkEnd w:id="2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60"/>
        <w:spacing w:after="0" w:line="266" w:lineRule="auto"/>
        <w:rPr>
          <w:sz w:val="20"/>
          <w:szCs w:val="20"/>
          <w:color w:val="auto"/>
        </w:rPr>
      </w:pPr>
      <w:r>
        <w:rPr>
          <w:rFonts w:ascii="Arial" w:cs="Arial" w:eastAsia="Arial" w:hAnsi="Arial"/>
          <w:sz w:val="16"/>
          <w:szCs w:val="16"/>
          <w:color w:val="auto"/>
        </w:rPr>
        <w:t>2022 fiscal year, equal to the least of: shares; percent ( %) of the outstanding shares of our common stock as of the last day of the immediately preceding fiscal year; or such other amount as our board of directors may determine.</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This annual increase will operate only until the ten year anniversary of our board’s approval of the 2021 Plan.</w:t>
      </w:r>
    </w:p>
    <w:p>
      <w:pPr>
        <w:spacing w:after="0" w:line="193"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5"/>
          <w:szCs w:val="15"/>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2021 Plan (unless the 2021 Plan has terminated). With respect to stock appreciation rights, only the net shares actually issued will cease to be available under the 2021 Plan and all remaining shares under stock appreciation rights will remain available for future grant or sale under the 2021 Plan (unless the 2021 Plan has terminated). Shares that have actually been issued under the 2021 Plan will not be returned to the 2021 Plan except if shares issued pursuant to awards of restricted stock, restricted stock units, performance shares, or performance units are repurchased by or forfeited to us due to failure to vest, such shares will become available for future grant under the 2021 Plan. Shares used to pay the exercise price of an award or satisfy the tax withholding obligations related to an award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61" w:lineRule="exact"/>
        <w:rPr>
          <w:sz w:val="20"/>
          <w:szCs w:val="20"/>
          <w:color w:val="auto"/>
        </w:rPr>
      </w:pPr>
    </w:p>
    <w:p>
      <w:pPr>
        <w:ind w:left="820" w:firstLine="385"/>
        <w:spacing w:after="0" w:line="308" w:lineRule="auto"/>
        <w:rPr>
          <w:sz w:val="20"/>
          <w:szCs w:val="20"/>
          <w:color w:val="auto"/>
        </w:rPr>
      </w:pPr>
      <w:r>
        <w:rPr>
          <w:rFonts w:ascii="Arial" w:cs="Arial" w:eastAsia="Arial" w:hAnsi="Arial"/>
          <w:sz w:val="13"/>
          <w:szCs w:val="13"/>
          <w:i w:val="1"/>
          <w:iCs w:val="1"/>
          <w:color w:val="auto"/>
        </w:rPr>
        <w:t>Plan administration</w:t>
      </w:r>
      <w:r>
        <w:rPr>
          <w:rFonts w:ascii="Arial" w:cs="Arial" w:eastAsia="Arial" w:hAnsi="Arial"/>
          <w:sz w:val="13"/>
          <w:szCs w:val="13"/>
          <w:color w:val="auto"/>
        </w:rPr>
        <w:t>. Our board of directors or one or more committees appointed by our board of directors will administer our 2021 Plan.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committee of our board of directors will initially administer our 2021 Plan. In addition, if we determine it is desirable to qualify transactions under our 2021 Plan as exempt under Rule 16b-3 of the Exchange Act, such transactions will be structured to satisfy the requirements for exemption under Rule 16b-3. Subject to the provisions of our 2021 Plan, the administrator has the power to administer our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2021 Plan and awards granted under it, prescribe, amend and rescind rules relating to our 2021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200" w:lineRule="exact"/>
        <w:rPr>
          <w:sz w:val="20"/>
          <w:szCs w:val="20"/>
          <w:color w:val="auto"/>
        </w:rPr>
      </w:pPr>
    </w:p>
    <w:p>
      <w:pPr>
        <w:spacing w:after="0" w:line="318" w:lineRule="exact"/>
        <w:rPr>
          <w:sz w:val="20"/>
          <w:szCs w:val="20"/>
          <w:color w:val="auto"/>
        </w:rPr>
      </w:pPr>
    </w:p>
    <w:p>
      <w:pPr>
        <w:ind w:left="820" w:right="20" w:firstLine="385"/>
        <w:spacing w:after="0" w:line="250"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may be granted under our 2021 Plan. The exercise price of options granted under our 2021 Plan must at least be equal</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211</w:t>
      </w:r>
    </w:p>
    <w:p>
      <w:pPr>
        <w:sectPr>
          <w:pgSz w:w="11900" w:h="16838" w:orient="portrait"/>
          <w:cols w:equalWidth="0" w:num="1">
            <w:col w:w="10440"/>
          </w:cols>
          <w:pgMar w:left="320" w:top="418" w:right="1139" w:bottom="1440" w:gutter="0" w:footer="0" w:header="0"/>
        </w:sectPr>
      </w:pPr>
    </w:p>
    <w:bookmarkStart w:id="214" w:name="page215"/>
    <w:bookmarkEnd w:id="2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50" w:lineRule="auto"/>
        <w:rPr>
          <w:sz w:val="20"/>
          <w:szCs w:val="20"/>
          <w:color w:val="auto"/>
        </w:rPr>
      </w:pPr>
      <w:r>
        <w:rPr>
          <w:rFonts w:ascii="Arial" w:cs="Arial" w:eastAsia="Arial" w:hAnsi="Arial"/>
          <w:sz w:val="16"/>
          <w:szCs w:val="16"/>
          <w:color w:val="auto"/>
        </w:rPr>
        <w:t>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2021 Plan, the administrator determines the other terms of options.</w:t>
      </w:r>
    </w:p>
    <w:p>
      <w:pPr>
        <w:spacing w:after="0" w:line="171"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Stock appreciation rights may be granted under our 2021 Plan. Stock appreciation rights allow the recipient to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2021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61"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i w:val="1"/>
          <w:iCs w:val="1"/>
          <w:color w:val="auto"/>
        </w:rPr>
        <w:t>Restricted stock</w:t>
      </w:r>
      <w:r>
        <w:rPr>
          <w:rFonts w:ascii="Arial" w:cs="Arial" w:eastAsia="Arial" w:hAnsi="Arial"/>
          <w:sz w:val="15"/>
          <w:szCs w:val="15"/>
          <w:color w:val="auto"/>
        </w:rPr>
        <w:t>. Restricted stock may be granted under our 2021 Plan. Restricted stock awards are grants of shares of our common stock that vest</w:t>
      </w:r>
      <w:r>
        <w:rPr>
          <w:rFonts w:ascii="Arial" w:cs="Arial" w:eastAsia="Arial" w:hAnsi="Arial"/>
          <w:sz w:val="15"/>
          <w:szCs w:val="15"/>
          <w:i w:val="1"/>
          <w:iCs w:val="1"/>
          <w:color w:val="auto"/>
        </w:rPr>
        <w:t xml:space="preserve"> </w:t>
      </w:r>
      <w:r>
        <w:rPr>
          <w:rFonts w:ascii="Arial" w:cs="Arial" w:eastAsia="Arial" w:hAnsi="Arial"/>
          <w:sz w:val="15"/>
          <w:szCs w:val="15"/>
          <w:color w:val="auto"/>
        </w:rPr>
        <w:t>in accordance with terms and conditions established by the administrator. The administrator will determine the number of shares of restricted stock granted to any employee, director, or consultant and, subject to the provisions of our 2021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63" w:lineRule="exact"/>
        <w:rPr>
          <w:sz w:val="20"/>
          <w:szCs w:val="20"/>
          <w:color w:val="auto"/>
        </w:rPr>
      </w:pPr>
    </w:p>
    <w:p>
      <w:pPr>
        <w:ind w:left="820" w:right="100" w:firstLine="385"/>
        <w:spacing w:after="0" w:line="268" w:lineRule="auto"/>
        <w:rPr>
          <w:sz w:val="20"/>
          <w:szCs w:val="20"/>
          <w:color w:val="auto"/>
        </w:rPr>
      </w:pPr>
      <w:r>
        <w:rPr>
          <w:rFonts w:ascii="Arial" w:cs="Arial" w:eastAsia="Arial" w:hAnsi="Arial"/>
          <w:sz w:val="15"/>
          <w:szCs w:val="15"/>
          <w:i w:val="1"/>
          <w:iCs w:val="1"/>
          <w:color w:val="auto"/>
        </w:rPr>
        <w:t>Restricted stock units</w:t>
      </w:r>
      <w:r>
        <w:rPr>
          <w:rFonts w:ascii="Arial" w:cs="Arial" w:eastAsia="Arial" w:hAnsi="Arial"/>
          <w:sz w:val="15"/>
          <w:szCs w:val="15"/>
          <w:color w:val="auto"/>
        </w:rPr>
        <w:t>. Restricted stock units may be granted under our 2021 Plan. Restricted stock units are bookkeeping entries representing an</w:t>
      </w:r>
      <w:r>
        <w:rPr>
          <w:rFonts w:ascii="Arial" w:cs="Arial" w:eastAsia="Arial" w:hAnsi="Arial"/>
          <w:sz w:val="15"/>
          <w:szCs w:val="15"/>
          <w:i w:val="1"/>
          <w:iCs w:val="1"/>
          <w:color w:val="auto"/>
        </w:rPr>
        <w:t xml:space="preserve"> </w:t>
      </w:r>
      <w:r>
        <w:rPr>
          <w:rFonts w:ascii="Arial" w:cs="Arial" w:eastAsia="Arial" w:hAnsi="Arial"/>
          <w:sz w:val="15"/>
          <w:szCs w:val="15"/>
          <w:color w:val="auto"/>
        </w:rPr>
        <w:t>amount equal to the fair market value of one share of our common stock. Subject to the provisions of our 2021 Plan, the administrator determines the terms and conditions of RSUs,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61"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i w:val="1"/>
          <w:iCs w:val="1"/>
          <w:color w:val="auto"/>
        </w:rPr>
        <w:t>Performance units and performance shares</w:t>
      </w:r>
      <w:r>
        <w:rPr>
          <w:rFonts w:ascii="Arial" w:cs="Arial" w:eastAsia="Arial" w:hAnsi="Arial"/>
          <w:sz w:val="13"/>
          <w:szCs w:val="13"/>
          <w:color w:val="auto"/>
        </w:rPr>
        <w:t>. Performance units and performance shares may be granted under our 2021 Plan. Performance units</w:t>
      </w:r>
      <w:r>
        <w:rPr>
          <w:rFonts w:ascii="Arial" w:cs="Arial" w:eastAsia="Arial" w:hAnsi="Arial"/>
          <w:sz w:val="13"/>
          <w:szCs w:val="13"/>
          <w:i w:val="1"/>
          <w:iCs w:val="1"/>
          <w:color w:val="auto"/>
        </w:rPr>
        <w:t xml:space="preserve"> </w:t>
      </w:r>
      <w:r>
        <w:rPr>
          <w:rFonts w:ascii="Arial" w:cs="Arial" w:eastAsia="Arial" w:hAnsi="Arial"/>
          <w:sz w:val="13"/>
          <w:szCs w:val="13"/>
          <w:color w:val="auto"/>
        </w:rPr>
        <w:t>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212</w:t>
      </w:r>
    </w:p>
    <w:p>
      <w:pPr>
        <w:sectPr>
          <w:pgSz w:w="11900" w:h="16838" w:orient="portrait"/>
          <w:cols w:equalWidth="0" w:num="1">
            <w:col w:w="10440"/>
          </w:cols>
          <w:pgMar w:left="320" w:top="418" w:right="1139" w:bottom="1440" w:gutter="0" w:footer="0" w:header="0"/>
        </w:sectPr>
      </w:pPr>
    </w:p>
    <w:bookmarkStart w:id="215" w:name="page216"/>
    <w:bookmarkEnd w:id="2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51" w:lineRule="auto"/>
        <w:rPr>
          <w:sz w:val="20"/>
          <w:szCs w:val="20"/>
          <w:color w:val="auto"/>
        </w:rPr>
      </w:pPr>
      <w:r>
        <w:rPr>
          <w:rFonts w:ascii="Arial" w:cs="Arial" w:eastAsia="Arial" w:hAnsi="Arial"/>
          <w:sz w:val="16"/>
          <w:szCs w:val="16"/>
          <w:color w:val="auto"/>
        </w:rPr>
        <w:t>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70"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the administrator provides otherwise, our 2021 Plan generally does not allow for the transfer of awards and</w:t>
      </w:r>
      <w:r>
        <w:rPr>
          <w:rFonts w:ascii="Arial" w:cs="Arial" w:eastAsia="Arial" w:hAnsi="Arial"/>
          <w:sz w:val="16"/>
          <w:szCs w:val="16"/>
          <w:i w:val="1"/>
          <w:iCs w:val="1"/>
          <w:color w:val="auto"/>
        </w:rPr>
        <w:t xml:space="preserve"> </w:t>
      </w:r>
      <w:r>
        <w:rPr>
          <w:rFonts w:ascii="Arial" w:cs="Arial" w:eastAsia="Arial" w:hAnsi="Arial"/>
          <w:sz w:val="16"/>
          <w:szCs w:val="16"/>
          <w:color w:val="auto"/>
        </w:rPr>
        <w:t>only the recipient of an award may exercise an award during his or her lifetime. If the administrator makes an award transferrable, such award will contain such additional terms and conditions as the administrator deems appropriate.</w:t>
      </w:r>
    </w:p>
    <w:p>
      <w:pPr>
        <w:spacing w:after="0" w:line="166"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i w:val="1"/>
          <w:iCs w:val="1"/>
          <w:color w:val="auto"/>
        </w:rPr>
        <w:t>Certain adjustments</w:t>
      </w:r>
      <w:r>
        <w:rPr>
          <w:rFonts w:ascii="Arial" w:cs="Arial" w:eastAsia="Arial" w:hAnsi="Arial"/>
          <w:sz w:val="15"/>
          <w:szCs w:val="15"/>
          <w:color w:val="auto"/>
        </w:rPr>
        <w:t>. In the event of certain changes in our capitalization, to prevent diminution or enlargement of the benefits or potential benefits</w:t>
      </w:r>
      <w:r>
        <w:rPr>
          <w:rFonts w:ascii="Arial" w:cs="Arial" w:eastAsia="Arial" w:hAnsi="Arial"/>
          <w:sz w:val="15"/>
          <w:szCs w:val="15"/>
          <w:i w:val="1"/>
          <w:iCs w:val="1"/>
          <w:color w:val="auto"/>
        </w:rPr>
        <w:t xml:space="preserve"> </w:t>
      </w:r>
      <w:r>
        <w:rPr>
          <w:rFonts w:ascii="Arial" w:cs="Arial" w:eastAsia="Arial" w:hAnsi="Arial"/>
          <w:sz w:val="15"/>
          <w:szCs w:val="15"/>
          <w:color w:val="auto"/>
        </w:rPr>
        <w:t>available under our 2021 Plan, the administrator will adjust the number and class of shares that may be delivered under our 2021 Plan and/or the number, class, and price of shares covered by each outstanding award and the numerical share limits set forth in our 2021 Plan.</w:t>
      </w:r>
    </w:p>
    <w:p>
      <w:pPr>
        <w:spacing w:after="0" w:line="149" w:lineRule="exact"/>
        <w:rPr>
          <w:sz w:val="20"/>
          <w:szCs w:val="20"/>
          <w:color w:val="auto"/>
        </w:rPr>
      </w:pPr>
    </w:p>
    <w:p>
      <w:pPr>
        <w:ind w:left="820" w:right="100" w:firstLine="385"/>
        <w:spacing w:after="0" w:line="300" w:lineRule="auto"/>
        <w:rPr>
          <w:sz w:val="20"/>
          <w:szCs w:val="20"/>
          <w:color w:val="auto"/>
        </w:rPr>
      </w:pPr>
      <w:r>
        <w:rPr>
          <w:rFonts w:ascii="Arial" w:cs="Arial" w:eastAsia="Arial" w:hAnsi="Arial"/>
          <w:sz w:val="15"/>
          <w:szCs w:val="15"/>
          <w:i w:val="1"/>
          <w:iCs w:val="1"/>
          <w:color w:val="auto"/>
        </w:rPr>
        <w:t>Dissolution or liquidation</w:t>
      </w:r>
      <w:r>
        <w:rPr>
          <w:rFonts w:ascii="Arial" w:cs="Arial" w:eastAsia="Arial" w:hAnsi="Arial"/>
          <w:sz w:val="15"/>
          <w:szCs w:val="15"/>
          <w:color w:val="auto"/>
        </w:rPr>
        <w:t>. In the event of our proposed liquidation or dissolution, the administrator will notify participants as soon as practicable</w:t>
      </w:r>
      <w:r>
        <w:rPr>
          <w:rFonts w:ascii="Arial" w:cs="Arial" w:eastAsia="Arial" w:hAnsi="Arial"/>
          <w:sz w:val="15"/>
          <w:szCs w:val="15"/>
          <w:i w:val="1"/>
          <w:iCs w:val="1"/>
          <w:color w:val="auto"/>
        </w:rPr>
        <w:t xml:space="preserve"> </w:t>
      </w:r>
      <w:r>
        <w:rPr>
          <w:rFonts w:ascii="Arial" w:cs="Arial" w:eastAsia="Arial" w:hAnsi="Arial"/>
          <w:sz w:val="15"/>
          <w:szCs w:val="15"/>
          <w:color w:val="auto"/>
        </w:rPr>
        <w:t>and, to the extent not exercised, all awards will terminate immediately prior to the consummation of such proposed transaction.</w:t>
      </w:r>
    </w:p>
    <w:p>
      <w:pPr>
        <w:spacing w:after="0" w:line="135"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i w:val="1"/>
          <w:iCs w:val="1"/>
          <w:color w:val="auto"/>
        </w:rPr>
        <w:t>Merger or change in control</w:t>
      </w:r>
      <w:r>
        <w:rPr>
          <w:rFonts w:ascii="Arial" w:cs="Arial" w:eastAsia="Arial" w:hAnsi="Arial"/>
          <w:sz w:val="16"/>
          <w:szCs w:val="16"/>
          <w:color w:val="auto"/>
        </w:rPr>
        <w:t>. Our 2021 Plan provides that in the event of a merger or change in control, as defined under our 2021 Plan, each</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award will be treated as the administrator determines, without a participant’s consent. The administrator is not required to treat all awards, all awards held by a participant or all awards of the same type similarly.</w:t>
      </w:r>
    </w:p>
    <w:p>
      <w:pPr>
        <w:spacing w:after="0" w:line="166"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70"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i w:val="1"/>
          <w:iCs w:val="1"/>
          <w:color w:val="auto"/>
        </w:rPr>
        <w:t>Clawback</w:t>
      </w:r>
      <w:r>
        <w:rPr>
          <w:rFonts w:ascii="Arial" w:cs="Arial" w:eastAsia="Arial" w:hAnsi="Arial"/>
          <w:sz w:val="15"/>
          <w:szCs w:val="15"/>
          <w:color w:val="auto"/>
        </w:rPr>
        <w:t>. Awards will be subject to any clawback policy of ours, and the administrator also may specify in an award agreement that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9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0420"/>
          </w:cols>
          <w:pgMar w:left="320" w:top="418" w:right="1159" w:bottom="1440" w:gutter="0" w:footer="0" w:header="0"/>
        </w:sectPr>
      </w:pPr>
    </w:p>
    <w:bookmarkStart w:id="216" w:name="page217"/>
    <w:bookmarkEnd w:id="2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i w:val="1"/>
          <w:iCs w:val="1"/>
          <w:color w:val="auto"/>
        </w:rPr>
        <w:t>Amendment; termination</w:t>
      </w:r>
      <w:r>
        <w:rPr>
          <w:rFonts w:ascii="Arial" w:cs="Arial" w:eastAsia="Arial" w:hAnsi="Arial"/>
          <w:sz w:val="16"/>
          <w:szCs w:val="16"/>
          <w:color w:val="auto"/>
        </w:rPr>
        <w:t>. The administrator has the authority to amend, alter, suspend or terminate our 2021 Plan, provided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rights of any participant.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Employee Stock Purchase Plan</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Prior to the effectiveness of this offering, we expect that our board of directors will adopt, and our stockholders will approve, our 2021 Employee Stock Purchase Plan (ESPP). We expect that our ESPP will be effective on the business day immediately prior to the effective date of the registration statement of which this prospectus forms a part. However, no offering period or purchase period under the ESPP will begin unless and until otherwise determined by our board of directors.</w:t>
      </w:r>
    </w:p>
    <w:p>
      <w:pPr>
        <w:spacing w:after="0" w:line="167"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i w:val="1"/>
          <w:iCs w:val="1"/>
          <w:color w:val="auto"/>
        </w:rPr>
        <w:t>Authorized shares</w:t>
      </w:r>
      <w:r>
        <w:rPr>
          <w:rFonts w:ascii="Arial" w:cs="Arial" w:eastAsia="Arial" w:hAnsi="Arial"/>
          <w:sz w:val="13"/>
          <w:szCs w:val="13"/>
          <w:color w:val="auto"/>
        </w:rPr>
        <w:t>. A total of shares of our common stock will be available for sale under our ESPP. The number of shares of our common</w:t>
      </w:r>
      <w:r>
        <w:rPr>
          <w:rFonts w:ascii="Arial" w:cs="Arial" w:eastAsia="Arial" w:hAnsi="Arial"/>
          <w:sz w:val="13"/>
          <w:szCs w:val="13"/>
          <w:i w:val="1"/>
          <w:iCs w:val="1"/>
          <w:color w:val="auto"/>
        </w:rPr>
        <w:t xml:space="preserve"> </w:t>
      </w:r>
      <w:r>
        <w:rPr>
          <w:rFonts w:ascii="Arial" w:cs="Arial" w:eastAsia="Arial" w:hAnsi="Arial"/>
          <w:sz w:val="13"/>
          <w:szCs w:val="13"/>
          <w:color w:val="auto"/>
        </w:rPr>
        <w:t>stock that will be available for sale under our ESPP also includes an annual increase on the first day of each fiscal year following the fiscal year in which</w:t>
      </w:r>
    </w:p>
    <w:p>
      <w:pPr>
        <w:spacing w:after="0" w:line="1" w:lineRule="exact"/>
        <w:rPr>
          <w:sz w:val="20"/>
          <w:szCs w:val="20"/>
          <w:color w:val="auto"/>
        </w:rPr>
      </w:pPr>
    </w:p>
    <w:p>
      <w:pPr>
        <w:ind w:left="820" w:right="540"/>
        <w:spacing w:after="0" w:line="284" w:lineRule="auto"/>
        <w:rPr>
          <w:sz w:val="20"/>
          <w:szCs w:val="20"/>
          <w:color w:val="auto"/>
        </w:rPr>
      </w:pPr>
      <w:r>
        <w:rPr>
          <w:rFonts w:ascii="Arial" w:cs="Arial" w:eastAsia="Arial" w:hAnsi="Arial"/>
          <w:sz w:val="15"/>
          <w:szCs w:val="15"/>
          <w:color w:val="auto"/>
        </w:rPr>
        <w:t>the first offering period under the ESPP commences, equal to the least of: shares; percent ( %) of the outstanding shares of our common stock as of the last day of the immediately preceding fiscal year; or such other amount as the administrator may determine.</w:t>
      </w:r>
    </w:p>
    <w:p>
      <w:pPr>
        <w:spacing w:after="0" w:line="14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This annual increase will operate only until the ten year anniversary of our board’s approval of our ESPP.</w:t>
      </w:r>
    </w:p>
    <w:p>
      <w:pPr>
        <w:spacing w:after="0" w:line="193" w:lineRule="exact"/>
        <w:rPr>
          <w:sz w:val="20"/>
          <w:szCs w:val="20"/>
          <w:color w:val="auto"/>
        </w:rPr>
      </w:pPr>
    </w:p>
    <w:p>
      <w:pPr>
        <w:ind w:left="820" w:right="60" w:firstLine="385"/>
        <w:spacing w:after="0" w:line="249" w:lineRule="auto"/>
        <w:rPr>
          <w:sz w:val="20"/>
          <w:szCs w:val="20"/>
          <w:color w:val="auto"/>
        </w:rPr>
      </w:pPr>
      <w:r>
        <w:rPr>
          <w:rFonts w:ascii="Arial" w:cs="Arial" w:eastAsia="Arial" w:hAnsi="Arial"/>
          <w:sz w:val="16"/>
          <w:szCs w:val="16"/>
          <w:i w:val="1"/>
          <w:iCs w:val="1"/>
          <w:color w:val="auto"/>
        </w:rPr>
        <w:t>ESPP administration</w:t>
      </w:r>
      <w:r>
        <w:rPr>
          <w:rFonts w:ascii="Arial" w:cs="Arial" w:eastAsia="Arial" w:hAnsi="Arial"/>
          <w:sz w:val="16"/>
          <w:szCs w:val="16"/>
          <w:color w:val="auto"/>
        </w:rPr>
        <w:t>. We expect that the compensation committee of our board of directors will administer our ESPP and will have full and</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discretionary authority to construe, interpret, and apply the terms of the ESPP, delegate ministerial duties to any of our employees, designate separate offerings under the ESPP, designate our subsidiaries and affiliates as participating in the ESPP, determine eligibility, adjudicate all disputed claims filed under the ESPP, and establish procedures that it deems necessary for the administration of the ESPP, including, but not limited to, adopting such procedures and sub-plans as are necessary or appropriate to permit participation in the ESPP by employees who are foreign nationals or employed outside the United States. The administrator’s findings, decisions and determinations are final and binding on all participants to the full extent permitted by law.</w:t>
      </w:r>
    </w:p>
    <w:p>
      <w:pPr>
        <w:spacing w:after="0" w:line="173" w:lineRule="exact"/>
        <w:rPr>
          <w:sz w:val="20"/>
          <w:szCs w:val="20"/>
          <w:color w:val="auto"/>
        </w:rPr>
      </w:pPr>
    </w:p>
    <w:p>
      <w:pPr>
        <w:ind w:left="820" w:firstLine="385"/>
        <w:spacing w:after="0" w:line="314" w:lineRule="auto"/>
        <w:rPr>
          <w:sz w:val="20"/>
          <w:szCs w:val="20"/>
          <w:color w:val="auto"/>
        </w:rPr>
      </w:pPr>
      <w:r>
        <w:rPr>
          <w:rFonts w:ascii="Arial" w:cs="Arial" w:eastAsia="Arial" w:hAnsi="Arial"/>
          <w:sz w:val="13"/>
          <w:szCs w:val="13"/>
          <w:i w:val="1"/>
          <w:iCs w:val="1"/>
          <w:color w:val="auto"/>
        </w:rPr>
        <w:t>Eligibility</w:t>
      </w:r>
      <w:r>
        <w:rPr>
          <w:rFonts w:ascii="Arial" w:cs="Arial" w:eastAsia="Arial" w:hAnsi="Arial"/>
          <w:sz w:val="13"/>
          <w:szCs w:val="13"/>
          <w:color w:val="auto"/>
        </w:rPr>
        <w:t>. Generally, all of our employees will be eligible to participate if they are customarily employed by us, or any participating subsidiary or</w:t>
      </w:r>
      <w:r>
        <w:rPr>
          <w:rFonts w:ascii="Arial" w:cs="Arial" w:eastAsia="Arial" w:hAnsi="Arial"/>
          <w:sz w:val="13"/>
          <w:szCs w:val="13"/>
          <w:i w:val="1"/>
          <w:iCs w:val="1"/>
          <w:color w:val="auto"/>
        </w:rPr>
        <w:t xml:space="preserve"> </w:t>
      </w:r>
      <w:r>
        <w:rPr>
          <w:rFonts w:ascii="Arial" w:cs="Arial" w:eastAsia="Arial" w:hAnsi="Arial"/>
          <w:sz w:val="13"/>
          <w:szCs w:val="13"/>
          <w:color w:val="auto"/>
        </w:rPr>
        <w:t>affiliate, for at least 20 hours per week and more than five months in any calendar year. The administrator, in its discretion, may, prior to an enrollment date, for all options to be granted on such enrollment date in an offering, determine that an employee who (1) has not completed at least two years of service (or a lesser period of time determined by the administrator) since his or her last hire date, (2) 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Section 414(q) of the Code, or (5) is a highly compensated employee within the meaning of Section 414(q) of the Code with compensation above a certain level or is an officer or subject to disclosure requirements under Section 16(a) of the Exchange Act, is or is not eligible to participate in such offering period.</w:t>
      </w:r>
    </w:p>
    <w:p>
      <w:pPr>
        <w:spacing w:after="0" w:line="133"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However, an employee may not be granted rights to purchase shares of our common stock under our ESPP if such employee: immediately after</w:t>
      </w:r>
    </w:p>
    <w:p>
      <w:pPr>
        <w:spacing w:after="0" w:line="51" w:lineRule="exact"/>
        <w:rPr>
          <w:sz w:val="20"/>
          <w:szCs w:val="20"/>
          <w:color w:val="auto"/>
        </w:rPr>
      </w:pPr>
    </w:p>
    <w:p>
      <w:pPr>
        <w:ind w:left="820" w:right="40"/>
        <w:spacing w:after="0" w:line="302" w:lineRule="auto"/>
        <w:rPr>
          <w:sz w:val="20"/>
          <w:szCs w:val="20"/>
          <w:color w:val="auto"/>
        </w:rPr>
      </w:pPr>
      <w:r>
        <w:rPr>
          <w:rFonts w:ascii="Arial" w:cs="Arial" w:eastAsia="Arial" w:hAnsi="Arial"/>
          <w:sz w:val="13"/>
          <w:szCs w:val="13"/>
          <w:color w:val="auto"/>
        </w:rPr>
        <w:t>the grant would own capital stock and/or hold outstanding options to purchase such stock possessing or more of the total combined voting power or value of all classes of capital stock of ours or of any parent or subsidiary of ours; or holds rights to purchase shares of our common stock under</w:t>
      </w:r>
    </w:p>
    <w:p>
      <w:pPr>
        <w:spacing w:after="0" w:line="1" w:lineRule="exact"/>
        <w:rPr>
          <w:sz w:val="20"/>
          <w:szCs w:val="20"/>
          <w:color w:val="auto"/>
        </w:rPr>
      </w:pPr>
    </w:p>
    <w:p>
      <w:pPr>
        <w:ind w:left="820" w:right="120"/>
        <w:spacing w:after="0" w:line="252" w:lineRule="auto"/>
        <w:rPr>
          <w:sz w:val="20"/>
          <w:szCs w:val="20"/>
          <w:color w:val="auto"/>
        </w:rPr>
      </w:pPr>
      <w:r>
        <w:rPr>
          <w:rFonts w:ascii="Arial" w:cs="Arial" w:eastAsia="Arial" w:hAnsi="Arial"/>
          <w:sz w:val="16"/>
          <w:szCs w:val="16"/>
          <w:color w:val="auto"/>
        </w:rPr>
        <w:t>all employee stock purchase plans of ours or any parent or subsidiary of ours that accrue at a rate that exceeds $ worth of shares of our common stock for each calendar year in which such rights are outstanding at any time.</w:t>
      </w:r>
    </w:p>
    <w:p>
      <w:pPr>
        <w:spacing w:after="0" w:line="168"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Our ESPP will include a component that allows us to make offerings intended to qualify under Section 423 of the Code and a</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 that allows us to make offerings not intended to qualify under</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214</w:t>
      </w:r>
    </w:p>
    <w:p>
      <w:pPr>
        <w:sectPr>
          <w:pgSz w:w="11900" w:h="16838" w:orient="portrait"/>
          <w:cols w:equalWidth="0" w:num="1">
            <w:col w:w="10440"/>
          </w:cols>
          <w:pgMar w:left="320" w:top="418" w:right="1139" w:bottom="1440" w:gutter="0" w:footer="0" w:header="0"/>
        </w:sectPr>
      </w:pPr>
    </w:p>
    <w:bookmarkStart w:id="217" w:name="page218"/>
    <w:bookmarkEnd w:id="2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20"/>
        <w:spacing w:after="0" w:line="265" w:lineRule="auto"/>
        <w:rPr>
          <w:sz w:val="20"/>
          <w:szCs w:val="20"/>
          <w:color w:val="auto"/>
        </w:rPr>
      </w:pPr>
      <w:r>
        <w:rPr>
          <w:rFonts w:ascii="Arial" w:cs="Arial" w:eastAsia="Arial" w:hAnsi="Arial"/>
          <w:sz w:val="15"/>
          <w:szCs w:val="15"/>
          <w:color w:val="auto"/>
        </w:rPr>
        <w:t>Section 423 of the Code to designated companies, as described in our ESPP. Our ESPP provides for offering periods. The offering periods are scheduled to start on the first trading day on or after and of each year, except for the first offering period, which will commence on the effective date of the registration statement of which this prospectus forms a part and will end on the first trading day on or before and the second offering period, which will commence on the first trading day on or after . Unless the administrator of our ESPP determines otherwise, each offering period will include -month purchase periods, which will commence on or after, and end on or before, and , respectively. The</w:t>
      </w:r>
    </w:p>
    <w:p>
      <w:pPr>
        <w:spacing w:after="0" w:line="2" w:lineRule="exact"/>
        <w:rPr>
          <w:sz w:val="20"/>
          <w:szCs w:val="20"/>
          <w:color w:val="auto"/>
        </w:rPr>
      </w:pPr>
    </w:p>
    <w:p>
      <w:pPr>
        <w:ind w:left="820" w:right="80"/>
        <w:spacing w:after="0" w:line="252" w:lineRule="auto"/>
        <w:rPr>
          <w:sz w:val="20"/>
          <w:szCs w:val="20"/>
          <w:color w:val="auto"/>
        </w:rPr>
      </w:pPr>
      <w:r>
        <w:rPr>
          <w:rFonts w:ascii="Arial" w:cs="Arial" w:eastAsia="Arial" w:hAnsi="Arial"/>
          <w:sz w:val="16"/>
          <w:szCs w:val="16"/>
          <w:color w:val="auto"/>
        </w:rPr>
        <w:t>administrator is authorized to establish the duration of offering periods and purchase periods, including the starting and ending dates of offering periods and purchase periods, provided that no offering period may have a duration exceeding 27 months.</w:t>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3"/>
          <w:szCs w:val="13"/>
          <w:i w:val="1"/>
          <w:iCs w:val="1"/>
          <w:color w:val="auto"/>
        </w:rPr>
        <w:t xml:space="preserve">Contributions. </w:t>
      </w:r>
      <w:r>
        <w:rPr>
          <w:rFonts w:ascii="Arial" w:cs="Arial" w:eastAsia="Arial" w:hAnsi="Arial"/>
          <w:sz w:val="13"/>
          <w:szCs w:val="13"/>
          <w:color w:val="auto"/>
        </w:rPr>
        <w:t>Our ESPP will permit participants to purchase shares of our common stock through contributions (in the form of payroll deductions</w:t>
      </w:r>
    </w:p>
    <w:p>
      <w:pPr>
        <w:spacing w:after="0" w:line="51" w:lineRule="exact"/>
        <w:rPr>
          <w:sz w:val="20"/>
          <w:szCs w:val="20"/>
          <w:color w:val="auto"/>
        </w:rPr>
      </w:pPr>
    </w:p>
    <w:p>
      <w:pPr>
        <w:ind w:left="1320" w:right="280" w:hanging="510"/>
        <w:spacing w:after="0" w:line="252" w:lineRule="auto"/>
        <w:rPr>
          <w:sz w:val="20"/>
          <w:szCs w:val="20"/>
          <w:color w:val="auto"/>
        </w:rPr>
      </w:pPr>
      <w:r>
        <w:rPr>
          <w:rFonts w:ascii="Arial" w:cs="Arial" w:eastAsia="Arial" w:hAnsi="Arial"/>
          <w:sz w:val="16"/>
          <w:szCs w:val="16"/>
          <w:color w:val="auto"/>
        </w:rPr>
        <w:t>or otherwise to the extent permitted by the administrator) of up to</w:t>
      </w:r>
      <w:r>
        <w:rPr>
          <w:sz w:val="20"/>
          <w:szCs w:val="20"/>
          <w:color w:val="auto"/>
        </w:rPr>
        <w:t xml:space="preserve"> </w:t>
      </w:r>
      <w:r>
        <w:rPr>
          <w:rFonts w:ascii="Arial" w:cs="Arial" w:eastAsia="Arial" w:hAnsi="Arial"/>
          <w:sz w:val="16"/>
          <w:szCs w:val="16"/>
          <w:color w:val="auto"/>
        </w:rPr>
        <w:t>of their eligible compensation. A participant may purchase a maximum of shares of our common stock during a purchase period.</w:t>
      </w:r>
    </w:p>
    <w:p>
      <w:pPr>
        <w:spacing w:after="0" w:line="168" w:lineRule="exact"/>
        <w:rPr>
          <w:sz w:val="20"/>
          <w:szCs w:val="20"/>
          <w:color w:val="auto"/>
        </w:rPr>
      </w:pPr>
    </w:p>
    <w:p>
      <w:pPr>
        <w:ind w:left="820" w:right="20" w:firstLine="385"/>
        <w:spacing w:after="0" w:line="323" w:lineRule="auto"/>
        <w:rPr>
          <w:sz w:val="20"/>
          <w:szCs w:val="20"/>
          <w:color w:val="auto"/>
        </w:rPr>
      </w:pPr>
      <w:r>
        <w:rPr>
          <w:rFonts w:ascii="Arial" w:cs="Arial" w:eastAsia="Arial" w:hAnsi="Arial"/>
          <w:sz w:val="13"/>
          <w:szCs w:val="13"/>
          <w:i w:val="1"/>
          <w:iCs w:val="1"/>
          <w:color w:val="auto"/>
        </w:rPr>
        <w:t>Exercise of purchase right</w:t>
      </w:r>
      <w:r>
        <w:rPr>
          <w:rFonts w:ascii="Arial" w:cs="Arial" w:eastAsia="Arial" w:hAnsi="Arial"/>
          <w:sz w:val="13"/>
          <w:szCs w:val="13"/>
          <w:color w:val="auto"/>
        </w:rPr>
        <w:t>. If our board of directors authorizes an offering and purchase period under the ESPP, amounts contributed and</w:t>
      </w:r>
      <w:r>
        <w:rPr>
          <w:rFonts w:ascii="Arial" w:cs="Arial" w:eastAsia="Arial" w:hAnsi="Arial"/>
          <w:sz w:val="13"/>
          <w:szCs w:val="13"/>
          <w:i w:val="1"/>
          <w:iCs w:val="1"/>
          <w:color w:val="auto"/>
        </w:rPr>
        <w:t xml:space="preserve"> </w:t>
      </w:r>
      <w:r>
        <w:rPr>
          <w:rFonts w:ascii="Arial" w:cs="Arial" w:eastAsia="Arial" w:hAnsi="Arial"/>
          <w:sz w:val="13"/>
          <w:szCs w:val="13"/>
          <w:color w:val="auto"/>
        </w:rPr>
        <w:t>accumulated by the participant during any offering period will be used to purchase shares of our common stock at the end of each purchase period. The purchase price of the shares will be 85% of the lower of the fair market value of our common stock on the first trading day of the offering period or on the exercise date. 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i w:val="1"/>
          <w:iCs w:val="1"/>
          <w:color w:val="auto"/>
        </w:rPr>
        <w:t xml:space="preserve">Non-transferability. </w:t>
      </w:r>
      <w:r>
        <w:rPr>
          <w:rFonts w:ascii="Arial" w:cs="Arial" w:eastAsia="Arial" w:hAnsi="Arial"/>
          <w:sz w:val="16"/>
          <w:szCs w:val="16"/>
          <w:color w:val="auto"/>
        </w:rPr>
        <w:t>A participant may not transfer rights granted under our ESPP (other than by will, the laws of descent and distribution or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under our ESPP).</w:t>
      </w:r>
    </w:p>
    <w:p>
      <w:pPr>
        <w:spacing w:after="0" w:line="158" w:lineRule="exact"/>
        <w:rPr>
          <w:sz w:val="20"/>
          <w:szCs w:val="20"/>
          <w:color w:val="auto"/>
        </w:rPr>
      </w:pPr>
    </w:p>
    <w:p>
      <w:pPr>
        <w:ind w:left="820" w:right="100" w:firstLine="385"/>
        <w:spacing w:after="0" w:line="323" w:lineRule="auto"/>
        <w:rPr>
          <w:sz w:val="20"/>
          <w:szCs w:val="20"/>
          <w:color w:val="auto"/>
        </w:rPr>
      </w:pPr>
      <w:r>
        <w:rPr>
          <w:rFonts w:ascii="Arial" w:cs="Arial" w:eastAsia="Arial" w:hAnsi="Arial"/>
          <w:sz w:val="13"/>
          <w:szCs w:val="13"/>
          <w:i w:val="1"/>
          <w:iCs w:val="1"/>
          <w:color w:val="auto"/>
        </w:rPr>
        <w:t xml:space="preserve">Merger or change in control. </w:t>
      </w:r>
      <w:r>
        <w:rPr>
          <w:rFonts w:ascii="Arial" w:cs="Arial" w:eastAsia="Arial" w:hAnsi="Arial"/>
          <w:sz w:val="13"/>
          <w:szCs w:val="13"/>
          <w:color w:val="auto"/>
        </w:rPr>
        <w:t>Our ESPP will provide that in the event of a merger or change in control, as defined under our ESPP, a successor</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may assume or substitute each outstanding purchase right. If the successor corporation refuses to assume or substitute for the outstanding purchase right, the offering period then in progress will be shortened, and a new exercise date will be set that will be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26"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i w:val="1"/>
          <w:iCs w:val="1"/>
          <w:color w:val="auto"/>
        </w:rPr>
        <w:t xml:space="preserve">Amendment; termination. </w:t>
      </w:r>
      <w:r>
        <w:rPr>
          <w:rFonts w:ascii="Arial" w:cs="Arial" w:eastAsia="Arial" w:hAnsi="Arial"/>
          <w:sz w:val="13"/>
          <w:szCs w:val="13"/>
          <w:color w:val="auto"/>
        </w:rPr>
        <w:t>The board will have the authority suspend or terminate our ESPP and the administrator will have the authority to amend</w:t>
      </w:r>
      <w:r>
        <w:rPr>
          <w:rFonts w:ascii="Arial" w:cs="Arial" w:eastAsia="Arial" w:hAnsi="Arial"/>
          <w:sz w:val="13"/>
          <w:szCs w:val="13"/>
          <w:i w:val="1"/>
          <w:iCs w:val="1"/>
          <w:color w:val="auto"/>
        </w:rPr>
        <w:t xml:space="preserve"> </w:t>
      </w:r>
      <w:r>
        <w:rPr>
          <w:rFonts w:ascii="Arial" w:cs="Arial" w:eastAsia="Arial" w:hAnsi="Arial"/>
          <w:sz w:val="13"/>
          <w:szCs w:val="13"/>
          <w:color w:val="auto"/>
        </w:rPr>
        <w:t>the ESPP, except that, subject to certain exceptions described in our ESPP, no such action may adversely affect any outstanding rights to purchase shares</w:t>
      </w:r>
    </w:p>
    <w:p>
      <w:pPr>
        <w:spacing w:after="0" w:line="1" w:lineRule="exact"/>
        <w:rPr>
          <w:sz w:val="20"/>
          <w:szCs w:val="20"/>
          <w:color w:val="auto"/>
        </w:rPr>
      </w:pPr>
    </w:p>
    <w:p>
      <w:pPr>
        <w:ind w:left="820"/>
        <w:spacing w:after="0"/>
        <w:tabs>
          <w:tab w:leader="none" w:pos="6400" w:val="left"/>
        </w:tabs>
        <w:rPr>
          <w:sz w:val="20"/>
          <w:szCs w:val="20"/>
          <w:color w:val="auto"/>
        </w:rPr>
      </w:pPr>
      <w:r>
        <w:rPr>
          <w:rFonts w:ascii="Arial" w:cs="Arial" w:eastAsia="Arial" w:hAnsi="Arial"/>
          <w:sz w:val="16"/>
          <w:szCs w:val="16"/>
          <w:color w:val="auto"/>
        </w:rPr>
        <w:t>of our common stock under our ESPP. Our ESPP automatically will terminate in</w:t>
      </w:r>
      <w:r>
        <w:rPr>
          <w:sz w:val="20"/>
          <w:szCs w:val="20"/>
          <w:color w:val="auto"/>
        </w:rPr>
        <w:tab/>
      </w:r>
      <w:r>
        <w:rPr>
          <w:rFonts w:ascii="Arial" w:cs="Arial" w:eastAsia="Arial" w:hAnsi="Arial"/>
          <w:sz w:val="13"/>
          <w:szCs w:val="13"/>
          <w:color w:val="auto"/>
        </w:rPr>
        <w:t>, unless we terminate it sooner.</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Amended and Restated 2016 Equity Incentive Plan</w:t>
      </w:r>
    </w:p>
    <w:p>
      <w:pPr>
        <w:spacing w:after="0" w:line="99" w:lineRule="exact"/>
        <w:rPr>
          <w:sz w:val="20"/>
          <w:szCs w:val="20"/>
          <w:color w:val="auto"/>
        </w:rPr>
      </w:pPr>
    </w:p>
    <w:p>
      <w:pPr>
        <w:ind w:left="820" w:right="100" w:firstLine="385"/>
        <w:spacing w:after="0" w:line="270" w:lineRule="auto"/>
        <w:rPr>
          <w:sz w:val="20"/>
          <w:szCs w:val="20"/>
          <w:color w:val="auto"/>
        </w:rPr>
      </w:pPr>
      <w:r>
        <w:rPr>
          <w:rFonts w:ascii="Arial" w:cs="Arial" w:eastAsia="Arial" w:hAnsi="Arial"/>
          <w:sz w:val="15"/>
          <w:szCs w:val="15"/>
          <w:color w:val="auto"/>
        </w:rPr>
        <w:t>Our Amended and Restated 2016 Equity Incentive Plan (2016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including employees and consultants of any of our parent or subsidiary companies. It is expected that as of one business day prior to the effectiveness of the registration statement of which this prospectus forms a part, our 2016 Plan will terminate and we will not grant any additional awards under our 2016 Plan thereafter. However, our 2016 Plan will continue to govern the terms and conditions of the outstanding awards previously granted under our 2016 Plan.</w:t>
      </w:r>
    </w:p>
    <w:p>
      <w:pPr>
        <w:spacing w:after="0" w:line="3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0420"/>
          </w:cols>
          <w:pgMar w:left="320" w:top="418" w:right="115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As of March 31, 2021, stock options covering 10,368,032 shares of our common stock were outstanding under our 2016 Plan and there were no stock appreciation rights, restricted stock awards or restricted stock units outstanding under our 2016 Plan.</w:t>
      </w:r>
    </w:p>
    <w:p>
      <w:pPr>
        <w:spacing w:after="0" w:line="158" w:lineRule="exact"/>
        <w:rPr>
          <w:sz w:val="20"/>
          <w:szCs w:val="20"/>
          <w:color w:val="auto"/>
        </w:rPr>
      </w:pPr>
    </w:p>
    <w:p>
      <w:pPr>
        <w:ind w:left="820" w:right="20" w:firstLine="385"/>
        <w:spacing w:after="0" w:line="329" w:lineRule="auto"/>
        <w:rPr>
          <w:sz w:val="20"/>
          <w:szCs w:val="20"/>
          <w:color w:val="auto"/>
        </w:rPr>
      </w:pPr>
      <w:r>
        <w:rPr>
          <w:rFonts w:ascii="Arial" w:cs="Arial" w:eastAsia="Arial" w:hAnsi="Arial"/>
          <w:sz w:val="13"/>
          <w:szCs w:val="13"/>
          <w:i w:val="1"/>
          <w:iCs w:val="1"/>
          <w:color w:val="auto"/>
        </w:rPr>
        <w:t>Plan administration</w:t>
      </w:r>
      <w:r>
        <w:rPr>
          <w:rFonts w:ascii="Arial" w:cs="Arial" w:eastAsia="Arial" w:hAnsi="Arial"/>
          <w:sz w:val="13"/>
          <w:szCs w:val="13"/>
          <w:color w:val="auto"/>
        </w:rPr>
        <w:t>. Our compensation committee has the authority, concurrent with our board of directors to administer our 2016 Plan. Different</w:t>
      </w:r>
      <w:r>
        <w:rPr>
          <w:rFonts w:ascii="Arial" w:cs="Arial" w:eastAsia="Arial" w:hAnsi="Arial"/>
          <w:sz w:val="13"/>
          <w:szCs w:val="13"/>
          <w:i w:val="1"/>
          <w:iCs w:val="1"/>
          <w:color w:val="auto"/>
        </w:rPr>
        <w:t xml:space="preserve"> </w:t>
      </w:r>
      <w:r>
        <w:rPr>
          <w:rFonts w:ascii="Arial" w:cs="Arial" w:eastAsia="Arial" w:hAnsi="Arial"/>
          <w:sz w:val="13"/>
          <w:szCs w:val="13"/>
          <w:color w:val="auto"/>
        </w:rPr>
        <w:t>committees may administer our 2016 Plan with respect to different service providers. The administrator has all authority and discretion necessary or appropriate to administer our 2016 Plan and to control its operation, including the authority to construe and interpret the terms of our 2016 Plan and the awards granted under our 2016 Plan. The administrator’s decisions are final and binding on all participants and any other persons holding awards.</w:t>
      </w:r>
    </w:p>
    <w:p>
      <w:pPr>
        <w:spacing w:after="0" w:line="123" w:lineRule="exact"/>
        <w:rPr>
          <w:sz w:val="20"/>
          <w:szCs w:val="20"/>
          <w:color w:val="auto"/>
        </w:rPr>
      </w:pPr>
    </w:p>
    <w:p>
      <w:pPr>
        <w:ind w:left="820" w:right="100" w:firstLine="385"/>
        <w:spacing w:after="0" w:line="270" w:lineRule="auto"/>
        <w:rPr>
          <w:sz w:val="20"/>
          <w:szCs w:val="20"/>
          <w:color w:val="auto"/>
        </w:rPr>
      </w:pPr>
      <w:r>
        <w:rPr>
          <w:rFonts w:ascii="Arial" w:cs="Arial" w:eastAsia="Arial" w:hAnsi="Arial"/>
          <w:sz w:val="15"/>
          <w:szCs w:val="15"/>
          <w:color w:val="auto"/>
        </w:rPr>
        <w:t>The administrator’s powers include the power to institute an exchange program (without stockholder approval) under which (1) outstanding awards are surrendered or cancelled in exchange for awards of the same type (which may have higher or lower exercise prices and different terms), awards of a different type and/or cash, (2) participants would have the opportunity to transfer any outstanding awards to a financial institution or other person or entity selected by the administrator and/or (3) the exercise price of an outstanding award is increased or reduced. The administrator’s powers also include the power to prescribe, amend and rescind rules and regulations relating to our 2016 Plan, to modify or amend each award and to make all other determinations deemed necessary or advisable for administering our 2016 Plan.</w:t>
      </w:r>
    </w:p>
    <w:p>
      <w:pPr>
        <w:spacing w:after="0" w:line="156"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directors and consultants, including employees and consultants of any of our parent or subsidiary companies, are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awards, provided such consultants render bona fide services not in connection with the offer or sale of securities in a capital-raising transaction and do not directly promote or maintain a market for our securities. Only our employees or employees of our parent or subsidiary companies are eligible to receive incentive stock options.</w:t>
      </w:r>
    </w:p>
    <w:p>
      <w:pPr>
        <w:spacing w:after="0" w:line="167" w:lineRule="exact"/>
        <w:rPr>
          <w:sz w:val="20"/>
          <w:szCs w:val="20"/>
          <w:color w:val="auto"/>
        </w:rPr>
      </w:pPr>
    </w:p>
    <w:p>
      <w:pPr>
        <w:ind w:left="820" w:right="80" w:firstLine="385"/>
        <w:spacing w:after="0" w:line="300"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Stock options have been granted under our 2016 Plan. Subject to the provisions of our 2016 Plan, the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 of an option, the number of shares subject to an option, and the time period in which an option may be exercised.</w:t>
      </w:r>
    </w:p>
    <w:p>
      <w:pPr>
        <w:spacing w:after="0" w:line="135"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except as provided for in the 2016 Plan. However, an incentive stock option granted to an individual who directly or by attribution owns more than 10% of the total combined voting power of all of our classes of stock or of any our parent or subsidiary companies will have a term of no longer than five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plans of ours and any of our parent or subsidiary companies) exceeds $100,000, such options will be treated as nonstatutory stock options.</w:t>
      </w:r>
    </w:p>
    <w:p>
      <w:pPr>
        <w:spacing w:after="0" w:line="163"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The administrator determines how a participant may pay the exercise price of an option, and the permissible methods are generally set forth in the applicable award agreement. If a participant’s status as a “service provider” (as defined in our 2016 Plan) terminates, that participant may exercise the vested portion of his or her option for the period of time stated in the applicable award agreement. Vested options generally will remain exercisable for 30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216</w:t>
      </w:r>
    </w:p>
    <w:p>
      <w:pPr>
        <w:sectPr>
          <w:pgSz w:w="11900" w:h="16838" w:orient="portrait"/>
          <w:cols w:equalWidth="0" w:num="1">
            <w:col w:w="10400"/>
          </w:cols>
          <w:pgMar w:left="320" w:top="418" w:right="1179" w:bottom="1440" w:gutter="0" w:footer="0" w:header="0"/>
        </w:sectPr>
      </w:pPr>
    </w:p>
    <w:bookmarkStart w:id="219" w:name="page220"/>
    <w:bookmarkEnd w:id="2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firstLine="385"/>
        <w:spacing w:after="0" w:line="251"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Unless determined otherwise by the administrator, awards may not be sold, transferred, pledged, assigned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alienated or hypothecated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 of 1933, as amended (the Securities Act).</w:t>
      </w:r>
    </w:p>
    <w:p>
      <w:pPr>
        <w:spacing w:after="0" w:line="170" w:lineRule="exact"/>
        <w:rPr>
          <w:sz w:val="20"/>
          <w:szCs w:val="20"/>
          <w:color w:val="auto"/>
        </w:rPr>
      </w:pPr>
    </w:p>
    <w:p>
      <w:pPr>
        <w:ind w:left="820" w:right="80" w:firstLine="385"/>
        <w:spacing w:after="0" w:line="272" w:lineRule="auto"/>
        <w:rPr>
          <w:sz w:val="20"/>
          <w:szCs w:val="20"/>
          <w:color w:val="auto"/>
        </w:rPr>
      </w:pPr>
      <w:r>
        <w:rPr>
          <w:rFonts w:ascii="Arial" w:cs="Arial" w:eastAsia="Arial" w:hAnsi="Arial"/>
          <w:sz w:val="15"/>
          <w:szCs w:val="15"/>
          <w:i w:val="1"/>
          <w:iCs w:val="1"/>
          <w:color w:val="auto"/>
        </w:rPr>
        <w:t>Certain adjustments</w:t>
      </w:r>
      <w:r>
        <w:rPr>
          <w:rFonts w:ascii="Arial" w:cs="Arial" w:eastAsia="Arial" w:hAnsi="Arial"/>
          <w:sz w:val="15"/>
          <w:szCs w:val="15"/>
          <w:color w:val="auto"/>
        </w:rPr>
        <w:t>. If there is a dividend or other distribution (whether in the form of cash, shares, other securities or other property),</w:t>
      </w:r>
      <w:r>
        <w:rPr>
          <w:rFonts w:ascii="Arial" w:cs="Arial" w:eastAsia="Arial" w:hAnsi="Arial"/>
          <w:sz w:val="15"/>
          <w:szCs w:val="15"/>
          <w:i w:val="1"/>
          <w:iCs w:val="1"/>
          <w:color w:val="auto"/>
        </w:rPr>
        <w:t xml:space="preserve"> </w:t>
      </w:r>
      <w:r>
        <w:rPr>
          <w:rFonts w:ascii="Arial" w:cs="Arial" w:eastAsia="Arial" w:hAnsi="Arial"/>
          <w:sz w:val="15"/>
          <w:szCs w:val="15"/>
          <w:color w:val="auto"/>
        </w:rPr>
        <w:t>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class of shares that may be delivered under our 2016 Plan or the number, class and price of shares covered by each outstanding award. The administrator’s determination regarding such adjustments will be final, binding and conclusive.</w:t>
      </w:r>
    </w:p>
    <w:p>
      <w:pPr>
        <w:spacing w:after="0" w:line="154" w:lineRule="exact"/>
        <w:rPr>
          <w:sz w:val="20"/>
          <w:szCs w:val="20"/>
          <w:color w:val="auto"/>
        </w:rPr>
      </w:pPr>
    </w:p>
    <w:p>
      <w:pPr>
        <w:ind w:left="820" w:right="560" w:firstLine="385"/>
        <w:spacing w:after="0" w:line="256" w:lineRule="auto"/>
        <w:rPr>
          <w:sz w:val="20"/>
          <w:szCs w:val="20"/>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our proposed dissolution or liquidation, the administrator will notify each participant as soon as</w:t>
      </w:r>
      <w:r>
        <w:rPr>
          <w:rFonts w:ascii="Arial" w:cs="Arial" w:eastAsia="Arial" w:hAnsi="Arial"/>
          <w:sz w:val="16"/>
          <w:szCs w:val="16"/>
          <w:i w:val="1"/>
          <w:iCs w:val="1"/>
          <w:color w:val="auto"/>
        </w:rPr>
        <w:t xml:space="preserve"> </w:t>
      </w:r>
      <w:r>
        <w:rPr>
          <w:rFonts w:ascii="Arial" w:cs="Arial" w:eastAsia="Arial" w:hAnsi="Arial"/>
          <w:sz w:val="16"/>
          <w:szCs w:val="16"/>
          <w:color w:val="auto"/>
        </w:rPr>
        <w:t>practicable prior to the effective date of such proposed transaction. To the extent it has not been previously exercised, an award will terminate immediately prior to the consummation of such proposed action.</w:t>
      </w:r>
    </w:p>
    <w:p>
      <w:pPr>
        <w:spacing w:after="0" w:line="166" w:lineRule="exact"/>
        <w:rPr>
          <w:sz w:val="20"/>
          <w:szCs w:val="20"/>
          <w:color w:val="auto"/>
        </w:rPr>
      </w:pPr>
    </w:p>
    <w:p>
      <w:pPr>
        <w:ind w:left="820" w:firstLine="385"/>
        <w:spacing w:after="0" w:line="310" w:lineRule="auto"/>
        <w:rPr>
          <w:sz w:val="20"/>
          <w:szCs w:val="20"/>
          <w:color w:val="auto"/>
        </w:rPr>
      </w:pPr>
      <w:r>
        <w:rPr>
          <w:rFonts w:ascii="Arial" w:cs="Arial" w:eastAsia="Arial" w:hAnsi="Arial"/>
          <w:sz w:val="13"/>
          <w:szCs w:val="13"/>
          <w:i w:val="1"/>
          <w:iCs w:val="1"/>
          <w:color w:val="auto"/>
        </w:rPr>
        <w:t>Merger and change in control</w:t>
      </w:r>
      <w:r>
        <w:rPr>
          <w:rFonts w:ascii="Arial" w:cs="Arial" w:eastAsia="Arial" w:hAnsi="Arial"/>
          <w:sz w:val="13"/>
          <w:szCs w:val="13"/>
          <w:color w:val="auto"/>
        </w:rPr>
        <w:t>. In the event of our merger with or into another corporation or entity or a “change in control” (as defined in our</w:t>
      </w:r>
      <w:r>
        <w:rPr>
          <w:rFonts w:ascii="Arial" w:cs="Arial" w:eastAsia="Arial" w:hAnsi="Arial"/>
          <w:sz w:val="13"/>
          <w:szCs w:val="13"/>
          <w:i w:val="1"/>
          <w:iCs w:val="1"/>
          <w:color w:val="auto"/>
        </w:rPr>
        <w:t xml:space="preserve"> </w:t>
      </w:r>
      <w:r>
        <w:rPr>
          <w:rFonts w:ascii="Arial" w:cs="Arial" w:eastAsia="Arial" w:hAnsi="Arial"/>
          <w:sz w:val="13"/>
          <w:szCs w:val="13"/>
          <w:color w:val="auto"/>
        </w:rPr>
        <w:t>2016 Plan), each outstanding award will be treated as the administrator determines, including, without limitation, that (1) awards will be assumed, or substantially equivalent awards will be substituted, by the acquiring or succeeding corporation (or an affiliate thereof) with appropriate adjustments as to the number and kind of shares and prices; (2) upon written notice to a participant, the participant’s awards will terminate upon or immediately prior to the consummation of such merger or change in control; (3)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(4)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(5) any combination of the foregoing. The administrator will not be obligated to treat all awards, all awards a participant holds or all awards of the same type, similarly.</w:t>
      </w:r>
    </w:p>
    <w:p>
      <w:pPr>
        <w:spacing w:after="0" w:line="324" w:lineRule="exact"/>
        <w:rPr>
          <w:sz w:val="20"/>
          <w:szCs w:val="20"/>
          <w:color w:val="auto"/>
        </w:rPr>
      </w:pPr>
    </w:p>
    <w:p>
      <w:pPr>
        <w:ind w:left="820" w:right="20" w:firstLine="385"/>
        <w:spacing w:after="0" w:line="316" w:lineRule="auto"/>
        <w:rPr>
          <w:sz w:val="20"/>
          <w:szCs w:val="20"/>
          <w:color w:val="auto"/>
        </w:rPr>
      </w:pPr>
      <w:r>
        <w:rPr>
          <w:rFonts w:ascii="Arial" w:cs="Arial" w:eastAsia="Arial" w:hAnsi="Arial"/>
          <w:sz w:val="13"/>
          <w:szCs w:val="13"/>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31"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at any time, amend, alter, suspend or terminate our 2016 Plan in any respect,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limitation, amendment of any form of award agreement or instrument to be executed pursuant to our 2016 Plan. To the extent necessary and desirable to comply with</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217</w:t>
      </w:r>
    </w:p>
    <w:p>
      <w:pPr>
        <w:sectPr>
          <w:pgSz w:w="11900" w:h="16838" w:orient="portrait"/>
          <w:cols w:equalWidth="0" w:num="1">
            <w:col w:w="10420"/>
          </w:cols>
          <w:pgMar w:left="320" w:top="418" w:right="1159" w:bottom="1440" w:gutter="0" w:footer="0" w:header="0"/>
        </w:sectPr>
      </w:pPr>
    </w:p>
    <w:bookmarkStart w:id="220" w:name="page221"/>
    <w:bookmarkEnd w:id="2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spacing w:after="0" w:line="329" w:lineRule="auto"/>
        <w:rPr>
          <w:sz w:val="20"/>
          <w:szCs w:val="20"/>
          <w:color w:val="auto"/>
        </w:rPr>
      </w:pPr>
      <w:r>
        <w:rPr>
          <w:rFonts w:ascii="Arial" w:cs="Arial" w:eastAsia="Arial" w:hAnsi="Arial"/>
          <w:sz w:val="13"/>
          <w:szCs w:val="13"/>
          <w:color w:val="auto"/>
        </w:rPr>
        <w:t>applicable laws, we will obtain stockholder approval of any amendment to our 2016 Plan. No amendment, alteration, suspension or termination of our 2016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2016 Plan will be terminated, and we will not grant any additional awards under our 2016 Plan thereafter.</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Executive Incentive Compensation Plan</w:t>
      </w:r>
    </w:p>
    <w:p>
      <w:pPr>
        <w:spacing w:after="0" w:line="103"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Prior to the effectiveness of this offering, we expect that our board of directors will adopt the Executive Incentive Compensation Plan (Incentive Compensation Plan). We expect that our Incentive Compensation Plan will be effective on the business day immediately prior to the effective date of the registration statement of which this prospectus forms a part. Our Incentive Compensation Plan will allow our compensation committee to grant incentive awards, generally payable in cash, to employees selected by our compensation committee, including our executive officers, based upon performance goals established by our compensation committee.</w:t>
      </w:r>
    </w:p>
    <w:p>
      <w:pPr>
        <w:spacing w:after="0" w:line="170"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Under our Incentive Compensation Plan, our compensation committee will determine the performance goals applicable to any award, which goals may include, without limitation, goals related to research and development, regulatory milestones or regulatory-related goals, gross margin, financial milestones, new product or business development, operating margin, product release timelines or other product release milestones, publications, cash flow, procurement, savings, internal structure, leadership development, project, function or portfolio-specific milestones, license or research collaboration agreements, capital raising, initial public offering preparations, patentability and individual objectives such as peer reviews or other subjective or objective criteria. The performance goals may differ from participant to participant and from award to award.</w:t>
      </w:r>
    </w:p>
    <w:p>
      <w:pPr>
        <w:spacing w:after="0" w:line="128" w:lineRule="exact"/>
        <w:rPr>
          <w:sz w:val="20"/>
          <w:szCs w:val="20"/>
          <w:color w:val="auto"/>
        </w:rPr>
      </w:pPr>
    </w:p>
    <w:p>
      <w:pPr>
        <w:ind w:left="820" w:right="200" w:firstLine="385"/>
        <w:spacing w:after="0" w:line="272" w:lineRule="auto"/>
        <w:rPr>
          <w:sz w:val="20"/>
          <w:szCs w:val="20"/>
          <w:color w:val="auto"/>
        </w:rPr>
      </w:pPr>
      <w:r>
        <w:rPr>
          <w:rFonts w:ascii="Arial" w:cs="Arial" w:eastAsia="Arial" w:hAnsi="Arial"/>
          <w:sz w:val="15"/>
          <w:szCs w:val="15"/>
          <w:color w:val="auto"/>
        </w:rPr>
        <w:t>We expect that the compensation committee of our board of directors will administer our Incentive Compensation Plan and will,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will not be required to establish any allocation or weighting with respect to the factors it considers.</w:t>
      </w:r>
    </w:p>
    <w:p>
      <w:pPr>
        <w:spacing w:after="0" w:line="154" w:lineRule="exact"/>
        <w:rPr>
          <w:sz w:val="20"/>
          <w:szCs w:val="20"/>
          <w:color w:val="auto"/>
        </w:rPr>
      </w:pPr>
    </w:p>
    <w:p>
      <w:pPr>
        <w:ind w:left="820" w:right="120" w:firstLine="385"/>
        <w:spacing w:after="0" w:line="272" w:lineRule="auto"/>
        <w:rPr>
          <w:sz w:val="20"/>
          <w:szCs w:val="20"/>
          <w:color w:val="auto"/>
        </w:rPr>
      </w:pPr>
      <w:r>
        <w:rPr>
          <w:rFonts w:ascii="Arial" w:cs="Arial" w:eastAsia="Arial" w:hAnsi="Arial"/>
          <w:sz w:val="15"/>
          <w:szCs w:val="15"/>
          <w:color w:val="auto"/>
        </w:rPr>
        <w:t>Actual awards generally will be paid in cash (or its equivalent) only after they are earned, and, unless otherwise determined by the administrator, to earn an actual award a participant must be employed by us through the date the actual award is paid. The compensation committee may reserve the right to settle an actual award with a grant of an equity award under our then-current equity compensation plan, which equity award may have such terms and conditions, including vesting, as the compensation committee determines. Payment of awards will occur as soon as practicable after they are earned, but no later than the dates set forth in our Incentive Compensation Plan.</w:t>
      </w:r>
    </w:p>
    <w:p>
      <w:pPr>
        <w:spacing w:after="0" w:line="154"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Our board of directors and our compensation committee will have the authority to amend, suspend or terminate our Incentive Compensation Plan, provided such action does not impair the existing rights of any participant with respect to any earned awards.</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218</w:t>
      </w:r>
    </w:p>
    <w:p>
      <w:pPr>
        <w:sectPr>
          <w:pgSz w:w="11900" w:h="16838" w:orient="portrait"/>
          <w:cols w:equalWidth="0" w:num="1">
            <w:col w:w="10420"/>
          </w:cols>
          <w:pgMar w:left="320" w:top="418" w:right="1159" w:bottom="1440" w:gutter="0" w:footer="0" w:header="0"/>
        </w:sectPr>
      </w:pPr>
    </w:p>
    <w:bookmarkStart w:id="221" w:name="page222"/>
    <w:bookmarkEnd w:id="2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Limitation of Liability and Indemnification</w:t>
      </w:r>
    </w:p>
    <w:p>
      <w:pPr>
        <w:spacing w:after="0" w:line="103" w:lineRule="exact"/>
        <w:rPr>
          <w:sz w:val="20"/>
          <w:szCs w:val="20"/>
          <w:color w:val="auto"/>
        </w:rPr>
      </w:pPr>
    </w:p>
    <w:p>
      <w:pPr>
        <w:ind w:left="820" w:right="60" w:firstLine="385"/>
        <w:spacing w:after="0" w:line="343" w:lineRule="auto"/>
        <w:rPr>
          <w:sz w:val="20"/>
          <w:szCs w:val="20"/>
          <w:color w:val="auto"/>
        </w:rPr>
      </w:pPr>
      <w:r>
        <w:rPr>
          <w:rFonts w:ascii="Arial" w:cs="Arial" w:eastAsia="Arial" w:hAnsi="Arial"/>
          <w:sz w:val="13"/>
          <w:szCs w:val="13"/>
          <w:color w:val="auto"/>
        </w:rPr>
        <w:t>Our amended and restated certificate of incorporation and amended and restated bylaws, each to be effective upon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31" w:lineRule="exact"/>
        <w:rPr>
          <w:sz w:val="20"/>
          <w:szCs w:val="20"/>
          <w:color w:val="auto"/>
        </w:rPr>
      </w:pPr>
    </w:p>
    <w:p>
      <w:pPr>
        <w:ind w:left="1660" w:hanging="469"/>
        <w:spacing w:after="0"/>
        <w:tabs>
          <w:tab w:leader="none" w:pos="1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breach of the director’s duty of loyalty to us or to our stockholders;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unlawful payment of dividends or unlawful stock repurchases or redemptions;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any transaction from which the director derived an improper personal benefit.</w:t>
      </w:r>
    </w:p>
    <w:p>
      <w:pPr>
        <w:spacing w:after="0" w:line="193" w:lineRule="exact"/>
        <w:rPr>
          <w:sz w:val="20"/>
          <w:szCs w:val="20"/>
          <w:color w:val="auto"/>
        </w:rPr>
      </w:pPr>
    </w:p>
    <w:p>
      <w:pPr>
        <w:ind w:left="820" w:right="40" w:firstLine="385"/>
        <w:spacing w:after="0" w:line="270" w:lineRule="auto"/>
        <w:rPr>
          <w:sz w:val="20"/>
          <w:szCs w:val="20"/>
          <w:color w:val="auto"/>
        </w:rPr>
      </w:pPr>
      <w:r>
        <w:rPr>
          <w:rFonts w:ascii="Arial" w:cs="Arial" w:eastAsia="Arial" w:hAnsi="Arial"/>
          <w:sz w:val="15"/>
          <w:szCs w:val="15"/>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56"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In addition to the indemnification required in our amended and restated certificate of incorporation and amended and restated bylaws, we intend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63" w:lineRule="exact"/>
        <w:rPr>
          <w:sz w:val="20"/>
          <w:szCs w:val="20"/>
          <w:color w:val="auto"/>
        </w:rPr>
      </w:pPr>
    </w:p>
    <w:p>
      <w:pPr>
        <w:ind w:left="820" w:right="60" w:firstLine="385"/>
        <w:spacing w:after="0" w:line="267" w:lineRule="auto"/>
        <w:rPr>
          <w:sz w:val="20"/>
          <w:szCs w:val="20"/>
          <w:color w:val="auto"/>
        </w:rPr>
      </w:pPr>
      <w:r>
        <w:rPr>
          <w:rFonts w:ascii="Arial" w:cs="Arial" w:eastAsia="Arial" w:hAnsi="Arial"/>
          <w:sz w:val="15"/>
          <w:szCs w:val="15"/>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219</w:t>
      </w:r>
    </w:p>
    <w:p>
      <w:pPr>
        <w:sectPr>
          <w:pgSz w:w="11900" w:h="16838" w:orient="portrait"/>
          <w:cols w:equalWidth="0" w:num="1">
            <w:col w:w="10440"/>
          </w:cols>
          <w:pgMar w:left="320" w:top="418" w:right="113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CERTAIN RELATIONSHIPS AND RELATED PARTY TRANSACTIONS</w:t>
      </w:r>
    </w:p>
    <w:p>
      <w:pPr>
        <w:spacing w:after="0" w:line="197" w:lineRule="exact"/>
        <w:rPr>
          <w:sz w:val="20"/>
          <w:szCs w:val="20"/>
          <w:color w:val="auto"/>
        </w:rPr>
      </w:pPr>
    </w:p>
    <w:p>
      <w:pPr>
        <w:ind w:left="820" w:right="400" w:firstLine="385"/>
        <w:spacing w:after="0" w:line="253" w:lineRule="auto"/>
        <w:rPr>
          <w:sz w:val="20"/>
          <w:szCs w:val="20"/>
          <w:color w:val="auto"/>
        </w:rPr>
      </w:pPr>
      <w:r>
        <w:rPr>
          <w:rFonts w:ascii="Arial" w:cs="Arial" w:eastAsia="Arial" w:hAnsi="Arial"/>
          <w:sz w:val="16"/>
          <w:szCs w:val="16"/>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85" w:lineRule="exact"/>
        <w:rPr>
          <w:sz w:val="20"/>
          <w:szCs w:val="20"/>
          <w:color w:val="auto"/>
        </w:rPr>
      </w:pPr>
    </w:p>
    <w:p>
      <w:pPr>
        <w:ind w:left="1660" w:hanging="469"/>
        <w:spacing w:after="0"/>
        <w:tabs>
          <w:tab w:leader="none" w:pos="1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amount involved exceeded or exceeds $120,000; and</w:t>
      </w:r>
    </w:p>
    <w:p>
      <w:pPr>
        <w:spacing w:after="0" w:line="110" w:lineRule="exact"/>
        <w:rPr>
          <w:rFonts w:ascii="Arial" w:cs="Arial" w:eastAsia="Arial" w:hAnsi="Arial"/>
          <w:sz w:val="16"/>
          <w:szCs w:val="16"/>
          <w:color w:val="auto"/>
        </w:rPr>
      </w:pPr>
    </w:p>
    <w:p>
      <w:pPr>
        <w:ind w:left="1660" w:right="180" w:hanging="469"/>
        <w:spacing w:after="0" w:line="383" w:lineRule="auto"/>
        <w:tabs>
          <w:tab w:leader="none" w:pos="16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7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Convertible Preferred Stock Issuances</w:t>
      </w:r>
    </w:p>
    <w:p>
      <w:pPr>
        <w:spacing w:after="0" w:line="103"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In August 2019, March 2020 and August 2020, we issued and sold an aggregate of 55,555,527 shares of our Series B convertible preferred stock at a purchase price of $1.656 per share for an aggregate purchase price of approximately $92.0 million.</w:t>
      </w:r>
    </w:p>
    <w:p>
      <w:pPr>
        <w:spacing w:after="0" w:line="158" w:lineRule="exact"/>
        <w:rPr>
          <w:sz w:val="20"/>
          <w:szCs w:val="20"/>
          <w:color w:val="auto"/>
        </w:rPr>
      </w:pPr>
    </w:p>
    <w:p>
      <w:pPr>
        <w:jc w:val="both"/>
        <w:ind w:left="820" w:right="40" w:firstLine="385"/>
        <w:spacing w:after="0" w:line="383" w:lineRule="auto"/>
        <w:rPr>
          <w:sz w:val="20"/>
          <w:szCs w:val="20"/>
          <w:color w:val="auto"/>
        </w:rPr>
      </w:pPr>
      <w:r>
        <w:rPr>
          <w:rFonts w:ascii="Arial" w:cs="Arial" w:eastAsia="Arial" w:hAnsi="Arial"/>
          <w:sz w:val="13"/>
          <w:szCs w:val="13"/>
          <w:color w:val="auto"/>
        </w:rPr>
        <w:t>Purchasers of our Series B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8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3"/>
              </w:rPr>
              <w:t>Shares of Series B</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Investor</w:t>
            </w:r>
          </w:p>
        </w:tc>
        <w:tc>
          <w:tcPr>
            <w:tcW w:w="10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Convertible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5"/>
              </w:rPr>
              <w:t>Total Purchase</w:t>
            </w:r>
          </w:p>
        </w:tc>
        <w:tc>
          <w:tcPr>
            <w:tcW w:w="0" w:type="dxa"/>
            <w:vAlign w:val="bottom"/>
          </w:tcPr>
          <w:p>
            <w:pPr>
              <w:spacing w:after="0"/>
              <w:rPr>
                <w:sz w:val="1"/>
                <w:szCs w:val="1"/>
                <w:color w:val="auto"/>
              </w:rPr>
            </w:pPr>
          </w:p>
        </w:tc>
      </w:tr>
      <w:tr>
        <w:trPr>
          <w:trHeight w:val="138"/>
        </w:trPr>
        <w:tc>
          <w:tcPr>
            <w:tcW w:w="7100" w:type="dxa"/>
            <w:vAlign w:val="bottom"/>
            <w:gridSpan w:val="2"/>
            <w:vMerge w:val="continue"/>
          </w:tcPr>
          <w:p>
            <w:pPr>
              <w:spacing w:after="0"/>
              <w:rPr>
                <w:sz w:val="11"/>
                <w:szCs w:val="11"/>
                <w:color w:val="auto"/>
              </w:rPr>
            </w:pPr>
          </w:p>
        </w:tc>
        <w:tc>
          <w:tcPr>
            <w:tcW w:w="10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Preferred 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10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Casdin Partners Master Fund, L.P.(1)</w:t>
            </w:r>
          </w:p>
        </w:tc>
        <w:tc>
          <w:tcPr>
            <w:tcW w:w="10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12,077,292</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3"/>
              </w:rPr>
              <w:t>19,999,995.55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gridSpan w:val="2"/>
          </w:tcPr>
          <w:p>
            <w:pPr>
              <w:spacing w:after="0"/>
              <w:rPr>
                <w:sz w:val="20"/>
                <w:szCs w:val="20"/>
                <w:color w:val="auto"/>
              </w:rPr>
            </w:pPr>
            <w:r>
              <w:rPr>
                <w:rFonts w:ascii="Arial" w:cs="Arial" w:eastAsia="Arial" w:hAnsi="Arial"/>
                <w:sz w:val="16"/>
                <w:szCs w:val="16"/>
                <w:color w:val="auto"/>
              </w:rPr>
              <w:t>SymBiosis II, LLC</w:t>
            </w:r>
          </w:p>
        </w:tc>
        <w:tc>
          <w:tcPr>
            <w:tcW w:w="1040" w:type="dxa"/>
            <w:vAlign w:val="bottom"/>
          </w:tcPr>
          <w:p>
            <w:pPr>
              <w:jc w:val="right"/>
              <w:spacing w:after="0"/>
              <w:rPr>
                <w:sz w:val="20"/>
                <w:szCs w:val="20"/>
                <w:color w:val="auto"/>
              </w:rPr>
            </w:pPr>
            <w:r>
              <w:rPr>
                <w:rFonts w:ascii="Arial" w:cs="Arial" w:eastAsia="Arial" w:hAnsi="Arial"/>
                <w:sz w:val="16"/>
                <w:szCs w:val="16"/>
                <w:color w:val="auto"/>
              </w:rPr>
              <w:t>9,057,969</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w w:val="93"/>
              </w:rPr>
              <w:t>14,999,996.66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affiliated with The Column Group(2)</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6,038,646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9,999,997.78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right="480" w:hanging="386"/>
        <w:spacing w:after="0" w:line="253" w:lineRule="auto"/>
        <w:tabs>
          <w:tab w:leader="none" w:pos="12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Eli Casdin, a member of our board of directors is the Chief Investment Officer of Casdin Capital LLC and the managing member of Casdin Partners GP, LLC.</w:t>
      </w:r>
    </w:p>
    <w:p>
      <w:pPr>
        <w:jc w:val="both"/>
        <w:ind w:left="1200" w:right="140" w:hanging="386"/>
        <w:spacing w:after="0" w:line="273" w:lineRule="auto"/>
        <w:tabs>
          <w:tab w:leader="none" w:pos="12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Entities affiliated with The Column Group holding our securities are aggregated for reporting ownership information include The Column Group III, LP and The Column Group III-A, LP. David V. Goeddel, a member of our board of directors, is the Managing Partner of The Column Group, and JeenJoo Kang, a member of our board of directors, is a Venture Partner of The Column Group.</w:t>
      </w:r>
    </w:p>
    <w:p>
      <w:pPr>
        <w:spacing w:after="0" w:line="155" w:lineRule="exact"/>
        <w:rPr>
          <w:sz w:val="20"/>
          <w:szCs w:val="20"/>
          <w:color w:val="auto"/>
        </w:rPr>
      </w:pPr>
    </w:p>
    <w:p>
      <w:pPr>
        <w:ind w:left="820" w:right="500" w:firstLine="385"/>
        <w:spacing w:after="0" w:line="266" w:lineRule="auto"/>
        <w:rPr>
          <w:sz w:val="20"/>
          <w:szCs w:val="20"/>
          <w:color w:val="auto"/>
        </w:rPr>
      </w:pPr>
      <w:r>
        <w:rPr>
          <w:rFonts w:ascii="Arial" w:cs="Arial" w:eastAsia="Arial" w:hAnsi="Arial"/>
          <w:sz w:val="16"/>
          <w:szCs w:val="16"/>
          <w:color w:val="auto"/>
        </w:rPr>
        <w:t>In December 2020 and January 2021, we issued and sold an aggregate of 51,158,291 shares of our Series C convertible preferred stock at a purchase price of $2.072 per share for an aggregate purchase price of approximately $106.0 million.</w:t>
      </w:r>
    </w:p>
    <w:p>
      <w:pPr>
        <w:spacing w:after="0" w:line="158" w:lineRule="exact"/>
        <w:rPr>
          <w:sz w:val="20"/>
          <w:szCs w:val="20"/>
          <w:color w:val="auto"/>
        </w:rPr>
      </w:pPr>
    </w:p>
    <w:p>
      <w:pPr>
        <w:jc w:val="both"/>
        <w:ind w:left="820" w:right="40" w:firstLine="385"/>
        <w:spacing w:after="0" w:line="383" w:lineRule="auto"/>
        <w:rPr>
          <w:sz w:val="20"/>
          <w:szCs w:val="20"/>
          <w:color w:val="auto"/>
        </w:rPr>
      </w:pPr>
      <w:r>
        <w:rPr>
          <w:rFonts w:ascii="Arial" w:cs="Arial" w:eastAsia="Arial" w:hAnsi="Arial"/>
          <w:sz w:val="13"/>
          <w:szCs w:val="13"/>
          <w:color w:val="auto"/>
        </w:rPr>
        <w:t>Purchasers of our Series C convertible preferred stock include venture capital funds that beneficially own more than 5% of our outstanding capital stock and/or are represented on our board of directors. The following table presents the number of shares and total purchase price paid by these entities.</w:t>
      </w:r>
    </w:p>
    <w:p>
      <w:pPr>
        <w:spacing w:after="0" w:line="8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4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3"/>
              </w:rPr>
              <w:t>Shares of Series C</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Investor</w:t>
            </w:r>
          </w:p>
        </w:tc>
        <w:tc>
          <w:tcPr>
            <w:tcW w:w="3300" w:type="dxa"/>
            <w:vAlign w:val="bottom"/>
          </w:tcPr>
          <w:p>
            <w:pPr>
              <w:spacing w:after="0"/>
              <w:rPr>
                <w:sz w:val="11"/>
                <w:szCs w:val="11"/>
                <w:color w:val="auto"/>
              </w:rPr>
            </w:pPr>
          </w:p>
        </w:tc>
        <w:tc>
          <w:tcPr>
            <w:tcW w:w="10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Convertible</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5"/>
              </w:rPr>
              <w:t>Total Purchase</w:t>
            </w:r>
          </w:p>
        </w:tc>
        <w:tc>
          <w:tcPr>
            <w:tcW w:w="0" w:type="dxa"/>
            <w:vAlign w:val="bottom"/>
          </w:tcPr>
          <w:p>
            <w:pPr>
              <w:spacing w:after="0"/>
              <w:rPr>
                <w:sz w:val="1"/>
                <w:szCs w:val="1"/>
                <w:color w:val="auto"/>
              </w:rPr>
            </w:pPr>
          </w:p>
        </w:tc>
      </w:tr>
      <w:tr>
        <w:trPr>
          <w:trHeight w:val="138"/>
        </w:trPr>
        <w:tc>
          <w:tcPr>
            <w:tcW w:w="3800" w:type="dxa"/>
            <w:vAlign w:val="bottom"/>
            <w:gridSpan w:val="2"/>
            <w:vMerge w:val="continue"/>
          </w:tcPr>
          <w:p>
            <w:pPr>
              <w:spacing w:after="0"/>
              <w:rPr>
                <w:sz w:val="11"/>
                <w:szCs w:val="11"/>
                <w:color w:val="auto"/>
              </w:rPr>
            </w:pPr>
          </w:p>
        </w:tc>
        <w:tc>
          <w:tcPr>
            <w:tcW w:w="3300" w:type="dxa"/>
            <w:vAlign w:val="bottom"/>
          </w:tcPr>
          <w:p>
            <w:pPr>
              <w:spacing w:after="0"/>
              <w:rPr>
                <w:sz w:val="11"/>
                <w:szCs w:val="11"/>
                <w:color w:val="auto"/>
              </w:rPr>
            </w:pPr>
          </w:p>
        </w:tc>
        <w:tc>
          <w:tcPr>
            <w:tcW w:w="10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6"/>
              </w:rPr>
              <w:t>Preferred Stock</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8" w:lineRule="exact"/>
              <w:rPr>
                <w:sz w:val="20"/>
                <w:szCs w:val="20"/>
                <w:color w:val="auto"/>
              </w:rPr>
            </w:pPr>
            <w:r>
              <w:rPr>
                <w:rFonts w:ascii="Arial" w:cs="Arial" w:eastAsia="Arial" w:hAnsi="Arial"/>
                <w:sz w:val="13"/>
                <w:szCs w:val="13"/>
                <w:b w:val="1"/>
                <w:bCs w:val="1"/>
                <w:color w:val="auto"/>
                <w:w w:val="87"/>
              </w:rPr>
              <w:t>Price</w:t>
            </w:r>
          </w:p>
        </w:tc>
        <w:tc>
          <w:tcPr>
            <w:tcW w:w="0" w:type="dxa"/>
            <w:vAlign w:val="bottom"/>
          </w:tcPr>
          <w:p>
            <w:pPr>
              <w:spacing w:after="0"/>
              <w:rPr>
                <w:sz w:val="1"/>
                <w:szCs w:val="1"/>
                <w:color w:val="auto"/>
              </w:rPr>
            </w:pP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800" w:type="dxa"/>
            <w:vAlign w:val="bottom"/>
            <w:gridSpan w:val="2"/>
            <w:shd w:val="clear" w:color="auto" w:fill="CCEEFF"/>
          </w:tcPr>
          <w:p>
            <w:pPr>
              <w:spacing w:after="0" w:line="172" w:lineRule="exact"/>
              <w:rPr>
                <w:sz w:val="20"/>
                <w:szCs w:val="20"/>
                <w:color w:val="auto"/>
              </w:rPr>
            </w:pPr>
            <w:r>
              <w:rPr>
                <w:rFonts w:ascii="Arial" w:cs="Arial" w:eastAsia="Arial" w:hAnsi="Arial"/>
                <w:sz w:val="16"/>
                <w:szCs w:val="16"/>
                <w:color w:val="auto"/>
              </w:rPr>
              <w:t>Funds affiliated with Casdin Capital LLC(1)</w:t>
            </w:r>
          </w:p>
        </w:tc>
        <w:tc>
          <w:tcPr>
            <w:tcW w:w="3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rPr>
              <w:t>4,343,629</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72" w:lineRule="exact"/>
              <w:rPr>
                <w:sz w:val="20"/>
                <w:szCs w:val="20"/>
                <w:color w:val="auto"/>
              </w:rPr>
            </w:pPr>
            <w:r>
              <w:rPr>
                <w:rFonts w:ascii="Arial" w:cs="Arial" w:eastAsia="Arial" w:hAnsi="Arial"/>
                <w:sz w:val="16"/>
                <w:szCs w:val="16"/>
                <w:color w:val="auto"/>
                <w:w w:val="98"/>
              </w:rPr>
              <w:t>8,999,999.29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Arial" w:cs="Arial" w:eastAsia="Arial" w:hAnsi="Arial"/>
                <w:sz w:val="16"/>
                <w:szCs w:val="16"/>
                <w:color w:val="auto"/>
              </w:rPr>
              <w:t>Funds affiliated with FMR LLC(2)</w:t>
            </w:r>
          </w:p>
        </w:tc>
        <w:tc>
          <w:tcPr>
            <w:tcW w:w="4320" w:type="dxa"/>
            <w:vAlign w:val="bottom"/>
            <w:gridSpan w:val="2"/>
          </w:tcPr>
          <w:p>
            <w:pPr>
              <w:jc w:val="right"/>
              <w:spacing w:after="0"/>
              <w:rPr>
                <w:sz w:val="20"/>
                <w:szCs w:val="20"/>
                <w:color w:val="auto"/>
              </w:rPr>
            </w:pPr>
            <w:r>
              <w:rPr>
                <w:rFonts w:ascii="Arial" w:cs="Arial" w:eastAsia="Arial" w:hAnsi="Arial"/>
                <w:sz w:val="16"/>
                <w:szCs w:val="16"/>
                <w:color w:val="auto"/>
              </w:rPr>
              <w:t>9,652,509</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89"/>
              </w:rPr>
              <w:t>19,999,998.65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Funds affiliated with RTW Investments, LP(3)</w:t>
            </w:r>
          </w:p>
        </w:tc>
        <w:tc>
          <w:tcPr>
            <w:tcW w:w="4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9,652,509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19,999,998.65</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800" w:type="dxa"/>
            <w:vAlign w:val="bottom"/>
            <w:gridSpan w:val="2"/>
          </w:tcPr>
          <w:p>
            <w:pPr>
              <w:spacing w:after="0"/>
              <w:rPr>
                <w:sz w:val="20"/>
                <w:szCs w:val="20"/>
                <w:color w:val="auto"/>
              </w:rPr>
            </w:pPr>
            <w:r>
              <w:rPr>
                <w:rFonts w:ascii="Arial" w:cs="Arial" w:eastAsia="Arial" w:hAnsi="Arial"/>
                <w:sz w:val="16"/>
                <w:szCs w:val="16"/>
                <w:color w:val="auto"/>
              </w:rPr>
              <w:t>SymBiosis II, LLC</w:t>
            </w:r>
          </w:p>
        </w:tc>
        <w:tc>
          <w:tcPr>
            <w:tcW w:w="4320" w:type="dxa"/>
            <w:vAlign w:val="bottom"/>
            <w:gridSpan w:val="2"/>
          </w:tcPr>
          <w:p>
            <w:pPr>
              <w:jc w:val="right"/>
              <w:spacing w:after="0"/>
              <w:rPr>
                <w:sz w:val="20"/>
                <w:szCs w:val="20"/>
                <w:color w:val="auto"/>
              </w:rPr>
            </w:pPr>
            <w:r>
              <w:rPr>
                <w:rFonts w:ascii="Arial" w:cs="Arial" w:eastAsia="Arial" w:hAnsi="Arial"/>
                <w:sz w:val="16"/>
                <w:szCs w:val="16"/>
                <w:color w:val="auto"/>
              </w:rPr>
              <w:t>2,895,752</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8"/>
              </w:rPr>
              <w:t>5,999,998.14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4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jc w:val="right"/>
              <w:ind w:right="2101"/>
              <w:spacing w:after="0"/>
              <w:rPr>
                <w:sz w:val="20"/>
                <w:szCs w:val="20"/>
                <w:color w:val="auto"/>
              </w:rPr>
            </w:pPr>
            <w:r>
              <w:rPr>
                <w:rFonts w:ascii="Arial" w:cs="Arial" w:eastAsia="Arial" w:hAnsi="Arial"/>
                <w:sz w:val="16"/>
                <w:szCs w:val="16"/>
                <w:color w:val="auto"/>
              </w:rPr>
              <w:t>220</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23" w:name="page224"/>
    <w:bookmarkEnd w:id="2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252730</wp:posOffset>
            </wp:positionV>
            <wp:extent cx="666115"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200" w:right="60" w:hanging="386"/>
        <w:spacing w:after="0" w:line="251"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Entities affiliated with Casdin Capital LLC holding our securities are aggregated for reporting ownership information include Casdin Partners Master Fund, L.P. and Casdin Private Growth Equity Fund, L.P. Eli Casdin, a member of our board of directors is the Chief Investment Officer of Casdin Capital LLC and the managing member of Casdin Partners GP, LLC.</w:t>
      </w:r>
    </w:p>
    <w:p>
      <w:pPr>
        <w:ind w:left="1200" w:right="380" w:hanging="386"/>
        <w:spacing w:after="0" w:line="246"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Entities affiliated with Fidelity holding our securities are aggregate for reporting ownership information include Fidelity Advisor Series VII: Fidelity Advisor Biotechnology Fund and Fidelity Select Portfolios: Biotechnology Portfolio.</w:t>
      </w:r>
    </w:p>
    <w:p>
      <w:pPr>
        <w:ind w:left="1200" w:right="180" w:hanging="386"/>
        <w:spacing w:after="0" w:line="252" w:lineRule="auto"/>
        <w:tabs>
          <w:tab w:leader="none" w:pos="12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Entities affiliated with RTW Investments, LP holding our securities are aggregate for reporting ownership information include RTW Innovation Master Fund, Ltd., RTW Master Fund, Ltd., and RTW Venture Fund Limited.</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Promissory Note</w:t>
      </w:r>
    </w:p>
    <w:p>
      <w:pPr>
        <w:spacing w:after="0" w:line="103" w:lineRule="exact"/>
        <w:rPr>
          <w:sz w:val="20"/>
          <w:szCs w:val="20"/>
          <w:color w:val="auto"/>
        </w:rPr>
      </w:pPr>
    </w:p>
    <w:p>
      <w:pPr>
        <w:jc w:val="both"/>
        <w:ind w:left="820" w:right="100" w:firstLine="385"/>
        <w:spacing w:after="0" w:line="256" w:lineRule="auto"/>
        <w:rPr>
          <w:sz w:val="20"/>
          <w:szCs w:val="20"/>
          <w:color w:val="auto"/>
        </w:rPr>
      </w:pPr>
      <w:r>
        <w:rPr>
          <w:rFonts w:ascii="Arial" w:cs="Arial" w:eastAsia="Arial" w:hAnsi="Arial"/>
          <w:sz w:val="16"/>
          <w:szCs w:val="16"/>
          <w:color w:val="auto"/>
        </w:rPr>
        <w:t>On September 13, 2017, we entered into a full recourse note (the Note) with Timothy Charles Hoey, Ph.D., our Chief Scientific Officer, pursuant to which we loaned $70,000 to cover the aggregate exercise price of Dr. Hoey’s early exercise stock option for 1,000,000 shares of our common stock. As of March 31, 2021, the amount of the Note outstanding was $74,951.</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Investors’ Rights Agreement</w:t>
      </w:r>
    </w:p>
    <w:p>
      <w:pPr>
        <w:spacing w:after="0" w:line="103"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We are party to an investors’ rights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and SymBiosis II, LLC,. Under our investors’ rights agreement, among other things,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Voting Agreement</w:t>
      </w:r>
    </w:p>
    <w:p>
      <w:pPr>
        <w:spacing w:after="0" w:line="103"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We are party to a voting agreement, as amended, with certain holders of our capital stock, including entities affiliated with The Column Group III, LP, The Column Group III-A, LP, Casdin Partners Master Fund, L.P., Casdin Private Growth Equity Fund, L.P., Fidelity Advisor Series VII: Fidelity Advisor Biotechnology Fund, Fidelity Select Portfolios: Biotechnology Portfolio, RTW Master Fund, Ltd., RTW Innovation Master Fund, Ltd. and RTW Venture Fund Limited, SymBiosis II, LLC, JeenJoo Kang, a member of our board directors, and Deepak Srivastava, a member of our board of directors. The parties to the voting agreement have agreed, among other things and subject to certain conditions, to vote the shares of our capital stock held by them so as to elect the following individuals as directors: (1) two individuals designated by The Column Group III, LP and/or The Column Group III-A, LP, currently JeenJoo Kang and David Goeddel, (2) one individual designated by Casdin Master Fund L.P., currently Eli Casdin, (3) our chief executive officer, currently Faraz Ali, and (4) five individuals designated by the holders of a majority the outstanding shares of common stock and preferred stock (voting together as a single class on an as-converted basis), currently Deepak Srivastava, R. Sanders Williams, Jin-Long Chen, Jeff Walsh, and Catherine Stehman-Breen. Upon the consummation of this offering, the obligations of the parties to the voting agreement to vote their shares so as to elect these nominees, as well as the other rights and obligations under the voting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at the closing of this offering.</w:t>
      </w: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221</w:t>
      </w:r>
    </w:p>
    <w:p>
      <w:pPr>
        <w:sectPr>
          <w:pgSz w:w="11900" w:h="16838" w:orient="portrait"/>
          <w:cols w:equalWidth="0" w:num="1">
            <w:col w:w="10400"/>
          </w:cols>
          <w:pgMar w:left="320" w:top="418" w:right="1179" w:bottom="1440" w:gutter="0" w:footer="0" w:header="0"/>
        </w:sectPr>
      </w:pPr>
    </w:p>
    <w:bookmarkStart w:id="224" w:name="page225"/>
    <w:bookmarkEnd w:id="22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Indemnification Agreements</w:t>
      </w:r>
    </w:p>
    <w:p>
      <w:pPr>
        <w:spacing w:after="0" w:line="103"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We have entered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bylaws that will be in effect upon the closing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Related Party Transaction Policy</w:t>
      </w:r>
    </w:p>
    <w:p>
      <w:pPr>
        <w:spacing w:after="0" w:line="103" w:lineRule="exact"/>
        <w:rPr>
          <w:sz w:val="20"/>
          <w:szCs w:val="20"/>
          <w:color w:val="auto"/>
        </w:rPr>
      </w:pPr>
    </w:p>
    <w:p>
      <w:pPr>
        <w:ind w:left="820" w:right="200" w:firstLine="385"/>
        <w:spacing w:after="0" w:line="253" w:lineRule="auto"/>
        <w:rPr>
          <w:sz w:val="20"/>
          <w:szCs w:val="20"/>
          <w:color w:val="auto"/>
        </w:rPr>
      </w:pPr>
      <w:r>
        <w:rPr>
          <w:rFonts w:ascii="Arial" w:cs="Arial" w:eastAsia="Arial" w:hAnsi="Arial"/>
          <w:sz w:val="16"/>
          <w:szCs w:val="16"/>
          <w:color w:val="auto"/>
        </w:rPr>
        <w:t>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w:t>
      </w:r>
    </w:p>
    <w:p>
      <w:pPr>
        <w:spacing w:after="0" w:line="167"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In , our board of directors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222</w:t>
      </w:r>
    </w:p>
    <w:p>
      <w:pPr>
        <w:sectPr>
          <w:pgSz w:w="11900" w:h="16838" w:orient="portrait"/>
          <w:cols w:equalWidth="0" w:num="1">
            <w:col w:w="10360"/>
          </w:cols>
          <w:pgMar w:left="320" w:top="418" w:right="1219" w:bottom="1440" w:gutter="0" w:footer="0" w:header="0"/>
        </w:sectPr>
      </w:pPr>
    </w:p>
    <w:bookmarkStart w:id="225" w:name="page226"/>
    <w:bookmarkEnd w:id="2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PRINCIPAL STOCKHOLDERS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sets forth the beneficial ownership of our common stock as of March 31, 2021 by:</w:t>
      </w:r>
    </w:p>
    <w:p>
      <w:pPr>
        <w:spacing w:after="0" w:line="111" w:lineRule="exact"/>
        <w:rPr>
          <w:sz w:val="20"/>
          <w:szCs w:val="20"/>
          <w:color w:val="auto"/>
        </w:rPr>
      </w:pPr>
    </w:p>
    <w:p>
      <w:pPr>
        <w:ind w:left="1660" w:hanging="469"/>
        <w:spacing w:after="0"/>
        <w:tabs>
          <w:tab w:leader="none" w:pos="1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beneficially own more than 5% of our common stock;</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of the named executive officers;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each of our directors; and</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193" w:lineRule="exact"/>
        <w:rPr>
          <w:sz w:val="20"/>
          <w:szCs w:val="20"/>
          <w:color w:val="auto"/>
        </w:rPr>
      </w:pPr>
    </w:p>
    <w:p>
      <w:pPr>
        <w:ind w:left="820" w:right="200" w:firstLine="385"/>
        <w:spacing w:after="0" w:line="251" w:lineRule="auto"/>
        <w:rPr>
          <w:sz w:val="20"/>
          <w:szCs w:val="20"/>
          <w:color w:val="auto"/>
        </w:rPr>
      </w:pPr>
      <w:r>
        <w:rPr>
          <w:rFonts w:ascii="Arial" w:cs="Arial" w:eastAsia="Arial" w:hAnsi="Arial"/>
          <w:sz w:val="16"/>
          <w:szCs w:val="16"/>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70" w:lineRule="exact"/>
        <w:rPr>
          <w:sz w:val="20"/>
          <w:szCs w:val="20"/>
          <w:color w:val="auto"/>
        </w:rPr>
      </w:pPr>
    </w:p>
    <w:p>
      <w:pPr>
        <w:jc w:val="both"/>
        <w:ind w:left="820" w:right="440" w:firstLine="385"/>
        <w:spacing w:after="0" w:line="308" w:lineRule="auto"/>
        <w:rPr>
          <w:sz w:val="20"/>
          <w:szCs w:val="20"/>
          <w:color w:val="auto"/>
        </w:rPr>
      </w:pPr>
      <w:r>
        <w:rPr>
          <w:rFonts w:ascii="Arial" w:cs="Arial" w:eastAsia="Arial" w:hAnsi="Arial"/>
          <w:sz w:val="13"/>
          <w:szCs w:val="13"/>
          <w:color w:val="auto"/>
        </w:rPr>
        <w:t>We have based our calculation of the percentage of beneficial ownership prior to this offering on shares of our common stock outstanding as of March 31, 2021, after giving effect to the automatic conversion of all outstanding shares of our convertible preferred stock into 156,613,818 shares of our common stock immediately prior to the completion of this offering. We have based our calculation of the percentage of</w:t>
      </w:r>
    </w:p>
    <w:p>
      <w:pPr>
        <w:spacing w:after="0" w:line="2" w:lineRule="exact"/>
        <w:rPr>
          <w:sz w:val="20"/>
          <w:szCs w:val="20"/>
          <w:color w:val="auto"/>
        </w:rPr>
      </w:pPr>
    </w:p>
    <w:p>
      <w:pPr>
        <w:ind w:left="820" w:right="80"/>
        <w:spacing w:after="0" w:line="247" w:lineRule="auto"/>
        <w:rPr>
          <w:sz w:val="20"/>
          <w:szCs w:val="20"/>
          <w:color w:val="auto"/>
        </w:rPr>
      </w:pPr>
      <w:r>
        <w:rPr>
          <w:rFonts w:ascii="Arial" w:cs="Arial" w:eastAsia="Arial" w:hAnsi="Arial"/>
          <w:sz w:val="16"/>
          <w:szCs w:val="16"/>
          <w:color w:val="auto"/>
        </w:rPr>
        <w:t>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March 31,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74" w:lineRule="exact"/>
        <w:rPr>
          <w:sz w:val="20"/>
          <w:szCs w:val="20"/>
          <w:color w:val="auto"/>
        </w:rPr>
      </w:pPr>
    </w:p>
    <w:p>
      <w:pPr>
        <w:jc w:val="both"/>
        <w:ind w:left="820" w:firstLine="385"/>
        <w:spacing w:after="0" w:line="281" w:lineRule="auto"/>
        <w:rPr>
          <w:sz w:val="20"/>
          <w:szCs w:val="20"/>
          <w:color w:val="auto"/>
        </w:rPr>
      </w:pPr>
      <w:r>
        <w:rPr>
          <w:rFonts w:ascii="Arial" w:cs="Arial" w:eastAsia="Arial" w:hAnsi="Arial"/>
          <w:sz w:val="15"/>
          <w:szCs w:val="15"/>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9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223</w:t>
      </w:r>
    </w:p>
    <w:p>
      <w:pPr>
        <w:sectPr>
          <w:pgSz w:w="11900" w:h="16838" w:orient="portrait"/>
          <w:cols w:equalWidth="0" w:num="1">
            <w:col w:w="10420"/>
          </w:cols>
          <w:pgMar w:left="320" w:top="418" w:right="1159" w:bottom="1440" w:gutter="0" w:footer="0" w:header="0"/>
        </w:sectPr>
      </w:pPr>
    </w:p>
    <w:bookmarkStart w:id="226" w:name="page227"/>
    <w:bookmarkEnd w:id="2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60" w:firstLine="385"/>
        <w:spacing w:after="0" w:line="266" w:lineRule="auto"/>
        <w:rPr>
          <w:sz w:val="20"/>
          <w:szCs w:val="20"/>
          <w:color w:val="auto"/>
        </w:rPr>
      </w:pPr>
      <w:r>
        <w:rPr>
          <w:rFonts w:ascii="Arial" w:cs="Arial" w:eastAsia="Arial" w:hAnsi="Arial"/>
          <w:sz w:val="16"/>
          <w:szCs w:val="16"/>
          <w:color w:val="auto"/>
        </w:rPr>
        <w:t>Unless otherwise indicated, the address of each beneficial owner listed in the table below is c/o Tenaya Therapeutics, Inc., 171 Oyster Point Boulevard, 5th Floor, South San Francisco, CA 94080.</w:t>
      </w:r>
    </w:p>
    <w:p>
      <w:pPr>
        <w:spacing w:after="0" w:line="155"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80" w:type="dxa"/>
            <w:vAlign w:val="bottom"/>
            <w:gridSpan w:val="4"/>
          </w:tcPr>
          <w:p>
            <w:pPr>
              <w:jc w:val="center"/>
              <w:ind w:left="185"/>
              <w:spacing w:after="0"/>
              <w:rPr>
                <w:sz w:val="20"/>
                <w:szCs w:val="20"/>
                <w:color w:val="auto"/>
              </w:rPr>
            </w:pPr>
            <w:r>
              <w:rPr>
                <w:rFonts w:ascii="Arial" w:cs="Arial" w:eastAsia="Arial" w:hAnsi="Arial"/>
                <w:sz w:val="13"/>
                <w:szCs w:val="13"/>
                <w:b w:val="1"/>
                <w:bCs w:val="1"/>
                <w:color w:val="auto"/>
                <w:w w:val="85"/>
              </w:rPr>
              <w:t>Shares Beneficially</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85"/>
              </w:rPr>
              <w:t>Shares Beneficially</w:t>
            </w:r>
          </w:p>
        </w:tc>
        <w:tc>
          <w:tcPr>
            <w:tcW w:w="0" w:type="dxa"/>
            <w:vAlign w:val="bottom"/>
          </w:tcPr>
          <w:p>
            <w:pPr>
              <w:spacing w:after="0"/>
              <w:rPr>
                <w:sz w:val="1"/>
                <w:szCs w:val="1"/>
                <w:color w:val="auto"/>
              </w:rPr>
            </w:pPr>
          </w:p>
        </w:tc>
      </w:tr>
      <w:tr>
        <w:trPr>
          <w:trHeight w:val="130"/>
        </w:trPr>
        <w:tc>
          <w:tcPr>
            <w:tcW w:w="14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960" w:type="dxa"/>
            <w:vAlign w:val="bottom"/>
            <w:gridSpan w:val="2"/>
          </w:tcPr>
          <w:p>
            <w:pPr>
              <w:jc w:val="center"/>
              <w:ind w:left="505"/>
              <w:spacing w:after="0" w:line="130" w:lineRule="exact"/>
              <w:rPr>
                <w:sz w:val="20"/>
                <w:szCs w:val="20"/>
                <w:color w:val="auto"/>
              </w:rPr>
            </w:pPr>
            <w:r>
              <w:rPr>
                <w:rFonts w:ascii="Arial" w:cs="Arial" w:eastAsia="Arial" w:hAnsi="Arial"/>
                <w:sz w:val="13"/>
                <w:szCs w:val="13"/>
                <w:b w:val="1"/>
                <w:bCs w:val="1"/>
                <w:color w:val="auto"/>
                <w:w w:val="87"/>
              </w:rPr>
              <w:t>Owned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gridSpan w:val="4"/>
          </w:tcPr>
          <w:p>
            <w:pPr>
              <w:jc w:val="center"/>
              <w:ind w:right="520"/>
              <w:spacing w:after="0" w:line="130" w:lineRule="exact"/>
              <w:rPr>
                <w:sz w:val="20"/>
                <w:szCs w:val="20"/>
                <w:color w:val="auto"/>
              </w:rPr>
            </w:pPr>
            <w:r>
              <w:rPr>
                <w:rFonts w:ascii="Arial" w:cs="Arial" w:eastAsia="Arial" w:hAnsi="Arial"/>
                <w:sz w:val="13"/>
                <w:szCs w:val="13"/>
                <w:b w:val="1"/>
                <w:bCs w:val="1"/>
                <w:color w:val="auto"/>
                <w:w w:val="87"/>
              </w:rPr>
              <w:t>Owned</w:t>
            </w:r>
          </w:p>
        </w:tc>
        <w:tc>
          <w:tcPr>
            <w:tcW w:w="0" w:type="dxa"/>
            <w:vAlign w:val="bottom"/>
          </w:tcPr>
          <w:p>
            <w:pPr>
              <w:spacing w:after="0"/>
              <w:rPr>
                <w:sz w:val="1"/>
                <w:szCs w:val="1"/>
                <w:color w:val="auto"/>
              </w:rPr>
            </w:pPr>
          </w:p>
        </w:tc>
      </w:tr>
      <w:tr>
        <w:trPr>
          <w:trHeight w:val="150"/>
        </w:trPr>
        <w:tc>
          <w:tcPr>
            <w:tcW w:w="1420" w:type="dxa"/>
            <w:vAlign w:val="bottom"/>
            <w:vMerge w:val="restart"/>
          </w:tcPr>
          <w:p>
            <w:pPr>
              <w:spacing w:after="0"/>
              <w:rPr>
                <w:sz w:val="20"/>
                <w:szCs w:val="20"/>
                <w:color w:val="auto"/>
              </w:rPr>
            </w:pPr>
            <w:r>
              <w:rPr>
                <w:rFonts w:ascii="Arial" w:cs="Arial" w:eastAsia="Arial" w:hAnsi="Arial"/>
                <w:sz w:val="13"/>
                <w:szCs w:val="13"/>
                <w:b w:val="1"/>
                <w:bCs w:val="1"/>
                <w:color w:val="auto"/>
                <w:w w:val="87"/>
              </w:rPr>
              <w:t>Name of Beneficial Owner</w:t>
            </w:r>
          </w:p>
        </w:tc>
        <w:tc>
          <w:tcPr>
            <w:tcW w:w="4860" w:type="dxa"/>
            <w:vAlign w:val="bottom"/>
            <w:vMerge w:val="restart"/>
          </w:tcPr>
          <w:p>
            <w:pPr>
              <w:spacing w:after="0"/>
              <w:rPr>
                <w:sz w:val="13"/>
                <w:szCs w:val="13"/>
                <w:color w:val="auto"/>
              </w:rPr>
            </w:pPr>
          </w:p>
        </w:tc>
        <w:tc>
          <w:tcPr>
            <w:tcW w:w="1940" w:type="dxa"/>
            <w:vAlign w:val="bottom"/>
            <w:gridSpan w:val="6"/>
          </w:tcPr>
          <w:p>
            <w:pPr>
              <w:jc w:val="center"/>
              <w:ind w:right="400"/>
              <w:spacing w:after="0"/>
              <w:rPr>
                <w:sz w:val="20"/>
                <w:szCs w:val="20"/>
                <w:color w:val="auto"/>
              </w:rPr>
            </w:pPr>
            <w:r>
              <w:rPr>
                <w:rFonts w:ascii="Arial" w:cs="Arial" w:eastAsia="Arial" w:hAnsi="Arial"/>
                <w:sz w:val="13"/>
                <w:szCs w:val="13"/>
                <w:b w:val="1"/>
                <w:bCs w:val="1"/>
                <w:color w:val="auto"/>
                <w:w w:val="89"/>
              </w:rPr>
              <w:t>Prior to this Offering</w:t>
            </w:r>
          </w:p>
        </w:tc>
        <w:tc>
          <w:tcPr>
            <w:tcW w:w="140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1"/>
              </w:rPr>
              <w:t>After this Offering</w:t>
            </w:r>
          </w:p>
        </w:tc>
        <w:tc>
          <w:tcPr>
            <w:tcW w:w="0" w:type="dxa"/>
            <w:vAlign w:val="bottom"/>
          </w:tcPr>
          <w:p>
            <w:pPr>
              <w:spacing w:after="0"/>
              <w:rPr>
                <w:sz w:val="1"/>
                <w:szCs w:val="1"/>
                <w:color w:val="auto"/>
              </w:rPr>
            </w:pPr>
          </w:p>
        </w:tc>
      </w:tr>
      <w:tr>
        <w:trPr>
          <w:trHeight w:val="130"/>
        </w:trPr>
        <w:tc>
          <w:tcPr>
            <w:tcW w:w="1420" w:type="dxa"/>
            <w:vAlign w:val="bottom"/>
            <w:tcBorders>
              <w:bottom w:val="single" w:sz="8" w:color="auto"/>
            </w:tcBorders>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960" w:type="dxa"/>
            <w:vAlign w:val="bottom"/>
            <w:tcBorders>
              <w:top w:val="single" w:sz="8" w:color="auto"/>
            </w:tcBorders>
            <w:gridSpan w:val="2"/>
          </w:tcPr>
          <w:p>
            <w:pPr>
              <w:ind w:left="180"/>
              <w:spacing w:after="0" w:line="110" w:lineRule="exact"/>
              <w:rPr>
                <w:sz w:val="20"/>
                <w:szCs w:val="20"/>
                <w:color w:val="auto"/>
              </w:rPr>
            </w:pPr>
            <w:r>
              <w:rPr>
                <w:rFonts w:ascii="Arial" w:cs="Arial" w:eastAsia="Arial" w:hAnsi="Arial"/>
                <w:sz w:val="12"/>
                <w:szCs w:val="12"/>
                <w:b w:val="1"/>
                <w:bCs w:val="1"/>
                <w:color w:val="auto"/>
              </w:rPr>
              <w:t>Shares</w:t>
            </w:r>
          </w:p>
        </w:tc>
        <w:tc>
          <w:tcPr>
            <w:tcW w:w="620" w:type="dxa"/>
            <w:vAlign w:val="bottom"/>
            <w:tcBorders>
              <w:top w:val="single" w:sz="8" w:color="auto"/>
            </w:tcBorders>
            <w:gridSpan w:val="3"/>
          </w:tcPr>
          <w:p>
            <w:pPr>
              <w:jc w:val="right"/>
              <w:spacing w:after="0" w:line="110" w:lineRule="exact"/>
              <w:rPr>
                <w:sz w:val="20"/>
                <w:szCs w:val="20"/>
                <w:color w:val="auto"/>
              </w:rPr>
            </w:pPr>
            <w:r>
              <w:rPr>
                <w:rFonts w:ascii="Arial" w:cs="Arial" w:eastAsia="Arial" w:hAnsi="Arial"/>
                <w:sz w:val="12"/>
                <w:szCs w:val="12"/>
                <w:b w:val="1"/>
                <w:bCs w:val="1"/>
                <w:color w:val="auto"/>
                <w:w w:val="89"/>
              </w:rPr>
              <w:t>Percentage</w:t>
            </w:r>
          </w:p>
        </w:tc>
        <w:tc>
          <w:tcPr>
            <w:tcW w:w="360" w:type="dxa"/>
            <w:vAlign w:val="bottom"/>
          </w:tcPr>
          <w:p>
            <w:pPr>
              <w:spacing w:after="0"/>
              <w:rPr>
                <w:sz w:val="11"/>
                <w:szCs w:val="11"/>
                <w:color w:val="auto"/>
              </w:rPr>
            </w:pPr>
          </w:p>
        </w:tc>
        <w:tc>
          <w:tcPr>
            <w:tcW w:w="46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b w:val="1"/>
                <w:bCs w:val="1"/>
                <w:color w:val="auto"/>
                <w:w w:val="89"/>
              </w:rPr>
              <w:t>Shares</w:t>
            </w: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40"/>
              <w:spacing w:after="0" w:line="110" w:lineRule="exact"/>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280" w:type="dxa"/>
            <w:vAlign w:val="bottom"/>
            <w:tcBorders>
              <w:top w:val="single" w:sz="8" w:color="CCEEFF"/>
            </w:tcBorders>
            <w:gridSpan w:val="2"/>
            <w:shd w:val="clear" w:color="auto" w:fill="CCEEFF"/>
          </w:tcPr>
          <w:p>
            <w:pPr>
              <w:spacing w:after="0" w:line="161" w:lineRule="exact"/>
              <w:rPr>
                <w:sz w:val="20"/>
                <w:szCs w:val="20"/>
                <w:color w:val="auto"/>
              </w:rPr>
            </w:pPr>
            <w:r>
              <w:rPr>
                <w:rFonts w:ascii="Arial" w:cs="Arial" w:eastAsia="Arial" w:hAnsi="Arial"/>
                <w:sz w:val="16"/>
                <w:szCs w:val="16"/>
                <w:b w:val="1"/>
                <w:bCs w:val="1"/>
                <w:i w:val="1"/>
                <w:iCs w:val="1"/>
                <w:color w:val="auto"/>
              </w:rPr>
              <w:t>5% or Greater Stockholders:</w:t>
            </w: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Entities affiliated with The Column Group(1)</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56,401,773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6"/>
                <w:szCs w:val="16"/>
                <w:color w:val="auto"/>
                <w:w w:val="88"/>
              </w:rPr>
              <w:t>34.4%</w:t>
            </w: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Casdin Group(2)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16,420,921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10.0</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SymBiosis II, LLC(3)</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11,953,721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7.3</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Entities affiliated with FMR LLC(4)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9,652,509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Entities affiliated with RTW(5)</w:t>
            </w:r>
          </w:p>
        </w:tc>
        <w:tc>
          <w:tcPr>
            <w:tcW w:w="740" w:type="dxa"/>
            <w:vAlign w:val="bottom"/>
          </w:tcPr>
          <w:p>
            <w:pPr>
              <w:jc w:val="right"/>
              <w:spacing w:after="0"/>
              <w:rPr>
                <w:sz w:val="20"/>
                <w:szCs w:val="20"/>
                <w:color w:val="auto"/>
              </w:rPr>
            </w:pPr>
            <w:r>
              <w:rPr>
                <w:rFonts w:ascii="Arial" w:cs="Arial" w:eastAsia="Arial" w:hAnsi="Arial"/>
                <w:sz w:val="16"/>
                <w:szCs w:val="16"/>
                <w:color w:val="auto"/>
              </w:rPr>
              <w:t>9,652,509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5.9</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Named Executive Officers and Directors:</w:t>
            </w: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Faraz Ali(6)</w:t>
            </w:r>
          </w:p>
        </w:tc>
        <w:tc>
          <w:tcPr>
            <w:tcW w:w="740" w:type="dxa"/>
            <w:vAlign w:val="bottom"/>
          </w:tcPr>
          <w:p>
            <w:pPr>
              <w:jc w:val="right"/>
              <w:spacing w:after="0"/>
              <w:rPr>
                <w:sz w:val="20"/>
                <w:szCs w:val="20"/>
                <w:color w:val="auto"/>
              </w:rPr>
            </w:pPr>
            <w:r>
              <w:rPr>
                <w:rFonts w:ascii="Arial" w:cs="Arial" w:eastAsia="Arial" w:hAnsi="Arial"/>
                <w:sz w:val="16"/>
                <w:szCs w:val="16"/>
                <w:color w:val="auto"/>
              </w:rPr>
              <w:t>2,831,249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1.7</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Timothy Hoey(7)</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1,227,083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Whittemore Tingley(8)</w:t>
            </w:r>
          </w:p>
        </w:tc>
        <w:tc>
          <w:tcPr>
            <w:tcW w:w="740" w:type="dxa"/>
            <w:vAlign w:val="bottom"/>
          </w:tcPr>
          <w:p>
            <w:pPr>
              <w:jc w:val="right"/>
              <w:spacing w:after="0"/>
              <w:rPr>
                <w:sz w:val="20"/>
                <w:szCs w:val="20"/>
                <w:color w:val="auto"/>
              </w:rPr>
            </w:pPr>
            <w:r>
              <w:rPr>
                <w:rFonts w:ascii="Arial" w:cs="Arial" w:eastAsia="Arial" w:hAnsi="Arial"/>
                <w:sz w:val="16"/>
                <w:szCs w:val="16"/>
                <w:color w:val="auto"/>
              </w:rPr>
              <w:t>462,500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Eli Casdin(2)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16,420,921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10.0</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Jin-Long Chen(9)</w:t>
            </w:r>
          </w:p>
        </w:tc>
        <w:tc>
          <w:tcPr>
            <w:tcW w:w="740" w:type="dxa"/>
            <w:vAlign w:val="bottom"/>
          </w:tcPr>
          <w:p>
            <w:pPr>
              <w:jc w:val="right"/>
              <w:spacing w:after="0"/>
              <w:rPr>
                <w:sz w:val="20"/>
                <w:szCs w:val="20"/>
                <w:color w:val="auto"/>
              </w:rPr>
            </w:pPr>
            <w:r>
              <w:rPr>
                <w:rFonts w:ascii="Arial" w:cs="Arial" w:eastAsia="Arial" w:hAnsi="Arial"/>
                <w:sz w:val="16"/>
                <w:szCs w:val="16"/>
                <w:color w:val="auto"/>
              </w:rPr>
              <w:t>180,000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David V. Goeddel(1)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56,401,773</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3"/>
              </w:rPr>
              <w:t>34.4</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JeenJoo Kang(10)</w:t>
            </w:r>
          </w:p>
        </w:tc>
        <w:tc>
          <w:tcPr>
            <w:tcW w:w="740" w:type="dxa"/>
            <w:vAlign w:val="bottom"/>
          </w:tcPr>
          <w:p>
            <w:pPr>
              <w:jc w:val="right"/>
              <w:spacing w:after="0"/>
              <w:rPr>
                <w:sz w:val="20"/>
                <w:szCs w:val="20"/>
                <w:color w:val="auto"/>
              </w:rPr>
            </w:pPr>
            <w:r>
              <w:rPr>
                <w:rFonts w:ascii="Arial" w:cs="Arial" w:eastAsia="Arial" w:hAnsi="Arial"/>
                <w:sz w:val="16"/>
                <w:szCs w:val="16"/>
                <w:color w:val="auto"/>
              </w:rPr>
              <w:t>150,000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Catherine Stehman-Breen(11)</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Deepak Srivastava(12)</w:t>
            </w:r>
          </w:p>
        </w:tc>
        <w:tc>
          <w:tcPr>
            <w:tcW w:w="740" w:type="dxa"/>
            <w:vAlign w:val="bottom"/>
          </w:tcPr>
          <w:p>
            <w:pPr>
              <w:jc w:val="right"/>
              <w:spacing w:after="0"/>
              <w:rPr>
                <w:sz w:val="20"/>
                <w:szCs w:val="20"/>
                <w:color w:val="auto"/>
              </w:rPr>
            </w:pPr>
            <w:r>
              <w:rPr>
                <w:rFonts w:ascii="Arial" w:cs="Arial" w:eastAsia="Arial" w:hAnsi="Arial"/>
                <w:sz w:val="16"/>
                <w:szCs w:val="16"/>
                <w:color w:val="auto"/>
              </w:rPr>
              <w:t>1,983,333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Jeffrey Walsh(13)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52,500</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tcPr>
          <w:p>
            <w:pPr>
              <w:spacing w:after="0"/>
              <w:rPr>
                <w:sz w:val="20"/>
                <w:szCs w:val="20"/>
                <w:color w:val="auto"/>
              </w:rPr>
            </w:pPr>
            <w:r>
              <w:rPr>
                <w:rFonts w:ascii="Arial" w:cs="Arial" w:eastAsia="Arial" w:hAnsi="Arial"/>
                <w:sz w:val="16"/>
                <w:szCs w:val="16"/>
                <w:color w:val="auto"/>
              </w:rPr>
              <w:t>R. Sanders Williams(14)</w:t>
            </w:r>
          </w:p>
        </w:tc>
        <w:tc>
          <w:tcPr>
            <w:tcW w:w="740" w:type="dxa"/>
            <w:vAlign w:val="bottom"/>
          </w:tcPr>
          <w:p>
            <w:pPr>
              <w:jc w:val="right"/>
              <w:spacing w:after="0"/>
              <w:rPr>
                <w:sz w:val="20"/>
                <w:szCs w:val="20"/>
                <w:color w:val="auto"/>
              </w:rPr>
            </w:pPr>
            <w:r>
              <w:rPr>
                <w:rFonts w:ascii="Arial" w:cs="Arial" w:eastAsia="Arial" w:hAnsi="Arial"/>
                <w:sz w:val="16"/>
                <w:szCs w:val="16"/>
                <w:color w:val="auto"/>
              </w:rPr>
              <w:t>180,000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i w:val="1"/>
                <w:iCs w:val="1"/>
                <w:color w:val="auto"/>
              </w:rPr>
              <w:t>All executive officers and directors as a group (11 persons)(15)</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79,930,609</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88"/>
              </w:rPr>
              <w:t>47.7%</w:t>
            </w: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74930</wp:posOffset>
            </wp:positionV>
            <wp:extent cx="666115"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3" w:lineRule="exact"/>
        <w:rPr>
          <w:sz w:val="20"/>
          <w:szCs w:val="20"/>
          <w:color w:val="auto"/>
        </w:rPr>
      </w:pPr>
    </w:p>
    <w:p>
      <w:pPr>
        <w:ind w:left="1200" w:hanging="386"/>
        <w:spacing w:after="0"/>
        <w:tabs>
          <w:tab w:leader="none" w:pos="12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Represents beneficial ownership of less than 1% of the outstanding shares of our common stock.</w:t>
      </w:r>
    </w:p>
    <w:p>
      <w:pPr>
        <w:spacing w:after="0" w:line="16" w:lineRule="exact"/>
        <w:rPr>
          <w:sz w:val="20"/>
          <w:szCs w:val="20"/>
          <w:color w:val="auto"/>
        </w:rPr>
      </w:pPr>
    </w:p>
    <w:p>
      <w:pPr>
        <w:ind w:left="1200" w:right="80" w:hanging="386"/>
        <w:spacing w:after="0" w:line="262" w:lineRule="auto"/>
        <w:tabs>
          <w:tab w:leader="none" w:pos="120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Consists of 26,488,338 shares held directly by The Column Group III, LP and 29,913,435 shares held directly by The Column Group III-A, LP (Column Group Funds). The Column Group III GP, LP (TCG III GP) is the general partner of each of the Column Group Funds. The managing partners of TCG III GP are David Goeddel, Peter Svennilson and Tim Kutzkey who may be deemed to share voting and investment power with respect to the shares, and each of whom disclaim beneficial ownership of the shares held by the Column Group Funds except to the extent of their pecuniary interests therein, if any. Dr. Goeddel is a member of our board of directors. The address of the Column Group Funds is 1 Letterman Drive, Building D, Suite DM-900, San Francisco, CA 94129.</w:t>
      </w:r>
    </w:p>
    <w:p>
      <w:pPr>
        <w:spacing w:after="0" w:line="2" w:lineRule="exact"/>
        <w:rPr>
          <w:rFonts w:ascii="Arial" w:cs="Arial" w:eastAsia="Arial" w:hAnsi="Arial"/>
          <w:sz w:val="15"/>
          <w:szCs w:val="15"/>
          <w:color w:val="auto"/>
        </w:rPr>
      </w:pPr>
    </w:p>
    <w:p>
      <w:pPr>
        <w:ind w:left="1200" w:right="60" w:hanging="386"/>
        <w:spacing w:after="0" w:line="246" w:lineRule="auto"/>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Consists of 14,249,106 shares held directly by Casdin Partners Master Fund, L.P. (CPMF) and 2,171,815 shares held directly by Casdin Private Growth Equity Fund, L.P. (CPGEF). Casdin Capital, LLC is the investment advisor to CPMF and CPGEF. Casdin Partners GP, LLC is the general partner of CPMF. Casdin Private Growth Equity Fund GP, LLC is the general partner of CPGEF. Eli Casdin, a member of our board of directors, is the managing member of Casdin Capital, LLC, Casdin Partners GP, LLC and Casdin Private Growth Equity Fund GP, LLC and may be deemed to have voting and investment power with respect to the shares and who disclaims beneficial ownership of the shares except to the extent of his pecuniary interests therein, if any. The address of these entities and individuals is 1350 Avenue of the Americas, Suite 2600, New York, NY 10019.</w:t>
      </w:r>
    </w:p>
    <w:p>
      <w:pPr>
        <w:ind w:left="1200" w:right="520" w:hanging="386"/>
        <w:spacing w:after="0" w:line="246" w:lineRule="auto"/>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These shares are beneficially owned by Thomas Layton Walton. The shares are directly held by SymBiosis II, LLC over which Mr. Walton exercises sole investment power. The address of Mr. Walton is PO Box 1860, Bentonville, AR 72712.</w:t>
      </w:r>
    </w:p>
    <w:p>
      <w:pPr>
        <w:ind w:left="1200" w:hanging="386"/>
        <w:spacing w:after="0"/>
        <w:tabs>
          <w:tab w:leader="none" w:pos="12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Consists of 2,413,127 shares held by Fidelity Advisor Series VII: Advisor Biotechnology Fund (Advisor Series VII) and 7,239,382 shares held</w:t>
      </w:r>
    </w:p>
    <w:p>
      <w:pPr>
        <w:spacing w:after="0" w:line="39" w:lineRule="exact"/>
        <w:rPr>
          <w:rFonts w:ascii="Arial" w:cs="Arial" w:eastAsia="Arial" w:hAnsi="Arial"/>
          <w:sz w:val="13"/>
          <w:szCs w:val="13"/>
          <w:color w:val="auto"/>
        </w:rPr>
      </w:pPr>
    </w:p>
    <w:p>
      <w:pPr>
        <w:jc w:val="both"/>
        <w:ind w:left="1200" w:right="60"/>
        <w:spacing w:after="0" w:line="249" w:lineRule="auto"/>
        <w:rPr>
          <w:rFonts w:ascii="Arial" w:cs="Arial" w:eastAsia="Arial" w:hAnsi="Arial"/>
          <w:sz w:val="13"/>
          <w:szCs w:val="13"/>
          <w:color w:val="auto"/>
        </w:rPr>
      </w:pPr>
      <w:r>
        <w:rPr>
          <w:rFonts w:ascii="Arial" w:cs="Arial" w:eastAsia="Arial" w:hAnsi="Arial"/>
          <w:sz w:val="16"/>
          <w:szCs w:val="16"/>
          <w:color w:val="auto"/>
        </w:rPr>
        <w:t>directly by Fidelity Select Portfolios: Biotechnology Portfolio (Select Portfolios). These accounts are managed by direct or indirect subsidiaries of FMR LLC. Abigail P. Johnson is a director, the chairman, the chief executive officer and president of FMR LLC. Members of the Johnson family, including Abigail P. Johnson, are the predominant owners, directly or through trusts, of Series B</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224</w:t>
      </w:r>
    </w:p>
    <w:p>
      <w:pPr>
        <w:sectPr>
          <w:pgSz w:w="11900" w:h="16838" w:orient="portrait"/>
          <w:cols w:equalWidth="0" w:num="1">
            <w:col w:w="10440"/>
          </w:cols>
          <w:pgMar w:left="320" w:top="418" w:right="1139" w:bottom="1440" w:gutter="0" w:footer="0" w:header="0"/>
        </w:sectPr>
      </w:pPr>
    </w:p>
    <w:bookmarkStart w:id="227" w:name="page228"/>
    <w:bookmarkEnd w:id="2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line="264" w:lineRule="auto"/>
        <w:rPr>
          <w:sz w:val="20"/>
          <w:szCs w:val="20"/>
          <w:color w:val="auto"/>
        </w:rPr>
      </w:pPr>
      <w:r>
        <w:rPr>
          <w:rFonts w:ascii="Arial" w:cs="Arial" w:eastAsia="Arial" w:hAnsi="Arial"/>
          <w:sz w:val="15"/>
          <w:szCs w:val="15"/>
          <w:color w:val="auto"/>
        </w:rPr>
        <w:t>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(the Fidelity Funds) advised by Fidelity Management &amp; Research Company (FMR Co.), a wholly owned subsidiary of FMR LLC, which power resides with the Fidelity Funds’ Board of Trustees. FMR Co. carries out the voting of the shares under written guidelines established by the Fidelity Funds’ Board of Trustees. The address of FMR LLC is 245 Summer Street, Boston, MA 02210.</w:t>
      </w:r>
    </w:p>
    <w:p>
      <w:pPr>
        <w:spacing w:after="0" w:line="2" w:lineRule="exact"/>
        <w:rPr>
          <w:sz w:val="20"/>
          <w:szCs w:val="20"/>
          <w:color w:val="auto"/>
        </w:rPr>
      </w:pPr>
    </w:p>
    <w:p>
      <w:pPr>
        <w:ind w:left="1200" w:hanging="386"/>
        <w:spacing w:after="0" w:line="246" w:lineRule="auto"/>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Consists of 9,652,509 shares in the aggregate held by RTW Innovation Master Fund, Ltd., RTW Master Fund, Ltd. and RTW Venture Fund Limited. Roderick Wong is the managing partner and chief investment officer of RTW Investments, LP and as such has sole voting and investment control over the shares. Dr. Wong disclaims beneficial ownership of the shares except to the extent of his pecuniary interest therein, if any. The address of the RTW funds is 40 10th Avenue, Floor 7, New York, NY 10014.</w:t>
      </w:r>
    </w:p>
    <w:p>
      <w:pPr>
        <w:ind w:left="1200" w:right="40" w:hanging="386"/>
        <w:spacing w:after="0" w:line="246" w:lineRule="auto"/>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Consists of 2,831,249 shares subject to outstanding options that are exercisable within 60 days of March 31, 2021, of which 1,062,500 shares may be repurchased by us, if exercised, at the original exercise price per share.</w:t>
      </w:r>
    </w:p>
    <w:p>
      <w:pPr>
        <w:ind w:left="1200" w:right="240" w:hanging="386"/>
        <w:spacing w:after="0" w:line="262" w:lineRule="auto"/>
        <w:tabs>
          <w:tab w:leader="none" w:pos="120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Consists of 1,000,000 shares held directly by Dr. Hoey and 227,083 shares subject to outstanding options that are exercisable within 60 days of March 31, 2021, of which 83,334 shares may be repurchased by us, if exercised, at the original exercise price per share.</w:t>
      </w:r>
    </w:p>
    <w:p>
      <w:pPr>
        <w:ind w:left="1200" w:right="80" w:hanging="386"/>
        <w:spacing w:after="0" w:line="246" w:lineRule="auto"/>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Consists of 462,500 shares subject to outstanding options that are exercisable within 60 days of March 31, 2021, of which 178,125 shares may be repurchased by us, if exercised, at the original exercise price per share.</w:t>
      </w:r>
    </w:p>
    <w:p>
      <w:pPr>
        <w:ind w:left="1200" w:hanging="386"/>
        <w:spacing w:after="0"/>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Includes 30,000 shares subject to outstanding options that are exercisable within 60 days of March 31, 2021.</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Consists of 150,000 shares held directly by Dr. Kang. Excludes 56,401,773 shares held by The Column Group funds as set forth in footnote</w:t>
      </w:r>
    </w:p>
    <w:p>
      <w:pPr>
        <w:spacing w:after="0" w:line="39" w:lineRule="exact"/>
        <w:rPr>
          <w:rFonts w:ascii="Arial" w:cs="Arial" w:eastAsia="Arial" w:hAnsi="Arial"/>
          <w:sz w:val="13"/>
          <w:szCs w:val="13"/>
          <w:color w:val="auto"/>
        </w:rPr>
      </w:pPr>
    </w:p>
    <w:p>
      <w:pPr>
        <w:ind w:left="1200"/>
        <w:spacing w:after="0"/>
        <w:rPr>
          <w:rFonts w:ascii="Arial" w:cs="Arial" w:eastAsia="Arial" w:hAnsi="Arial"/>
          <w:sz w:val="13"/>
          <w:szCs w:val="13"/>
          <w:color w:val="auto"/>
        </w:rPr>
      </w:pPr>
      <w:r>
        <w:rPr>
          <w:rFonts w:ascii="Arial" w:cs="Arial" w:eastAsia="Arial" w:hAnsi="Arial"/>
          <w:sz w:val="16"/>
          <w:szCs w:val="16"/>
          <w:color w:val="auto"/>
        </w:rPr>
        <w:t>(1) above for which Dr. Kang has no voting or investment control.</w:t>
      </w:r>
    </w:p>
    <w:p>
      <w:pPr>
        <w:spacing w:after="0" w:line="4" w:lineRule="exact"/>
        <w:rPr>
          <w:rFonts w:ascii="Arial" w:cs="Arial" w:eastAsia="Arial" w:hAnsi="Arial"/>
          <w:sz w:val="13"/>
          <w:szCs w:val="13"/>
          <w:color w:val="auto"/>
        </w:rPr>
      </w:pPr>
    </w:p>
    <w:p>
      <w:pPr>
        <w:ind w:left="1200" w:hanging="386"/>
        <w:spacing w:after="0"/>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Consists of 41,250 shares subject to outstanding options that are exercisable within 60 days of March 31, 2021.</w:t>
      </w:r>
    </w:p>
    <w:p>
      <w:pPr>
        <w:spacing w:after="0" w:line="4" w:lineRule="exact"/>
        <w:rPr>
          <w:rFonts w:ascii="Arial" w:cs="Arial" w:eastAsia="Arial" w:hAnsi="Arial"/>
          <w:sz w:val="16"/>
          <w:szCs w:val="16"/>
          <w:color w:val="auto"/>
        </w:rPr>
      </w:pPr>
    </w:p>
    <w:p>
      <w:pPr>
        <w:jc w:val="both"/>
        <w:ind w:left="1200" w:hanging="386"/>
        <w:spacing w:after="0" w:line="302" w:lineRule="auto"/>
        <w:tabs>
          <w:tab w:leader="none" w:pos="120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Consists of 975,000 shares held directly by Dr. Srivastava and 850,000 shares held directly by Gladstone Institutes for which Dr. Srivastava serves as President and may be deemed to have voting and investment control over the shares. Dr. Srivastava disclaims beneficial ownership of the shares held by Gladstone Institutes. Also includes 158,333 shares subject to outstanding options that are exercisable within 60 days of March 31, 2021.</w:t>
      </w:r>
    </w:p>
    <w:p>
      <w:pPr>
        <w:spacing w:after="0" w:line="1" w:lineRule="exact"/>
        <w:rPr>
          <w:rFonts w:ascii="Arial" w:cs="Arial" w:eastAsia="Arial" w:hAnsi="Arial"/>
          <w:sz w:val="13"/>
          <w:szCs w:val="13"/>
          <w:color w:val="auto"/>
        </w:rPr>
      </w:pPr>
    </w:p>
    <w:p>
      <w:pPr>
        <w:ind w:left="1200" w:hanging="386"/>
        <w:spacing w:after="0"/>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Includes 52,500 shares subject to outstanding options that are exercisable within 60 days of March 31, 2021.</w:t>
      </w:r>
    </w:p>
    <w:p>
      <w:pPr>
        <w:spacing w:after="0" w:line="4" w:lineRule="exact"/>
        <w:rPr>
          <w:rFonts w:ascii="Arial" w:cs="Arial" w:eastAsia="Arial" w:hAnsi="Arial"/>
          <w:sz w:val="16"/>
          <w:szCs w:val="16"/>
          <w:color w:val="auto"/>
        </w:rPr>
      </w:pPr>
    </w:p>
    <w:p>
      <w:pPr>
        <w:ind w:left="1200" w:hanging="386"/>
        <w:spacing w:after="0"/>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Consists of 180,000 shares held directly by Dr. Williams.</w:t>
      </w:r>
    </w:p>
    <w:p>
      <w:pPr>
        <w:spacing w:after="0" w:line="4" w:lineRule="exact"/>
        <w:rPr>
          <w:rFonts w:ascii="Arial" w:cs="Arial" w:eastAsia="Arial" w:hAnsi="Arial"/>
          <w:sz w:val="16"/>
          <w:szCs w:val="16"/>
          <w:color w:val="auto"/>
        </w:rPr>
      </w:pPr>
    </w:p>
    <w:p>
      <w:pPr>
        <w:ind w:left="1200" w:right="20" w:hanging="386"/>
        <w:spacing w:after="0" w:line="252" w:lineRule="auto"/>
        <w:tabs>
          <w:tab w:leader="none" w:pos="12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Includes 3,802,915 shares subject to outstanding options that are exercisable within 60 days of March 31, 2021, of which 1,323,959 shares may be repurchased by us, if exercised, at the original exercise price per share.</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225</w:t>
      </w:r>
    </w:p>
    <w:p>
      <w:pPr>
        <w:sectPr>
          <w:pgSz w:w="11900" w:h="16838" w:orient="portrait"/>
          <w:cols w:equalWidth="0" w:num="1">
            <w:col w:w="10420"/>
          </w:cols>
          <w:pgMar w:left="320" w:top="418" w:right="1159" w:bottom="1440" w:gutter="0" w:footer="0" w:header="0"/>
        </w:sectPr>
      </w:pPr>
    </w:p>
    <w:bookmarkStart w:id="228" w:name="page229"/>
    <w:bookmarkEnd w:id="2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DESCRIPTION OF CAPITAL STOCK</w:t>
      </w:r>
    </w:p>
    <w:p>
      <w:pPr>
        <w:spacing w:after="0" w:line="197" w:lineRule="exact"/>
        <w:rPr>
          <w:sz w:val="20"/>
          <w:szCs w:val="20"/>
          <w:color w:val="auto"/>
        </w:rPr>
      </w:pPr>
    </w:p>
    <w:p>
      <w:pPr>
        <w:ind w:left="820" w:right="180" w:firstLine="385"/>
        <w:spacing w:after="0" w:line="251" w:lineRule="auto"/>
        <w:rPr>
          <w:sz w:val="20"/>
          <w:szCs w:val="20"/>
          <w:color w:val="auto"/>
        </w:rPr>
      </w:pPr>
      <w:r>
        <w:rPr>
          <w:rFonts w:ascii="Arial" w:cs="Arial" w:eastAsia="Arial" w:hAnsi="Arial"/>
          <w:sz w:val="16"/>
          <w:szCs w:val="16"/>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Immediately prior to the completion of this offering, upon the filing of our amended and restated certificate of incorporation to be effective upon</w:t>
      </w:r>
    </w:p>
    <w:p>
      <w:pPr>
        <w:spacing w:after="0" w:line="51" w:lineRule="exact"/>
        <w:rPr>
          <w:sz w:val="20"/>
          <w:szCs w:val="20"/>
          <w:color w:val="auto"/>
        </w:rPr>
      </w:pPr>
    </w:p>
    <w:p>
      <w:pPr>
        <w:ind w:left="820" w:right="820"/>
        <w:spacing w:after="0" w:line="252" w:lineRule="auto"/>
        <w:rPr>
          <w:sz w:val="20"/>
          <w:szCs w:val="20"/>
          <w:color w:val="auto"/>
        </w:rPr>
      </w:pPr>
      <w:r>
        <w:rPr>
          <w:rFonts w:ascii="Arial" w:cs="Arial" w:eastAsia="Arial" w:hAnsi="Arial"/>
          <w:sz w:val="16"/>
          <w:szCs w:val="16"/>
          <w:color w:val="auto"/>
        </w:rPr>
        <w:t>completion of this offering, our authorized capital stock will consist of shares of common stock, par value $0.0001 per share, and shares of preferred stock, par value $0.0001 per share.</w:t>
      </w:r>
    </w:p>
    <w:p>
      <w:pPr>
        <w:spacing w:after="0" w:line="168"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Immediately prior to the completion of this offering, all the outstanding shares of our convertible preferred stock will automatically convert into an aggregate of 156,613,818 shares of our common stock.</w:t>
      </w:r>
    </w:p>
    <w:p>
      <w:pPr>
        <w:spacing w:after="0" w:line="158" w:lineRule="exact"/>
        <w:rPr>
          <w:sz w:val="20"/>
          <w:szCs w:val="20"/>
          <w:color w:val="auto"/>
        </w:rPr>
      </w:pPr>
    </w:p>
    <w:p>
      <w:pPr>
        <w:ind w:left="820" w:right="60" w:firstLine="385"/>
        <w:spacing w:after="0" w:line="311" w:lineRule="auto"/>
        <w:rPr>
          <w:sz w:val="20"/>
          <w:szCs w:val="20"/>
          <w:color w:val="auto"/>
        </w:rPr>
      </w:pPr>
      <w:r>
        <w:rPr>
          <w:rFonts w:ascii="Arial" w:cs="Arial" w:eastAsia="Arial" w:hAnsi="Arial"/>
          <w:sz w:val="13"/>
          <w:szCs w:val="13"/>
          <w:color w:val="auto"/>
        </w:rPr>
        <w:t>Based on 163,948,679 shares of common stock outstanding as of March 31, 2021, and after giving effect to the automatic conversion of all of our outstanding convertible preferred stock into an aggregate of 156,613,818 shares of common stock immediately prior to the completion of this offering</w:t>
      </w:r>
    </w:p>
    <w:p>
      <w:pPr>
        <w:spacing w:after="0" w:line="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and the issuance of shares of common stock in this offering, there will be shares of common stock outstanding upon the completion of this offering. As of March 31, 2021, we had 82 stockholders of record.</w:t>
      </w:r>
    </w:p>
    <w:p>
      <w:pPr>
        <w:spacing w:after="0" w:line="25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Common Stock</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Voting Rights</w:t>
      </w:r>
    </w:p>
    <w:p>
      <w:pPr>
        <w:spacing w:after="0" w:line="99" w:lineRule="exact"/>
        <w:rPr>
          <w:sz w:val="20"/>
          <w:szCs w:val="20"/>
          <w:color w:val="auto"/>
        </w:rPr>
      </w:pPr>
    </w:p>
    <w:p>
      <w:pPr>
        <w:ind w:left="820" w:right="40" w:firstLine="385"/>
        <w:spacing w:after="0" w:line="314" w:lineRule="auto"/>
        <w:rPr>
          <w:sz w:val="20"/>
          <w:szCs w:val="20"/>
          <w:color w:val="auto"/>
        </w:rPr>
      </w:pPr>
      <w:r>
        <w:rPr>
          <w:rFonts w:ascii="Arial" w:cs="Arial" w:eastAsia="Arial" w:hAnsi="Arial"/>
          <w:sz w:val="13"/>
          <w:szCs w:val="13"/>
          <w:color w:val="auto"/>
        </w:rPr>
        <w:t>Each holder of common stock is entitled to one vote for each share on all matters submitted to a vote of the stockholders, including the election of directors. Our amended and restated certificate of incorporation and amended and restated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Dividends</w:t>
      </w:r>
    </w:p>
    <w:p>
      <w:pPr>
        <w:spacing w:after="0" w:line="99" w:lineRule="exact"/>
        <w:rPr>
          <w:sz w:val="20"/>
          <w:szCs w:val="20"/>
          <w:color w:val="auto"/>
        </w:rPr>
      </w:pPr>
    </w:p>
    <w:p>
      <w:pPr>
        <w:ind w:left="820" w:right="540" w:firstLine="385"/>
        <w:spacing w:after="0" w:line="266" w:lineRule="auto"/>
        <w:rPr>
          <w:sz w:val="20"/>
          <w:szCs w:val="20"/>
          <w:color w:val="auto"/>
        </w:rPr>
      </w:pPr>
      <w:r>
        <w:rPr>
          <w:rFonts w:ascii="Arial" w:cs="Arial" w:eastAsia="Arial" w:hAnsi="Arial"/>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Liquidation</w:t>
      </w:r>
    </w:p>
    <w:p>
      <w:pPr>
        <w:spacing w:after="0" w:line="99" w:lineRule="exact"/>
        <w:rPr>
          <w:sz w:val="20"/>
          <w:szCs w:val="20"/>
          <w:color w:val="auto"/>
        </w:rPr>
      </w:pPr>
    </w:p>
    <w:p>
      <w:pPr>
        <w:ind w:left="820" w:right="240" w:firstLine="385"/>
        <w:spacing w:after="0" w:line="256" w:lineRule="auto"/>
        <w:rPr>
          <w:sz w:val="20"/>
          <w:szCs w:val="20"/>
          <w:color w:val="auto"/>
        </w:rPr>
      </w:pPr>
      <w:r>
        <w:rPr>
          <w:rFonts w:ascii="Arial" w:cs="Arial" w:eastAsia="Arial" w:hAnsi="Arial"/>
          <w:sz w:val="16"/>
          <w:szCs w:val="16"/>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226</w:t>
      </w:r>
    </w:p>
    <w:p>
      <w:pPr>
        <w:sectPr>
          <w:pgSz w:w="11900" w:h="16838" w:orient="portrait"/>
          <w:cols w:equalWidth="0" w:num="1">
            <w:col w:w="10420"/>
          </w:cols>
          <w:pgMar w:left="320" w:top="418" w:right="1159" w:bottom="1440" w:gutter="0" w:footer="0" w:header="0"/>
        </w:sectPr>
      </w:pPr>
    </w:p>
    <w:bookmarkStart w:id="229" w:name="page230"/>
    <w:bookmarkEnd w:id="2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Rights, Preferences and Privileges</w:t>
      </w:r>
    </w:p>
    <w:p>
      <w:pPr>
        <w:spacing w:after="0" w:line="99" w:lineRule="exact"/>
        <w:rPr>
          <w:sz w:val="20"/>
          <w:szCs w:val="20"/>
          <w:color w:val="auto"/>
        </w:rPr>
      </w:pPr>
    </w:p>
    <w:p>
      <w:pPr>
        <w:jc w:val="both"/>
        <w:ind w:left="820" w:firstLine="385"/>
        <w:spacing w:after="0" w:line="281" w:lineRule="auto"/>
        <w:rPr>
          <w:sz w:val="20"/>
          <w:szCs w:val="20"/>
          <w:color w:val="auto"/>
        </w:rPr>
      </w:pPr>
      <w:r>
        <w:rPr>
          <w:rFonts w:ascii="Arial" w:cs="Arial" w:eastAsia="Arial" w:hAnsi="Arial"/>
          <w:sz w:val="15"/>
          <w:szCs w:val="15"/>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99"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Preferred Stock</w:t>
      </w:r>
    </w:p>
    <w:p>
      <w:pPr>
        <w:spacing w:after="0" w:line="103" w:lineRule="exact"/>
        <w:rPr>
          <w:sz w:val="20"/>
          <w:szCs w:val="20"/>
          <w:color w:val="auto"/>
        </w:rPr>
      </w:pPr>
    </w:p>
    <w:p>
      <w:pPr>
        <w:ind w:left="1480" w:right="140" w:hanging="282"/>
        <w:spacing w:after="0" w:line="311" w:lineRule="auto"/>
        <w:rPr>
          <w:sz w:val="20"/>
          <w:szCs w:val="20"/>
          <w:color w:val="auto"/>
        </w:rPr>
      </w:pPr>
      <w:r>
        <w:rPr>
          <w:rFonts w:ascii="Arial" w:cs="Arial" w:eastAsia="Arial" w:hAnsi="Arial"/>
          <w:sz w:val="13"/>
          <w:szCs w:val="13"/>
          <w:color w:val="auto"/>
        </w:rPr>
        <w:t>Upon the completion of this offering, our board of directors will have the authority, without further action by the stockholders, to issue up to shares of preferred stock in one or more series and to fix the rights, preferences, privileges and restrictions thereof. These rights, preferences</w:t>
      </w:r>
    </w:p>
    <w:p>
      <w:pPr>
        <w:spacing w:after="0" w:line="1" w:lineRule="exact"/>
        <w:rPr>
          <w:sz w:val="20"/>
          <w:szCs w:val="20"/>
          <w:color w:val="auto"/>
        </w:rPr>
      </w:pPr>
    </w:p>
    <w:p>
      <w:pPr>
        <w:ind w:left="820" w:right="60"/>
        <w:spacing w:after="0" w:line="247" w:lineRule="auto"/>
        <w:rPr>
          <w:sz w:val="20"/>
          <w:szCs w:val="20"/>
          <w:color w:val="auto"/>
        </w:rPr>
      </w:pPr>
      <w:r>
        <w:rPr>
          <w:rFonts w:ascii="Arial" w:cs="Arial" w:eastAsia="Arial" w:hAnsi="Arial"/>
          <w:sz w:val="16"/>
          <w:szCs w:val="16"/>
          <w:color w:val="auto"/>
        </w:rPr>
        <w:t>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the completion of this offering, no shares of preferred stock will be outstanding, and we have no present plan to issue any shares of preferred stock.</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Options</w:t>
      </w:r>
    </w:p>
    <w:p>
      <w:pPr>
        <w:spacing w:after="0" w:line="103"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As of March 31, 2021, we had outstanding options to purchase an aggregate of 10,368,032 shares of our common stock, with a weighted-average exercise price of $0.51 per share, under our 2016 Plan.</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Rights</w:t>
      </w:r>
    </w:p>
    <w:p>
      <w:pPr>
        <w:spacing w:after="0" w:line="103"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After the completion of this offering, under our investors’ rights agreement, as amended, the holders of shares of common stock or their transferees, will have the right to require us to register the offer and sale of their shares or to include their shares in any registration statement we file, in each case as described below.</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Demand Registration Rights</w:t>
      </w:r>
    </w:p>
    <w:p>
      <w:pPr>
        <w:spacing w:after="0" w:line="99" w:lineRule="exact"/>
        <w:rPr>
          <w:sz w:val="20"/>
          <w:szCs w:val="20"/>
          <w:color w:val="auto"/>
        </w:rPr>
      </w:pPr>
    </w:p>
    <w:p>
      <w:pPr>
        <w:ind w:left="820" w:right="100" w:firstLine="385"/>
        <w:spacing w:after="0" w:line="314" w:lineRule="auto"/>
        <w:rPr>
          <w:sz w:val="20"/>
          <w:szCs w:val="20"/>
          <w:color w:val="auto"/>
        </w:rPr>
      </w:pPr>
      <w:r>
        <w:rPr>
          <w:rFonts w:ascii="Arial" w:cs="Arial" w:eastAsia="Arial" w:hAnsi="Arial"/>
          <w:sz w:val="13"/>
          <w:szCs w:val="13"/>
          <w:color w:val="auto"/>
        </w:rPr>
        <w:t>After the completion of this offering, the holders of up to 156,613,818 shares of our common stock will be entitled to certain demand registration rights. At any time beginning after 180 days following the date of effectiveness of the registration statement of which this prospectus forms a part, the holders of at least 50% of the shares having registration rights then outstanding can request that we file a registration statement to register the offer and sale of their shares. We are only obligated to effect up to two such registrations. Each such request for registration must cover securities of which the anticipated aggregate gross proceeds, before deducting underwriting discounts and expenses, is at least $10.0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Form S-3 Registration Rights</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After the completion of this offering, the holders of up to 156,613,818 shares of our common stock will be entitled to certain Form S-3 registration rights. At any time after the completion of this offering when we are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227</w:t>
      </w:r>
    </w:p>
    <w:p>
      <w:pPr>
        <w:sectPr>
          <w:pgSz w:w="11900" w:h="16838" w:orient="portrait"/>
          <w:cols w:equalWidth="0" w:num="1">
            <w:col w:w="10440"/>
          </w:cols>
          <w:pgMar w:left="320" w:top="418" w:right="1139" w:bottom="1440" w:gutter="0" w:footer="0" w:header="0"/>
        </w:sectPr>
      </w:pPr>
    </w:p>
    <w:bookmarkStart w:id="230" w:name="page231"/>
    <w:bookmarkEnd w:id="2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spacing w:after="0" w:line="267" w:lineRule="auto"/>
        <w:rPr>
          <w:sz w:val="20"/>
          <w:szCs w:val="20"/>
          <w:color w:val="auto"/>
        </w:rPr>
      </w:pPr>
      <w:r>
        <w:rPr>
          <w:rFonts w:ascii="Arial" w:cs="Arial" w:eastAsia="Arial" w:hAnsi="Arial"/>
          <w:sz w:val="15"/>
          <w:szCs w:val="15"/>
          <w:color w:val="auto"/>
        </w:rPr>
        <w:t>eligible to file a registration statement on Form S-3, any holders having these rights then outstanding can request that we register the offer and sale of their shares of our common stock on a registration statement on Form S-3 so long as the request covers securities the anticipated aggregate public offering price of which is at least $1.0 million. These stockholders may make an unlimited number of requests for registration on a registration statement on Form S-3. However, we will not be required to effect a registration on Form S-3 if we have effected two such registrations within the twelve 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 month period, for a period of up to 90 days.</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Piggyback Registration Rights</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After the completion of this offering, the holders of up to 156,613,818 shares of our common stock will be entitled to certain “piggyback” registration rights. If we propose to register the offer and sale of shares of our common stock under the Securities Act, the holders of these shares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solely to employee benefit plans;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Expenses of Registration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We will pay all expenses relating to any demand registrations, Form S-3 registrations and piggyback registrations, subject to specified exceptions.</w:t>
      </w: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Termination</w:t>
      </w:r>
    </w:p>
    <w:p>
      <w:pPr>
        <w:spacing w:after="0" w:line="99" w:lineRule="exact"/>
        <w:rPr>
          <w:sz w:val="20"/>
          <w:szCs w:val="20"/>
          <w:color w:val="auto"/>
        </w:rPr>
      </w:pPr>
    </w:p>
    <w:p>
      <w:pPr>
        <w:ind w:left="820" w:firstLine="385"/>
        <w:spacing w:after="0" w:line="343" w:lineRule="auto"/>
        <w:rPr>
          <w:sz w:val="20"/>
          <w:szCs w:val="20"/>
          <w:color w:val="auto"/>
        </w:rPr>
      </w:pPr>
      <w:r>
        <w:rPr>
          <w:rFonts w:ascii="Arial" w:cs="Arial" w:eastAsia="Arial" w:hAnsi="Arial"/>
          <w:sz w:val="13"/>
          <w:szCs w:val="13"/>
          <w:color w:val="auto"/>
        </w:rPr>
        <w:t>The registration rights terminate upon the earliest of (i) the date that is four years after the closing of this offering; (ii) immediately prior to the closing of certain liquidation events; and (iii) as to a given holder of registration rights, the date after the closing of this offering when such holder of registration rights can sell all of such holder’s registrable securities during any 90-day period pursuant to Rule 144 promulgated under the Securities Act.</w:t>
      </w:r>
    </w:p>
    <w:p>
      <w:pPr>
        <w:spacing w:after="0" w:line="204" w:lineRule="exact"/>
        <w:rPr>
          <w:sz w:val="20"/>
          <w:szCs w:val="20"/>
          <w:color w:val="auto"/>
        </w:rPr>
      </w:pPr>
    </w:p>
    <w:p>
      <w:pPr>
        <w:ind w:left="820" w:right="60"/>
        <w:spacing w:after="0" w:line="272" w:lineRule="auto"/>
        <w:rPr>
          <w:sz w:val="20"/>
          <w:szCs w:val="20"/>
          <w:color w:val="auto"/>
        </w:rPr>
      </w:pPr>
      <w:r>
        <w:rPr>
          <w:rFonts w:ascii="Arial" w:cs="Arial" w:eastAsia="Arial" w:hAnsi="Arial"/>
          <w:sz w:val="16"/>
          <w:szCs w:val="16"/>
          <w:b w:val="1"/>
          <w:bCs w:val="1"/>
          <w:color w:val="auto"/>
        </w:rPr>
        <w:t>Anti-Takeover Effects of Certain Provisions of Delaware Law, Our Amended and Restated Certificate of Incorporation and Our Amended and Restated Bylaws</w:t>
      </w:r>
    </w:p>
    <w:p>
      <w:pPr>
        <w:spacing w:after="0" w:line="59" w:lineRule="exact"/>
        <w:rPr>
          <w:sz w:val="20"/>
          <w:szCs w:val="20"/>
          <w:color w:val="auto"/>
        </w:rPr>
      </w:pPr>
    </w:p>
    <w:p>
      <w:pPr>
        <w:jc w:val="both"/>
        <w:ind w:left="820" w:right="440" w:firstLine="385"/>
        <w:spacing w:after="0" w:line="253" w:lineRule="auto"/>
        <w:rPr>
          <w:sz w:val="20"/>
          <w:szCs w:val="20"/>
          <w:color w:val="auto"/>
        </w:rPr>
      </w:pPr>
      <w:r>
        <w:rPr>
          <w:rFonts w:ascii="Arial" w:cs="Arial" w:eastAsia="Arial" w:hAnsi="Arial"/>
          <w:sz w:val="16"/>
          <w:szCs w:val="16"/>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99"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228</w:t>
      </w:r>
    </w:p>
    <w:p>
      <w:pPr>
        <w:sectPr>
          <w:pgSz w:w="11900" w:h="16838" w:orient="portrait"/>
          <w:cols w:equalWidth="0" w:num="1">
            <w:col w:w="10440"/>
          </w:cols>
          <w:pgMar w:left="320" w:top="418" w:right="1139" w:bottom="1440" w:gutter="0" w:footer="0" w:header="0"/>
        </w:sectPr>
      </w:pPr>
    </w:p>
    <w:bookmarkStart w:id="231" w:name="page232"/>
    <w:bookmarkEnd w:id="2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spacing w:after="0" w:line="256" w:lineRule="auto"/>
        <w:rPr>
          <w:sz w:val="20"/>
          <w:szCs w:val="20"/>
          <w:color w:val="auto"/>
        </w:rPr>
      </w:pPr>
      <w:r>
        <w:rPr>
          <w:rFonts w:ascii="Arial" w:cs="Arial" w:eastAsia="Arial" w:hAnsi="Arial"/>
          <w:sz w:val="16"/>
          <w:szCs w:val="16"/>
          <w:color w:val="auto"/>
        </w:rPr>
        <w:t>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Classified Board</w:t>
      </w:r>
    </w:p>
    <w:p>
      <w:pPr>
        <w:spacing w:after="0" w:line="99" w:lineRule="exact"/>
        <w:rPr>
          <w:sz w:val="20"/>
          <w:szCs w:val="20"/>
          <w:color w:val="auto"/>
        </w:rPr>
      </w:pPr>
    </w:p>
    <w:p>
      <w:pPr>
        <w:ind w:left="820" w:right="80" w:firstLine="385"/>
        <w:spacing w:after="0" w:line="250" w:lineRule="auto"/>
        <w:rPr>
          <w:sz w:val="20"/>
          <w:szCs w:val="20"/>
          <w:color w:val="auto"/>
        </w:rPr>
      </w:pPr>
      <w:r>
        <w:rPr>
          <w:rFonts w:ascii="Arial" w:cs="Arial" w:eastAsia="Arial" w:hAnsi="Arial"/>
          <w:sz w:val="16"/>
          <w:szCs w:val="16"/>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initial Class I directors shall terminate on the date of the 2022 annual meeting, the term of the initial Class II directors shall terminate on the date of the 2023 annual meeting, and the term of the initial Class III directors shall terminate on the date of the 2024 annual meeting. At each annual meeting of stockholders beginning in 2022, the class of directors whose term expires at that annual meeting will be subject to reelection for a three-year term.</w:t>
      </w:r>
    </w:p>
    <w:p>
      <w:pPr>
        <w:spacing w:after="0" w:line="265"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Director Vacancies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amended and restated certificate of incorporation will authorize only our board of directors to fill vacant directorships.</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No Cumulative Voting</w:t>
      </w:r>
    </w:p>
    <w:p>
      <w:pPr>
        <w:spacing w:after="0" w:line="99"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 of directors.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Special Meetings of Stockholders</w:t>
      </w:r>
    </w:p>
    <w:p>
      <w:pPr>
        <w:spacing w:after="0" w:line="99"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Advance Notice Procedures for Director Nominations</w:t>
      </w:r>
    </w:p>
    <w:p>
      <w:pPr>
        <w:spacing w:after="0" w:line="99"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7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229</w:t>
      </w:r>
    </w:p>
    <w:p>
      <w:pPr>
        <w:sectPr>
          <w:pgSz w:w="11900" w:h="16838" w:orient="portrait"/>
          <w:cols w:equalWidth="0" w:num="1">
            <w:col w:w="10440"/>
          </w:cols>
          <w:pgMar w:left="320" w:top="418" w:right="1139" w:bottom="1440" w:gutter="0" w:footer="0" w:header="0"/>
        </w:sectPr>
      </w:pPr>
    </w:p>
    <w:bookmarkStart w:id="232" w:name="page233"/>
    <w:bookmarkEnd w:id="2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Action by Written Consent</w:t>
      </w:r>
    </w:p>
    <w:p>
      <w:pPr>
        <w:spacing w:after="0" w:line="99" w:lineRule="exact"/>
        <w:rPr>
          <w:sz w:val="20"/>
          <w:szCs w:val="20"/>
          <w:color w:val="auto"/>
        </w:rPr>
      </w:pPr>
    </w:p>
    <w:p>
      <w:pPr>
        <w:ind w:left="820" w:right="760" w:firstLine="385"/>
        <w:spacing w:after="0" w:line="383" w:lineRule="auto"/>
        <w:rPr>
          <w:sz w:val="20"/>
          <w:szCs w:val="20"/>
          <w:color w:val="auto"/>
        </w:rPr>
      </w:pPr>
      <w:r>
        <w:rPr>
          <w:rFonts w:ascii="Arial" w:cs="Arial" w:eastAsia="Arial" w:hAnsi="Arial"/>
          <w:sz w:val="13"/>
          <w:szCs w:val="13"/>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Amending Our Certificate of Incorporation and Bylaws</w:t>
      </w:r>
    </w:p>
    <w:p>
      <w:pPr>
        <w:spacing w:after="0" w:line="99"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Our amended and restated certificate of incorporation may be amended or altered in any manner provided by the Delaware General Corporation Law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Authorized but Unissued Shares</w:t>
      </w:r>
    </w:p>
    <w:p>
      <w:pPr>
        <w:spacing w:after="0" w:line="99" w:lineRule="exact"/>
        <w:rPr>
          <w:sz w:val="20"/>
          <w:szCs w:val="20"/>
          <w:color w:val="auto"/>
        </w:rPr>
      </w:pPr>
    </w:p>
    <w:p>
      <w:pPr>
        <w:ind w:left="820" w:right="200" w:firstLine="385"/>
        <w:spacing w:after="0" w:line="251" w:lineRule="auto"/>
        <w:rPr>
          <w:sz w:val="20"/>
          <w:szCs w:val="20"/>
          <w:color w:val="auto"/>
        </w:rPr>
      </w:pPr>
      <w:r>
        <w:rPr>
          <w:rFonts w:ascii="Arial" w:cs="Arial" w:eastAsia="Arial" w:hAnsi="Arial"/>
          <w:sz w:val="16"/>
          <w:szCs w:val="16"/>
          <w:color w:val="auto"/>
        </w:rPr>
        <w:t>Our authorized but unissued shares of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Exclusive Jurisdiction</w:t>
      </w:r>
    </w:p>
    <w:p>
      <w:pPr>
        <w:spacing w:after="0" w:line="99" w:lineRule="exact"/>
        <w:rPr>
          <w:sz w:val="20"/>
          <w:szCs w:val="20"/>
          <w:color w:val="auto"/>
        </w:rPr>
      </w:pPr>
    </w:p>
    <w:p>
      <w:pPr>
        <w:ind w:left="820" w:firstLine="385"/>
        <w:spacing w:after="0" w:line="265" w:lineRule="auto"/>
        <w:rPr>
          <w:sz w:val="20"/>
          <w:szCs w:val="20"/>
          <w:color w:val="auto"/>
        </w:rPr>
      </w:pPr>
      <w:r>
        <w:rPr>
          <w:rFonts w:ascii="Arial" w:cs="Arial" w:eastAsia="Arial" w:hAnsi="Arial"/>
          <w:sz w:val="15"/>
          <w:szCs w:val="15"/>
          <w:color w:val="auto"/>
        </w:rPr>
        <w:t>Our amended and restated bylaws will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There is uncertainty as to whether a court would enforce such provisions, and the enforceability of similar choice of forum provisions in other companies’ charter documents has been challenged in legal proceedings. We also note that stockholders cannot waive compliance (or consent to noncompliance) with the federal securities laws and the rules and regulations thereunder.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 for substantially all disputes between us and our stockholders, which could limit our stockholders’ ability to obtain a favorable judicial forum for disputes with us or our directors, officers or employees.”</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Business Combinations with Interested Stockholders</w:t>
      </w:r>
    </w:p>
    <w:p>
      <w:pPr>
        <w:spacing w:after="0" w:line="99"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230</w:t>
      </w:r>
    </w:p>
    <w:p>
      <w:pPr>
        <w:sectPr>
          <w:pgSz w:w="11900" w:h="16838" w:orient="portrait"/>
          <w:cols w:equalWidth="0" w:num="1">
            <w:col w:w="10400"/>
          </w:cols>
          <w:pgMar w:left="320" w:top="418" w:right="1179" w:bottom="1440" w:gutter="0" w:footer="0" w:header="0"/>
        </w:sectPr>
      </w:pPr>
    </w:p>
    <w:bookmarkStart w:id="233" w:name="page234"/>
    <w:bookmarkEnd w:id="2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spacing w:after="0" w:line="266" w:lineRule="auto"/>
        <w:rPr>
          <w:sz w:val="20"/>
          <w:szCs w:val="20"/>
          <w:color w:val="auto"/>
        </w:rPr>
      </w:pPr>
      <w:r>
        <w:rPr>
          <w:rFonts w:ascii="Arial" w:cs="Arial" w:eastAsia="Arial" w:hAnsi="Arial"/>
          <w:sz w:val="15"/>
          <w:szCs w:val="15"/>
          <w:color w:val="auto"/>
        </w:rPr>
        <w:t>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(1) by persons who are directors and also officers of such corporation and (2)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1" w:lineRule="exact"/>
        <w:rPr>
          <w:sz w:val="20"/>
          <w:szCs w:val="20"/>
          <w:color w:val="auto"/>
        </w:rPr>
      </w:pPr>
    </w:p>
    <w:p>
      <w:pPr>
        <w:jc w:val="both"/>
        <w:ind w:left="820" w:firstLine="385"/>
        <w:spacing w:after="0" w:line="253" w:lineRule="auto"/>
        <w:rPr>
          <w:sz w:val="20"/>
          <w:szCs w:val="20"/>
          <w:color w:val="auto"/>
        </w:rPr>
      </w:pPr>
      <w:r>
        <w:rPr>
          <w:rFonts w:ascii="Arial" w:cs="Arial" w:eastAsia="Arial" w:hAnsi="Arial"/>
          <w:sz w:val="16"/>
          <w:szCs w:val="16"/>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67"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each investor’s investment may be adversely affected to the extent we pay the costs of settlement and damage awards against directors and officers pursuant to these indemnification provisions.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Listing</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have applied to list our common stock on the Nasdaq Stock Market under the symbol “TNYA.”</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99"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Upon completion of this offering, the transfer agent and registrar for our common stock will be Computershare Trust Company, N.A. The transfer agent and registrar’s address is 150 Royall Street, Canton, Massachusetts 02021.</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231</w:t>
      </w:r>
    </w:p>
    <w:p>
      <w:pPr>
        <w:sectPr>
          <w:pgSz w:w="11900" w:h="16838" w:orient="portrait"/>
          <w:cols w:equalWidth="0" w:num="1">
            <w:col w:w="10420"/>
          </w:cols>
          <w:pgMar w:left="320" w:top="418" w:right="1159" w:bottom="1440" w:gutter="0" w:footer="0" w:header="0"/>
        </w:sectPr>
      </w:pPr>
    </w:p>
    <w:bookmarkStart w:id="234" w:name="page235"/>
    <w:bookmarkEnd w:id="2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SHARES ELIGIBLE FOR FUTURE SALE</w:t>
      </w:r>
    </w:p>
    <w:p>
      <w:pPr>
        <w:spacing w:after="0" w:line="197" w:lineRule="exact"/>
        <w:rPr>
          <w:sz w:val="20"/>
          <w:szCs w:val="20"/>
          <w:color w:val="auto"/>
        </w:rPr>
      </w:pPr>
    </w:p>
    <w:p>
      <w:pPr>
        <w:ind w:left="820" w:right="40" w:firstLine="385"/>
        <w:spacing w:after="0" w:line="319" w:lineRule="auto"/>
        <w:rPr>
          <w:sz w:val="20"/>
          <w:szCs w:val="20"/>
          <w:color w:val="auto"/>
        </w:rPr>
      </w:pPr>
      <w:r>
        <w:rPr>
          <w:rFonts w:ascii="Arial" w:cs="Arial" w:eastAsia="Arial" w:hAnsi="Arial"/>
          <w:sz w:val="13"/>
          <w:szCs w:val="13"/>
          <w:color w:val="auto"/>
        </w:rPr>
        <w:t>Prior to this offering, there has been no public market for our common stock, and although we expect that our common stock will be approved for listing on the Nasdaq Stock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Upon completion of this offering, based on our shares outstanding as of March 31, 2021, and after giving effect to the conversion of all</w:t>
      </w:r>
    </w:p>
    <w:p>
      <w:pPr>
        <w:spacing w:after="0" w:line="28" w:lineRule="exact"/>
        <w:rPr>
          <w:sz w:val="20"/>
          <w:szCs w:val="20"/>
          <w:color w:val="auto"/>
        </w:rPr>
      </w:pPr>
    </w:p>
    <w:p>
      <w:pPr>
        <w:ind w:left="820" w:right="80"/>
        <w:spacing w:after="0" w:line="247" w:lineRule="auto"/>
        <w:rPr>
          <w:sz w:val="20"/>
          <w:szCs w:val="20"/>
          <w:color w:val="auto"/>
        </w:rPr>
      </w:pPr>
      <w:r>
        <w:rPr>
          <w:rFonts w:ascii="Arial" w:cs="Arial" w:eastAsia="Arial" w:hAnsi="Arial"/>
          <w:sz w:val="16"/>
          <w:szCs w:val="16"/>
          <w:color w:val="auto"/>
        </w:rPr>
        <w:t>outstanding shares of our convertible preferred stock, shares of our common stock will be outstanding, or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2"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color w:val="auto"/>
        </w:rPr>
        <w:t>As a result of the lock-up agreements and market stand-off provisions described below and the provisions of Rules 144 or 701, the shares of our common stock that will be deemed “restricted securities” will be available for sale in the public market following the completion of this offering as follows:</w:t>
      </w:r>
    </w:p>
    <w:p>
      <w:pPr>
        <w:spacing w:after="0" w:line="83" w:lineRule="exact"/>
        <w:rPr>
          <w:sz w:val="20"/>
          <w:szCs w:val="20"/>
          <w:color w:val="auto"/>
        </w:rPr>
      </w:pPr>
    </w:p>
    <w:p>
      <w:pPr>
        <w:ind w:left="1660" w:hanging="469"/>
        <w:spacing w:after="0"/>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no shares will be eligible for sale on the date of this prospectus; and</w:t>
      </w:r>
    </w:p>
    <w:p>
      <w:pPr>
        <w:spacing w:after="0" w:line="110" w:lineRule="exact"/>
        <w:rPr>
          <w:rFonts w:ascii="Arial" w:cs="Arial" w:eastAsia="Arial" w:hAnsi="Arial"/>
          <w:sz w:val="16"/>
          <w:szCs w:val="16"/>
          <w:color w:val="auto"/>
        </w:rPr>
      </w:pPr>
    </w:p>
    <w:p>
      <w:pPr>
        <w:ind w:left="1660" w:right="220" w:hanging="469"/>
        <w:spacing w:after="0" w:line="266" w:lineRule="auto"/>
        <w:tabs>
          <w:tab w:leader="none" w:pos="16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163,948,679 shares will be eligible for sale upon expiration of the lock-up agreements and market stand-off provisions described below, following the date that is 180 days after the date of this prospectus.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Lock-up Agreements and Market Stand-Off Agreements</w:t>
      </w:r>
    </w:p>
    <w:p>
      <w:pPr>
        <w:spacing w:after="0" w:line="103"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Our officers, directors and substantially all of our securityholders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Morgan Stanley &amp; Co. LLC, Cowen and Company LLC, and Piper Sandler &amp; Co. See the section titled “Underwriters” for additional information.</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Rule 144</w:t>
      </w:r>
    </w:p>
    <w:p>
      <w:pPr>
        <w:spacing w:after="0" w:line="103"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other conditions of Rule 144. Rule 144 also provides that a stockholder who is deemed to have been one of our affiliates at any time during the preceding 90 days and who has beneficially owned the</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232</w:t>
      </w:r>
    </w:p>
    <w:p>
      <w:pPr>
        <w:sectPr>
          <w:pgSz w:w="11900" w:h="16838" w:orient="portrait"/>
          <w:cols w:equalWidth="0" w:num="1">
            <w:col w:w="10420"/>
          </w:cols>
          <w:pgMar w:left="320" w:top="418" w:right="1159" w:bottom="1440" w:gutter="0" w:footer="0" w:header="0"/>
        </w:sectPr>
      </w:pPr>
    </w:p>
    <w:bookmarkStart w:id="235" w:name="page236"/>
    <w:bookmarkEnd w:id="2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383" w:lineRule="auto"/>
        <w:rPr>
          <w:sz w:val="20"/>
          <w:szCs w:val="20"/>
          <w:color w:val="auto"/>
        </w:rPr>
      </w:pPr>
      <w:r>
        <w:rPr>
          <w:rFonts w:ascii="Arial" w:cs="Arial" w:eastAsia="Arial" w:hAnsi="Arial"/>
          <w:sz w:val="13"/>
          <w:szCs w:val="13"/>
          <w:color w:val="auto"/>
        </w:rPr>
        <w:t>shares of our common stock proposed to be sold for at least six months is entitled to sell such shares in reliance upon Rule 144 within any three month period beginning 90 days after the date of this prospectus a number of such shares that does not exceed the greater of the following:</w:t>
      </w:r>
    </w:p>
    <w:p>
      <w:pPr>
        <w:sectPr>
          <w:pgSz w:w="11900" w:h="16838" w:orient="portrait"/>
          <w:cols w:equalWidth="0" w:num="1">
            <w:col w:w="10400"/>
          </w:cols>
          <w:pgMar w:left="320" w:top="418" w:right="1179" w:bottom="1440" w:gutter="0" w:footer="0" w:header="0"/>
        </w:sectPr>
      </w:pPr>
    </w:p>
    <w:p>
      <w:pPr>
        <w:spacing w:after="0" w:line="6"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ind w:right="140"/>
        <w:spacing w:after="0" w:line="266" w:lineRule="auto"/>
        <w:rPr>
          <w:sz w:val="20"/>
          <w:szCs w:val="20"/>
          <w:color w:val="auto"/>
        </w:rPr>
      </w:pPr>
      <w:r>
        <w:rPr>
          <w:rFonts w:ascii="Arial" w:cs="Arial" w:eastAsia="Arial" w:hAnsi="Arial"/>
          <w:sz w:val="16"/>
          <w:szCs w:val="16"/>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76" w:lineRule="exact"/>
        <w:rPr>
          <w:sz w:val="20"/>
          <w:szCs w:val="20"/>
          <w:color w:val="auto"/>
        </w:rPr>
      </w:pPr>
    </w:p>
    <w:p>
      <w:pPr>
        <w:sectPr>
          <w:pgSz w:w="11900" w:h="16838" w:orient="portrait"/>
          <w:cols w:equalWidth="0" w:num="2">
            <w:col w:w="1240" w:space="420"/>
            <w:col w:w="8740"/>
          </w:cols>
          <w:pgMar w:left="320" w:top="418" w:right="1179" w:bottom="1440" w:gutter="0" w:footer="0" w:header="0"/>
          <w:type w:val="continuous"/>
        </w:sectPr>
      </w:pPr>
    </w:p>
    <w:p>
      <w:pPr>
        <w:ind w:left="1660" w:right="20" w:hanging="469"/>
        <w:spacing w:after="0" w:line="266" w:lineRule="auto"/>
        <w:tabs>
          <w:tab w:leader="none" w:pos="1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average weekly trading volume of our common stock during the four calendar weeks preceding the filing of a notice on Form 144 with respect to such sale.</w:t>
      </w:r>
    </w:p>
    <w:p>
      <w:pPr>
        <w:spacing w:after="0" w:line="158" w:lineRule="exact"/>
        <w:rPr>
          <w:sz w:val="20"/>
          <w:szCs w:val="20"/>
          <w:color w:val="auto"/>
        </w:rPr>
      </w:pPr>
    </w:p>
    <w:p>
      <w:pPr>
        <w:ind w:left="820" w:firstLine="385"/>
        <w:spacing w:after="0" w:line="300" w:lineRule="auto"/>
        <w:rPr>
          <w:sz w:val="20"/>
          <w:szCs w:val="20"/>
          <w:color w:val="auto"/>
        </w:rPr>
      </w:pPr>
      <w:r>
        <w:rPr>
          <w:rFonts w:ascii="Arial" w:cs="Arial" w:eastAsia="Arial" w:hAnsi="Arial"/>
          <w:sz w:val="15"/>
          <w:szCs w:val="15"/>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Rule 701</w:t>
      </w:r>
    </w:p>
    <w:p>
      <w:pPr>
        <w:spacing w:after="0" w:line="103"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25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Rights</w:t>
      </w:r>
    </w:p>
    <w:p>
      <w:pPr>
        <w:spacing w:after="0" w:line="103"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After the completion of this offering, the holders of up to 156,613,818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See the section titled “Description of Capital Stock-Registration Rights” for a description of these registration rights.</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Registration Statement</w:t>
      </w:r>
    </w:p>
    <w:p>
      <w:pPr>
        <w:spacing w:after="0" w:line="103"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233</w:t>
      </w:r>
    </w:p>
    <w:p>
      <w:pPr>
        <w:sectPr>
          <w:pgSz w:w="11900" w:h="16838" w:orient="portrait"/>
          <w:cols w:equalWidth="0" w:num="1">
            <w:col w:w="10400"/>
          </w:cols>
          <w:pgMar w:left="320" w:top="418" w:right="1179" w:bottom="1440" w:gutter="0" w:footer="0" w:header="0"/>
          <w:type w:val="continuous"/>
        </w:sectPr>
      </w:pPr>
    </w:p>
    <w:bookmarkStart w:id="236" w:name="page237"/>
    <w:bookmarkEnd w:id="2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auto"/>
        </w:rPr>
        <w:t>MATERIAL U.S. FEDERAL INCOME TAX CONSIDERATIONS FOR NON-U.S. HOLDERS</w:t>
      </w:r>
    </w:p>
    <w:p>
      <w:pPr>
        <w:spacing w:after="0" w:line="197" w:lineRule="exact"/>
        <w:rPr>
          <w:sz w:val="20"/>
          <w:szCs w:val="20"/>
          <w:color w:val="auto"/>
        </w:rPr>
      </w:pPr>
    </w:p>
    <w:p>
      <w:pPr>
        <w:ind w:left="820" w:firstLine="385"/>
        <w:spacing w:after="0" w:line="268" w:lineRule="auto"/>
        <w:rPr>
          <w:sz w:val="20"/>
          <w:szCs w:val="20"/>
          <w:color w:val="auto"/>
        </w:rPr>
      </w:pPr>
      <w:r>
        <w:rPr>
          <w:rFonts w:ascii="Arial" w:cs="Arial" w:eastAsia="Arial" w:hAnsi="Arial"/>
          <w:sz w:val="15"/>
          <w:szCs w:val="15"/>
          <w:color w:val="auto"/>
        </w:rPr>
        <w:t>The following is a summary of the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Internal Revenue Code of 1986, as amended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61" w:lineRule="exact"/>
        <w:rPr>
          <w:sz w:val="20"/>
          <w:szCs w:val="20"/>
          <w:color w:val="auto"/>
        </w:rPr>
      </w:pPr>
    </w:p>
    <w:p>
      <w:pPr>
        <w:jc w:val="both"/>
        <w:ind w:left="820" w:right="60" w:firstLine="385"/>
        <w:spacing w:after="0" w:line="256" w:lineRule="auto"/>
        <w:rPr>
          <w:sz w:val="20"/>
          <w:szCs w:val="20"/>
          <w:color w:val="auto"/>
        </w:rPr>
      </w:pPr>
      <w:r>
        <w:rPr>
          <w:rFonts w:ascii="Arial" w:cs="Arial" w:eastAsia="Arial" w:hAnsi="Arial"/>
          <w:sz w:val="16"/>
          <w:szCs w:val="16"/>
          <w:color w:val="auto"/>
        </w:rPr>
        <w:t>This summary also does not address the tax considerations arising under the laws of any non-U.S., state or local jurisdiction or under U.S. federal gift and estate tax rules, and does not address tax considerations applicable to an investor’s particular circumstances or to investors that may be subject to special tax rules, including, without limitation:</w:t>
      </w:r>
    </w:p>
    <w:p>
      <w:pPr>
        <w:spacing w:after="0" w:line="83" w:lineRule="exact"/>
        <w:rPr>
          <w:sz w:val="20"/>
          <w:szCs w:val="20"/>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banks, insurance companies, regulated investment companies, real estate investment trusts or other financial institutions;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tax-exempt organizations;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pension plans and tax-qualified retirement plans;</w:t>
      </w:r>
    </w:p>
    <w:p>
      <w:pPr>
        <w:spacing w:after="0" w:line="110" w:lineRule="exact"/>
        <w:rPr>
          <w:rFonts w:ascii="Arial" w:cs="Arial" w:eastAsia="Arial" w:hAnsi="Arial"/>
          <w:sz w:val="16"/>
          <w:szCs w:val="16"/>
          <w:color w:val="auto"/>
        </w:rPr>
      </w:pPr>
    </w:p>
    <w:p>
      <w:pPr>
        <w:ind w:left="1660" w:right="28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brokers or dealers in securities or currencies;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traders in securities that elect to use a mark-to-market method of accounting for their securities holdings;</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capital stock (except to the extent specifically set forth below);</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certain former citizens or long-term residents of the United States;</w:t>
      </w:r>
    </w:p>
    <w:p>
      <w:pPr>
        <w:spacing w:after="0" w:line="110"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partnerships (or entities or arrangements classified as such for U.S. federal income tax purposes), other pass-through entities, and investors therein;</w:t>
      </w:r>
    </w:p>
    <w:p>
      <w:pPr>
        <w:spacing w:after="0" w:line="75" w:lineRule="exact"/>
        <w:rPr>
          <w:rFonts w:ascii="Arial" w:cs="Arial" w:eastAsia="Arial" w:hAnsi="Arial"/>
          <w:sz w:val="16"/>
          <w:szCs w:val="16"/>
          <w:color w:val="auto"/>
        </w:rPr>
      </w:pPr>
    </w:p>
    <w:p>
      <w:pPr>
        <w:ind w:left="1660" w:right="26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option or otherwise as compensation;</w:t>
      </w:r>
    </w:p>
    <w:p>
      <w:pPr>
        <w:spacing w:after="0" w:line="110"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persons subject to special tax accounting rules as a result of any item of gross income with respect to our common stock being taken into account in an “applicable financial statement” as defined in Section 451(b) of the Code;</w:t>
      </w:r>
    </w:p>
    <w:p>
      <w:pPr>
        <w:spacing w:after="0" w:line="75" w:lineRule="exact"/>
        <w:rPr>
          <w:rFonts w:ascii="Arial" w:cs="Arial" w:eastAsia="Arial" w:hAnsi="Arial"/>
          <w:sz w:val="16"/>
          <w:szCs w:val="16"/>
          <w:color w:val="auto"/>
        </w:rPr>
      </w:pPr>
    </w:p>
    <w:p>
      <w:pPr>
        <w:ind w:left="1660" w:right="40" w:hanging="469"/>
        <w:spacing w:after="0" w:line="266" w:lineRule="auto"/>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persons who do not hold our common stock as a capital asset within the meaning of Section 1221 of the Code (generally, property held for investment); or</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persons deemed to sell our common stock under the constructive sale provisions of the Code.</w:t>
      </w:r>
    </w:p>
    <w:p>
      <w:pPr>
        <w:spacing w:after="0" w:line="193" w:lineRule="exact"/>
        <w:rPr>
          <w:sz w:val="20"/>
          <w:szCs w:val="20"/>
          <w:color w:val="auto"/>
        </w:rPr>
      </w:pPr>
    </w:p>
    <w:p>
      <w:pPr>
        <w:ind w:left="820" w:firstLine="385"/>
        <w:spacing w:after="0" w:line="329" w:lineRule="auto"/>
        <w:rPr>
          <w:sz w:val="20"/>
          <w:szCs w:val="20"/>
          <w:color w:val="auto"/>
        </w:rPr>
      </w:pPr>
      <w:r>
        <w:rPr>
          <w:rFonts w:ascii="Arial" w:cs="Arial" w:eastAsia="Arial" w:hAnsi="Arial"/>
          <w:sz w:val="13"/>
          <w:szCs w:val="13"/>
          <w:color w:val="auto"/>
        </w:rPr>
        <w:t>In addition, if a partnership (or an entity or arrangement classified as a partnership for U.S. federal income tax purposes) holds our common stock, the tax treatment of a partner in such partnership or other entity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234</w:t>
      </w:r>
    </w:p>
    <w:p>
      <w:pPr>
        <w:sectPr>
          <w:pgSz w:w="11900" w:h="16838" w:orient="portrait"/>
          <w:cols w:equalWidth="0" w:num="1">
            <w:col w:w="10400"/>
          </w:cols>
          <w:pgMar w:left="320" w:top="418" w:right="1179" w:bottom="1440" w:gutter="0" w:footer="0" w:header="0"/>
        </w:sectPr>
      </w:pPr>
    </w:p>
    <w:bookmarkStart w:id="237" w:name="page238"/>
    <w:bookmarkEnd w:id="23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right="20" w:firstLine="385"/>
        <w:spacing w:after="0" w:line="346" w:lineRule="auto"/>
        <w:rPr>
          <w:sz w:val="20"/>
          <w:szCs w:val="20"/>
          <w:color w:val="auto"/>
        </w:rPr>
      </w:pPr>
      <w:r>
        <w:rPr>
          <w:rFonts w:ascii="Arial" w:cs="Arial" w:eastAsia="Arial" w:hAnsi="Arial"/>
          <w:sz w:val="13"/>
          <w:szCs w:val="13"/>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or local, non-U.S. or other taxing jurisdiction or under any applicable tax treaty.</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Non-U.S. Holder Defined</w:t>
      </w:r>
    </w:p>
    <w:p>
      <w:pPr>
        <w:spacing w:after="0" w:line="103" w:lineRule="exact"/>
        <w:rPr>
          <w:sz w:val="20"/>
          <w:szCs w:val="20"/>
          <w:color w:val="auto"/>
        </w:rPr>
      </w:pPr>
    </w:p>
    <w:p>
      <w:pPr>
        <w:ind w:left="820" w:right="140" w:firstLine="385"/>
        <w:spacing w:after="0" w:line="300" w:lineRule="auto"/>
        <w:rPr>
          <w:sz w:val="20"/>
          <w:szCs w:val="20"/>
          <w:color w:val="auto"/>
        </w:rPr>
      </w:pPr>
      <w:r>
        <w:rPr>
          <w:rFonts w:ascii="Arial" w:cs="Arial" w:eastAsia="Arial" w:hAnsi="Arial"/>
          <w:sz w:val="15"/>
          <w:szCs w:val="15"/>
          <w:color w:val="auto"/>
        </w:rPr>
        <w:t>For purposes of this discussion, you are a “non-U.S. holder” if you are a beneficial owner of our common stock that, for U.S. federal income tax purposes, is not a partnership (including any entity or arrangement treated as a partnership and the equity holders therein) or:</w:t>
      </w:r>
    </w:p>
    <w:p>
      <w:pPr>
        <w:spacing w:after="0" w:line="52" w:lineRule="exact"/>
        <w:rPr>
          <w:sz w:val="20"/>
          <w:szCs w:val="20"/>
          <w:color w:val="auto"/>
        </w:rPr>
      </w:pPr>
    </w:p>
    <w:p>
      <w:pPr>
        <w:ind w:left="1660" w:hanging="469"/>
        <w:spacing w:after="0"/>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110" w:lineRule="exact"/>
        <w:rPr>
          <w:rFonts w:ascii="Arial" w:cs="Arial" w:eastAsia="Arial" w:hAnsi="Arial"/>
          <w:sz w:val="16"/>
          <w:szCs w:val="16"/>
          <w:color w:val="auto"/>
        </w:rPr>
      </w:pPr>
    </w:p>
    <w:p>
      <w:pPr>
        <w:ind w:left="1660" w:right="20" w:hanging="469"/>
        <w:spacing w:after="0" w:line="266" w:lineRule="auto"/>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75" w:lineRule="exact"/>
        <w:rPr>
          <w:rFonts w:ascii="Arial" w:cs="Arial" w:eastAsia="Arial" w:hAnsi="Arial"/>
          <w:sz w:val="16"/>
          <w:szCs w:val="16"/>
          <w:color w:val="auto"/>
        </w:rPr>
      </w:pPr>
    </w:p>
    <w:p>
      <w:pPr>
        <w:ind w:left="1660" w:hanging="469"/>
        <w:spacing w:after="0"/>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an estate whose income is subject to U.S. federal income tax regardless of its source; or</w:t>
      </w:r>
    </w:p>
    <w:p>
      <w:pPr>
        <w:spacing w:after="0" w:line="110" w:lineRule="exact"/>
        <w:rPr>
          <w:rFonts w:ascii="Arial" w:cs="Arial" w:eastAsia="Arial" w:hAnsi="Arial"/>
          <w:sz w:val="16"/>
          <w:szCs w:val="16"/>
          <w:color w:val="auto"/>
        </w:rPr>
      </w:pPr>
    </w:p>
    <w:p>
      <w:pPr>
        <w:jc w:val="both"/>
        <w:ind w:left="1660" w:right="180" w:hanging="469"/>
        <w:spacing w:after="0" w:line="256" w:lineRule="auto"/>
        <w:tabs>
          <w:tab w:leader="none" w:pos="16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 trust (i) whose administration is subject to the primary supervision of a U.S. court and that has one or more U.S. persons who have the authority to control all substantial decisions of the trust or (ii) that has made a valid election under applicable Treasury Regulations to be treated as a U.S. person.</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Distributions</w:t>
      </w:r>
    </w:p>
    <w:p>
      <w:pPr>
        <w:spacing w:after="0" w:line="103" w:lineRule="exact"/>
        <w:rPr>
          <w:sz w:val="20"/>
          <w:szCs w:val="20"/>
          <w:color w:val="auto"/>
        </w:rPr>
      </w:pPr>
    </w:p>
    <w:p>
      <w:pPr>
        <w:ind w:left="820" w:firstLine="385"/>
        <w:spacing w:after="0" w:line="323" w:lineRule="auto"/>
        <w:rPr>
          <w:sz w:val="20"/>
          <w:szCs w:val="20"/>
          <w:color w:val="auto"/>
        </w:rPr>
      </w:pPr>
      <w:r>
        <w:rPr>
          <w:rFonts w:ascii="Arial" w:cs="Arial" w:eastAsia="Arial" w:hAnsi="Arial"/>
          <w:sz w:val="13"/>
          <w:szCs w:val="13"/>
          <w:color w:val="auto"/>
        </w:rPr>
        <w:t>As described in the section titled “Dividend Policy,” we have never declared or paid cash dividends on our capital stock,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26" w:lineRule="exact"/>
        <w:rPr>
          <w:sz w:val="20"/>
          <w:szCs w:val="20"/>
          <w:color w:val="auto"/>
        </w:rPr>
      </w:pPr>
    </w:p>
    <w:p>
      <w:pPr>
        <w:ind w:left="820" w:right="20" w:firstLine="385"/>
        <w:spacing w:after="0" w:line="314" w:lineRule="auto"/>
        <w:rPr>
          <w:sz w:val="20"/>
          <w:szCs w:val="20"/>
          <w:color w:val="auto"/>
        </w:rPr>
      </w:pPr>
      <w:r>
        <w:rPr>
          <w:rFonts w:ascii="Arial" w:cs="Arial" w:eastAsia="Arial" w:hAnsi="Arial"/>
          <w:sz w:val="13"/>
          <w:szCs w:val="13"/>
          <w:color w:val="auto"/>
        </w:rPr>
        <w:t>Subject to the discussions below on effectively connected income and in the subsections titled “-Backup Withholding and Information Reporting” and “-Foreign Account Tax Compliance Act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with a properly executed IRS Form W-8BEN or W-8BEN-E or other appropriate version of IRS Form W-8 certifying qualification for the reduced rate. If you are eligible for a reduced rate of U.S. federal withholding tax pursuant to an income tax treaty, you may obtain a refund of any excess amounts withheld by filing an appropriate claim for refund with the IRS. If you hold our common stock through a financial institution or other agent acting on your behalf, you will be required to provide appropriate documentation to the agent, which then will be required to provide certification to us or our paying agent, either directly or through other intermediaries.</w:t>
      </w:r>
    </w:p>
    <w:p>
      <w:pPr>
        <w:spacing w:after="0" w:line="133" w:lineRule="exact"/>
        <w:rPr>
          <w:sz w:val="20"/>
          <w:szCs w:val="20"/>
          <w:color w:val="auto"/>
        </w:rPr>
      </w:pPr>
    </w:p>
    <w:p>
      <w:pPr>
        <w:ind w:left="820" w:firstLine="385"/>
        <w:spacing w:after="0" w:line="311" w:lineRule="auto"/>
        <w:rPr>
          <w:sz w:val="20"/>
          <w:szCs w:val="20"/>
          <w:color w:val="auto"/>
        </w:rPr>
      </w:pPr>
      <w:r>
        <w:rPr>
          <w:rFonts w:ascii="Arial" w:cs="Arial" w:eastAsia="Arial" w:hAnsi="Arial"/>
          <w:sz w:val="13"/>
          <w:szCs w:val="13"/>
          <w:color w:val="auto"/>
        </w:rPr>
        <w:t>Dividends received by you that are treated as effectively connected with your conduct of a U.S. trade or business (and, if required by an applicable income tax treaty, are attributable to a permanent establishment or fixed base maintained by you in the United States) are generally exempt from the</w:t>
      </w:r>
    </w:p>
    <w:p>
      <w:pPr>
        <w:spacing w:after="0" w:line="1" w:lineRule="exact"/>
        <w:rPr>
          <w:sz w:val="20"/>
          <w:szCs w:val="20"/>
          <w:color w:val="auto"/>
        </w:rPr>
      </w:pPr>
    </w:p>
    <w:p>
      <w:pPr>
        <w:ind w:left="820" w:right="20"/>
        <w:spacing w:after="0" w:line="323" w:lineRule="auto"/>
        <w:rPr>
          <w:sz w:val="20"/>
          <w:szCs w:val="20"/>
          <w:color w:val="auto"/>
        </w:rPr>
      </w:pPr>
      <w:r>
        <w:rPr>
          <w:rFonts w:ascii="Arial" w:cs="Arial" w:eastAsia="Arial" w:hAnsi="Arial"/>
          <w:sz w:val="13"/>
          <w:szCs w:val="13"/>
          <w:color w:val="auto"/>
        </w:rPr>
        <w:t>30% U.S. federal withholding tax, subject to the discussion below in the subsections titled “-Backup Withholding and Information Reporting” and “-Foreign Account Tax Compliance Act (FATCA).” In order to obtain this exemption, you must provide us with a properly executed IRS Form W-8ECI or applicable successor form properly certifying such exemption. Such effectively connected dividends, although not subject to U.S. federal withholding tax, are taxed at the same rates applicable to U.S. persons, net of certain deductions and credits, subject to an applicable income tax treaty</w:t>
      </w:r>
    </w:p>
    <w:p>
      <w:pPr>
        <w:spacing w:after="0" w:line="6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235</w:t>
      </w:r>
    </w:p>
    <w:p>
      <w:pPr>
        <w:sectPr>
          <w:pgSz w:w="11900" w:h="16838" w:orient="portrait"/>
          <w:cols w:equalWidth="0" w:num="1">
            <w:col w:w="10420"/>
          </w:cols>
          <w:pgMar w:left="320" w:top="418" w:right="1159" w:bottom="1440" w:gutter="0" w:footer="0" w:header="0"/>
        </w:sectPr>
      </w:pPr>
    </w:p>
    <w:bookmarkStart w:id="238" w:name="page239"/>
    <w:bookmarkEnd w:id="2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75" w:lineRule="auto"/>
        <w:rPr>
          <w:sz w:val="20"/>
          <w:szCs w:val="20"/>
          <w:color w:val="auto"/>
        </w:rPr>
      </w:pPr>
      <w:r>
        <w:rPr>
          <w:rFonts w:ascii="Arial" w:cs="Arial" w:eastAsia="Arial" w:hAnsi="Arial"/>
          <w:sz w:val="15"/>
          <w:szCs w:val="15"/>
          <w:color w:val="auto"/>
        </w:rPr>
        <w:t>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Gain on Disposition of Common Stock</w:t>
      </w:r>
    </w:p>
    <w:p>
      <w:pPr>
        <w:spacing w:after="0" w:line="10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Subject to the discussion in the subsections titled “-Backup Withholding and Information Reporting,” and “-Foreign Account Tax Compliance Act (FATCA),” you generally will not be required to pay U.S. federal income tax on any gain realized upon the sale or other disposition of our common stock unless:</w:t>
      </w:r>
    </w:p>
    <w:p>
      <w:pPr>
        <w:spacing w:after="0" w:line="83" w:lineRule="exact"/>
        <w:rPr>
          <w:sz w:val="20"/>
          <w:szCs w:val="20"/>
          <w:color w:val="auto"/>
        </w:rPr>
      </w:pPr>
    </w:p>
    <w:p>
      <w:pPr>
        <w:ind w:left="1660" w:right="40" w:hanging="469"/>
        <w:spacing w:after="0" w:line="266" w:lineRule="auto"/>
        <w:tabs>
          <w:tab w:leader="none" w:pos="1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75" w:lineRule="exact"/>
        <w:rPr>
          <w:rFonts w:ascii="Arial" w:cs="Arial" w:eastAsia="Arial" w:hAnsi="Arial"/>
          <w:sz w:val="16"/>
          <w:szCs w:val="16"/>
          <w:color w:val="auto"/>
        </w:rPr>
      </w:pPr>
    </w:p>
    <w:p>
      <w:pPr>
        <w:ind w:left="1660" w:right="140" w:hanging="469"/>
        <w:spacing w:after="0" w:line="266" w:lineRule="auto"/>
        <w:tabs>
          <w:tab w:leader="none" w:pos="16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calendar year in which the sale or disposition occurs and certain other conditions are met; or</w:t>
      </w:r>
    </w:p>
    <w:p>
      <w:pPr>
        <w:spacing w:after="0" w:line="75" w:lineRule="exact"/>
        <w:rPr>
          <w:rFonts w:ascii="Arial" w:cs="Arial" w:eastAsia="Arial" w:hAnsi="Arial"/>
          <w:sz w:val="16"/>
          <w:szCs w:val="16"/>
          <w:color w:val="auto"/>
        </w:rPr>
      </w:pPr>
    </w:p>
    <w:p>
      <w:pPr>
        <w:ind w:left="1660" w:right="120" w:hanging="469"/>
        <w:spacing w:after="0" w:line="272" w:lineRule="auto"/>
        <w:tabs>
          <w:tab w:leader="none" w:pos="166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our common stock constitutes a U.S. real property interest by reason of our status as a “U.S. real property holding corporation” (USRPHC), for U.S. federal income tax purposes at any time within the shorter of the five-year period preceding your disposition of, or your holding period for, our common stock, unless our common stock is regularly traded on an established securities market and you hold no more than 5% of our outstanding common stock, directly, indirectly and constructively, at all times, during the shorter of the five-year period ending on the date of the taxable disposition or your holding period for our common stock.</w:t>
      </w:r>
    </w:p>
    <w:p>
      <w:pPr>
        <w:spacing w:after="0" w:line="154"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If we are a USRPHC and either our common stock is not regularly traded on an established securities market or you hold, or are treated as holding, more than 5% of our outstanding common stock, directly or indirectly, during the applicable testing period, you will generally be taxed on any gain in the same manner as gain that is effectively connected with the conduct of a U.S. trade or business, except that the branch profits tax generally will not apply. If we are a USRPHC and our common stock is not regularly traded on an established securities market, your proceeds received on the disposition of shares will also generally be subject to withholding at a rate of 15%. You are encouraged to consult your own tax advisors regarding the possible consequences to you if we are, or were to become, a USRPHC.</w:t>
      </w:r>
    </w:p>
    <w:p>
      <w:pPr>
        <w:spacing w:after="0" w:line="137" w:lineRule="exact"/>
        <w:rPr>
          <w:sz w:val="20"/>
          <w:szCs w:val="20"/>
          <w:color w:val="auto"/>
        </w:rPr>
      </w:pPr>
    </w:p>
    <w:p>
      <w:pPr>
        <w:ind w:left="820" w:right="20" w:firstLine="385"/>
        <w:spacing w:after="0" w:line="268" w:lineRule="auto"/>
        <w:rPr>
          <w:sz w:val="20"/>
          <w:szCs w:val="20"/>
          <w:color w:val="auto"/>
        </w:rPr>
      </w:pPr>
      <w:r>
        <w:rPr>
          <w:rFonts w:ascii="Arial" w:cs="Arial" w:eastAsia="Arial" w:hAnsi="Arial"/>
          <w:sz w:val="15"/>
          <w:szCs w:val="15"/>
          <w:color w:val="auto"/>
        </w:rPr>
        <w:t>If you are a non-U.S. holder described in the first bullet above, you will be required to pay tax on the gain derived from the sale (net of certain deductions and credits) under the same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on such gain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treaties or other agreements that may provide for different rules.</w:t>
      </w:r>
    </w:p>
    <w:p>
      <w:pPr>
        <w:spacing w:after="0" w:line="102"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236</w:t>
      </w:r>
    </w:p>
    <w:p>
      <w:pPr>
        <w:sectPr>
          <w:pgSz w:w="11900" w:h="16838" w:orient="portrait"/>
          <w:cols w:equalWidth="0" w:num="1">
            <w:col w:w="10440"/>
          </w:cols>
          <w:pgMar w:left="320" w:top="418" w:right="1139" w:bottom="1440" w:gutter="0" w:footer="0" w:header="0"/>
        </w:sectPr>
      </w:pPr>
    </w:p>
    <w:bookmarkStart w:id="239" w:name="page240"/>
    <w:bookmarkEnd w:id="2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10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6"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Payments of dividends on or of proceeds from the disposition of our common stock made to you may also be subject to backup withholding at a current rate of 24% unless you establish an exemption, for example, by properly certifying your non-U.S. status on a properly completed IRS Form W-8BEN or W-8BEN-E or another appropriate version of IRS Form W-8. Notwithstanding the foregoing, backup withholding may apply if either we or our paying agent has actual knowledge, or reason to know, that you are a U.S. person.</w:t>
      </w:r>
    </w:p>
    <w:p>
      <w:pPr>
        <w:spacing w:after="0" w:line="167" w:lineRule="exact"/>
        <w:rPr>
          <w:sz w:val="20"/>
          <w:szCs w:val="20"/>
          <w:color w:val="auto"/>
        </w:rPr>
      </w:pPr>
    </w:p>
    <w:p>
      <w:pPr>
        <w:ind w:left="820" w:right="60" w:firstLine="385"/>
        <w:spacing w:after="0" w:line="256" w:lineRule="auto"/>
        <w:rPr>
          <w:sz w:val="20"/>
          <w:szCs w:val="20"/>
          <w:color w:val="auto"/>
        </w:rPr>
      </w:pPr>
      <w:r>
        <w:rPr>
          <w:rFonts w:ascii="Arial" w:cs="Arial" w:eastAsia="Arial" w:hAnsi="Arial"/>
          <w:sz w:val="16"/>
          <w:szCs w:val="16"/>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Foreign Account Tax Compliance Act (FATCA)</w:t>
      </w:r>
    </w:p>
    <w:p>
      <w:pPr>
        <w:spacing w:after="0" w:line="103" w:lineRule="exact"/>
        <w:rPr>
          <w:sz w:val="20"/>
          <w:szCs w:val="20"/>
          <w:color w:val="auto"/>
        </w:rPr>
      </w:pPr>
    </w:p>
    <w:p>
      <w:pPr>
        <w:ind w:left="820" w:firstLine="385"/>
        <w:spacing w:after="0" w:line="309" w:lineRule="auto"/>
        <w:rPr>
          <w:sz w:val="20"/>
          <w:szCs w:val="20"/>
          <w:color w:val="auto"/>
        </w:rPr>
      </w:pPr>
      <w:r>
        <w:rPr>
          <w:rFonts w:ascii="Arial" w:cs="Arial" w:eastAsia="Arial" w:hAnsi="Arial"/>
          <w:sz w:val="13"/>
          <w:szCs w:val="13"/>
          <w:color w:val="auto"/>
        </w:rPr>
        <w:t>The Foreign Account Tax Compliance Act, Treasury Regulations issued thereunder and official IRS guidance (collectively FATCA), generally impose a U.S. federal withholding tax of 30% on dividends on, and, subject to the discussion of certain proposed Treasury Regulations below,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discussion of certain proposed Treasury Regulations below,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 The withholding tax will apply regardless of whether the payment otherwise would be exempt from withholding tax, including under the exemptions described above. Under certain circumstances, you might be eligible for refunds or credits of such taxes. An intergovernmental agreement between the United States and your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327" w:lineRule="exact"/>
        <w:rPr>
          <w:sz w:val="20"/>
          <w:szCs w:val="20"/>
          <w:color w:val="auto"/>
        </w:rPr>
      </w:pPr>
    </w:p>
    <w:p>
      <w:pPr>
        <w:ind w:left="820" w:right="240" w:firstLine="385"/>
        <w:spacing w:after="0" w:line="343" w:lineRule="auto"/>
        <w:rPr>
          <w:sz w:val="20"/>
          <w:szCs w:val="20"/>
          <w:color w:val="auto"/>
        </w:rPr>
      </w:pPr>
      <w:r>
        <w:rPr>
          <w:rFonts w:ascii="Arial" w:cs="Arial" w:eastAsia="Arial" w:hAnsi="Arial"/>
          <w:sz w:val="13"/>
          <w:szCs w:val="13"/>
          <w:color w:val="auto"/>
        </w:rPr>
        <w:t>The Treasury Secretary has issued proposed Treasury Regulations, which, if finalized in their present form, would eliminate withholding under FATCA with respect to payment of gross proceeds from a sale or other disposition of our common stock. In its preamble to such proposed Treasury Regulations, the U.S. Treasury stated that taxpayers may generally rely on the proposed Treasury Regulations until final regulations are issued.</w:t>
      </w:r>
    </w:p>
    <w:p>
      <w:pPr>
        <w:spacing w:after="0" w:line="110" w:lineRule="exact"/>
        <w:rPr>
          <w:sz w:val="20"/>
          <w:szCs w:val="20"/>
          <w:color w:val="auto"/>
        </w:rPr>
      </w:pPr>
    </w:p>
    <w:p>
      <w:pPr>
        <w:ind w:left="820" w:firstLine="385"/>
        <w:spacing w:after="0" w:line="254" w:lineRule="auto"/>
        <w:rPr>
          <w:sz w:val="20"/>
          <w:szCs w:val="20"/>
          <w:color w:val="auto"/>
        </w:rPr>
      </w:pPr>
      <w:r>
        <w:rPr>
          <w:rFonts w:ascii="Arial" w:cs="Arial" w:eastAsia="Arial" w:hAnsi="Arial"/>
          <w:sz w:val="16"/>
          <w:szCs w:val="16"/>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237</w:t>
      </w:r>
    </w:p>
    <w:p>
      <w:pPr>
        <w:sectPr>
          <w:pgSz w:w="11900" w:h="16838" w:orient="portrait"/>
          <w:cols w:equalWidth="0" w:num="1">
            <w:col w:w="10420"/>
          </w:cols>
          <w:pgMar w:left="320" w:top="418" w:right="1159" w:bottom="1440" w:gutter="0" w:footer="0" w:header="0"/>
        </w:sectPr>
      </w:pPr>
    </w:p>
    <w:bookmarkStart w:id="240" w:name="page241"/>
    <w:bookmarkEnd w:id="2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UNDERWRITERS</w:t>
      </w:r>
    </w:p>
    <w:p>
      <w:pPr>
        <w:spacing w:after="0" w:line="197" w:lineRule="exact"/>
        <w:rPr>
          <w:sz w:val="20"/>
          <w:szCs w:val="20"/>
          <w:color w:val="auto"/>
        </w:rPr>
      </w:pPr>
    </w:p>
    <w:p>
      <w:pPr>
        <w:ind w:left="820" w:right="200" w:firstLine="385"/>
        <w:spacing w:after="0" w:line="281" w:lineRule="auto"/>
        <w:rPr>
          <w:sz w:val="20"/>
          <w:szCs w:val="20"/>
          <w:color w:val="auto"/>
        </w:rPr>
      </w:pPr>
      <w:r>
        <w:rPr>
          <w:rFonts w:ascii="Arial" w:cs="Arial" w:eastAsia="Arial" w:hAnsi="Arial"/>
          <w:sz w:val="15"/>
          <w:szCs w:val="15"/>
          <w:color w:val="auto"/>
        </w:rPr>
        <w:t>Under the terms and subject to the conditions in an underwriting agreement dated the date of this prospectus, the underwriters named below, for whom Morgan Stanley &amp; Co. LLC, Cowen and Company, LLC and Piper Sandler &amp; Co. are acting as representatives, have severally agreed to purchase, and we have agreed to sell to them, severally, the number of shares indicated below:</w:t>
      </w:r>
    </w:p>
    <w:p>
      <w:pPr>
        <w:sectPr>
          <w:pgSz w:w="11900" w:h="16838" w:orient="portrait"/>
          <w:cols w:equalWidth="0" w:num="1">
            <w:col w:w="10440"/>
          </w:cols>
          <w:pgMar w:left="320" w:top="418" w:right="1139" w:bottom="1440" w:gutter="0" w:footer="0" w:header="0"/>
        </w:sect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0"/>
          <w:szCs w:val="10"/>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29210</wp:posOffset>
            </wp:positionV>
            <wp:extent cx="4581525" cy="1200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8152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460"/>
        <w:spacing w:after="0"/>
        <w:rPr>
          <w:sz w:val="20"/>
          <w:szCs w:val="20"/>
          <w:color w:val="auto"/>
        </w:rPr>
      </w:pPr>
      <w:r>
        <w:rPr>
          <w:rFonts w:ascii="Arial" w:cs="Arial" w:eastAsia="Arial" w:hAnsi="Arial"/>
          <w:sz w:val="10"/>
          <w:szCs w:val="10"/>
          <w:b w:val="1"/>
          <w:bCs w:val="1"/>
          <w:color w:val="auto"/>
        </w:rPr>
        <w:t>Number of</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37401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74015" cy="762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680" w:space="720"/>
            <w:col w:w="2040"/>
          </w:cols>
          <w:pgMar w:left="320" w:top="418" w:right="1139" w:bottom="1440" w:gutter="0" w:footer="0" w:header="0"/>
          <w:type w:val="continuous"/>
        </w:sectPr>
      </w:pPr>
    </w:p>
    <w:p>
      <w:pPr>
        <w:ind w:left="2020"/>
        <w:spacing w:after="0"/>
        <w:rPr>
          <w:sz w:val="20"/>
          <w:szCs w:val="20"/>
          <w:color w:val="auto"/>
        </w:rPr>
      </w:pPr>
      <w:r>
        <w:rPr>
          <w:rFonts w:ascii="Arial" w:cs="Arial" w:eastAsia="Arial" w:hAnsi="Arial"/>
          <w:sz w:val="16"/>
          <w:szCs w:val="16"/>
          <w:color w:val="auto"/>
        </w:rPr>
        <w:t>Morgan Stanley &amp; Co. LLC</w:t>
      </w:r>
    </w:p>
    <w:p>
      <w:pPr>
        <w:spacing w:after="0" w:line="3"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Cowen and Company, LLC</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-115570</wp:posOffset>
            </wp:positionV>
            <wp:extent cx="4581525" cy="1200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581525" cy="12001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6"/>
          <w:szCs w:val="16"/>
          <w:color w:val="auto"/>
        </w:rPr>
        <w:t>Chardan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5222240</wp:posOffset>
            </wp:positionH>
            <wp:positionV relativeFrom="paragraph">
              <wp:posOffset>3810</wp:posOffset>
            </wp:positionV>
            <wp:extent cx="606425"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6425" cy="762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1283970</wp:posOffset>
            </wp:positionH>
            <wp:positionV relativeFrom="paragraph">
              <wp:posOffset>-107950</wp:posOffset>
            </wp:positionV>
            <wp:extent cx="4581525" cy="1270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581525" cy="127000"/>
                    </a:xfrm>
                    <a:prstGeom prst="rect">
                      <a:avLst/>
                    </a:prstGeom>
                    <a:noFill/>
                  </pic:spPr>
                </pic:pic>
              </a:graphicData>
            </a:graphic>
          </wp:anchor>
        </w:drawing>
      </w:r>
    </w:p>
    <w:p>
      <w:pPr>
        <w:spacing w:after="0" w:line="197" w:lineRule="exact"/>
        <w:rPr>
          <w:sz w:val="20"/>
          <w:szCs w:val="20"/>
          <w:color w:val="auto"/>
        </w:rPr>
      </w:pPr>
    </w:p>
    <w:p>
      <w:pPr>
        <w:ind w:left="820" w:firstLine="385"/>
        <w:spacing w:after="0" w:line="270"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5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underwriters initially propose to offer part of the shares of common stock directly to the public at the offering price listed on the cover page of</w:t>
      </w:r>
    </w:p>
    <w:p>
      <w:pPr>
        <w:spacing w:after="0" w:line="51" w:lineRule="exact"/>
        <w:rPr>
          <w:sz w:val="20"/>
          <w:szCs w:val="20"/>
          <w:color w:val="auto"/>
        </w:rPr>
      </w:pPr>
    </w:p>
    <w:p>
      <w:pPr>
        <w:jc w:val="both"/>
        <w:ind w:left="820" w:right="80"/>
        <w:spacing w:after="0" w:line="248"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 The offering of the shares by the underwriters is subject to the receipt and acceptance and subject to the underwriters’ right to reject any order in whole or in part.</w:t>
      </w:r>
    </w:p>
    <w:p>
      <w:pPr>
        <w:spacing w:after="0" w:line="171" w:lineRule="exact"/>
        <w:rPr>
          <w:sz w:val="20"/>
          <w:szCs w:val="20"/>
          <w:color w:val="auto"/>
        </w:rPr>
      </w:pPr>
    </w:p>
    <w:p>
      <w:pPr>
        <w:ind w:left="820" w:right="80" w:firstLine="385"/>
        <w:spacing w:after="0" w:line="319" w:lineRule="auto"/>
        <w:rPr>
          <w:sz w:val="20"/>
          <w:szCs w:val="20"/>
          <w:color w:val="auto"/>
        </w:rPr>
      </w:pPr>
      <w:r>
        <w:rPr>
          <w:rFonts w:ascii="Arial" w:cs="Arial" w:eastAsia="Arial" w:hAnsi="Arial"/>
          <w:sz w:val="13"/>
          <w:szCs w:val="13"/>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shows the per share and total public offering price, underwriting discounts and commissions, and proceeds before expenses to</w:t>
      </w:r>
    </w:p>
    <w:p>
      <w:pPr>
        <w:spacing w:after="0" w:line="51" w:lineRule="exact"/>
        <w:rPr>
          <w:sz w:val="20"/>
          <w:szCs w:val="20"/>
          <w:color w:val="auto"/>
        </w:rPr>
      </w:pPr>
    </w:p>
    <w:p>
      <w:pPr>
        <w:ind w:left="820" w:right="100"/>
        <w:spacing w:after="0" w:line="252" w:lineRule="auto"/>
        <w:rPr>
          <w:sz w:val="20"/>
          <w:szCs w:val="20"/>
          <w:color w:val="auto"/>
        </w:rPr>
      </w:pPr>
      <w:r>
        <w:rPr>
          <w:rFonts w:ascii="Arial" w:cs="Arial" w:eastAsia="Arial" w:hAnsi="Arial"/>
          <w:sz w:val="16"/>
          <w:szCs w:val="16"/>
          <w:color w:val="auto"/>
        </w:rPr>
        <w:t>us. These amounts are shown assuming both no exercise and full exercise of the underwriters’ option to purchase up to an additional shares of common stock.</w:t>
      </w:r>
    </w:p>
    <w:p>
      <w:pPr>
        <w:spacing w:after="0" w:line="18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auto"/>
              </w:rPr>
              <w:t>Per</w:t>
            </w: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02"/>
        </w:trPr>
        <w:tc>
          <w:tcPr>
            <w:tcW w:w="48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center"/>
              <w:spacing w:after="0" w:line="102" w:lineRule="exact"/>
              <w:rPr>
                <w:sz w:val="20"/>
                <w:szCs w:val="20"/>
                <w:color w:val="auto"/>
              </w:rPr>
            </w:pPr>
            <w:r>
              <w:rPr>
                <w:rFonts w:ascii="Arial" w:cs="Arial" w:eastAsia="Arial" w:hAnsi="Arial"/>
                <w:sz w:val="10"/>
                <w:szCs w:val="10"/>
                <w:b w:val="1"/>
                <w:bCs w:val="1"/>
                <w:color w:val="auto"/>
              </w:rPr>
              <w:t>Full</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48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00" w:type="dxa"/>
            <w:vAlign w:val="bottom"/>
          </w:tcPr>
          <w:p>
            <w:pPr>
              <w:jc w:val="right"/>
              <w:ind w:right="101"/>
              <w:spacing w:after="0"/>
              <w:rPr>
                <w:sz w:val="20"/>
                <w:szCs w:val="20"/>
                <w:color w:val="auto"/>
              </w:rPr>
            </w:pPr>
            <w:r>
              <w:rPr>
                <w:rFonts w:ascii="Arial" w:cs="Arial" w:eastAsia="Arial" w:hAnsi="Arial"/>
                <w:sz w:val="13"/>
                <w:szCs w:val="13"/>
                <w:b w:val="1"/>
                <w:bCs w:val="1"/>
                <w:color w:val="auto"/>
              </w:rPr>
              <w:t>Share</w:t>
            </w:r>
          </w:p>
        </w:tc>
        <w:tc>
          <w:tcPr>
            <w:tcW w:w="960" w:type="dxa"/>
            <w:vAlign w:val="bottom"/>
            <w:gridSpan w:val="2"/>
          </w:tcPr>
          <w:p>
            <w:pPr>
              <w:ind w:left="320"/>
              <w:spacing w:after="0"/>
              <w:rPr>
                <w:sz w:val="20"/>
                <w:szCs w:val="20"/>
                <w:color w:val="auto"/>
              </w:rPr>
            </w:pPr>
            <w:r>
              <w:rPr>
                <w:rFonts w:ascii="Arial" w:cs="Arial" w:eastAsia="Arial" w:hAnsi="Arial"/>
                <w:sz w:val="13"/>
                <w:szCs w:val="13"/>
                <w:b w:val="1"/>
                <w:bCs w:val="1"/>
                <w:color w:val="auto"/>
                <w:w w:val="83"/>
              </w:rPr>
              <w:t>No Exercise</w:t>
            </w:r>
          </w:p>
        </w:tc>
        <w:tc>
          <w:tcPr>
            <w:tcW w:w="34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Exercise</w:t>
            </w:r>
          </w:p>
        </w:tc>
        <w:tc>
          <w:tcPr>
            <w:tcW w:w="0" w:type="dxa"/>
            <w:vAlign w:val="bottom"/>
          </w:tcPr>
          <w:p>
            <w:pPr>
              <w:spacing w:after="0"/>
              <w:rPr>
                <w:sz w:val="1"/>
                <w:szCs w:val="1"/>
                <w:color w:val="auto"/>
              </w:rPr>
            </w:pPr>
          </w:p>
        </w:tc>
      </w:tr>
      <w:tr>
        <w:trPr>
          <w:trHeight w:val="180"/>
        </w:trPr>
        <w:tc>
          <w:tcPr>
            <w:tcW w:w="484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Public offering price</w:t>
            </w:r>
          </w:p>
        </w:tc>
        <w:tc>
          <w:tcPr>
            <w:tcW w:w="2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6"/>
                <w:szCs w:val="16"/>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40" w:type="dxa"/>
            <w:vAlign w:val="bottom"/>
          </w:tcPr>
          <w:p>
            <w:pPr>
              <w:spacing w:after="0"/>
              <w:rPr>
                <w:sz w:val="20"/>
                <w:szCs w:val="20"/>
                <w:color w:val="auto"/>
              </w:rPr>
            </w:pPr>
            <w:r>
              <w:rPr>
                <w:rFonts w:ascii="Arial" w:cs="Arial" w:eastAsia="Arial" w:hAnsi="Arial"/>
                <w:sz w:val="16"/>
                <w:szCs w:val="16"/>
                <w:color w:val="auto"/>
              </w:rPr>
              <w:t>Underwriting discounts and commissions</w:t>
            </w:r>
          </w:p>
        </w:tc>
        <w:tc>
          <w:tcPr>
            <w:tcW w:w="2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2840" w:type="dxa"/>
            <w:vAlign w:val="bottom"/>
            <w:gridSpan w:val="2"/>
            <w:shd w:val="clear" w:color="auto" w:fill="CCEEFF"/>
          </w:tcPr>
          <w:p>
            <w:pPr>
              <w:jc w:val="right"/>
              <w:ind w:right="481"/>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485"/>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8640" w:type="dxa"/>
            <w:vAlign w:val="bottom"/>
            <w:gridSpan w:val="5"/>
          </w:tcPr>
          <w:p>
            <w:pPr>
              <w:ind w:left="380"/>
              <w:spacing w:after="0"/>
              <w:rPr>
                <w:sz w:val="20"/>
                <w:szCs w:val="20"/>
                <w:color w:val="auto"/>
              </w:rPr>
            </w:pPr>
            <w:r>
              <w:rPr>
                <w:rFonts w:ascii="Arial" w:cs="Arial" w:eastAsia="Arial" w:hAnsi="Arial"/>
                <w:sz w:val="16"/>
                <w:szCs w:val="16"/>
                <w:color w:val="auto"/>
                <w:w w:val="92"/>
              </w:rPr>
              <w:t>The estimated offering expenses payable by us, exclusive of the underwriting discounts and commissions, are approximately $</w:t>
            </w:r>
          </w:p>
        </w:tc>
        <w:tc>
          <w:tcPr>
            <w:tcW w:w="980" w:type="dxa"/>
            <w:vAlign w:val="bottom"/>
            <w:gridSpan w:val="3"/>
          </w:tcPr>
          <w:p>
            <w:pPr>
              <w:jc w:val="center"/>
              <w:ind w:left="207"/>
              <w:spacing w:after="0"/>
              <w:rPr>
                <w:sz w:val="20"/>
                <w:szCs w:val="20"/>
                <w:color w:val="auto"/>
              </w:rPr>
            </w:pPr>
            <w:r>
              <w:rPr>
                <w:rFonts w:ascii="Arial" w:cs="Arial" w:eastAsia="Arial" w:hAnsi="Arial"/>
                <w:sz w:val="16"/>
                <w:szCs w:val="16"/>
                <w:color w:val="auto"/>
                <w:w w:val="86"/>
              </w:rPr>
              <w:t>. We have</w:t>
            </w:r>
          </w:p>
        </w:tc>
        <w:tc>
          <w:tcPr>
            <w:tcW w:w="0" w:type="dxa"/>
            <w:vAlign w:val="bottom"/>
          </w:tcPr>
          <w:p>
            <w:pPr>
              <w:spacing w:after="0"/>
              <w:rPr>
                <w:sz w:val="1"/>
                <w:szCs w:val="1"/>
                <w:color w:val="auto"/>
              </w:rPr>
            </w:pPr>
          </w:p>
        </w:tc>
      </w:tr>
    </w:tbl>
    <w:p>
      <w:pPr>
        <w:ind w:left="820"/>
        <w:spacing w:after="0"/>
        <w:rPr>
          <w:sz w:val="20"/>
          <w:szCs w:val="20"/>
          <w:color w:val="auto"/>
        </w:rPr>
      </w:pPr>
      <w:r>
        <w:rPr>
          <w:rFonts w:ascii="Arial" w:cs="Arial" w:eastAsia="Arial" w:hAnsi="Arial"/>
          <w:sz w:val="13"/>
          <w:szCs w:val="13"/>
          <w:color w:val="auto"/>
        </w:rPr>
        <w:t>agreed to reimburse the underwriters for expense relating to clearance of this offering with the Financial Industry Regulatory Authority, Inc. (FINRA) up</w:t>
      </w:r>
    </w:p>
    <w:p>
      <w:pPr>
        <w:spacing w:after="0" w:line="327" w:lineRule="exact"/>
        <w:rPr>
          <w:sz w:val="20"/>
          <w:szCs w:val="20"/>
          <w:color w:val="auto"/>
        </w:rPr>
      </w:pPr>
    </w:p>
    <w:p>
      <w:pPr>
        <w:ind w:left="820"/>
        <w:spacing w:after="0"/>
        <w:tabs>
          <w:tab w:leader="none" w:pos="1660" w:val="left"/>
        </w:tabs>
        <w:rPr>
          <w:sz w:val="20"/>
          <w:szCs w:val="20"/>
          <w:color w:val="auto"/>
        </w:rPr>
      </w:pPr>
      <w:r>
        <w:rPr>
          <w:rFonts w:ascii="Arial" w:cs="Arial" w:eastAsia="Arial" w:hAnsi="Arial"/>
          <w:sz w:val="16"/>
          <w:szCs w:val="16"/>
          <w:color w:val="auto"/>
        </w:rPr>
        <w:t>to $</w:t>
      </w:r>
      <w:r>
        <w:rPr>
          <w:sz w:val="20"/>
          <w:szCs w:val="20"/>
          <w:color w:val="auto"/>
        </w:rPr>
        <w:tab/>
      </w:r>
      <w:r>
        <w:rPr>
          <w:rFonts w:ascii="Arial" w:cs="Arial" w:eastAsia="Arial" w:hAnsi="Arial"/>
          <w:sz w:val="13"/>
          <w:szCs w:val="13"/>
          <w:color w:val="auto"/>
        </w:rPr>
        <w:t>.</w:t>
      </w:r>
    </w:p>
    <w:p>
      <w:pPr>
        <w:spacing w:after="0" w:line="13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238</w:t>
      </w:r>
    </w:p>
    <w:p>
      <w:pPr>
        <w:sectPr>
          <w:pgSz w:w="11900" w:h="16838" w:orient="portrait"/>
          <w:cols w:equalWidth="0" w:num="1">
            <w:col w:w="10440"/>
          </w:cols>
          <w:pgMar w:left="320" w:top="418" w:right="1139" w:bottom="1440" w:gutter="0" w:footer="0" w:header="0"/>
          <w:type w:val="continuous"/>
        </w:sectPr>
      </w:pPr>
    </w:p>
    <w:bookmarkStart w:id="241" w:name="page242"/>
    <w:bookmarkEnd w:id="2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shares of common stock offered by them.</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have applied to list our common stock on the Nasdaq Stock Market under the trading symbol “TNYA”.</w:t>
      </w:r>
    </w:p>
    <w:p>
      <w:pPr>
        <w:spacing w:after="0" w:line="193"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In connection with this offering, we and all of our directors and officers and substantially all of our securityholders have agreed that, without the prior written consent of Morgan Stanley &amp; Co. LLC, Cowen and Company, LLC and Piper Sandler &amp; Co. on behalf of the underwriters, we and they will not, and will not publicly disclose an intention to, during the period from the date of this prospectus continuing through the date 180 days after the date of this prospectus (the Restricted Period):</w:t>
      </w:r>
    </w:p>
    <w:p>
      <w:pPr>
        <w:spacing w:after="0" w:line="85" w:lineRule="exact"/>
        <w:rPr>
          <w:sz w:val="20"/>
          <w:szCs w:val="20"/>
          <w:color w:val="auto"/>
        </w:rPr>
      </w:pPr>
    </w:p>
    <w:p>
      <w:pPr>
        <w:ind w:left="1660" w:right="40" w:hanging="469"/>
        <w:spacing w:after="0" w:line="25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3" w:lineRule="exact"/>
        <w:rPr>
          <w:rFonts w:ascii="Arial" w:cs="Arial" w:eastAsia="Arial" w:hAnsi="Arial"/>
          <w:sz w:val="16"/>
          <w:szCs w:val="16"/>
          <w:color w:val="auto"/>
        </w:rPr>
      </w:pPr>
    </w:p>
    <w:p>
      <w:pPr>
        <w:ind w:left="1660" w:hanging="469"/>
        <w:spacing w:after="0" w:line="26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6"/>
          <w:szCs w:val="16"/>
          <w:color w:val="auto"/>
        </w:rPr>
      </w:pPr>
    </w:p>
    <w:p>
      <w:pPr>
        <w:ind w:left="1660" w:right="100" w:hanging="469"/>
        <w:spacing w:after="0" w:line="266" w:lineRule="auto"/>
        <w:tabs>
          <w:tab w:leader="none" w:pos="16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enter into any swap or other arrangement that transfers to another, in whole or in part, any of the economic consequences of ownership of the common stock</w:t>
      </w:r>
    </w:p>
    <w:p>
      <w:pPr>
        <w:spacing w:after="0" w:line="158" w:lineRule="exact"/>
        <w:rPr>
          <w:sz w:val="20"/>
          <w:szCs w:val="20"/>
          <w:color w:val="auto"/>
        </w:rPr>
      </w:pPr>
    </w:p>
    <w:p>
      <w:pPr>
        <w:ind w:left="820" w:right="160" w:firstLine="385"/>
        <w:spacing w:after="0" w:line="281" w:lineRule="auto"/>
        <w:rPr>
          <w:sz w:val="20"/>
          <w:szCs w:val="20"/>
          <w:color w:val="auto"/>
        </w:rPr>
      </w:pPr>
      <w:r>
        <w:rPr>
          <w:rFonts w:ascii="Arial" w:cs="Arial" w:eastAsia="Arial" w:hAnsi="Arial"/>
          <w:sz w:val="15"/>
          <w:szCs w:val="15"/>
          <w:color w:val="auto"/>
        </w:rPr>
        <w:t>whether any such transaction described above is to be settled by delivery of common stock or such other securities, in cash or otherwise. In addition, we and each such person agrees that, without the prior written consent of Morgan Stanley &amp; Co. LLC, Cowen and Company, LLC and Piper Sandler &amp; Co. on behalf of the underwriters, we or such other person will not, during the Restricted Period:</w:t>
      </w:r>
    </w:p>
    <w:p>
      <w:pPr>
        <w:spacing w:after="0" w:line="66" w:lineRule="exact"/>
        <w:rPr>
          <w:sz w:val="20"/>
          <w:szCs w:val="20"/>
          <w:color w:val="auto"/>
        </w:rPr>
      </w:pPr>
    </w:p>
    <w:p>
      <w:pPr>
        <w:ind w:left="1660" w:right="20" w:hanging="469"/>
        <w:spacing w:after="0" w:line="266" w:lineRule="auto"/>
        <w:tabs>
          <w:tab w:leader="none" w:pos="1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make any demand for, or exercise any right with respect to, the registration of any shares of common stock or any security convertible into or exercisable or exchangeable for common stock; or</w:t>
      </w:r>
    </w:p>
    <w:p>
      <w:pPr>
        <w:spacing w:after="0" w:line="75" w:lineRule="exact"/>
        <w:rPr>
          <w:rFonts w:ascii="Arial" w:cs="Arial" w:eastAsia="Arial" w:hAnsi="Arial"/>
          <w:sz w:val="16"/>
          <w:szCs w:val="16"/>
          <w:color w:val="auto"/>
        </w:rPr>
      </w:pPr>
    </w:p>
    <w:p>
      <w:pPr>
        <w:ind w:left="1660" w:right="240" w:hanging="469"/>
        <w:spacing w:after="0" w:line="383" w:lineRule="auto"/>
        <w:tabs>
          <w:tab w:leader="none" w:pos="166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engage in any hedging or other transaction designed or intended, or which could reasonably be expected to lead to or result in, a sale or disposition of any shares of common stock, or any securities convertible into or exercisable or exchangeable for common stock.</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The restrictions described in the immediately preceding paragraph are subject to specified exceptions, including, without limitation:</w:t>
      </w:r>
    </w:p>
    <w:p>
      <w:pPr>
        <w:spacing w:after="0" w:line="122" w:lineRule="exact"/>
        <w:rPr>
          <w:sz w:val="20"/>
          <w:szCs w:val="20"/>
          <w:color w:val="auto"/>
        </w:rPr>
      </w:pPr>
    </w:p>
    <w:p>
      <w:pPr>
        <w:ind w:left="1660" w:right="260" w:hanging="469"/>
        <w:spacing w:after="0" w:line="281" w:lineRule="auto"/>
        <w:tabs>
          <w:tab w:leader="none" w:pos="1660" w:val="left"/>
        </w:tabs>
        <w:numPr>
          <w:ilvl w:val="0"/>
          <w:numId w:val="148"/>
        </w:numPr>
        <w:rPr>
          <w:rFonts w:ascii="Arial" w:cs="Arial" w:eastAsia="Arial" w:hAnsi="Arial"/>
          <w:sz w:val="15"/>
          <w:szCs w:val="15"/>
          <w:color w:val="auto"/>
        </w:rPr>
      </w:pPr>
      <w:r>
        <w:rPr>
          <w:rFonts w:ascii="Arial" w:cs="Arial" w:eastAsia="Arial" w:hAnsi="Arial"/>
          <w:sz w:val="15"/>
          <w:szCs w:val="15"/>
          <w:color w:val="auto"/>
        </w:rPr>
        <w:t>transactions related to shares of our common stock or other securities acquired in this offering or in open market transactions after the completion of this offering, provided that no filing under Section 16 of the Exchange Act is required or voluntarily made in connection with subsequent sales of the common stock or other securities acquired in such open market transactions;</w:t>
      </w:r>
    </w:p>
    <w:p>
      <w:pPr>
        <w:spacing w:after="0" w:line="66" w:lineRule="exact"/>
        <w:rPr>
          <w:rFonts w:ascii="Arial" w:cs="Arial" w:eastAsia="Arial" w:hAnsi="Arial"/>
          <w:sz w:val="15"/>
          <w:szCs w:val="15"/>
          <w:color w:val="auto"/>
        </w:rPr>
      </w:pPr>
    </w:p>
    <w:p>
      <w:pPr>
        <w:jc w:val="both"/>
        <w:ind w:left="1660" w:right="100" w:hanging="469"/>
        <w:spacing w:after="0" w:line="256" w:lineRule="auto"/>
        <w:tabs>
          <w:tab w:leader="none" w:pos="1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common stock as a bona fide gift or charitable contribution, by will, to an immediate family member or to certain trusts, provided that no filing under Section 16 of the Exchange Act shall be required or voluntarily made;</w:t>
      </w:r>
    </w:p>
    <w:p>
      <w:pPr>
        <w:spacing w:after="0" w:line="83" w:lineRule="exact"/>
        <w:rPr>
          <w:rFonts w:ascii="Arial" w:cs="Arial" w:eastAsia="Arial" w:hAnsi="Arial"/>
          <w:sz w:val="16"/>
          <w:szCs w:val="16"/>
          <w:color w:val="auto"/>
        </w:rPr>
      </w:pPr>
    </w:p>
    <w:p>
      <w:pPr>
        <w:ind w:left="1660" w:right="80" w:hanging="469"/>
        <w:spacing w:after="0" w:line="256" w:lineRule="auto"/>
        <w:tabs>
          <w:tab w:leader="none" w:pos="1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transfers or distributions of shares of common stock or any other securities by a stockholder that is a trust to a trustor or beneficiary of the trust or to the estate of a beneficiary of such trust provided that no filing under Section 16 of the Exchange Act shall be required or voluntarily made;</w:t>
      </w:r>
    </w:p>
    <w:p>
      <w:pPr>
        <w:spacing w:after="0" w:line="83" w:lineRule="exact"/>
        <w:rPr>
          <w:rFonts w:ascii="Arial" w:cs="Arial" w:eastAsia="Arial" w:hAnsi="Arial"/>
          <w:sz w:val="16"/>
          <w:szCs w:val="16"/>
          <w:color w:val="auto"/>
        </w:rPr>
      </w:pPr>
    </w:p>
    <w:p>
      <w:pPr>
        <w:ind w:left="1660" w:right="40" w:hanging="469"/>
        <w:spacing w:after="0" w:line="251" w:lineRule="auto"/>
        <w:tabs>
          <w:tab w:leader="none" w:pos="1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distributions of our common stock or any security convertible into or exercisable or exchangeable for common stock to limited partners, members, stockholders or holders of similar equity interests, or transfers of shares of common stock or any security convertible into or exercisable or exchangeable for common stock to another corporation, partnership, limited liability company, trust or other business entity that is an affiliate, or to any investment fund or other entity controlled or managed by an affiliate, provided that no filing under Section 16 of the Exchange Act shall be required or voluntarily made;</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239</w:t>
      </w:r>
    </w:p>
    <w:p>
      <w:pPr>
        <w:sectPr>
          <w:pgSz w:w="11900" w:h="16838" w:orient="portrait"/>
          <w:cols w:equalWidth="0" w:num="1">
            <w:col w:w="10400"/>
          </w:cols>
          <w:pgMar w:left="320" w:top="418" w:right="1179" w:bottom="1440" w:gutter="0" w:footer="0" w:header="0"/>
        </w:sectPr>
      </w:pPr>
    </w:p>
    <w:bookmarkStart w:id="242" w:name="page243"/>
    <w:bookmarkEnd w:id="2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660" w:right="180" w:hanging="469"/>
        <w:spacing w:after="0" w:line="253" w:lineRule="auto"/>
        <w:tabs>
          <w:tab w:leader="none" w:pos="1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transfers of our common stock or any security convertible into or exercisable or exchangeable for common stock pursuant to a domestic order or divorce, provided that any filing required by Section 16 of the Exchange Act shall clearly indicate in the footnotes thereto that such transfer is being made pursuant to these circumstances and that no other public announcement or filing shall be required or shall be voluntarily made;</w:t>
      </w:r>
    </w:p>
    <w:p>
      <w:pPr>
        <w:spacing w:after="0" w:line="84" w:lineRule="exact"/>
        <w:rPr>
          <w:rFonts w:ascii="Arial" w:cs="Arial" w:eastAsia="Arial" w:hAnsi="Arial"/>
          <w:sz w:val="16"/>
          <w:szCs w:val="16"/>
          <w:color w:val="auto"/>
        </w:rPr>
      </w:pPr>
    </w:p>
    <w:p>
      <w:pPr>
        <w:ind w:left="1660" w:hanging="469"/>
        <w:spacing w:after="0" w:line="312" w:lineRule="auto"/>
        <w:tabs>
          <w:tab w:leader="none" w:pos="16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exercise, vesting or settlement of options, restricted stock units or other equity awards granted under a stock incentive plan or other equity award plan as described in the prospectus, or transfers or disposition of shares of our common stock or any security convertible into or exercisable or exchangeable for common stock to us upon a vesting or settlement event of our restricted stock units or other securities or the exercise of warrants or options to purchase our securities on a “cashless” or “net exercise” basis to cover estimated taxes, withholding tax and remittance obligations in connection with such vesting, settlement or exercise, insofar as such vesting, settlement or exercise is effected solely by the surrender of outstanding options (or the common stock issuable upon the exercise thereof) or shares of common stock to the Company and our cancellation of all or a portion thereof, provided that no filing under Section 16 of the Exchange Act shall be required or voluntarily made within 90 days after the date of the prospectus and after such 90 days and during the Restricted Period any filing under Section 16 of the Exchange Act will include a statement that such transaction reflects these circumstances;</w:t>
      </w:r>
    </w:p>
    <w:p>
      <w:pPr>
        <w:spacing w:after="0" w:line="54" w:lineRule="exact"/>
        <w:rPr>
          <w:rFonts w:ascii="Arial" w:cs="Arial" w:eastAsia="Arial" w:hAnsi="Arial"/>
          <w:sz w:val="13"/>
          <w:szCs w:val="13"/>
          <w:color w:val="auto"/>
        </w:rPr>
      </w:pPr>
    </w:p>
    <w:p>
      <w:pPr>
        <w:ind w:left="1660" w:right="20" w:hanging="469"/>
        <w:spacing w:after="0" w:line="268"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transfers or dispositions of shares of common stock or any security convertible into or exercisable or exchangeable for common stock pursuant to any contractual arrangement in effect on the date of the underwriting agreement and disclosed to the underwriters in writing that provides for the repurchase by us of common stock or any security convertible into or exercisable or exchangeable for common stock pursuant to a repurchase right arising in connection with the termination of employment with or service to the Company; provided that any filing under Section 16 of the Exchange Act reporting a reduction in beneficial ownership of common stock indicates by footnote disclosure or otherwise the nature of the transfer or disposition pursuant to these circumstances and that no other public announcement or filing shall be required or shall be voluntarily made;</w:t>
      </w:r>
    </w:p>
    <w:p>
      <w:pPr>
        <w:spacing w:after="0" w:line="78" w:lineRule="exact"/>
        <w:rPr>
          <w:rFonts w:ascii="Arial" w:cs="Arial" w:eastAsia="Arial" w:hAnsi="Arial"/>
          <w:sz w:val="15"/>
          <w:szCs w:val="15"/>
          <w:color w:val="auto"/>
        </w:rPr>
      </w:pPr>
    </w:p>
    <w:p>
      <w:pPr>
        <w:ind w:left="1660" w:hanging="469"/>
        <w:spacing w:after="0" w:line="250" w:lineRule="auto"/>
        <w:tabs>
          <w:tab w:leader="none" w:pos="1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transfers of our common stock or any security convertible into or exercisable or exchangeable for common stock in connection with a bona fide third-party tender offer, merger, consolidation or other similar transaction made to all holders of our common stock involving a change of control of our Company that has been approved by our board of directors and is open to all holders of our common stock, provided that in the event that such tender offer, merger, consolidation or other such transaction is not completed, the securities shall continue to be subject to the restrictions on transfer set forth in the lock-up agreement, and provided that no filing under Section 16 of the Exchange Act shall be required or voluntarily made;</w:t>
      </w:r>
    </w:p>
    <w:p>
      <w:pPr>
        <w:spacing w:after="0" w:line="88" w:lineRule="exact"/>
        <w:rPr>
          <w:rFonts w:ascii="Arial" w:cs="Arial" w:eastAsia="Arial" w:hAnsi="Arial"/>
          <w:sz w:val="16"/>
          <w:szCs w:val="16"/>
          <w:color w:val="auto"/>
        </w:rPr>
      </w:pPr>
    </w:p>
    <w:p>
      <w:pPr>
        <w:ind w:left="1660" w:hanging="469"/>
        <w:spacing w:after="0" w:line="272" w:lineRule="auto"/>
        <w:tabs>
          <w:tab w:leader="none" w:pos="16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facilitating the establishment of a trading plan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during the Restricted Period, such announcement or filing shall include a statement to the effect that no transfer of common stock may be made under such plan during the Restricted Period; and</w:t>
      </w:r>
    </w:p>
    <w:p>
      <w:pPr>
        <w:spacing w:after="0" w:line="71" w:lineRule="exact"/>
        <w:rPr>
          <w:rFonts w:ascii="Arial" w:cs="Arial" w:eastAsia="Arial" w:hAnsi="Arial"/>
          <w:sz w:val="15"/>
          <w:szCs w:val="15"/>
          <w:color w:val="auto"/>
        </w:rPr>
      </w:pPr>
    </w:p>
    <w:p>
      <w:pPr>
        <w:ind w:left="1660" w:right="140" w:hanging="469"/>
        <w:spacing w:after="0" w:line="251" w:lineRule="auto"/>
        <w:tabs>
          <w:tab w:leader="none" w:pos="16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conversion of outstanding preferred stock into shares of common stock in connection with the consummation of the offering or any conversion or reclassification of common stock as described in the prospectus, provided that such shares of common stock received upon conversion remain subject to the terms of the lock-up agreement and provided that any filing required by Section 16 of the Exchange Act related to any conversion or reclassification of common stock clearly indicate in the footnotes thereto the nature and conditions of such conversion or reclassification.</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240</w:t>
      </w:r>
    </w:p>
    <w:p>
      <w:pPr>
        <w:sectPr>
          <w:pgSz w:w="11900" w:h="16838" w:orient="portrait"/>
          <w:cols w:equalWidth="0" w:num="1">
            <w:col w:w="10420"/>
          </w:cols>
          <w:pgMar w:left="320" w:top="418" w:right="1159" w:bottom="1440" w:gutter="0" w:footer="0" w:header="0"/>
        </w:sectPr>
      </w:pPr>
    </w:p>
    <w:bookmarkStart w:id="243" w:name="page244"/>
    <w:bookmarkEnd w:id="2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60" w:firstLine="385"/>
        <w:spacing w:after="0" w:line="256" w:lineRule="auto"/>
        <w:rPr>
          <w:sz w:val="20"/>
          <w:szCs w:val="20"/>
          <w:color w:val="auto"/>
        </w:rPr>
      </w:pPr>
      <w:r>
        <w:rPr>
          <w:rFonts w:ascii="Arial" w:cs="Arial" w:eastAsia="Arial" w:hAnsi="Arial"/>
          <w:sz w:val="16"/>
          <w:szCs w:val="16"/>
          <w:color w:val="auto"/>
        </w:rPr>
        <w:t>Certain of the exceptions described above are subject to a requirement that the donee, trustee, transferee or distributee enter into a lock-up agreement with the underwriters containing similar restrictions. Certain of the exceptions described above are subject to a requirement that the transfer or distribution does not involve a disposition for value.</w:t>
      </w:r>
    </w:p>
    <w:p>
      <w:pPr>
        <w:spacing w:after="0" w:line="166"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Morgan Stanley &amp; Co. LLC, Cowen and Company, LLC and Piper Sandler &amp; Co. in their sole discretion, may release the common stock and other securities subject to the lock-up agreements described above in whole or in part at any time.</w:t>
      </w:r>
    </w:p>
    <w:p>
      <w:pPr>
        <w:spacing w:after="0" w:line="158" w:lineRule="exact"/>
        <w:rPr>
          <w:sz w:val="20"/>
          <w:szCs w:val="20"/>
          <w:color w:val="auto"/>
        </w:rPr>
      </w:pPr>
    </w:p>
    <w:p>
      <w:pPr>
        <w:ind w:left="820" w:right="100" w:firstLine="385"/>
        <w:spacing w:after="0" w:line="310" w:lineRule="auto"/>
        <w:rPr>
          <w:sz w:val="20"/>
          <w:szCs w:val="20"/>
          <w:color w:val="auto"/>
        </w:rPr>
      </w:pPr>
      <w:r>
        <w:rPr>
          <w:rFonts w:ascii="Arial" w:cs="Arial" w:eastAsia="Arial" w:hAnsi="Arial"/>
          <w:sz w:val="13"/>
          <w:szCs w:val="13"/>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32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We and the underwriters have agreed to indemnify each other against certain liabilities, including liabilities under the Securities Act.</w:t>
      </w:r>
    </w:p>
    <w:p>
      <w:pPr>
        <w:spacing w:after="0" w:line="205" w:lineRule="exact"/>
        <w:rPr>
          <w:sz w:val="20"/>
          <w:szCs w:val="20"/>
          <w:color w:val="auto"/>
        </w:rPr>
      </w:pPr>
    </w:p>
    <w:p>
      <w:pPr>
        <w:ind w:left="820" w:right="160" w:firstLine="385"/>
        <w:spacing w:after="0" w:line="253"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67"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3" w:lineRule="exact"/>
        <w:rPr>
          <w:sz w:val="20"/>
          <w:szCs w:val="20"/>
          <w:color w:val="auto"/>
        </w:rPr>
      </w:pPr>
    </w:p>
    <w:p>
      <w:pPr>
        <w:ind w:left="820" w:right="100" w:firstLine="385"/>
        <w:spacing w:after="0" w:line="270" w:lineRule="auto"/>
        <w:rPr>
          <w:sz w:val="20"/>
          <w:szCs w:val="20"/>
          <w:color w:val="auto"/>
        </w:rPr>
      </w:pPr>
      <w:r>
        <w:rPr>
          <w:rFonts w:ascii="Arial" w:cs="Arial" w:eastAsia="Arial" w:hAnsi="Arial"/>
          <w:sz w:val="15"/>
          <w:szCs w:val="15"/>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241</w:t>
      </w:r>
    </w:p>
    <w:p>
      <w:pPr>
        <w:sectPr>
          <w:pgSz w:w="11900" w:h="16838" w:orient="portrait"/>
          <w:cols w:equalWidth="0" w:num="1">
            <w:col w:w="10440"/>
          </w:cols>
          <w:pgMar w:left="320" w:top="418" w:right="1139" w:bottom="1440" w:gutter="0" w:footer="0" w:header="0"/>
        </w:sectPr>
      </w:pPr>
    </w:p>
    <w:bookmarkStart w:id="244" w:name="page245"/>
    <w:bookmarkEnd w:id="2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Pricing of the Offering</w:t>
      </w:r>
    </w:p>
    <w:p>
      <w:pPr>
        <w:spacing w:after="0" w:line="103" w:lineRule="exact"/>
        <w:rPr>
          <w:sz w:val="20"/>
          <w:szCs w:val="20"/>
          <w:color w:val="auto"/>
        </w:rPr>
      </w:pPr>
    </w:p>
    <w:p>
      <w:pPr>
        <w:ind w:left="820" w:right="60" w:firstLine="385"/>
        <w:spacing w:after="0" w:line="329" w:lineRule="auto"/>
        <w:rPr>
          <w:sz w:val="20"/>
          <w:szCs w:val="20"/>
          <w:color w:val="auto"/>
        </w:rPr>
      </w:pPr>
      <w:r>
        <w:rPr>
          <w:rFonts w:ascii="Arial" w:cs="Arial" w:eastAsia="Arial" w:hAnsi="Arial"/>
          <w:sz w:val="13"/>
          <w:szCs w:val="13"/>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14" w:lineRule="exact"/>
        <w:rPr>
          <w:sz w:val="20"/>
          <w:szCs w:val="20"/>
          <w:color w:val="auto"/>
        </w:rPr>
      </w:pPr>
    </w:p>
    <w:p>
      <w:pPr>
        <w:jc w:val="center"/>
        <w:ind w:right="7520"/>
        <w:spacing w:after="0"/>
        <w:rPr>
          <w:sz w:val="20"/>
          <w:szCs w:val="20"/>
          <w:color w:val="auto"/>
        </w:rPr>
      </w:pPr>
      <w:r>
        <w:rPr>
          <w:rFonts w:ascii="Arial" w:cs="Arial" w:eastAsia="Arial" w:hAnsi="Arial"/>
          <w:sz w:val="16"/>
          <w:szCs w:val="16"/>
          <w:b w:val="1"/>
          <w:bCs w:val="1"/>
          <w:color w:val="auto"/>
        </w:rPr>
        <w:t>Selling Restrictions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Canada</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w:t>
      </w:r>
    </w:p>
    <w:p>
      <w:pPr>
        <w:spacing w:after="0" w:line="170" w:lineRule="exact"/>
        <w:rPr>
          <w:sz w:val="20"/>
          <w:szCs w:val="20"/>
          <w:color w:val="auto"/>
        </w:rPr>
      </w:pPr>
    </w:p>
    <w:p>
      <w:pPr>
        <w:ind w:left="820" w:right="200" w:firstLine="385"/>
        <w:spacing w:after="0" w:line="329" w:lineRule="auto"/>
        <w:rPr>
          <w:sz w:val="20"/>
          <w:szCs w:val="20"/>
          <w:color w:val="auto"/>
        </w:rPr>
      </w:pPr>
      <w:r>
        <w:rPr>
          <w:rFonts w:ascii="Arial" w:cs="Arial" w:eastAsia="Arial" w:hAnsi="Arial"/>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restrictions of the securities legislation of the purchaser’s province or territory for particulars of these rights or consult with a legal advisor.</w:t>
      </w:r>
    </w:p>
    <w:p>
      <w:pPr>
        <w:spacing w:after="0" w:line="123" w:lineRule="exact"/>
        <w:rPr>
          <w:sz w:val="20"/>
          <w:szCs w:val="20"/>
          <w:color w:val="auto"/>
        </w:rPr>
      </w:pPr>
    </w:p>
    <w:p>
      <w:pPr>
        <w:jc w:val="both"/>
        <w:ind w:left="820" w:right="320" w:firstLine="385"/>
        <w:spacing w:after="0" w:line="256" w:lineRule="auto"/>
        <w:rPr>
          <w:sz w:val="20"/>
          <w:szCs w:val="20"/>
          <w:color w:val="auto"/>
        </w:rPr>
      </w:pPr>
      <w:r>
        <w:rPr>
          <w:rFonts w:ascii="Arial" w:cs="Arial" w:eastAsia="Arial" w:hAnsi="Arial"/>
          <w:sz w:val="16"/>
          <w:szCs w:val="16"/>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European Economic Area and United Kingdom</w:t>
      </w:r>
    </w:p>
    <w:p>
      <w:pPr>
        <w:spacing w:after="0" w:line="99"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54" w:lineRule="exact"/>
        <w:rPr>
          <w:sz w:val="20"/>
          <w:szCs w:val="20"/>
          <w:color w:val="auto"/>
        </w:rPr>
      </w:pPr>
    </w:p>
    <w:p>
      <w:pPr>
        <w:ind w:left="1420" w:hanging="222"/>
        <w:spacing w:after="0"/>
        <w:tabs>
          <w:tab w:leader="none" w:pos="14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the Prospectus Regulation;</w:t>
      </w:r>
    </w:p>
    <w:p>
      <w:pPr>
        <w:spacing w:after="0" w:line="193" w:lineRule="exact"/>
        <w:rPr>
          <w:rFonts w:ascii="Arial" w:cs="Arial" w:eastAsia="Arial" w:hAnsi="Arial"/>
          <w:sz w:val="16"/>
          <w:szCs w:val="16"/>
          <w:color w:val="auto"/>
        </w:rPr>
      </w:pPr>
    </w:p>
    <w:p>
      <w:pPr>
        <w:ind w:left="820" w:right="120" w:firstLine="378"/>
        <w:spacing w:after="0" w:line="266" w:lineRule="auto"/>
        <w:tabs>
          <w:tab w:leader="none" w:pos="1427"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the Prospectus Regulation), subject to obtaining the prior consent of the underwriters; or</w:t>
      </w:r>
    </w:p>
    <w:p>
      <w:pPr>
        <w:spacing w:after="0" w:line="158" w:lineRule="exact"/>
        <w:rPr>
          <w:rFonts w:ascii="Arial" w:cs="Arial" w:eastAsia="Arial" w:hAnsi="Arial"/>
          <w:sz w:val="16"/>
          <w:szCs w:val="16"/>
          <w:color w:val="auto"/>
        </w:rPr>
      </w:pPr>
    </w:p>
    <w:p>
      <w:pPr>
        <w:ind w:left="1420" w:hanging="222"/>
        <w:spacing w:after="0"/>
        <w:tabs>
          <w:tab w:leader="none" w:pos="14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1(4) of the Prospectus Regulation,</w:t>
      </w:r>
    </w:p>
    <w:p>
      <w:pPr>
        <w:spacing w:after="0" w:line="19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w:t>
      </w:r>
    </w:p>
    <w:p>
      <w:pPr>
        <w:spacing w:after="0" w:line="10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242</w:t>
      </w:r>
    </w:p>
    <w:p>
      <w:pPr>
        <w:sectPr>
          <w:pgSz w:w="11900" w:h="16838" w:orient="portrait"/>
          <w:cols w:equalWidth="0" w:num="1">
            <w:col w:w="10440"/>
          </w:cols>
          <w:pgMar w:left="320" w:top="418" w:right="1139" w:bottom="1440" w:gutter="0" w:footer="0" w:header="0"/>
        </w:sectPr>
      </w:pPr>
    </w:p>
    <w:bookmarkStart w:id="245" w:name="page246"/>
    <w:bookmarkEnd w:id="2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54" w:lineRule="exact"/>
        <w:rPr>
          <w:sz w:val="20"/>
          <w:szCs w:val="20"/>
          <w:color w:val="auto"/>
        </w:rPr>
      </w:pPr>
    </w:p>
    <w:p>
      <w:pPr>
        <w:ind w:left="820" w:right="120" w:firstLine="385"/>
        <w:spacing w:after="0" w:line="343" w:lineRule="auto"/>
        <w:rPr>
          <w:sz w:val="20"/>
          <w:szCs w:val="20"/>
          <w:color w:val="auto"/>
        </w:rPr>
      </w:pPr>
      <w:r>
        <w:rPr>
          <w:rFonts w:ascii="Arial" w:cs="Arial" w:eastAsia="Arial" w:hAnsi="Arial"/>
          <w:sz w:val="13"/>
          <w:szCs w:val="13"/>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United Kingdom</w:t>
      </w:r>
    </w:p>
    <w:p>
      <w:pPr>
        <w:spacing w:after="0" w:line="99" w:lineRule="exact"/>
        <w:rPr>
          <w:sz w:val="20"/>
          <w:szCs w:val="20"/>
          <w:color w:val="auto"/>
        </w:rPr>
      </w:pPr>
    </w:p>
    <w:p>
      <w:pPr>
        <w:ind w:left="820" w:right="20" w:firstLine="385"/>
        <w:spacing w:after="0" w:line="311" w:lineRule="auto"/>
        <w:rPr>
          <w:sz w:val="20"/>
          <w:szCs w:val="20"/>
          <w:color w:val="auto"/>
        </w:rPr>
      </w:pPr>
      <w:r>
        <w:rPr>
          <w:rFonts w:ascii="Arial" w:cs="Arial" w:eastAsia="Arial" w:hAnsi="Arial"/>
          <w:sz w:val="13"/>
          <w:szCs w:val="13"/>
          <w:color w:val="auto"/>
        </w:rPr>
        <w:t>In relation to the United Kingdom, no shares of common stock have been offered or will be offered pursuant to this offering to the public in the United Kingdom prior to the publication of a prospectus in relation to the shares that either (i) has been approved by the Financial Conduct Authority, or</w:t>
      </w:r>
    </w:p>
    <w:p>
      <w:pPr>
        <w:spacing w:after="0" w:line="1" w:lineRule="exact"/>
        <w:rPr>
          <w:sz w:val="20"/>
          <w:szCs w:val="20"/>
          <w:color w:val="auto"/>
        </w:rPr>
      </w:pPr>
    </w:p>
    <w:p>
      <w:pPr>
        <w:jc w:val="both"/>
        <w:ind w:left="820" w:right="200" w:hanging="6"/>
        <w:spacing w:after="0" w:line="249" w:lineRule="auto"/>
        <w:tabs>
          <w:tab w:leader="none" w:pos="105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87" w:lineRule="exact"/>
        <w:rPr>
          <w:rFonts w:ascii="Arial" w:cs="Arial" w:eastAsia="Arial" w:hAnsi="Arial"/>
          <w:sz w:val="16"/>
          <w:szCs w:val="16"/>
          <w:color w:val="auto"/>
        </w:rPr>
      </w:pPr>
    </w:p>
    <w:p>
      <w:pPr>
        <w:ind w:left="1660" w:hanging="469"/>
        <w:spacing w:after="0"/>
        <w:tabs>
          <w:tab w:leader="none" w:pos="16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Article 2 of the UK Prospectus Regulation;</w:t>
      </w:r>
    </w:p>
    <w:p>
      <w:pPr>
        <w:spacing w:after="0" w:line="110" w:lineRule="exact"/>
        <w:rPr>
          <w:rFonts w:ascii="Arial" w:cs="Arial" w:eastAsia="Arial" w:hAnsi="Arial"/>
          <w:sz w:val="16"/>
          <w:szCs w:val="16"/>
          <w:color w:val="auto"/>
        </w:rPr>
      </w:pPr>
    </w:p>
    <w:p>
      <w:pPr>
        <w:ind w:left="1660" w:hanging="469"/>
        <w:spacing w:after="0"/>
        <w:tabs>
          <w:tab w:leader="none" w:pos="1660"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in Article 2 of the UK Prospectus Regulation); or</w:t>
      </w:r>
    </w:p>
    <w:p>
      <w:pPr>
        <w:spacing w:after="0" w:line="122" w:lineRule="exact"/>
        <w:rPr>
          <w:rFonts w:ascii="Arial" w:cs="Arial" w:eastAsia="Arial" w:hAnsi="Arial"/>
          <w:sz w:val="15"/>
          <w:szCs w:val="15"/>
          <w:color w:val="auto"/>
        </w:rPr>
      </w:pPr>
    </w:p>
    <w:p>
      <w:pPr>
        <w:ind w:left="1660" w:hanging="469"/>
        <w:spacing w:after="0"/>
        <w:tabs>
          <w:tab w:leader="none" w:pos="166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in any other circumstances falling within section 86 of the Financial Services and Markets Act 2000 (FSMA),</w:t>
      </w:r>
    </w:p>
    <w:p>
      <w:pPr>
        <w:spacing w:after="0" w:line="193"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provided that no such offer of shares shall require the us or any of the representatives to publish a prospectus pursuant to section 85 of the FSMA or supplement a prospectus pursuant to Article 23 of the UK Prospectus Regulation.</w:t>
      </w:r>
    </w:p>
    <w:p>
      <w:pPr>
        <w:spacing w:after="0" w:line="158"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67"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14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6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243</w:t>
      </w:r>
    </w:p>
    <w:p>
      <w:pPr>
        <w:sectPr>
          <w:pgSz w:w="11900" w:h="16838" w:orient="portrait"/>
          <w:cols w:equalWidth="0" w:num="1">
            <w:col w:w="10420"/>
          </w:cols>
          <w:pgMar w:left="320" w:top="418" w:right="1159" w:bottom="1440" w:gutter="0" w:footer="0" w:header="0"/>
        </w:sectPr>
      </w:pPr>
    </w:p>
    <w:bookmarkStart w:id="246" w:name="page247"/>
    <w:bookmarkEnd w:id="2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60" w:firstLine="385"/>
        <w:spacing w:after="0" w:line="256"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Switzerland</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5"/>
          <w:szCs w:val="15"/>
          <w:color w:val="auto"/>
        </w:rPr>
        <w:t>The shares of common stock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 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25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Dubai International Financial Center</w:t>
      </w:r>
    </w:p>
    <w:p>
      <w:pPr>
        <w:spacing w:after="0" w:line="99"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Australia</w:t>
      </w:r>
    </w:p>
    <w:p>
      <w:pPr>
        <w:spacing w:after="0" w:line="99" w:lineRule="exact"/>
        <w:rPr>
          <w:sz w:val="20"/>
          <w:szCs w:val="20"/>
          <w:color w:val="auto"/>
        </w:rPr>
      </w:pPr>
    </w:p>
    <w:p>
      <w:pPr>
        <w:ind w:left="820" w:right="240" w:firstLine="385"/>
        <w:spacing w:after="0" w:line="275"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53"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67" w:lineRule="exact"/>
        <w:rPr>
          <w:sz w:val="20"/>
          <w:szCs w:val="20"/>
          <w:color w:val="auto"/>
        </w:rPr>
      </w:pPr>
    </w:p>
    <w:p>
      <w:pPr>
        <w:ind w:left="820" w:right="160" w:firstLine="385"/>
        <w:spacing w:after="0" w:line="329" w:lineRule="auto"/>
        <w:rPr>
          <w:sz w:val="20"/>
          <w:szCs w:val="20"/>
          <w:color w:val="auto"/>
        </w:rPr>
      </w:pPr>
      <w:r>
        <w:rPr>
          <w:rFonts w:ascii="Arial" w:cs="Arial" w:eastAsia="Arial" w:hAnsi="Arial"/>
          <w:sz w:val="13"/>
          <w:szCs w:val="13"/>
          <w:color w:val="auto"/>
        </w:rPr>
        <w:t>The shares applied for by Exempt Investors in Australia must not be offered for sale in Australia in the period of twelve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6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244</w:t>
      </w:r>
    </w:p>
    <w:p>
      <w:pPr>
        <w:sectPr>
          <w:pgSz w:w="11900" w:h="16838" w:orient="portrait"/>
          <w:cols w:equalWidth="0" w:num="1">
            <w:col w:w="10420"/>
          </w:cols>
          <w:pgMar w:left="320" w:top="418" w:right="1159" w:bottom="1440" w:gutter="0" w:footer="0" w:header="0"/>
        </w:sectPr>
      </w:pPr>
    </w:p>
    <w:bookmarkStart w:id="247" w:name="page248"/>
    <w:bookmarkEnd w:id="2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Hong Kong</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shares of common stock have not been offered or sold and will not be offered or sold in Hong Kong, by means of any document, other than</w:t>
      </w:r>
    </w:p>
    <w:p>
      <w:pPr>
        <w:spacing w:after="0" w:line="51" w:lineRule="exact"/>
        <w:rPr>
          <w:sz w:val="20"/>
          <w:szCs w:val="20"/>
          <w:color w:val="auto"/>
        </w:rPr>
      </w:pPr>
    </w:p>
    <w:p>
      <w:pPr>
        <w:ind w:left="1020" w:hanging="206"/>
        <w:spacing w:after="0"/>
        <w:tabs>
          <w:tab w:leader="none" w:pos="102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to “professional investors” as defined in the Securities and Futures Ordinance (Cap. 571) of Hong Kong and any rules made under that Ordinance; or</w:t>
      </w:r>
    </w:p>
    <w:p>
      <w:pPr>
        <w:spacing w:after="0" w:line="39" w:lineRule="exact"/>
        <w:rPr>
          <w:rFonts w:ascii="Arial" w:cs="Arial" w:eastAsia="Arial" w:hAnsi="Arial"/>
          <w:sz w:val="13"/>
          <w:szCs w:val="13"/>
          <w:color w:val="auto"/>
        </w:rPr>
      </w:pPr>
    </w:p>
    <w:p>
      <w:pPr>
        <w:ind w:left="820" w:right="80" w:hanging="6"/>
        <w:spacing w:after="0" w:line="266" w:lineRule="auto"/>
        <w:tabs>
          <w:tab w:leader="none" w:pos="1042" w:val="left"/>
        </w:tabs>
        <w:numPr>
          <w:ilvl w:val="0"/>
          <w:numId w:val="152"/>
        </w:numPr>
        <w:rPr>
          <w:rFonts w:ascii="Arial" w:cs="Arial" w:eastAsia="Arial" w:hAnsi="Arial"/>
          <w:sz w:val="15"/>
          <w:szCs w:val="15"/>
          <w:color w:val="auto"/>
        </w:rPr>
      </w:pPr>
      <w:r>
        <w:rPr>
          <w:rFonts w:ascii="Arial" w:cs="Arial" w:eastAsia="Arial" w:hAnsi="Arial"/>
          <w:sz w:val="15"/>
          <w:szCs w:val="15"/>
          <w:color w:val="auto"/>
        </w:rPr>
        <w:t>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issuance,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5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Japan</w:t>
      </w:r>
    </w:p>
    <w:p>
      <w:pPr>
        <w:spacing w:after="0" w:line="99" w:lineRule="exact"/>
        <w:rPr>
          <w:sz w:val="20"/>
          <w:szCs w:val="20"/>
          <w:color w:val="auto"/>
        </w:rPr>
      </w:pPr>
    </w:p>
    <w:p>
      <w:pPr>
        <w:ind w:left="820" w:right="60" w:firstLine="385"/>
        <w:spacing w:after="0" w:line="383" w:lineRule="auto"/>
        <w:rPr>
          <w:sz w:val="20"/>
          <w:szCs w:val="20"/>
          <w:color w:val="auto"/>
        </w:rPr>
      </w:pPr>
      <w:r>
        <w:rPr>
          <w:rFonts w:ascii="Arial" w:cs="Arial" w:eastAsia="Arial" w:hAnsi="Arial"/>
          <w:sz w:val="13"/>
          <w:szCs w:val="13"/>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8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For Qualified Institutional Investors, or QII</w:t>
      </w:r>
    </w:p>
    <w:p>
      <w:pPr>
        <w:spacing w:after="0" w:line="99" w:lineRule="exact"/>
        <w:rPr>
          <w:sz w:val="20"/>
          <w:szCs w:val="20"/>
          <w:color w:val="auto"/>
        </w:rPr>
      </w:pPr>
    </w:p>
    <w:p>
      <w:pPr>
        <w:ind w:left="820" w:right="20" w:firstLine="385"/>
        <w:spacing w:after="0" w:line="275" w:lineRule="auto"/>
        <w:rPr>
          <w:sz w:val="20"/>
          <w:szCs w:val="20"/>
          <w:color w:val="auto"/>
        </w:rPr>
      </w:pPr>
      <w:r>
        <w:rPr>
          <w:rFonts w:ascii="Arial" w:cs="Arial" w:eastAsia="Arial" w:hAnsi="Arial"/>
          <w:sz w:val="15"/>
          <w:szCs w:val="15"/>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i w:val="1"/>
          <w:iCs w:val="1"/>
          <w:color w:val="auto"/>
        </w:rPr>
        <w:t>For Non-QII Investors</w:t>
      </w:r>
    </w:p>
    <w:p>
      <w:pPr>
        <w:spacing w:after="0" w:line="99"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1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245</w:t>
      </w:r>
    </w:p>
    <w:p>
      <w:pPr>
        <w:sectPr>
          <w:pgSz w:w="11900" w:h="16838" w:orient="portrait"/>
          <w:cols w:equalWidth="0" w:num="1">
            <w:col w:w="10420"/>
          </w:cols>
          <w:pgMar w:left="320" w:top="418" w:right="1159" w:bottom="1440" w:gutter="0" w:footer="0" w:header="0"/>
        </w:sectPr>
      </w:pPr>
    </w:p>
    <w:bookmarkStart w:id="248" w:name="page249"/>
    <w:bookmarkEnd w:id="2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Singapore</w:t>
      </w:r>
    </w:p>
    <w:p>
      <w:pPr>
        <w:spacing w:after="0" w:line="99"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Where the shares of common stock are subscribed or purchased under Section 275 of the SFA by a relevant person which is:</w:t>
      </w:r>
    </w:p>
    <w:p>
      <w:pPr>
        <w:spacing w:after="0" w:line="193" w:lineRule="exact"/>
        <w:rPr>
          <w:sz w:val="20"/>
          <w:szCs w:val="20"/>
          <w:color w:val="auto"/>
        </w:rPr>
      </w:pPr>
    </w:p>
    <w:p>
      <w:pPr>
        <w:ind w:left="820" w:right="60" w:firstLine="378"/>
        <w:spacing w:after="0" w:line="266" w:lineRule="auto"/>
        <w:tabs>
          <w:tab w:leader="none" w:pos="141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8" w:lineRule="exact"/>
        <w:rPr>
          <w:rFonts w:ascii="Arial" w:cs="Arial" w:eastAsia="Arial" w:hAnsi="Arial"/>
          <w:sz w:val="16"/>
          <w:szCs w:val="16"/>
          <w:color w:val="auto"/>
        </w:rPr>
      </w:pPr>
    </w:p>
    <w:p>
      <w:pPr>
        <w:ind w:left="820" w:right="140" w:firstLine="378"/>
        <w:spacing w:after="0" w:line="266" w:lineRule="auto"/>
        <w:tabs>
          <w:tab w:leader="none" w:pos="142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the sole purpose of which is to hold investments and each beneficiary of the trust is an individual who is an accredited investor,</w:t>
      </w:r>
    </w:p>
    <w:p>
      <w:pPr>
        <w:spacing w:after="0" w:line="15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166" w:lineRule="exact"/>
        <w:rPr>
          <w:sz w:val="20"/>
          <w:szCs w:val="20"/>
          <w:color w:val="auto"/>
        </w:rPr>
      </w:pPr>
    </w:p>
    <w:p>
      <w:pPr>
        <w:ind w:left="820" w:right="260" w:firstLine="378"/>
        <w:spacing w:after="0" w:line="266" w:lineRule="auto"/>
        <w:tabs>
          <w:tab w:leader="none" w:pos="141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defined in Section 275(2) of the SFA, or to any person arising from an offer referred to in Section 275(1A) or Section 276(4)(i)(B) of the SFA;</w:t>
      </w:r>
    </w:p>
    <w:p>
      <w:pPr>
        <w:spacing w:after="0" w:line="158" w:lineRule="exact"/>
        <w:rPr>
          <w:rFonts w:ascii="Arial" w:cs="Arial" w:eastAsia="Arial" w:hAnsi="Arial"/>
          <w:sz w:val="16"/>
          <w:szCs w:val="16"/>
          <w:color w:val="auto"/>
        </w:rPr>
      </w:pPr>
    </w:p>
    <w:p>
      <w:pPr>
        <w:ind w:left="1420" w:hanging="222"/>
        <w:spacing w:after="0"/>
        <w:tabs>
          <w:tab w:leader="none" w:pos="14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where no consideration is or will be given for the transfer;</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where the transfer is by operation of law;</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as specified in Section 276(7) of the SFA; or</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as specified in Regulation 32 of the Securities and Futures (Offers of Investments) (Shares and Debentures) Regulations 2005 of Singapore.</w:t>
      </w:r>
    </w:p>
    <w:p>
      <w:pPr>
        <w:spacing w:after="0" w:line="32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United Arab Emirates</w:t>
      </w:r>
    </w:p>
    <w:p>
      <w:pPr>
        <w:spacing w:after="0" w:line="99" w:lineRule="exact"/>
        <w:rPr>
          <w:sz w:val="20"/>
          <w:szCs w:val="20"/>
          <w:color w:val="auto"/>
        </w:rPr>
      </w:pPr>
    </w:p>
    <w:p>
      <w:pPr>
        <w:ind w:left="820" w:right="120" w:firstLine="385"/>
        <w:spacing w:after="0" w:line="323" w:lineRule="auto"/>
        <w:rPr>
          <w:sz w:val="20"/>
          <w:szCs w:val="20"/>
          <w:color w:val="auto"/>
        </w:rPr>
      </w:pPr>
      <w:r>
        <w:rPr>
          <w:rFonts w:ascii="Arial" w:cs="Arial" w:eastAsia="Arial" w:hAnsi="Arial"/>
          <w:sz w:val="13"/>
          <w:szCs w:val="13"/>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2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China</w:t>
      </w:r>
    </w:p>
    <w:p>
      <w:pPr>
        <w:spacing w:after="0" w:line="99" w:lineRule="exact"/>
        <w:rPr>
          <w:sz w:val="20"/>
          <w:szCs w:val="20"/>
          <w:color w:val="auto"/>
        </w:rPr>
      </w:pPr>
    </w:p>
    <w:p>
      <w:pPr>
        <w:ind w:left="820" w:right="200" w:firstLine="385"/>
        <w:spacing w:after="0" w:line="300" w:lineRule="auto"/>
        <w:rPr>
          <w:sz w:val="20"/>
          <w:szCs w:val="20"/>
          <w:color w:val="auto"/>
        </w:rPr>
      </w:pPr>
      <w:r>
        <w:rPr>
          <w:rFonts w:ascii="Arial" w:cs="Arial" w:eastAsia="Arial" w:hAnsi="Arial"/>
          <w:sz w:val="15"/>
          <w:szCs w:val="15"/>
          <w:color w:val="auto"/>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7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246</w:t>
      </w:r>
    </w:p>
    <w:p>
      <w:pPr>
        <w:sectPr>
          <w:pgSz w:w="11900" w:h="16838" w:orient="portrait"/>
          <w:cols w:equalWidth="0" w:num="1">
            <w:col w:w="10420"/>
          </w:cols>
          <w:pgMar w:left="320" w:top="418" w:right="1159" w:bottom="1440" w:gutter="0" w:footer="0" w:header="0"/>
        </w:sectPr>
      </w:pPr>
    </w:p>
    <w:bookmarkStart w:id="249" w:name="page250"/>
    <w:bookmarkEnd w:id="2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60" w:firstLine="385"/>
        <w:spacing w:after="0" w:line="256" w:lineRule="auto"/>
        <w:rPr>
          <w:sz w:val="20"/>
          <w:szCs w:val="20"/>
          <w:color w:val="auto"/>
        </w:rPr>
      </w:pPr>
      <w:r>
        <w:rPr>
          <w:rFonts w:ascii="Arial" w:cs="Arial" w:eastAsia="Arial" w:hAnsi="Arial"/>
          <w:sz w:val="16"/>
          <w:szCs w:val="16"/>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Korea</w:t>
      </w:r>
    </w:p>
    <w:p>
      <w:pPr>
        <w:spacing w:after="0" w:line="99" w:lineRule="exact"/>
        <w:rPr>
          <w:sz w:val="20"/>
          <w:szCs w:val="20"/>
          <w:color w:val="auto"/>
        </w:rPr>
      </w:pPr>
    </w:p>
    <w:p>
      <w:pPr>
        <w:ind w:left="820" w:right="20" w:firstLine="385"/>
        <w:spacing w:after="0" w:line="267" w:lineRule="auto"/>
        <w:rPr>
          <w:sz w:val="20"/>
          <w:szCs w:val="20"/>
          <w:color w:val="auto"/>
        </w:rPr>
      </w:pPr>
      <w:r>
        <w:rPr>
          <w:rFonts w:ascii="Arial" w:cs="Arial" w:eastAsia="Arial" w:hAnsi="Arial"/>
          <w:sz w:val="15"/>
          <w:szCs w:val="15"/>
          <w:color w:val="auto"/>
        </w:rPr>
        <w:t>The shares have not been and will not be registered under the Financial Investments Services and Capital Markets Act of Korea and the decrees and regulations thereunder, or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5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Taiwan</w:t>
      </w:r>
    </w:p>
    <w:p>
      <w:pPr>
        <w:spacing w:after="0" w:line="99"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South Africa</w:t>
      </w:r>
    </w:p>
    <w:p>
      <w:pPr>
        <w:spacing w:after="0" w:line="99" w:lineRule="exact"/>
        <w:rPr>
          <w:sz w:val="20"/>
          <w:szCs w:val="20"/>
          <w:color w:val="auto"/>
        </w:rPr>
      </w:pPr>
    </w:p>
    <w:p>
      <w:pPr>
        <w:ind w:left="820" w:right="180" w:firstLine="385"/>
        <w:spacing w:after="0" w:line="383" w:lineRule="auto"/>
        <w:rPr>
          <w:sz w:val="20"/>
          <w:szCs w:val="20"/>
          <w:color w:val="auto"/>
        </w:rPr>
      </w:pPr>
      <w:r>
        <w:rPr>
          <w:rFonts w:ascii="Arial" w:cs="Arial" w:eastAsia="Arial" w:hAnsi="Arial"/>
          <w:sz w:val="13"/>
          <w:szCs w:val="13"/>
          <w:color w:val="auto"/>
        </w:rPr>
        <w:t>Due to restrictions under the securities laws of South Africa, the shares are not offered, and the offer shall not be transferred, sold, renounced or delivered, in South Africa or to a person with an address in South Africa, unless one or other of the following exemptions applies:</w:t>
      </w:r>
    </w:p>
    <w:p>
      <w:pPr>
        <w:spacing w:after="0" w:line="8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i. the offer, transfer, sale, renunciation or delivery is to:</w:t>
      </w:r>
    </w:p>
    <w:p>
      <w:pPr>
        <w:spacing w:after="0" w:line="193" w:lineRule="exact"/>
        <w:rPr>
          <w:sz w:val="20"/>
          <w:szCs w:val="20"/>
          <w:color w:val="auto"/>
        </w:rPr>
      </w:pPr>
    </w:p>
    <w:p>
      <w:pPr>
        <w:ind w:left="1420" w:hanging="222"/>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persons whose ordinary business is to deal in securities, as principal or agent;</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South African Public Investment Corporation;</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persons or entities regulated by the Reserve Bank of South Africa;</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authorized financial service providers under South African law;</w:t>
      </w:r>
    </w:p>
    <w:p>
      <w:pPr>
        <w:spacing w:after="0" w:line="193" w:lineRule="exact"/>
        <w:rPr>
          <w:rFonts w:ascii="Arial" w:cs="Arial" w:eastAsia="Arial" w:hAnsi="Arial"/>
          <w:sz w:val="16"/>
          <w:szCs w:val="16"/>
          <w:color w:val="auto"/>
        </w:rPr>
      </w:pPr>
    </w:p>
    <w:p>
      <w:pPr>
        <w:ind w:left="1420" w:hanging="222"/>
        <w:spacing w:after="0"/>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financial institutions recognized as such under South African law;</w:t>
      </w:r>
    </w:p>
    <w:p>
      <w:pPr>
        <w:spacing w:after="0" w:line="193" w:lineRule="exact"/>
        <w:rPr>
          <w:sz w:val="20"/>
          <w:szCs w:val="20"/>
          <w:color w:val="auto"/>
        </w:rPr>
      </w:pPr>
    </w:p>
    <w:p>
      <w:pPr>
        <w:ind w:left="1200"/>
        <w:spacing w:after="0"/>
        <w:tabs>
          <w:tab w:leader="none" w:pos="6620" w:val="left"/>
        </w:tabs>
        <w:rPr>
          <w:sz w:val="20"/>
          <w:szCs w:val="20"/>
          <w:color w:val="auto"/>
        </w:rPr>
      </w:pPr>
      <w:r>
        <w:rPr>
          <w:rFonts w:ascii="Arial" w:cs="Arial" w:eastAsia="Arial" w:hAnsi="Arial"/>
          <w:sz w:val="16"/>
          <w:szCs w:val="16"/>
          <w:color w:val="auto"/>
        </w:rPr>
        <w:t>(f) a wholly-owned subsidiary of any person or entity contemplated in (c), (d) or</w:t>
      </w:r>
      <w:r>
        <w:rPr>
          <w:sz w:val="20"/>
          <w:szCs w:val="20"/>
          <w:color w:val="auto"/>
        </w:rPr>
        <w:tab/>
      </w:r>
      <w:r>
        <w:rPr>
          <w:rFonts w:ascii="Arial" w:cs="Arial" w:eastAsia="Arial" w:hAnsi="Arial"/>
          <w:sz w:val="13"/>
          <w:szCs w:val="13"/>
          <w:color w:val="auto"/>
        </w:rPr>
        <w:t>(e), acting as agent in the capacity of an authorized</w:t>
      </w:r>
    </w:p>
    <w:p>
      <w:pPr>
        <w:spacing w:after="0" w:line="16" w:lineRule="exact"/>
        <w:rPr>
          <w:sz w:val="20"/>
          <w:szCs w:val="20"/>
          <w:color w:val="auto"/>
        </w:rPr>
      </w:pPr>
    </w:p>
    <w:p>
      <w:pPr>
        <w:ind w:left="820"/>
        <w:spacing w:after="0"/>
        <w:tabs>
          <w:tab w:leader="none" w:pos="2640" w:val="left"/>
          <w:tab w:leader="none" w:pos="7920" w:val="left"/>
        </w:tabs>
        <w:rPr>
          <w:sz w:val="20"/>
          <w:szCs w:val="20"/>
          <w:color w:val="auto"/>
        </w:rPr>
      </w:pPr>
      <w:r>
        <w:rPr>
          <w:rFonts w:ascii="Arial" w:cs="Arial" w:eastAsia="Arial" w:hAnsi="Arial"/>
          <w:sz w:val="16"/>
          <w:szCs w:val="16"/>
          <w:color w:val="auto"/>
        </w:rPr>
        <w:t>portfolio manager for a</w:t>
      </w:r>
      <w:r>
        <w:rPr>
          <w:sz w:val="20"/>
          <w:szCs w:val="20"/>
          <w:color w:val="auto"/>
        </w:rPr>
        <w:tab/>
      </w:r>
      <w:r>
        <w:rPr>
          <w:rFonts w:ascii="Arial" w:cs="Arial" w:eastAsia="Arial" w:hAnsi="Arial"/>
          <w:sz w:val="16"/>
          <w:szCs w:val="16"/>
          <w:color w:val="auto"/>
        </w:rPr>
        <w:t>pension fund or collective investment scheme (in each case duly registered as</w:t>
      </w:r>
      <w:r>
        <w:rPr>
          <w:sz w:val="20"/>
          <w:szCs w:val="20"/>
          <w:color w:val="auto"/>
        </w:rPr>
        <w:tab/>
      </w:r>
      <w:r>
        <w:rPr>
          <w:rFonts w:ascii="Arial" w:cs="Arial" w:eastAsia="Arial" w:hAnsi="Arial"/>
          <w:sz w:val="13"/>
          <w:szCs w:val="13"/>
          <w:color w:val="auto"/>
        </w:rPr>
        <w:t>such under South African law); or</w:t>
      </w:r>
    </w:p>
    <w:p>
      <w:pPr>
        <w:spacing w:after="0" w:line="18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(g) any combination of the person in (a) to (f); or</w:t>
      </w:r>
    </w:p>
    <w:p>
      <w:pPr>
        <w:spacing w:after="0" w:line="193" w:lineRule="exact"/>
        <w:rPr>
          <w:sz w:val="20"/>
          <w:szCs w:val="20"/>
          <w:color w:val="auto"/>
        </w:rPr>
      </w:pPr>
    </w:p>
    <w:p>
      <w:pPr>
        <w:jc w:val="center"/>
        <w:ind w:left="5500" w:right="160" w:hanging="4302"/>
        <w:spacing w:after="0" w:line="436" w:lineRule="auto"/>
        <w:tabs>
          <w:tab w:leader="none" w:pos="1358"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total contemplated acquisition cost of the securities, for any single addressee acting as principal is equal to or greater than ZAR1,000,000. 247</w:t>
      </w:r>
    </w:p>
    <w:p>
      <w:pPr>
        <w:sectPr>
          <w:pgSz w:w="11900" w:h="16838" w:orient="portrait"/>
          <w:cols w:equalWidth="0" w:num="1">
            <w:col w:w="10420"/>
          </w:cols>
          <w:pgMar w:left="320" w:top="418" w:right="1159" w:bottom="1440" w:gutter="0" w:footer="0" w:header="0"/>
        </w:sectPr>
      </w:pPr>
    </w:p>
    <w:bookmarkStart w:id="250" w:name="page251"/>
    <w:bookmarkEnd w:id="2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No “offer to the public” (as such term is defined in the South African Companies Act, No. 71 of 2008 (as amended or re-enacted), or the South African Companies Act) in South Africa is being made in connection with the issue of the shares.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Any issue or offering of the shares in South Africa constitutes an offer of the shares in South Africa for subscription or sale in South Africa only to persons who fall within the exemption from “offers to the public” set out in section 96(1)(a) of the South African Companies Act. Accordingly, this document must not be acted on or relied on by persons in South Africa who do not fall within section 96(1)(a) of the South African Companies Act (such persons being referred to as SA Relevant Persons). Any investment or investment activity to which this document relates is available in South Africa only to SA Relevant Persons and will be engaged in South Africa only with SA Relevant Persons.</w:t>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Israel</w:t>
      </w:r>
    </w:p>
    <w:p>
      <w:pPr>
        <w:spacing w:after="0" w:line="99" w:lineRule="exact"/>
        <w:rPr>
          <w:sz w:val="20"/>
          <w:szCs w:val="20"/>
          <w:color w:val="auto"/>
        </w:rPr>
      </w:pPr>
    </w:p>
    <w:p>
      <w:pPr>
        <w:ind w:left="820" w:right="40" w:firstLine="385"/>
        <w:spacing w:after="0" w:line="267" w:lineRule="auto"/>
        <w:rPr>
          <w:sz w:val="20"/>
          <w:szCs w:val="20"/>
          <w:color w:val="auto"/>
        </w:rPr>
      </w:pPr>
      <w:r>
        <w:rPr>
          <w:rFonts w:ascii="Arial" w:cs="Arial" w:eastAsia="Arial" w:hAnsi="Arial"/>
          <w:sz w:val="15"/>
          <w:szCs w:val="15"/>
          <w:color w:val="auto"/>
        </w:rPr>
        <w:t>This document does not constitute a prospectus under the Israeli Securities Law, 5728-1968, (Israeli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0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248</w:t>
      </w:r>
    </w:p>
    <w:p>
      <w:pPr>
        <w:sectPr>
          <w:pgSz w:w="11900" w:h="16838" w:orient="portrait"/>
          <w:cols w:equalWidth="0" w:num="1">
            <w:col w:w="10440"/>
          </w:cols>
          <w:pgMar w:left="320" w:top="418" w:right="1139" w:bottom="1440" w:gutter="0" w:footer="0" w:header="0"/>
        </w:sectPr>
      </w:pPr>
    </w:p>
    <w:bookmarkStart w:id="251" w:name="page252"/>
    <w:bookmarkEnd w:id="2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LEGAL MATTERS</w:t>
      </w:r>
    </w:p>
    <w:p>
      <w:pPr>
        <w:spacing w:after="0" w:line="197" w:lineRule="exact"/>
        <w:rPr>
          <w:sz w:val="20"/>
          <w:szCs w:val="20"/>
          <w:color w:val="auto"/>
        </w:rPr>
      </w:pPr>
    </w:p>
    <w:p>
      <w:pPr>
        <w:ind w:left="820" w:right="280" w:firstLine="385"/>
        <w:spacing w:after="0" w:line="383" w:lineRule="auto"/>
        <w:rPr>
          <w:sz w:val="20"/>
          <w:szCs w:val="20"/>
          <w:color w:val="auto"/>
        </w:rPr>
      </w:pPr>
      <w:r>
        <w:rPr>
          <w:rFonts w:ascii="Arial" w:cs="Arial" w:eastAsia="Arial" w:hAnsi="Arial"/>
          <w:sz w:val="13"/>
          <w:szCs w:val="13"/>
          <w:color w:val="auto"/>
        </w:rPr>
        <w:t>The validity of the issuance of our common stock offered in this prospectus will be passed upon for us by Wilson Sonsini Goodrich &amp; Rosati, Professional Corporation, Palo Alto, California. Davis Polk &amp; Wardwell LLP, Menlo Park, California, is acting as counsel for the underwriters.</w:t>
      </w:r>
    </w:p>
    <w:p>
      <w:pPr>
        <w:spacing w:after="0" w:line="273" w:lineRule="exact"/>
        <w:rPr>
          <w:sz w:val="20"/>
          <w:szCs w:val="20"/>
          <w:color w:val="auto"/>
        </w:rPr>
      </w:pPr>
    </w:p>
    <w:p>
      <w:pPr>
        <w:jc w:val="center"/>
        <w:ind w:right="-879"/>
        <w:spacing w:after="0"/>
        <w:rPr>
          <w:sz w:val="20"/>
          <w:szCs w:val="20"/>
          <w:color w:val="auto"/>
        </w:rPr>
      </w:pPr>
      <w:r>
        <w:rPr>
          <w:rFonts w:ascii="Arial" w:cs="Arial" w:eastAsia="Arial" w:hAnsi="Arial"/>
          <w:sz w:val="16"/>
          <w:szCs w:val="16"/>
          <w:b w:val="1"/>
          <w:bCs w:val="1"/>
          <w:color w:val="auto"/>
        </w:rPr>
        <w:t>EXPERTS</w:t>
      </w:r>
    </w:p>
    <w:p>
      <w:pPr>
        <w:spacing w:after="0" w:line="197"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financial statements as of December 31, 2019 and 2020, and for each of the two years in the period ended December 31, 2020, included in this prospectus have been audited by Deloitte &amp; Touche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352"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19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59" w:lineRule="exact"/>
        <w:rPr>
          <w:sz w:val="20"/>
          <w:szCs w:val="20"/>
          <w:color w:val="auto"/>
        </w:rPr>
      </w:pPr>
    </w:p>
    <w:p>
      <w:pPr>
        <w:ind w:left="820" w:firstLine="385"/>
        <w:spacing w:after="0" w:line="249" w:lineRule="auto"/>
        <w:rPr>
          <w:sz w:val="20"/>
          <w:szCs w:val="20"/>
          <w:color w:val="auto"/>
        </w:rPr>
      </w:pPr>
      <w:r>
        <w:rPr>
          <w:rFonts w:ascii="Arial" w:cs="Arial" w:eastAsia="Arial" w:hAnsi="Arial"/>
          <w:sz w:val="16"/>
          <w:szCs w:val="16"/>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 tenayatherapeutics.com where these materials are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326"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249</w:t>
      </w:r>
    </w:p>
    <w:p>
      <w:pPr>
        <w:sectPr>
          <w:pgSz w:w="11900" w:h="16838" w:orient="portrait"/>
          <w:cols w:equalWidth="0" w:num="1">
            <w:col w:w="10380"/>
          </w:cols>
          <w:pgMar w:left="320" w:top="418" w:right="1199" w:bottom="1440" w:gutter="0" w:footer="0" w:header="0"/>
        </w:sectPr>
      </w:pPr>
    </w:p>
    <w:bookmarkStart w:id="252" w:name="page253"/>
    <w:bookmarkEnd w:id="2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3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INDEX TO FINANCIAL STATEMENTS</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922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Audited Financial Statements as of and for the Years Ended December 31, 2019 and 2020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56"/>
        </w:trPr>
        <w:tc>
          <w:tcPr>
            <w:tcW w:w="9220" w:type="dxa"/>
            <w:vAlign w:val="bottom"/>
            <w:gridSpan w:val="12"/>
            <w:vMerge w:val="continue"/>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680" w:type="dxa"/>
            <w:vAlign w:val="bottom"/>
            <w:tcBorders>
              <w:bottom w:val="single" w:sz="8" w:color="0000EE"/>
            </w:tcBorders>
            <w:gridSpan w:val="8"/>
          </w:tcPr>
          <w:p>
            <w:pPr>
              <w:spacing w:after="0" w:line="166" w:lineRule="exact"/>
              <w:rPr>
                <w:rFonts w:ascii="Arial" w:cs="Arial" w:eastAsia="Arial" w:hAnsi="Arial"/>
                <w:sz w:val="16"/>
                <w:szCs w:val="16"/>
                <w:color w:val="0000EE"/>
                <w:w w:val="89"/>
              </w:rPr>
            </w:pPr>
            <w:hyperlink w:anchor="page254">
              <w:r>
                <w:rPr>
                  <w:rFonts w:ascii="Arial" w:cs="Arial" w:eastAsia="Arial" w:hAnsi="Arial"/>
                  <w:sz w:val="16"/>
                  <w:szCs w:val="16"/>
                  <w:color w:val="0000EE"/>
                  <w:w w:val="89"/>
                </w:rPr>
                <w:t>Report of Independent Registered Public Accounting Firm</w:t>
              </w:r>
            </w:hyperlink>
          </w:p>
        </w:tc>
        <w:tc>
          <w:tcPr>
            <w:tcW w:w="5540" w:type="dxa"/>
            <w:vAlign w:val="bottom"/>
            <w:gridSpan w:val="4"/>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55">
              <w:r>
                <w:rPr>
                  <w:rFonts w:ascii="Arial" w:cs="Arial" w:eastAsia="Arial" w:hAnsi="Arial"/>
                  <w:sz w:val="16"/>
                  <w:szCs w:val="16"/>
                  <w:color w:val="0000EE"/>
                </w:rPr>
                <w:t>Balance Sheets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F-3</w:t>
            </w:r>
          </w:p>
        </w:tc>
        <w:tc>
          <w:tcPr>
            <w:tcW w:w="0" w:type="dxa"/>
            <w:vAlign w:val="bottom"/>
          </w:tcPr>
          <w:p>
            <w:pPr>
              <w:spacing w:after="0"/>
              <w:rPr>
                <w:sz w:val="1"/>
                <w:szCs w:val="1"/>
                <w:color w:val="auto"/>
              </w:rPr>
            </w:pPr>
          </w:p>
        </w:tc>
      </w:tr>
      <w:tr>
        <w:trPr>
          <w:trHeight w:val="20"/>
        </w:trPr>
        <w:tc>
          <w:tcPr>
            <w:tcW w:w="9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20" w:type="dxa"/>
            <w:vAlign w:val="bottom"/>
            <w:tcBorders>
              <w:bottom w:val="single" w:sz="8" w:color="0000EE"/>
            </w:tcBorders>
            <w:gridSpan w:val="7"/>
          </w:tcPr>
          <w:p>
            <w:pPr>
              <w:spacing w:after="0" w:line="168" w:lineRule="exact"/>
              <w:rPr>
                <w:rFonts w:ascii="Arial" w:cs="Arial" w:eastAsia="Arial" w:hAnsi="Arial"/>
                <w:sz w:val="16"/>
                <w:szCs w:val="16"/>
                <w:color w:val="0000EE"/>
                <w:w w:val="87"/>
              </w:rPr>
            </w:pPr>
            <w:hyperlink w:anchor="page256">
              <w:r>
                <w:rPr>
                  <w:rFonts w:ascii="Arial" w:cs="Arial" w:eastAsia="Arial" w:hAnsi="Arial"/>
                  <w:sz w:val="16"/>
                  <w:szCs w:val="16"/>
                  <w:color w:val="0000EE"/>
                  <w:w w:val="87"/>
                </w:rPr>
                <w:t>Statements of Operations and Comprehensive Loss</w:t>
              </w:r>
            </w:hyperlink>
          </w:p>
        </w:tc>
        <w:tc>
          <w:tcPr>
            <w:tcW w:w="6000" w:type="dxa"/>
            <w:vAlign w:val="bottom"/>
            <w:gridSpan w:val="5"/>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F-4</w:t>
            </w:r>
          </w:p>
        </w:tc>
        <w:tc>
          <w:tcPr>
            <w:tcW w:w="0" w:type="dxa"/>
            <w:vAlign w:val="bottom"/>
          </w:tcPr>
          <w:p>
            <w:pPr>
              <w:spacing w:after="0"/>
              <w:rPr>
                <w:sz w:val="1"/>
                <w:szCs w:val="1"/>
                <w:color w:val="auto"/>
              </w:rPr>
            </w:pPr>
          </w:p>
        </w:tc>
      </w:tr>
      <w:tr>
        <w:trPr>
          <w:trHeight w:val="169"/>
        </w:trPr>
        <w:tc>
          <w:tcPr>
            <w:tcW w:w="4300" w:type="dxa"/>
            <w:vAlign w:val="bottom"/>
            <w:tcBorders>
              <w:bottom w:val="single" w:sz="8" w:color="0000EE"/>
            </w:tcBorders>
            <w:gridSpan w:val="10"/>
          </w:tcPr>
          <w:p>
            <w:pPr>
              <w:spacing w:after="0" w:line="168" w:lineRule="exact"/>
              <w:rPr>
                <w:rFonts w:ascii="Arial" w:cs="Arial" w:eastAsia="Arial" w:hAnsi="Arial"/>
                <w:sz w:val="16"/>
                <w:szCs w:val="16"/>
                <w:color w:val="0000EE"/>
                <w:w w:val="89"/>
              </w:rPr>
            </w:pPr>
            <w:hyperlink w:anchor="page257">
              <w:r>
                <w:rPr>
                  <w:rFonts w:ascii="Arial" w:cs="Arial" w:eastAsia="Arial" w:hAnsi="Arial"/>
                  <w:sz w:val="16"/>
                  <w:szCs w:val="16"/>
                  <w:color w:val="0000EE"/>
                  <w:w w:val="89"/>
                </w:rPr>
                <w:t>Statements of Convertible Preferred Stock and Stockholders’ Deficit</w:t>
              </w:r>
            </w:hyperlink>
          </w:p>
        </w:tc>
        <w:tc>
          <w:tcPr>
            <w:tcW w:w="4920" w:type="dxa"/>
            <w:vAlign w:val="bottom"/>
            <w:gridSpan w:val="2"/>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F-5</w:t>
            </w:r>
          </w:p>
        </w:tc>
        <w:tc>
          <w:tcPr>
            <w:tcW w:w="0" w:type="dxa"/>
            <w:vAlign w:val="bottom"/>
          </w:tcPr>
          <w:p>
            <w:pPr>
              <w:spacing w:after="0"/>
              <w:rPr>
                <w:sz w:val="1"/>
                <w:szCs w:val="1"/>
                <w:color w:val="auto"/>
              </w:rPr>
            </w:pPr>
          </w:p>
        </w:tc>
      </w:tr>
      <w:tr>
        <w:trPr>
          <w:trHeight w:val="169"/>
        </w:trPr>
        <w:tc>
          <w:tcPr>
            <w:tcW w:w="1640" w:type="dxa"/>
            <w:vAlign w:val="bottom"/>
            <w:tcBorders>
              <w:bottom w:val="single" w:sz="8" w:color="0000EE"/>
            </w:tcBorders>
            <w:gridSpan w:val="2"/>
          </w:tcPr>
          <w:p>
            <w:pPr>
              <w:spacing w:after="0" w:line="168" w:lineRule="exact"/>
              <w:rPr>
                <w:rFonts w:ascii="Arial" w:cs="Arial" w:eastAsia="Arial" w:hAnsi="Arial"/>
                <w:sz w:val="16"/>
                <w:szCs w:val="16"/>
                <w:color w:val="0000EE"/>
                <w:w w:val="86"/>
              </w:rPr>
            </w:pPr>
            <w:hyperlink w:anchor="page258">
              <w:r>
                <w:rPr>
                  <w:rFonts w:ascii="Arial" w:cs="Arial" w:eastAsia="Arial" w:hAnsi="Arial"/>
                  <w:sz w:val="16"/>
                  <w:szCs w:val="16"/>
                  <w:color w:val="0000EE"/>
                  <w:w w:val="86"/>
                </w:rPr>
                <w:t>Statements of Cash Flows</w:t>
              </w:r>
            </w:hyperlink>
          </w:p>
        </w:tc>
        <w:tc>
          <w:tcPr>
            <w:tcW w:w="7580" w:type="dxa"/>
            <w:vAlign w:val="bottom"/>
            <w:gridSpan w:val="10"/>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F-6</w:t>
            </w:r>
          </w:p>
        </w:tc>
        <w:tc>
          <w:tcPr>
            <w:tcW w:w="0" w:type="dxa"/>
            <w:vAlign w:val="bottom"/>
          </w:tcPr>
          <w:p>
            <w:pPr>
              <w:spacing w:after="0"/>
              <w:rPr>
                <w:sz w:val="1"/>
                <w:szCs w:val="1"/>
                <w:color w:val="auto"/>
              </w:rPr>
            </w:pPr>
          </w:p>
        </w:tc>
      </w:tr>
      <w:tr>
        <w:trPr>
          <w:trHeight w:val="169"/>
        </w:trPr>
        <w:tc>
          <w:tcPr>
            <w:tcW w:w="1880" w:type="dxa"/>
            <w:vAlign w:val="bottom"/>
            <w:tcBorders>
              <w:bottom w:val="single" w:sz="8" w:color="0000EE"/>
            </w:tcBorders>
            <w:gridSpan w:val="4"/>
          </w:tcPr>
          <w:p>
            <w:pPr>
              <w:spacing w:after="0" w:line="168" w:lineRule="exact"/>
              <w:rPr>
                <w:rFonts w:ascii="Arial" w:cs="Arial" w:eastAsia="Arial" w:hAnsi="Arial"/>
                <w:sz w:val="16"/>
                <w:szCs w:val="16"/>
                <w:color w:val="0000EE"/>
                <w:w w:val="87"/>
              </w:rPr>
            </w:pPr>
            <w:hyperlink w:anchor="page259">
              <w:r>
                <w:rPr>
                  <w:rFonts w:ascii="Arial" w:cs="Arial" w:eastAsia="Arial" w:hAnsi="Arial"/>
                  <w:sz w:val="16"/>
                  <w:szCs w:val="16"/>
                  <w:color w:val="0000EE"/>
                  <w:w w:val="87"/>
                </w:rPr>
                <w:t>Notes to Financial Statements</w:t>
              </w:r>
            </w:hyperlink>
          </w:p>
        </w:tc>
        <w:tc>
          <w:tcPr>
            <w:tcW w:w="7340" w:type="dxa"/>
            <w:vAlign w:val="bottom"/>
            <w:gridSpan w:val="8"/>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rPr>
              <w:t>F-7</w:t>
            </w:r>
          </w:p>
        </w:tc>
        <w:tc>
          <w:tcPr>
            <w:tcW w:w="0" w:type="dxa"/>
            <w:vAlign w:val="bottom"/>
          </w:tcPr>
          <w:p>
            <w:pPr>
              <w:spacing w:after="0"/>
              <w:rPr>
                <w:sz w:val="1"/>
                <w:szCs w:val="1"/>
                <w:color w:val="auto"/>
              </w:rPr>
            </w:pPr>
          </w:p>
        </w:tc>
      </w:tr>
      <w:tr>
        <w:trPr>
          <w:trHeight w:val="376"/>
        </w:trPr>
        <w:tc>
          <w:tcPr>
            <w:tcW w:w="9220" w:type="dxa"/>
            <w:vAlign w:val="bottom"/>
            <w:gridSpan w:val="12"/>
          </w:tcPr>
          <w:p>
            <w:pPr>
              <w:spacing w:after="0"/>
              <w:rPr>
                <w:sz w:val="20"/>
                <w:szCs w:val="20"/>
                <w:color w:val="auto"/>
              </w:rPr>
            </w:pPr>
            <w:r>
              <w:rPr>
                <w:rFonts w:ascii="Arial" w:cs="Arial" w:eastAsia="Arial" w:hAnsi="Arial"/>
                <w:sz w:val="16"/>
                <w:szCs w:val="16"/>
                <w:b w:val="1"/>
                <w:bCs w:val="1"/>
                <w:color w:val="auto"/>
                <w:w w:val="93"/>
              </w:rPr>
              <w:t>Unaudited Interim Condensed Financial Statements as of December 31, 2020 and March 31, 2021 and for the Three Months Ended</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220" w:type="dxa"/>
            <w:vAlign w:val="bottom"/>
            <w:gridSpan w:val="12"/>
          </w:tcPr>
          <w:p>
            <w:pPr>
              <w:ind w:left="160"/>
              <w:spacing w:after="0"/>
              <w:rPr>
                <w:sz w:val="20"/>
                <w:szCs w:val="20"/>
                <w:color w:val="auto"/>
              </w:rPr>
            </w:pPr>
            <w:r>
              <w:rPr>
                <w:rFonts w:ascii="Arial" w:cs="Arial" w:eastAsia="Arial" w:hAnsi="Arial"/>
                <w:sz w:val="16"/>
                <w:szCs w:val="16"/>
                <w:b w:val="1"/>
                <w:bCs w:val="1"/>
                <w:color w:val="auto"/>
              </w:rPr>
              <w:t>March 31, 2020 and 2021</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220" w:type="dxa"/>
            <w:vAlign w:val="bottom"/>
            <w:gridSpan w:val="12"/>
          </w:tcPr>
          <w:p>
            <w:pPr>
              <w:spacing w:after="0" w:line="166" w:lineRule="exact"/>
              <w:rPr>
                <w:rFonts w:ascii="Arial" w:cs="Arial" w:eastAsia="Arial" w:hAnsi="Arial"/>
                <w:sz w:val="16"/>
                <w:szCs w:val="16"/>
                <w:color w:val="0000EE"/>
              </w:rPr>
            </w:pPr>
            <w:hyperlink w:anchor="page279">
              <w:r>
                <w:rPr>
                  <w:rFonts w:ascii="Arial" w:cs="Arial" w:eastAsia="Arial" w:hAnsi="Arial"/>
                  <w:sz w:val="16"/>
                  <w:szCs w:val="16"/>
                  <w:color w:val="0000EE"/>
                </w:rPr>
                <w:t>Condensed Balance Sheets</w:t>
              </w:r>
            </w:hyperlink>
          </w:p>
        </w:tc>
        <w:tc>
          <w:tcPr>
            <w:tcW w:w="360" w:type="dxa"/>
            <w:vAlign w:val="bottom"/>
          </w:tcPr>
          <w:p>
            <w:pPr>
              <w:jc w:val="right"/>
              <w:spacing w:after="0" w:line="166" w:lineRule="exact"/>
              <w:rPr>
                <w:sz w:val="20"/>
                <w:szCs w:val="20"/>
                <w:color w:val="auto"/>
              </w:rPr>
            </w:pPr>
            <w:r>
              <w:rPr>
                <w:rFonts w:ascii="Arial" w:cs="Arial" w:eastAsia="Arial" w:hAnsi="Arial"/>
                <w:sz w:val="16"/>
                <w:szCs w:val="16"/>
                <w:color w:val="auto"/>
                <w:w w:val="97"/>
              </w:rPr>
              <w:t>F-27</w:t>
            </w:r>
          </w:p>
        </w:tc>
        <w:tc>
          <w:tcPr>
            <w:tcW w:w="0" w:type="dxa"/>
            <w:vAlign w:val="bottom"/>
          </w:tcPr>
          <w:p>
            <w:pPr>
              <w:spacing w:after="0"/>
              <w:rPr>
                <w:sz w:val="1"/>
                <w:szCs w:val="1"/>
                <w:color w:val="auto"/>
              </w:rPr>
            </w:pPr>
          </w:p>
        </w:tc>
      </w:tr>
      <w:tr>
        <w:trPr>
          <w:trHeight w:val="20"/>
        </w:trPr>
        <w:tc>
          <w:tcPr>
            <w:tcW w:w="168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80">
              <w:r>
                <w:rPr>
                  <w:rFonts w:ascii="Arial" w:cs="Arial" w:eastAsia="Arial" w:hAnsi="Arial"/>
                  <w:sz w:val="16"/>
                  <w:szCs w:val="16"/>
                  <w:color w:val="0000EE"/>
                </w:rPr>
                <w:t>Condensed Statements of Operations and Comprehensive Loss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F-28</w:t>
            </w:r>
          </w:p>
        </w:tc>
        <w:tc>
          <w:tcPr>
            <w:tcW w:w="0" w:type="dxa"/>
            <w:vAlign w:val="bottom"/>
          </w:tcPr>
          <w:p>
            <w:pPr>
              <w:spacing w:after="0"/>
              <w:rPr>
                <w:sz w:val="1"/>
                <w:szCs w:val="1"/>
                <w:color w:val="auto"/>
              </w:rPr>
            </w:pPr>
          </w:p>
        </w:tc>
      </w:tr>
      <w:tr>
        <w:trPr>
          <w:trHeight w:val="20"/>
        </w:trPr>
        <w:tc>
          <w:tcPr>
            <w:tcW w:w="236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81">
              <w:r>
                <w:rPr>
                  <w:rFonts w:ascii="Arial" w:cs="Arial" w:eastAsia="Arial" w:hAnsi="Arial"/>
                  <w:sz w:val="16"/>
                  <w:szCs w:val="16"/>
                  <w:color w:val="0000EE"/>
                </w:rPr>
                <w:t>Condensed Statements of Convertible Preferred Stock and Stockholders’ Deficit</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F-29</w:t>
            </w:r>
          </w:p>
        </w:tc>
        <w:tc>
          <w:tcPr>
            <w:tcW w:w="0" w:type="dxa"/>
            <w:vAlign w:val="bottom"/>
          </w:tcPr>
          <w:p>
            <w:pPr>
              <w:spacing w:after="0"/>
              <w:rPr>
                <w:sz w:val="1"/>
                <w:szCs w:val="1"/>
                <w:color w:val="auto"/>
              </w:rPr>
            </w:pPr>
          </w:p>
        </w:tc>
      </w:tr>
      <w:tr>
        <w:trPr>
          <w:trHeight w:val="169"/>
        </w:trPr>
        <w:tc>
          <w:tcPr>
            <w:tcW w:w="5040" w:type="dxa"/>
            <w:vAlign w:val="bottom"/>
            <w:tcBorders>
              <w:top w:val="single" w:sz="8" w:color="0000EE"/>
            </w:tcBorders>
            <w:gridSpan w:val="11"/>
          </w:tcPr>
          <w:p>
            <w:pPr>
              <w:spacing w:after="0" w:line="168" w:lineRule="exact"/>
              <w:rPr>
                <w:rFonts w:ascii="Arial" w:cs="Arial" w:eastAsia="Arial" w:hAnsi="Arial"/>
                <w:sz w:val="16"/>
                <w:szCs w:val="16"/>
                <w:color w:val="0000EE"/>
              </w:rPr>
            </w:pPr>
            <w:hyperlink w:anchor="page283">
              <w:r>
                <w:rPr>
                  <w:rFonts w:ascii="Arial" w:cs="Arial" w:eastAsia="Arial" w:hAnsi="Arial"/>
                  <w:sz w:val="16"/>
                  <w:szCs w:val="16"/>
                  <w:color w:val="0000EE"/>
                </w:rPr>
                <w:t>Condensed Statements of Cash Flows</w:t>
              </w:r>
            </w:hyperlink>
          </w:p>
        </w:tc>
        <w:tc>
          <w:tcPr>
            <w:tcW w:w="418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F-31</w:t>
            </w:r>
          </w:p>
        </w:tc>
        <w:tc>
          <w:tcPr>
            <w:tcW w:w="0" w:type="dxa"/>
            <w:vAlign w:val="bottom"/>
          </w:tcPr>
          <w:p>
            <w:pPr>
              <w:spacing w:after="0"/>
              <w:rPr>
                <w:sz w:val="1"/>
                <w:szCs w:val="1"/>
                <w:color w:val="auto"/>
              </w:rPr>
            </w:pPr>
          </w:p>
        </w:tc>
      </w:tr>
      <w:tr>
        <w:trPr>
          <w:trHeight w:val="20"/>
        </w:trPr>
        <w:tc>
          <w:tcPr>
            <w:tcW w:w="236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20" w:type="dxa"/>
            <w:vAlign w:val="bottom"/>
            <w:gridSpan w:val="12"/>
          </w:tcPr>
          <w:p>
            <w:pPr>
              <w:spacing w:after="0" w:line="168" w:lineRule="exact"/>
              <w:rPr>
                <w:rFonts w:ascii="Arial" w:cs="Arial" w:eastAsia="Arial" w:hAnsi="Arial"/>
                <w:sz w:val="16"/>
                <w:szCs w:val="16"/>
                <w:color w:val="0000EE"/>
              </w:rPr>
            </w:pPr>
            <w:hyperlink w:anchor="page284">
              <w:r>
                <w:rPr>
                  <w:rFonts w:ascii="Arial" w:cs="Arial" w:eastAsia="Arial" w:hAnsi="Arial"/>
                  <w:sz w:val="16"/>
                  <w:szCs w:val="16"/>
                  <w:color w:val="0000EE"/>
                </w:rPr>
                <w:t>Notes to Condensed Financial Statements</w:t>
              </w:r>
            </w:hyperlink>
          </w:p>
        </w:tc>
        <w:tc>
          <w:tcPr>
            <w:tcW w:w="360" w:type="dxa"/>
            <w:vAlign w:val="bottom"/>
          </w:tcPr>
          <w:p>
            <w:pPr>
              <w:jc w:val="right"/>
              <w:spacing w:after="0" w:line="168" w:lineRule="exact"/>
              <w:rPr>
                <w:sz w:val="20"/>
                <w:szCs w:val="20"/>
                <w:color w:val="auto"/>
              </w:rPr>
            </w:pPr>
            <w:r>
              <w:rPr>
                <w:rFonts w:ascii="Arial" w:cs="Arial" w:eastAsia="Arial" w:hAnsi="Arial"/>
                <w:sz w:val="16"/>
                <w:szCs w:val="16"/>
                <w:color w:val="auto"/>
                <w:w w:val="97"/>
              </w:rPr>
              <w:t>F-32</w:t>
            </w:r>
          </w:p>
        </w:tc>
        <w:tc>
          <w:tcPr>
            <w:tcW w:w="0" w:type="dxa"/>
            <w:vAlign w:val="bottom"/>
          </w:tcPr>
          <w:p>
            <w:pPr>
              <w:spacing w:after="0"/>
              <w:rPr>
                <w:sz w:val="1"/>
                <w:szCs w:val="1"/>
                <w:color w:val="auto"/>
              </w:rPr>
            </w:pPr>
          </w:p>
        </w:tc>
      </w:tr>
      <w:tr>
        <w:trPr>
          <w:trHeight w:val="333"/>
        </w:trPr>
        <w:tc>
          <w:tcPr>
            <w:tcW w:w="94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920" w:type="dxa"/>
            <w:vAlign w:val="bottom"/>
            <w:gridSpan w:val="2"/>
          </w:tcPr>
          <w:p>
            <w:pPr>
              <w:ind w:left="400"/>
              <w:spacing w:after="0"/>
              <w:rPr>
                <w:sz w:val="20"/>
                <w:szCs w:val="20"/>
                <w:color w:val="auto"/>
              </w:rPr>
            </w:pPr>
            <w:r>
              <w:rPr>
                <w:rFonts w:ascii="Arial" w:cs="Arial" w:eastAsia="Arial" w:hAnsi="Arial"/>
                <w:sz w:val="16"/>
                <w:szCs w:val="16"/>
                <w:color w:val="auto"/>
              </w:rPr>
              <w:t>F-1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20" w:top="418" w:right="1179" w:bottom="1440" w:gutter="0" w:footer="0" w:header="0"/>
        </w:sectPr>
      </w:pPr>
    </w:p>
    <w:bookmarkStart w:id="253" w:name="page254"/>
    <w:bookmarkEnd w:id="2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To the Stockholders and Board of Directors of Tenaya Therapeutics, Inc.</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03" w:lineRule="exact"/>
        <w:rPr>
          <w:sz w:val="20"/>
          <w:szCs w:val="20"/>
          <w:color w:val="auto"/>
        </w:rPr>
      </w:pPr>
    </w:p>
    <w:p>
      <w:pPr>
        <w:ind w:left="820" w:right="40" w:firstLine="385"/>
        <w:spacing w:after="0" w:line="250" w:lineRule="auto"/>
        <w:rPr>
          <w:sz w:val="20"/>
          <w:szCs w:val="20"/>
          <w:color w:val="auto"/>
        </w:rPr>
      </w:pPr>
      <w:r>
        <w:rPr>
          <w:rFonts w:ascii="Arial" w:cs="Arial" w:eastAsia="Arial" w:hAnsi="Arial"/>
          <w:sz w:val="16"/>
          <w:szCs w:val="16"/>
          <w:color w:val="auto"/>
        </w:rPr>
        <w:t>We have audited the accompanying balance sheets of Tenaya Therapeutics, Inc. (the Company) as of December 31, 2019 and 2020, the related statements of operations and comprehensive loss, convertible preferred stock and stockholders’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2019 and 2020, and the results of its operations and its cash flows for each of the two years in the period ended December 31, 2020, in conformity with accounting principles generally accepted in the United States of America.</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Basis for Opinion</w:t>
      </w:r>
    </w:p>
    <w:p>
      <w:pPr>
        <w:spacing w:after="0" w:line="103" w:lineRule="exact"/>
        <w:rPr>
          <w:sz w:val="20"/>
          <w:szCs w:val="20"/>
          <w:color w:val="auto"/>
        </w:rPr>
      </w:pPr>
    </w:p>
    <w:p>
      <w:pPr>
        <w:ind w:left="820" w:firstLine="385"/>
        <w:spacing w:after="0" w:line="275"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left="820" w:right="60" w:firstLine="385"/>
        <w:spacing w:after="0" w:line="250"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1"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 Deloitte &amp; Touche LLP</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San Francisco, California</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May 7, 2021</w:t>
      </w:r>
    </w:p>
    <w:p>
      <w:pPr>
        <w:spacing w:after="0" w:line="18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have served as the Company’s auditor since 2019.</w:t>
      </w:r>
    </w:p>
    <w:p>
      <w:pPr>
        <w:spacing w:after="0" w:line="13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0360"/>
          </w:cols>
          <w:pgMar w:left="320" w:top="418" w:right="1219" w:bottom="1440" w:gutter="0" w:footer="0" w:header="0"/>
        </w:sectPr>
      </w:pPr>
    </w:p>
    <w:bookmarkStart w:id="254" w:name="page255"/>
    <w:bookmarkEnd w:id="2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6"/>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21"/>
        </w:trPr>
        <w:tc>
          <w:tcPr>
            <w:tcW w:w="20" w:type="dxa"/>
            <w:vAlign w:val="bottom"/>
          </w:tcPr>
          <w:p>
            <w:pPr>
              <w:spacing w:after="0"/>
              <w:rPr>
                <w:sz w:val="10"/>
                <w:szCs w:val="10"/>
                <w:color w:val="auto"/>
              </w:rPr>
            </w:pPr>
          </w:p>
        </w:tc>
        <w:tc>
          <w:tcPr>
            <w:tcW w:w="782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ind w:right="83"/>
              <w:spacing w:after="0" w:line="122"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top w:val="single" w:sz="8" w:color="auto"/>
              <w:bottom w:val="single" w:sz="8" w:color="CCEEFF"/>
            </w:tcBorders>
          </w:tcPr>
          <w:p>
            <w:pPr>
              <w:spacing w:after="0"/>
              <w:rPr>
                <w:sz w:val="10"/>
                <w:szCs w:val="10"/>
                <w:color w:val="auto"/>
              </w:rPr>
            </w:pPr>
          </w:p>
        </w:tc>
        <w:tc>
          <w:tcPr>
            <w:tcW w:w="120" w:type="dxa"/>
            <w:vAlign w:val="bottom"/>
            <w:tcBorders>
              <w:top w:val="single" w:sz="8" w:color="auto"/>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22"/>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0"/>
                <w:szCs w:val="10"/>
                <w:color w:val="auto"/>
              </w:rPr>
            </w:pPr>
          </w:p>
        </w:tc>
      </w:tr>
      <w:tr>
        <w:trPr>
          <w:trHeight w:val="169"/>
        </w:trPr>
        <w:tc>
          <w:tcPr>
            <w:tcW w:w="20" w:type="dxa"/>
            <w:vAlign w:val="bottom"/>
          </w:tcPr>
          <w:p>
            <w:pPr>
              <w:spacing w:after="0"/>
              <w:rPr>
                <w:sz w:val="14"/>
                <w:szCs w:val="14"/>
                <w:color w:val="auto"/>
              </w:rPr>
            </w:pPr>
          </w:p>
        </w:tc>
        <w:tc>
          <w:tcPr>
            <w:tcW w:w="7820" w:type="dxa"/>
            <w:vAlign w:val="bottom"/>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23,872</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128,535</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Investments in marketable securities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2,753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27,742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129,964</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17,185</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38,001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148,161</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82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1,959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3,161</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Convertible preferred stock tranche liability</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2"/>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Deferred rent and other lease liabilities, current</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Deferred rent and other lease liabilities, non-current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4,525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3,662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782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8,698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8,722</w:t>
            </w:r>
          </w:p>
        </w:tc>
        <w:tc>
          <w:tcPr>
            <w:tcW w:w="10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6"/>
                <w:szCs w:val="16"/>
                <w:color w:val="auto"/>
                <w:w w:val="89"/>
              </w:rPr>
              <w:t>Convertible preferred stock, $0.0001 par value; 106,900,000 and 156,613,818 shares authorized as of December 31, 2019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w w:val="91"/>
              </w:rPr>
              <w:t>and 2020; 68,418,509 and 146,961,309 shares issued and outstanding as of December 31, 2019 and 2020; aggregate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liquidation preference of $227,900 as of December 31, 2020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73,042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220,754</w:t>
            </w:r>
          </w:p>
        </w:tc>
        <w:tc>
          <w:tcPr>
            <w:tcW w:w="100" w:type="dxa"/>
            <w:vAlign w:val="bottom"/>
          </w:tcPr>
          <w:p>
            <w:pPr>
              <w:spacing w:after="0"/>
              <w:rPr>
                <w:sz w:val="17"/>
                <w:szCs w:val="17"/>
                <w:color w:val="auto"/>
              </w:rPr>
            </w:pPr>
          </w:p>
        </w:tc>
      </w:tr>
      <w:tr>
        <w:trPr>
          <w:trHeight w:val="190"/>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820" w:type="dxa"/>
            <w:vAlign w:val="bottom"/>
          </w:tcPr>
          <w:p>
            <w:pPr>
              <w:spacing w:after="0" w:line="176" w:lineRule="exact"/>
              <w:rPr>
                <w:sz w:val="20"/>
                <w:szCs w:val="20"/>
                <w:color w:val="auto"/>
              </w:rPr>
            </w:pPr>
            <w:r>
              <w:rPr>
                <w:rFonts w:ascii="Arial" w:cs="Arial" w:eastAsia="Arial" w:hAnsi="Arial"/>
                <w:sz w:val="16"/>
                <w:szCs w:val="16"/>
                <w:color w:val="auto"/>
                <w:w w:val="90"/>
              </w:rPr>
              <w:t>Common stock, $0.0001 par value; 128,448,000 and 181,980,000 shares authorized as of December 31, 2019 and 2020;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7,161,040 and 7,261,976 shares issued and outstanding as of December 31, 2019 and 2020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Notes receivable from stockholders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rPr>
              <w:t>(87)</w:t>
            </w: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(44,417)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(82,812)</w:t>
            </w:r>
          </w:p>
        </w:tc>
      </w:tr>
      <w:tr>
        <w:trPr>
          <w:trHeight w:val="196"/>
        </w:trPr>
        <w:tc>
          <w:tcPr>
            <w:tcW w:w="784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1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0"/>
              </w:rPr>
              <w:t>(43,739)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(81,315)</w:t>
            </w:r>
          </w:p>
        </w:tc>
        <w:tc>
          <w:tcPr>
            <w:tcW w:w="10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38,001</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148,161</w:t>
            </w:r>
          </w:p>
        </w:tc>
        <w:tc>
          <w:tcPr>
            <w:tcW w:w="10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0440"/>
          </w:cols>
          <w:pgMar w:left="320" w:top="418" w:right="1139" w:bottom="1440" w:gutter="0" w:footer="0" w:header="0"/>
        </w:sectPr>
      </w:pPr>
    </w:p>
    <w:bookmarkStart w:id="255" w:name="page256"/>
    <w:bookmarkEnd w:id="2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Operations and Comprehensive Loss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tcPr>
          <w:p>
            <w:pPr>
              <w:jc w:val="right"/>
              <w:ind w:right="360"/>
              <w:spacing w:after="0"/>
              <w:rPr>
                <w:sz w:val="20"/>
                <w:szCs w:val="20"/>
                <w:color w:val="auto"/>
              </w:rPr>
            </w:pPr>
            <w:r>
              <w:rPr>
                <w:rFonts w:ascii="Arial" w:cs="Arial" w:eastAsia="Arial" w:hAnsi="Arial"/>
                <w:sz w:val="13"/>
                <w:szCs w:val="13"/>
                <w:b w:val="1"/>
                <w:bCs w:val="1"/>
                <w:color w:val="auto"/>
                <w:w w:val="96"/>
              </w:rPr>
              <w:t>Year Ended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30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4"/>
              <w:spacing w:after="0" w:line="122"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top w:val="single" w:sz="8" w:color="auto"/>
              <w:bottom w:val="single" w:sz="8" w:color="CCEEFF"/>
            </w:tcBorders>
          </w:tcPr>
          <w:p>
            <w:pPr>
              <w:spacing w:after="0"/>
              <w:rPr>
                <w:sz w:val="10"/>
                <w:szCs w:val="10"/>
                <w:color w:val="auto"/>
              </w:rPr>
            </w:pPr>
          </w:p>
        </w:tc>
        <w:tc>
          <w:tcPr>
            <w:tcW w:w="20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Operating expenses:</w:t>
            </w: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23,148</w:t>
            </w:r>
          </w:p>
        </w:tc>
        <w:tc>
          <w:tcPr>
            <w:tcW w:w="26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31,099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4,564</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27,712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(27,712)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(38,912)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3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tcPr>
          <w:p>
            <w:pPr>
              <w:ind w:left="600"/>
              <w:spacing w:after="0"/>
              <w:rPr>
                <w:sz w:val="20"/>
                <w:szCs w:val="20"/>
                <w:color w:val="auto"/>
              </w:rPr>
            </w:pPr>
            <w:r>
              <w:rPr>
                <w:rFonts w:ascii="Arial" w:cs="Arial" w:eastAsia="Arial" w:hAnsi="Arial"/>
                <w:sz w:val="16"/>
                <w:szCs w:val="16"/>
                <w:color w:val="auto"/>
              </w:rPr>
              <w:t>Total other income (expense), net</w:t>
            </w:r>
          </w:p>
        </w:tc>
        <w:tc>
          <w:tcPr>
            <w:tcW w:w="1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 expense</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(26,231)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6"/>
                <w:szCs w:val="16"/>
                <w:color w:val="auto"/>
              </w:rPr>
              <w:t>Income tax expense</w:t>
            </w: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(26,231)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(38,395)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gridSpan w:val="2"/>
            <w:vMerge w:val="continue"/>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(5.78)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3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Weighted-average shares used in computing net loss per share, basic and diluted</w:t>
            </w:r>
          </w:p>
        </w:tc>
        <w:tc>
          <w:tcPr>
            <w:tcW w:w="13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4,534,692</w:t>
            </w: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5,832,594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0440"/>
          </w:cols>
          <w:pgMar w:left="320" w:top="418" w:right="1139" w:bottom="1440" w:gutter="0" w:footer="0" w:header="0"/>
        </w:sectPr>
      </w:pPr>
    </w:p>
    <w:bookmarkStart w:id="256" w:name="page257"/>
    <w:bookmarkEnd w:id="2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20" w:type="dxa"/>
            <w:vAlign w:val="bottom"/>
            <w:gridSpan w:val="4"/>
            <w:vMerge w:val="restart"/>
          </w:tcPr>
          <w:p>
            <w:pPr>
              <w:jc w:val="right"/>
              <w:ind w:right="277"/>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04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jc w:val="center"/>
              <w:ind w:right="20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320" w:type="dxa"/>
            <w:vAlign w:val="bottom"/>
            <w:gridSpan w:val="4"/>
            <w:vMerge w:val="restart"/>
          </w:tcPr>
          <w:p>
            <w:pPr>
              <w:jc w:val="right"/>
              <w:ind w:right="177"/>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w w:val="99"/>
              </w:rPr>
              <w:t>Paid-In</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4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6"/>
              </w:rPr>
              <w:t>Shares</w:t>
            </w:r>
          </w:p>
        </w:tc>
        <w:tc>
          <w:tcPr>
            <w:tcW w:w="560" w:type="dxa"/>
            <w:vAlign w:val="bottom"/>
            <w:gridSpan w:val="3"/>
          </w:tcPr>
          <w:p>
            <w:pPr>
              <w:ind w:left="100"/>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2"/>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40" w:type="dxa"/>
            <w:vAlign w:val="bottom"/>
            <w:tcBorders>
              <w:top w:val="single" w:sz="8" w:color="CCEEFF"/>
            </w:tcBorders>
            <w:shd w:val="clear" w:color="auto" w:fill="CCEEFF"/>
          </w:tcPr>
          <w:p>
            <w:pPr>
              <w:spacing w:after="0" w:line="122" w:lineRule="exact"/>
              <w:rPr>
                <w:sz w:val="20"/>
                <w:szCs w:val="20"/>
                <w:color w:val="auto"/>
              </w:rPr>
            </w:pPr>
            <w:r>
              <w:rPr>
                <w:rFonts w:ascii="Arial" w:cs="Arial" w:eastAsia="Arial" w:hAnsi="Arial"/>
                <w:sz w:val="13"/>
                <w:szCs w:val="13"/>
                <w:color w:val="auto"/>
              </w:rPr>
              <w:t>Balance as of January 1, 2019</w:t>
            </w:r>
          </w:p>
        </w:tc>
        <w:tc>
          <w:tcPr>
            <w:tcW w:w="6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49,900,000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43,393</w:t>
            </w: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9"/>
              </w:rPr>
              <w:t>6,559,040</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229</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(84)</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(18,186)</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(18,040)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4"/>
              </w:rPr>
              <w:t>Issuance of Series B convertible preferred stock, net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80"/>
              <w:spacing w:after="0" w:line="130" w:lineRule="exact"/>
              <w:rPr>
                <w:sz w:val="20"/>
                <w:szCs w:val="20"/>
                <w:color w:val="auto"/>
              </w:rPr>
            </w:pPr>
            <w:r>
              <w:rPr>
                <w:rFonts w:ascii="Arial" w:cs="Arial" w:eastAsia="Arial" w:hAnsi="Arial"/>
                <w:sz w:val="13"/>
                <w:szCs w:val="13"/>
                <w:color w:val="auto"/>
              </w:rPr>
              <w:t>of issuance costs of $221 and recognition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280"/>
              <w:spacing w:after="0" w:line="130" w:lineRule="exact"/>
              <w:rPr>
                <w:sz w:val="20"/>
                <w:szCs w:val="20"/>
                <w:color w:val="auto"/>
              </w:rPr>
            </w:pPr>
            <w:r>
              <w:rPr>
                <w:rFonts w:ascii="Arial" w:cs="Arial" w:eastAsia="Arial" w:hAnsi="Arial"/>
                <w:sz w:val="13"/>
                <w:szCs w:val="13"/>
                <w:color w:val="auto"/>
                <w:w w:val="96"/>
              </w:rPr>
              <w:t>convertible preferred stock liability upon issuance</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of Series B convertible preferred stock of $797</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18,518,509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29,649</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6"/>
              </w:rPr>
              <w:t>Issuance of common stock to a related party for the</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grant of rights and licenses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100,000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9"/>
              </w:rPr>
              <w:t>Issuance of common stock upon exercise of stock</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options</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7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538,500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6"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rPr>
              <w:t>Repurchase of common stock related to early</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exercise of options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100"/>
              <w:spacing w:after="0" w:line="146" w:lineRule="exact"/>
              <w:rPr>
                <w:sz w:val="20"/>
                <w:szCs w:val="20"/>
                <w:color w:val="auto"/>
              </w:rPr>
            </w:pPr>
            <w:r>
              <w:rPr>
                <w:rFonts w:ascii="Arial" w:cs="Arial" w:eastAsia="Arial" w:hAnsi="Arial"/>
                <w:sz w:val="13"/>
                <w:szCs w:val="13"/>
                <w:color w:val="auto"/>
              </w:rPr>
              <w:t>(36,500)</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Vesting of early exercised stock options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40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Notes receivable from stockholders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414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0" w:lineRule="exact"/>
              <w:rPr>
                <w:sz w:val="20"/>
                <w:szCs w:val="20"/>
                <w:color w:val="auto"/>
              </w:rPr>
            </w:pPr>
            <w:r>
              <w:rPr>
                <w:rFonts w:ascii="Arial" w:cs="Arial" w:eastAsia="Arial" w:hAnsi="Arial"/>
                <w:sz w:val="13"/>
                <w:szCs w:val="13"/>
                <w:color w:val="auto"/>
              </w:rPr>
              <w:t>414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Net loss and other comprehensive loss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(26,231)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(26,231)</w:t>
            </w:r>
          </w:p>
        </w:tc>
        <w:tc>
          <w:tcPr>
            <w:tcW w:w="0" w:type="dxa"/>
            <w:vAlign w:val="bottom"/>
          </w:tcPr>
          <w:p>
            <w:pPr>
              <w:spacing w:after="0"/>
              <w:rPr>
                <w:sz w:val="1"/>
                <w:szCs w:val="1"/>
                <w:color w:val="auto"/>
              </w:rPr>
            </w:pPr>
          </w:p>
        </w:tc>
      </w:tr>
      <w:tr>
        <w:trPr>
          <w:trHeight w:val="133"/>
        </w:trPr>
        <w:tc>
          <w:tcPr>
            <w:tcW w:w="3060" w:type="dxa"/>
            <w:vAlign w:val="bottom"/>
            <w:gridSpan w:val="2"/>
          </w:tcPr>
          <w:p>
            <w:pPr>
              <w:spacing w:after="0" w:line="133" w:lineRule="exact"/>
              <w:rPr>
                <w:sz w:val="20"/>
                <w:szCs w:val="20"/>
                <w:color w:val="auto"/>
              </w:rPr>
            </w:pPr>
            <w:r>
              <w:rPr>
                <w:rFonts w:ascii="Arial" w:cs="Arial" w:eastAsia="Arial" w:hAnsi="Arial"/>
                <w:sz w:val="13"/>
                <w:szCs w:val="13"/>
                <w:color w:val="auto"/>
              </w:rPr>
              <w:t>Balance as of December 31, 2019</w:t>
            </w:r>
          </w:p>
        </w:tc>
        <w:tc>
          <w:tcPr>
            <w:tcW w:w="6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68,418,509</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73,042</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w w:val="89"/>
              </w:rPr>
              <w:t>7,161,040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763</w:t>
            </w: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(86)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(44,417)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(43,739)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4"/>
              </w:rPr>
              <w:t>Issuance of Series B convertible preferred stock, net</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3"/>
                <w:szCs w:val="13"/>
                <w:color w:val="auto"/>
              </w:rPr>
              <w:t>of issuance costs of $49 and settlement of</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280"/>
              <w:spacing w:after="0" w:line="130" w:lineRule="exact"/>
              <w:rPr>
                <w:sz w:val="20"/>
                <w:szCs w:val="20"/>
                <w:color w:val="auto"/>
              </w:rPr>
            </w:pPr>
            <w:r>
              <w:rPr>
                <w:rFonts w:ascii="Arial" w:cs="Arial" w:eastAsia="Arial" w:hAnsi="Arial"/>
                <w:sz w:val="13"/>
                <w:szCs w:val="13"/>
                <w:color w:val="auto"/>
              </w:rPr>
              <w:t>convertible preferred stock tranche liability of</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$711</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37,037,018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61,995</w:t>
            </w: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w w:val="94"/>
              </w:rPr>
              <w:t>Issuance of Series C convertible preferred stock, net</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of issuance costs of $283</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41,505,782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85,717</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shd w:val="clear" w:color="auto" w:fill="CCEEFF"/>
          </w:tcPr>
          <w:p>
            <w:pPr>
              <w:ind w:left="160"/>
              <w:spacing w:after="0" w:line="114" w:lineRule="exact"/>
              <w:rPr>
                <w:sz w:val="20"/>
                <w:szCs w:val="20"/>
                <w:color w:val="auto"/>
              </w:rPr>
            </w:pPr>
            <w:r>
              <w:rPr>
                <w:rFonts w:ascii="Arial" w:cs="Arial" w:eastAsia="Arial" w:hAnsi="Arial"/>
                <w:sz w:val="13"/>
                <w:szCs w:val="13"/>
                <w:color w:val="auto"/>
                <w:w w:val="99"/>
              </w:rPr>
              <w:t>Issuance of common stock upon exercise of stock</w:t>
            </w: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shd w:val="clear" w:color="auto" w:fill="CCEEFF"/>
          </w:tcPr>
          <w:p>
            <w:pPr>
              <w:ind w:left="280"/>
              <w:spacing w:after="0" w:line="146" w:lineRule="exact"/>
              <w:rPr>
                <w:sz w:val="20"/>
                <w:szCs w:val="20"/>
                <w:color w:val="auto"/>
              </w:rPr>
            </w:pPr>
            <w:r>
              <w:rPr>
                <w:rFonts w:ascii="Arial" w:cs="Arial" w:eastAsia="Arial" w:hAnsi="Arial"/>
                <w:sz w:val="13"/>
                <w:szCs w:val="13"/>
                <w:color w:val="auto"/>
              </w:rPr>
              <w:t>options</w:t>
            </w:r>
          </w:p>
        </w:tc>
        <w:tc>
          <w:tcPr>
            <w:tcW w:w="6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6" w:lineRule="exact"/>
              <w:rPr>
                <w:sz w:val="20"/>
                <w:szCs w:val="20"/>
                <w:color w:val="auto"/>
              </w:rPr>
            </w:pPr>
            <w:r>
              <w:rPr>
                <w:rFonts w:ascii="Arial" w:cs="Arial" w:eastAsia="Arial" w:hAnsi="Arial"/>
                <w:sz w:val="13"/>
                <w:szCs w:val="13"/>
                <w:color w:val="auto"/>
              </w:rPr>
              <w:t>107,103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40" w:type="dxa"/>
            <w:vAlign w:val="bottom"/>
          </w:tcPr>
          <w:p>
            <w:pPr>
              <w:ind w:left="160"/>
              <w:spacing w:after="0" w:line="114" w:lineRule="exact"/>
              <w:rPr>
                <w:sz w:val="20"/>
                <w:szCs w:val="20"/>
                <w:color w:val="auto"/>
              </w:rPr>
            </w:pPr>
            <w:r>
              <w:rPr>
                <w:rFonts w:ascii="Arial" w:cs="Arial" w:eastAsia="Arial" w:hAnsi="Arial"/>
                <w:sz w:val="13"/>
                <w:szCs w:val="13"/>
                <w:color w:val="auto"/>
              </w:rPr>
              <w:t>Repurchase of common stock related to early</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40" w:type="dxa"/>
            <w:vAlign w:val="bottom"/>
          </w:tcPr>
          <w:p>
            <w:pPr>
              <w:ind w:left="280"/>
              <w:spacing w:after="0" w:line="146" w:lineRule="exact"/>
              <w:rPr>
                <w:sz w:val="20"/>
                <w:szCs w:val="20"/>
                <w:color w:val="auto"/>
              </w:rPr>
            </w:pPr>
            <w:r>
              <w:rPr>
                <w:rFonts w:ascii="Arial" w:cs="Arial" w:eastAsia="Arial" w:hAnsi="Arial"/>
                <w:sz w:val="13"/>
                <w:szCs w:val="13"/>
                <w:color w:val="auto"/>
              </w:rPr>
              <w:t>exercise of options</w:t>
            </w:r>
          </w:p>
        </w:tc>
        <w:tc>
          <w:tcPr>
            <w:tcW w:w="6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100"/>
              <w:spacing w:after="0" w:line="146" w:lineRule="exact"/>
              <w:rPr>
                <w:sz w:val="20"/>
                <w:szCs w:val="20"/>
                <w:color w:val="auto"/>
              </w:rPr>
            </w:pPr>
            <w:r>
              <w:rPr>
                <w:rFonts w:ascii="Arial" w:cs="Arial" w:eastAsia="Arial" w:hAnsi="Arial"/>
                <w:sz w:val="13"/>
                <w:szCs w:val="13"/>
                <w:color w:val="auto"/>
              </w:rPr>
              <w:t>(6,167)</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Vesting of early exercised stock options</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Notes receivable from stockholders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00"/>
              <w:spacing w:after="0" w:line="130"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shd w:val="clear" w:color="auto" w:fill="CCEEFF"/>
          </w:tcPr>
          <w:p>
            <w:pPr>
              <w:ind w:left="160"/>
              <w:spacing w:after="0" w:line="130" w:lineRule="exact"/>
              <w:rPr>
                <w:sz w:val="20"/>
                <w:szCs w:val="20"/>
                <w:color w:val="auto"/>
              </w:rPr>
            </w:pPr>
            <w:r>
              <w:rPr>
                <w:rFonts w:ascii="Arial" w:cs="Arial" w:eastAsia="Arial" w:hAnsi="Arial"/>
                <w:sz w:val="13"/>
                <w:szCs w:val="13"/>
                <w:color w:val="auto"/>
              </w:rPr>
              <w:t>Stock-based compensation</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tcPr>
          <w:p>
            <w:pPr>
              <w:ind w:left="160"/>
              <w:spacing w:after="0" w:line="130" w:lineRule="exact"/>
              <w:rPr>
                <w:sz w:val="20"/>
                <w:szCs w:val="20"/>
                <w:color w:val="auto"/>
              </w:rPr>
            </w:pPr>
            <w:r>
              <w:rPr>
                <w:rFonts w:ascii="Arial" w:cs="Arial" w:eastAsia="Arial" w:hAnsi="Arial"/>
                <w:sz w:val="13"/>
                <w:szCs w:val="13"/>
                <w:color w:val="auto"/>
              </w:rPr>
              <w:t>Net loss and other comprehensive loss</w:t>
            </w:r>
          </w:p>
        </w:tc>
        <w:tc>
          <w:tcPr>
            <w:tcW w:w="6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30" w:lineRule="exact"/>
              <w:rPr>
                <w:sz w:val="20"/>
                <w:szCs w:val="20"/>
                <w:color w:val="auto"/>
              </w:rPr>
            </w:pPr>
            <w:r>
              <w:rPr>
                <w:rFonts w:ascii="Arial" w:cs="Arial" w:eastAsia="Arial" w:hAnsi="Arial"/>
                <w:sz w:val="13"/>
                <w:szCs w:val="13"/>
                <w:color w:val="auto"/>
              </w:rPr>
              <w:t>(38,395)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(38,395)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vMerge w:val="continue"/>
          </w:tcPr>
          <w:p>
            <w:pPr>
              <w:spacing w:after="0"/>
              <w:rPr>
                <w:sz w:val="11"/>
                <w:szCs w:val="11"/>
                <w:color w:val="auto"/>
              </w:rPr>
            </w:pPr>
          </w:p>
        </w:tc>
        <w:tc>
          <w:tcPr>
            <w:tcW w:w="304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Balance as of December 31, 2020</w:t>
            </w:r>
          </w:p>
        </w:tc>
        <w:tc>
          <w:tcPr>
            <w:tcW w:w="6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91"/>
              </w:rPr>
              <w:t>146,961,309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89"/>
              </w:rPr>
              <w:t>220,754</w:t>
            </w: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w w:val="89"/>
              </w:rPr>
              <w:t>7,261,976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1,583</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(87)</w:t>
            </w:r>
          </w:p>
        </w:tc>
        <w:tc>
          <w:tcPr>
            <w:tcW w:w="2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3"/>
                <w:szCs w:val="13"/>
                <w:color w:val="auto"/>
              </w:rPr>
              <w:t>(82,812)</w:t>
            </w:r>
          </w:p>
        </w:tc>
        <w:tc>
          <w:tcPr>
            <w:tcW w:w="240" w:type="dxa"/>
            <w:vAlign w:val="bottom"/>
            <w:gridSpan w:val="2"/>
            <w:shd w:val="clear" w:color="auto" w:fill="CCEEFF"/>
          </w:tcPr>
          <w:p>
            <w:pPr>
              <w:jc w:val="right"/>
              <w:ind w:right="8"/>
              <w:spacing w:after="0" w:line="130"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(81,315)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0440"/>
          </w:cols>
          <w:pgMar w:left="320" w:top="418" w:right="1139" w:bottom="1440" w:gutter="0" w:footer="0" w:header="0"/>
        </w:sectPr>
      </w:pPr>
    </w:p>
    <w:bookmarkStart w:id="257" w:name="page258"/>
    <w:bookmarkEnd w:id="2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Statements of Cash Flows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87"/>
              </w:rPr>
              <w:t>Year Ended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8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117"/>
              <w:spacing w:after="0" w:line="12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jc w:val="right"/>
              <w:ind w:right="137"/>
              <w:spacing w:after="0" w:line="12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6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Cash flows from operating activities: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280" w:type="dxa"/>
            <w:vAlign w:val="bottom"/>
            <w:gridSpan w:val="2"/>
          </w:tcPr>
          <w:p>
            <w:pPr>
              <w:jc w:val="right"/>
              <w:spacing w:after="0" w:line="130"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(26,231)</w:t>
            </w:r>
          </w:p>
        </w:tc>
        <w:tc>
          <w:tcPr>
            <w:tcW w:w="300" w:type="dxa"/>
            <w:vAlign w:val="bottom"/>
            <w:gridSpan w:val="2"/>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(38,395)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Depreciation and amortization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1,989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2,483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Stock-based compensation</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414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Accretion of discount on marketable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Loss on disposal of property and equipment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Non-cash stock expense related to the grant of rights and licenses from a related party</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75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Change in fair value of convertible preferred stock tranche liability</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220"/>
              <w:spacing w:after="0" w:line="130" w:lineRule="exact"/>
              <w:rPr>
                <w:sz w:val="20"/>
                <w:szCs w:val="20"/>
                <w:color w:val="auto"/>
              </w:rPr>
            </w:pPr>
            <w:r>
              <w:rPr>
                <w:rFonts w:ascii="Arial" w:cs="Arial" w:eastAsia="Arial" w:hAnsi="Arial"/>
                <w:sz w:val="13"/>
                <w:szCs w:val="13"/>
                <w:color w:val="auto"/>
              </w:rPr>
              <w:t>Changes in operating assets and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(378)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assets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(15)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Accounts payable</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397</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Accrued expenses and other 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514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925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Deferred rent and other lease liabilities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(691)</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liabilities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(77)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used in operating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(24,096)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(35,447)</w:t>
            </w:r>
          </w:p>
        </w:tc>
        <w:tc>
          <w:tcPr>
            <w:tcW w:w="0" w:type="dxa"/>
            <w:vAlign w:val="bottom"/>
          </w:tcPr>
          <w:p>
            <w:pPr>
              <w:spacing w:after="0"/>
              <w:rPr>
                <w:sz w:val="1"/>
                <w:szCs w:val="1"/>
                <w:color w:val="auto"/>
              </w:rPr>
            </w:pPr>
          </w:p>
        </w:tc>
      </w:tr>
      <w:tr>
        <w:trPr>
          <w:trHeight w:val="133"/>
        </w:trPr>
        <w:tc>
          <w:tcPr>
            <w:tcW w:w="77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Purchases of property and equipment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(2,926)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(9,763)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Purchases of marketable 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color w:val="auto"/>
              </w:rPr>
              <w:t>(12,657)</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maturities of marketable securities</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10,000</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2,753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80" w:type="dxa"/>
            <w:vAlign w:val="bottom"/>
          </w:tcPr>
          <w:p>
            <w:pPr>
              <w:ind w:left="720"/>
              <w:spacing w:after="0" w:line="133" w:lineRule="exact"/>
              <w:rPr>
                <w:sz w:val="20"/>
                <w:szCs w:val="20"/>
                <w:color w:val="auto"/>
              </w:rPr>
            </w:pPr>
            <w:r>
              <w:rPr>
                <w:rFonts w:ascii="Arial" w:cs="Arial" w:eastAsia="Arial" w:hAnsi="Arial"/>
                <w:sz w:val="13"/>
                <w:szCs w:val="13"/>
                <w:color w:val="auto"/>
              </w:rPr>
              <w:t>Net cash used in investing activities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(5,583)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(7,010)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Proceeds from issuance of Series B convertible preferred stock, net of issuance costs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30,446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61,284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issuance of Series C convertible preferred stock, net of issuance costs</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85,951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Proceeds from exercise of stock options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30" w:lineRule="exact"/>
              <w:rPr>
                <w:sz w:val="20"/>
                <w:szCs w:val="20"/>
                <w:color w:val="auto"/>
              </w:rPr>
            </w:pPr>
            <w:r>
              <w:rPr>
                <w:rFonts w:ascii="Arial" w:cs="Arial" w:eastAsia="Arial" w:hAnsi="Arial"/>
                <w:sz w:val="13"/>
                <w:szCs w:val="13"/>
                <w:color w:val="auto"/>
              </w:rPr>
              <w:t>68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jc w:val="right"/>
              <w:spacing w:after="0" w:line="130" w:lineRule="exact"/>
              <w:rPr>
                <w:sz w:val="20"/>
                <w:szCs w:val="20"/>
                <w:color w:val="auto"/>
              </w:rPr>
            </w:pPr>
            <w:r>
              <w:rPr>
                <w:rFonts w:ascii="Arial" w:cs="Arial" w:eastAsia="Arial" w:hAnsi="Arial"/>
                <w:sz w:val="13"/>
                <w:szCs w:val="13"/>
                <w:color w:val="auto"/>
              </w:rPr>
              <w:t>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Repurchases of common stock</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3"/>
                <w:szCs w:val="13"/>
                <w:color w:val="auto"/>
              </w:rPr>
              <w:t>(3)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80" w:type="dxa"/>
            <w:vAlign w:val="bottom"/>
          </w:tcPr>
          <w:p>
            <w:pPr>
              <w:ind w:left="720"/>
              <w:spacing w:after="0" w:line="133" w:lineRule="exact"/>
              <w:rPr>
                <w:sz w:val="20"/>
                <w:szCs w:val="20"/>
                <w:color w:val="auto"/>
              </w:rPr>
            </w:pPr>
            <w:r>
              <w:rPr>
                <w:rFonts w:ascii="Arial" w:cs="Arial" w:eastAsia="Arial" w:hAnsi="Arial"/>
                <w:sz w:val="13"/>
                <w:szCs w:val="13"/>
                <w:color w:val="auto"/>
              </w:rPr>
              <w:t>Net cash provided by financing activities</w:t>
            </w:r>
          </w:p>
        </w:tc>
        <w:tc>
          <w:tcPr>
            <w:tcW w:w="2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30,511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147,268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Net increase in cash, cash equivalents and restricted cash</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832</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104,811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Cash, cash equivalents and restricted cash at beginning of period</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23,439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24,271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 at end of period</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24,271</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129,082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Components of cash, cash equivalents and restricted cash:</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and cash equivalents</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23,872</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128,535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80" w:type="dxa"/>
            <w:vAlign w:val="bottom"/>
          </w:tcPr>
          <w:p>
            <w:pPr>
              <w:spacing w:after="0" w:line="130" w:lineRule="exact"/>
              <w:rPr>
                <w:sz w:val="20"/>
                <w:szCs w:val="20"/>
                <w:color w:val="auto"/>
              </w:rPr>
            </w:pPr>
            <w:r>
              <w:rPr>
                <w:rFonts w:ascii="Arial" w:cs="Arial" w:eastAsia="Arial" w:hAnsi="Arial"/>
                <w:sz w:val="13"/>
                <w:szCs w:val="13"/>
                <w:color w:val="auto"/>
              </w:rPr>
              <w:t>Restricted cash, non-current</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399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547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24,271</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129,082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Property and equipment included in accounts payable and accrued expenses and other current liabilities</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110</w:t>
            </w:r>
          </w:p>
        </w:tc>
        <w:tc>
          <w:tcPr>
            <w:tcW w:w="2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3"/>
                <w:szCs w:val="13"/>
                <w:color w:val="auto"/>
              </w:rPr>
              <w:t>Settlement of convertible preferred stock tranche liability in connection with the issuance of Series B convertible preferred stock</w:t>
            </w: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7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711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6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9"/>
              </w:rPr>
              <w:t>Deferred offering costs related to Series C convertible preferred stock included in accounts payable and accrued expenses and other current liabilities</w:t>
            </w:r>
          </w:p>
        </w:tc>
        <w:tc>
          <w:tcPr>
            <w:tcW w:w="28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234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0440"/>
          </w:cols>
          <w:pgMar w:left="320" w:top="418" w:right="1139" w:bottom="1440" w:gutter="0" w:footer="0" w:header="0"/>
        </w:sectPr>
      </w:pPr>
    </w:p>
    <w:bookmarkStart w:id="258" w:name="page259"/>
    <w:bookmarkEnd w:id="2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Description of the Business</w:t>
      </w:r>
    </w:p>
    <w:p>
      <w:pPr>
        <w:spacing w:after="0" w:line="99" w:lineRule="exact"/>
        <w:rPr>
          <w:sz w:val="20"/>
          <w:szCs w:val="20"/>
          <w:color w:val="auto"/>
        </w:rPr>
      </w:pPr>
    </w:p>
    <w:p>
      <w:pPr>
        <w:ind w:left="820" w:right="80" w:firstLine="385"/>
        <w:spacing w:after="0" w:line="253" w:lineRule="auto"/>
        <w:rPr>
          <w:sz w:val="20"/>
          <w:szCs w:val="20"/>
          <w:color w:val="auto"/>
        </w:rPr>
      </w:pPr>
      <w:r>
        <w:rPr>
          <w:rFonts w:ascii="Arial" w:cs="Arial" w:eastAsia="Arial" w:hAnsi="Arial"/>
          <w:sz w:val="16"/>
          <w:szCs w:val="16"/>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Liquidity</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The Company has incurred net losses since inception and expects such losses to continue in the future as it conducts research and development activities. As of December 31, 2020, the Company had an accumulated deficit of $82.8 million. The Company incurred a net loss of $26.2 million and $38.4 million during the years ended December 31, 2019 and 2020. The Company had $128.5 million of cash and cash equivalents as of December 31, 2020. In addition, in January 2021, the Company raised $20.0 million in gross proceeds from the issuance and sale of shares of its Series C convertible preferred stock (see Note 13).</w:t>
      </w:r>
    </w:p>
    <w:p>
      <w:pPr>
        <w:spacing w:after="0" w:line="170" w:lineRule="exact"/>
        <w:rPr>
          <w:sz w:val="20"/>
          <w:szCs w:val="20"/>
          <w:color w:val="auto"/>
        </w:rPr>
      </w:pPr>
    </w:p>
    <w:p>
      <w:pPr>
        <w:ind w:left="820" w:right="280" w:firstLine="385"/>
        <w:spacing w:after="0" w:line="323" w:lineRule="auto"/>
        <w:rPr>
          <w:sz w:val="20"/>
          <w:szCs w:val="20"/>
          <w:color w:val="auto"/>
        </w:rPr>
      </w:pPr>
      <w:r>
        <w:rPr>
          <w:rFonts w:ascii="Arial" w:cs="Arial" w:eastAsia="Arial" w:hAnsi="Arial"/>
          <w:sz w:val="13"/>
          <w:szCs w:val="13"/>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December 31, 2020, together with the funds raised in January 2021 from the sale of Series C convertible preferred stock, are sufficient to fund the Company’s operations for at least the next twelve months following the issuance date of these financial statements.</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9" w:lineRule="exact"/>
        <w:rPr>
          <w:sz w:val="20"/>
          <w:szCs w:val="20"/>
          <w:color w:val="auto"/>
        </w:rPr>
      </w:pPr>
    </w:p>
    <w:p>
      <w:pPr>
        <w:ind w:left="820" w:right="200" w:firstLine="385"/>
        <w:spacing w:after="0" w:line="26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Significant estimates and assumptions made in the accompanying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99" w:lineRule="exact"/>
        <w:rPr>
          <w:sz w:val="20"/>
          <w:szCs w:val="20"/>
          <w:color w:val="auto"/>
        </w:rPr>
      </w:pPr>
    </w:p>
    <w:p>
      <w:pPr>
        <w:ind w:left="820" w:right="320" w:firstLine="385"/>
        <w:spacing w:after="0" w:line="275" w:lineRule="auto"/>
        <w:rPr>
          <w:sz w:val="20"/>
          <w:szCs w:val="20"/>
          <w:color w:val="auto"/>
        </w:rPr>
      </w:pPr>
      <w:r>
        <w:rPr>
          <w:rFonts w:ascii="Arial" w:cs="Arial" w:eastAsia="Arial" w:hAnsi="Arial"/>
          <w:sz w:val="15"/>
          <w:szCs w:val="15"/>
          <w:color w:val="auto"/>
        </w:rPr>
        <w:t>Fair value is defined as the exchange price that would be received for an asset or paid to transfer a liability, or an exit price, in the principal or most advantageous market for that asset or liability in an orderly transaction between market participants on the measurement date. Fair value measurement establishes a three-level fair value hierarchy that requires an entity to maximize the use of observable inputs, where available, and minimize the use of unobservable inputs when measuring fair value. The three-level hierarchy of inputs is as follows:</w:t>
      </w:r>
    </w:p>
    <w:p>
      <w:pPr>
        <w:spacing w:after="0" w:line="176" w:lineRule="exact"/>
        <w:rPr>
          <w:sz w:val="20"/>
          <w:szCs w:val="20"/>
          <w:color w:val="auto"/>
        </w:rPr>
      </w:pPr>
    </w:p>
    <w:p>
      <w:pPr>
        <w:jc w:val="center"/>
        <w:ind w:left="1060" w:right="460"/>
        <w:spacing w:after="0" w:line="436" w:lineRule="auto"/>
        <w:rPr>
          <w:sz w:val="20"/>
          <w:szCs w:val="20"/>
          <w:color w:val="auto"/>
        </w:rPr>
      </w:pPr>
      <w:r>
        <w:rPr>
          <w:rFonts w:ascii="Arial" w:cs="Arial" w:eastAsia="Arial" w:hAnsi="Arial"/>
          <w:sz w:val="16"/>
          <w:szCs w:val="16"/>
          <w:b w:val="1"/>
          <w:bCs w:val="1"/>
          <w:i w:val="1"/>
          <w:iCs w:val="1"/>
          <w:color w:val="auto"/>
        </w:rPr>
        <w:t>Level 1</w:t>
      </w:r>
      <w:r>
        <w:rPr>
          <w:rFonts w:ascii="Arial" w:cs="Arial" w:eastAsia="Arial" w:hAnsi="Arial"/>
          <w:sz w:val="16"/>
          <w:szCs w:val="16"/>
          <w:color w:val="auto"/>
        </w:rPr>
        <w:t>—Observable inputs such as unadjusted quoted prices in active markets for identical assets or liabilities as of the measurement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F-7</w:t>
      </w:r>
    </w:p>
    <w:p>
      <w:pPr>
        <w:sectPr>
          <w:pgSz w:w="11900" w:h="16838" w:orient="portrait"/>
          <w:cols w:equalWidth="0" w:num="1">
            <w:col w:w="10420"/>
          </w:cols>
          <w:pgMar w:left="320" w:top="418" w:right="1159" w:bottom="1440" w:gutter="0" w:footer="0" w:header="0"/>
        </w:sectPr>
      </w:pPr>
    </w:p>
    <w:bookmarkStart w:id="259" w:name="page260"/>
    <w:bookmarkEnd w:id="2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362" w:lineRule="exact"/>
        <w:rPr>
          <w:sz w:val="20"/>
          <w:szCs w:val="20"/>
          <w:color w:val="auto"/>
        </w:rPr>
      </w:pPr>
    </w:p>
    <w:p>
      <w:pPr>
        <w:ind w:left="1820" w:right="40" w:hanging="616"/>
        <w:spacing w:after="0" w:line="266" w:lineRule="auto"/>
        <w:rPr>
          <w:sz w:val="20"/>
          <w:szCs w:val="20"/>
          <w:color w:val="auto"/>
        </w:rPr>
      </w:pPr>
      <w:r>
        <w:rPr>
          <w:rFonts w:ascii="Arial" w:cs="Arial" w:eastAsia="Arial" w:hAnsi="Arial"/>
          <w:sz w:val="16"/>
          <w:szCs w:val="16"/>
          <w:b w:val="1"/>
          <w:bCs w:val="1"/>
          <w:i w:val="1"/>
          <w:iCs w:val="1"/>
          <w:color w:val="auto"/>
        </w:rPr>
        <w:t>Level 2</w:t>
      </w:r>
      <w:r>
        <w:rPr>
          <w:rFonts w:ascii="Arial" w:cs="Arial" w:eastAsia="Arial" w:hAnsi="Arial"/>
          <w:sz w:val="16"/>
          <w:szCs w:val="16"/>
          <w:color w:val="auto"/>
        </w:rPr>
        <w:t>—Inputs (other than quoted prices included within Level 1) that are directly observable for the asset or liability or indirectly observable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similar assets or liabilities;</w:t>
      </w:r>
    </w:p>
    <w:p>
      <w:pPr>
        <w:spacing w:after="0" w:line="64" w:lineRule="exact"/>
        <w:rPr>
          <w:sz w:val="20"/>
          <w:szCs w:val="20"/>
          <w:color w:val="auto"/>
        </w:rPr>
      </w:pPr>
    </w:p>
    <w:p>
      <w:pPr>
        <w:ind w:left="1820" w:right="180" w:hanging="616"/>
        <w:spacing w:after="0" w:line="266" w:lineRule="auto"/>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determining the fair value of the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liabilities.</w:t>
      </w:r>
    </w:p>
    <w:p>
      <w:pPr>
        <w:spacing w:after="0" w:line="158"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7"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Company’s cash and cash equivalents, prepaid expenses and other current assets, accounts payable and accrued expenses and other current liabilities approximate their fair value due to their short-term nature.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Concentrations of Credit Risk</w:t>
      </w:r>
    </w:p>
    <w:p>
      <w:pPr>
        <w:spacing w:after="0" w:line="99" w:lineRule="exact"/>
        <w:rPr>
          <w:sz w:val="20"/>
          <w:szCs w:val="20"/>
          <w:color w:val="auto"/>
        </w:rPr>
      </w:pPr>
    </w:p>
    <w:p>
      <w:pPr>
        <w:ind w:left="820" w:right="40" w:firstLine="385"/>
        <w:spacing w:after="0" w:line="253" w:lineRule="auto"/>
        <w:rPr>
          <w:sz w:val="20"/>
          <w:szCs w:val="20"/>
          <w:color w:val="auto"/>
        </w:rPr>
      </w:pPr>
      <w:r>
        <w:rPr>
          <w:rFonts w:ascii="Arial" w:cs="Arial" w:eastAsia="Arial" w:hAnsi="Arial"/>
          <w:sz w:val="16"/>
          <w:szCs w:val="16"/>
          <w:color w:val="auto"/>
        </w:rPr>
        <w:t>Financial instruments, which potentially subject the Company to concentration of risk, consist principally of cash, cash equivalents and marketable securities. All of the Company’s cash, cash equivalents and marketable securities are invested through banks and other accredited financial institutions in the United States. Such amounts may exceed federally insured limits. The Company has not experienced any losses on its deposits of cash and cash equivalents.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Risks and Uncertainties</w:t>
      </w:r>
    </w:p>
    <w:p>
      <w:pPr>
        <w:spacing w:after="0" w:line="99"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The Company is subject to certain risks similar to that of other early-stage biopharmaceutical companies, including, but not limited to, the ability to obtain future financing, possible failure of future clinical trials, the need to obtain regulatory approvals for its product candidates, the need to successfully commercialize and gain market acceptance of the Company’s product candidates, competitive developments, protection of the proprietary technology, the ability to make milestone, royalty or other payments due under licensing agreements, and the Company’s ability to attract and retain employees necessary to support its growth.</w:t>
      </w:r>
    </w:p>
    <w:p>
      <w:pPr>
        <w:spacing w:after="0" w:line="170"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The ongoing COVID-19 pandemic has disrupted and may continue to disrupt the Company’s business and delay its programs and timelines. The Company does not yet know the full extent of potential delays to its preclinical trials, which could prevent or delay the Company from initiating clinical trials and obtaining approval for its product candidates. The extent to which the COVID-19 pandemic may impact the Company’s future operating results and financial condition is uncertain.</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Segment Information and Geographical Information</w:t>
      </w:r>
    </w:p>
    <w:p>
      <w:pPr>
        <w:spacing w:after="0" w:line="99" w:lineRule="exact"/>
        <w:rPr>
          <w:sz w:val="20"/>
          <w:szCs w:val="20"/>
          <w:color w:val="auto"/>
        </w:rPr>
      </w:pPr>
    </w:p>
    <w:p>
      <w:pPr>
        <w:ind w:left="820" w:right="220" w:firstLine="385"/>
        <w:spacing w:after="0" w:line="281" w:lineRule="auto"/>
        <w:rPr>
          <w:sz w:val="20"/>
          <w:szCs w:val="20"/>
          <w:color w:val="auto"/>
        </w:rPr>
      </w:pPr>
      <w:r>
        <w:rPr>
          <w:rFonts w:ascii="Arial" w:cs="Arial" w:eastAsia="Arial" w:hAnsi="Arial"/>
          <w:sz w:val="15"/>
          <w:szCs w:val="15"/>
          <w:color w:val="auto"/>
        </w:rPr>
        <w:t>The Company has one operating segment and one reportable segment, which is the business of developing treatments that address heart failure. The Company’s chief operating decision maker, its Chief Executive Officer, reviews financial information on an aggregate basis for the purpose of allocating resources and evaluating financial performance. All of the Company’s assets are located in the United States.</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99" w:lineRule="exact"/>
        <w:rPr>
          <w:sz w:val="20"/>
          <w:szCs w:val="20"/>
          <w:color w:val="auto"/>
        </w:rPr>
      </w:pPr>
    </w:p>
    <w:p>
      <w:pPr>
        <w:ind w:left="820" w:right="200" w:firstLine="385"/>
        <w:spacing w:after="0" w:line="256"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on the date of purchase to be cash equivalents. Cash equivalents primarily consist of money market funds, commercial paper and U.S. government agencies bonds that are stated at fair value.</w:t>
      </w:r>
    </w:p>
    <w:p>
      <w:pPr>
        <w:spacing w:after="0" w:line="107"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0440"/>
          </w:cols>
          <w:pgMar w:left="320" w:top="418" w:right="1139" w:bottom="1440" w:gutter="0" w:footer="0" w:header="0"/>
        </w:sectPr>
      </w:pPr>
    </w:p>
    <w:bookmarkStart w:id="260" w:name="page261"/>
    <w:bookmarkEnd w:id="2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Cash</w:t>
      </w:r>
    </w:p>
    <w:p>
      <w:pPr>
        <w:spacing w:after="0" w:line="99" w:lineRule="exact"/>
        <w:rPr>
          <w:sz w:val="20"/>
          <w:szCs w:val="20"/>
          <w:color w:val="auto"/>
        </w:rPr>
      </w:pPr>
    </w:p>
    <w:p>
      <w:pPr>
        <w:ind w:left="820" w:right="40" w:firstLine="385"/>
        <w:spacing w:after="0" w:line="383" w:lineRule="auto"/>
        <w:rPr>
          <w:sz w:val="20"/>
          <w:szCs w:val="20"/>
          <w:color w:val="auto"/>
        </w:rPr>
      </w:pPr>
      <w:r>
        <w:rPr>
          <w:rFonts w:ascii="Arial" w:cs="Arial" w:eastAsia="Arial" w:hAnsi="Arial"/>
          <w:sz w:val="13"/>
          <w:szCs w:val="13"/>
          <w:color w:val="auto"/>
        </w:rPr>
        <w:t>As of December 31, 2019 and 2020, the Company’s restricted cash of $0.4 million and $0.5 million represent security deposits for the Company’s operating leases in South San Francisco, California. The security deposits are in the form of a letter of credit secured by restricted cash.</w:t>
      </w:r>
    </w:p>
    <w:p>
      <w:pPr>
        <w:spacing w:after="0" w:line="18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The Company invests in marketable securities, primarily securities issued by the U.S. government and its agencies as well as commercial paper. All marketable securities have been classified as available-for-sale and are carried at estimated fair value as determined based upon quoted market prices or pricing models for similar securities. Management determines the appropriate classification of its marketable debt securities at the time of purchase and reevaluates such designation at each balance sheet date. Unrealized gains and losses are excluded from earnings and are reported as a component of other comprehensive loss. Realized gains and losses and declines in fair value judged to be other than temporary, if any, on available-for-sale securities are included in other income (expense), net. There are no material realized gains or losses on marketable securities for all periods presented. The cost of securities sold is based on the specific-identification method. Interest earned on marketable securities is included in interest income.</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99" w:lineRule="exact"/>
        <w:rPr>
          <w:sz w:val="20"/>
          <w:szCs w:val="20"/>
          <w:color w:val="auto"/>
        </w:rPr>
      </w:pPr>
    </w:p>
    <w:p>
      <w:pPr>
        <w:ind w:left="820" w:right="60" w:firstLine="385"/>
        <w:spacing w:after="0" w:line="253" w:lineRule="auto"/>
        <w:rPr>
          <w:sz w:val="20"/>
          <w:szCs w:val="20"/>
          <w:color w:val="auto"/>
        </w:rPr>
      </w:pPr>
      <w:r>
        <w:rPr>
          <w:rFonts w:ascii="Arial" w:cs="Arial" w:eastAsia="Arial" w:hAnsi="Arial"/>
          <w:sz w:val="16"/>
          <w:szCs w:val="16"/>
          <w:color w:val="auto"/>
        </w:rPr>
        <w:t>Property and equipment are stated at cost, less accumulated depreciation. Depreciation is computed using the straight-line method over the estimated useful lives of the assets, generally three to five years. Leasehold improvements are amortized over the shorter of the assets’ expected lives or the remaining lease term. Costs for capital assets not yet placed into service are capitalized as construction in progress and are not depreciated until the asset is placed in service.</w:t>
      </w:r>
    </w:p>
    <w:p>
      <w:pPr>
        <w:spacing w:after="0" w:line="167"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Upon retirement or sale, the cost of disposed assets and their related accumulated depreciation are removed from the balance sheets. Any resulting gains or losses on dispositions of property and equipment are included as a component of other income (expense), net, within the Company’s statements of operations and comprehensive loss. Repair and maintenance costs, which are not considered improvements and do not extend the useful life of property and equipment, are expensed as incurred.</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Impairment for Long-Lived Assets</w:t>
      </w:r>
    </w:p>
    <w:p>
      <w:pPr>
        <w:spacing w:after="0" w:line="99" w:lineRule="exact"/>
        <w:rPr>
          <w:sz w:val="20"/>
          <w:szCs w:val="20"/>
          <w:color w:val="auto"/>
        </w:rPr>
      </w:pPr>
    </w:p>
    <w:p>
      <w:pPr>
        <w:ind w:left="820" w:firstLine="385"/>
        <w:spacing w:after="0" w:line="319" w:lineRule="auto"/>
        <w:rPr>
          <w:sz w:val="20"/>
          <w:szCs w:val="20"/>
          <w:color w:val="auto"/>
        </w:rPr>
      </w:pPr>
      <w:r>
        <w:rPr>
          <w:rFonts w:ascii="Arial" w:cs="Arial" w:eastAsia="Arial" w:hAnsi="Arial"/>
          <w:sz w:val="13"/>
          <w:szCs w:val="13"/>
          <w:color w:val="auto"/>
        </w:rPr>
        <w:t>Long-lived assets, including construction in progress, are reviewed for impairment annually or whenever events or changes in circumstances indicate that the carrying amount of an asset may not be recoverable. Recoverability of assets to be held and used is measured by comparing the carrying amount of an asset to the estimated undiscounted future net cash flows expected to be generated by the asset. If the carrying amount of the asset exceeds its estimated future cash flows, an impairment charge is recognized in the amount by which the carrying amount of the asset exceeds the fair value of the asset. Fair value is determined through various valuation techniques including discounted cash flow models, quoted market values and third-party independent appraisals, as considered necessary. There was no impairment of long-lived assets for any of the periods presented.</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80" w:firstLine="385"/>
        <w:spacing w:after="0" w:line="275" w:lineRule="auto"/>
        <w:rPr>
          <w:sz w:val="20"/>
          <w:szCs w:val="20"/>
          <w:color w:val="auto"/>
        </w:rPr>
      </w:pPr>
      <w:r>
        <w:rPr>
          <w:rFonts w:ascii="Arial" w:cs="Arial" w:eastAsia="Arial" w:hAnsi="Arial"/>
          <w:sz w:val="15"/>
          <w:szCs w:val="15"/>
          <w:color w:val="auto"/>
        </w:rPr>
        <w:t>The obligation to issue additional shares of the Company’s Series B convertible preferred stock at a fixed price on future dates was determined to be a freestanding financial instrument that is accounted for as a liability. On issuance, the Company recorded the convertible preferred stock tranche liability on the balance sheet at its estimated fair value. The liability is subject to remeasurement at each balance sheet date, with changes in fair value recognized as a gain or loss on remeasurement as a component of other income (expense), net in the</w:t>
      </w:r>
    </w:p>
    <w:p>
      <w:pPr>
        <w:spacing w:after="0" w:line="94" w:lineRule="exact"/>
        <w:rPr>
          <w:sz w:val="20"/>
          <w:szCs w:val="20"/>
          <w:color w:val="auto"/>
        </w:rPr>
      </w:pPr>
    </w:p>
    <w:p>
      <w:pPr>
        <w:ind w:left="5520"/>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0420"/>
          </w:cols>
          <w:pgMar w:left="320" w:top="418" w:right="1159" w:bottom="1440" w:gutter="0" w:footer="0" w:header="0"/>
        </w:sectPr>
      </w:pPr>
    </w:p>
    <w:bookmarkStart w:id="261" w:name="page262"/>
    <w:bookmarkEnd w:id="2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80"/>
        <w:spacing w:after="0" w:line="300" w:lineRule="auto"/>
        <w:rPr>
          <w:sz w:val="20"/>
          <w:szCs w:val="20"/>
          <w:color w:val="auto"/>
        </w:rPr>
      </w:pPr>
      <w:r>
        <w:rPr>
          <w:rFonts w:ascii="Arial" w:cs="Arial" w:eastAsia="Arial" w:hAnsi="Arial"/>
          <w:sz w:val="15"/>
          <w:szCs w:val="15"/>
          <w:color w:val="auto"/>
        </w:rPr>
        <w:t>statements of operations and comprehensive loss until settlement or extinguishment. The convertible preferred stock tranche liability was settled upon the second and third closings of the Company’s Series B convertible preferred stock in March and August 2020, respectively.</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Leases</w:t>
      </w:r>
    </w:p>
    <w:p>
      <w:pPr>
        <w:spacing w:after="0" w:line="193" w:lineRule="exact"/>
        <w:rPr>
          <w:sz w:val="20"/>
          <w:szCs w:val="20"/>
          <w:color w:val="auto"/>
        </w:rPr>
      </w:pPr>
    </w:p>
    <w:p>
      <w:pPr>
        <w:jc w:val="both"/>
        <w:ind w:left="820" w:right="140" w:firstLine="385"/>
        <w:spacing w:after="0" w:line="256" w:lineRule="auto"/>
        <w:rPr>
          <w:sz w:val="20"/>
          <w:szCs w:val="20"/>
          <w:color w:val="auto"/>
        </w:rPr>
      </w:pPr>
      <w:r>
        <w:rPr>
          <w:rFonts w:ascii="Arial" w:cs="Arial" w:eastAsia="Arial" w:hAnsi="Arial"/>
          <w:sz w:val="16"/>
          <w:szCs w:val="16"/>
          <w:color w:val="auto"/>
        </w:rPr>
        <w:t>The Company records rent expense on a straight-line basis over the life of the lease from the date that it obtains the legal right to use and control the leased space. In cases where there is a free rent period or future fixed rent escalations, the Company records a deferred rent liability. Deferred rent consists of the difference between cash payments and the rent expense recognized.</w:t>
      </w:r>
    </w:p>
    <w:p>
      <w:pPr>
        <w:spacing w:after="0" w:line="166"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As part of its lease agreements, the Company receives tenant improvement allowances from landlords. The Company recognizes these allowances as a leasehold incentive obligation, included in deferred rent and other lease liabilities, and amortizes allowances on a straight-line basis over the life of the lease. Allowances which contractually are not required to be paid back to the landlord, are amortized as a reduction to rent expense. Allowances which contractually are required to be paid back to the landlord are amortized over the life of the lease with a portion of the payment decreasing the allowance balance and recorded as an increase to rent expense.</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99"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Research and development (R&amp;D) costs are expensed as incurred. Research and development costs include, among others, consulting fees, salaries, benefits, travel, stock-based compensation, laboratory supplies and other non-capital equipment utilized for in-house research, allocated facilities and overhead costs, amounts owed under licensing agreements, amounts paid to contract research organizations (CRO) that conduct research and development activities on the Company’s behalf and costs related to compliance with regulatory requirements.</w:t>
      </w:r>
    </w:p>
    <w:p>
      <w:pPr>
        <w:spacing w:after="0" w:line="153" w:lineRule="exact"/>
        <w:rPr>
          <w:sz w:val="20"/>
          <w:szCs w:val="20"/>
          <w:color w:val="auto"/>
        </w:rPr>
      </w:pPr>
    </w:p>
    <w:p>
      <w:pPr>
        <w:ind w:left="820" w:right="120" w:firstLine="385"/>
        <w:spacing w:after="0" w:line="315" w:lineRule="auto"/>
        <w:rPr>
          <w:sz w:val="20"/>
          <w:szCs w:val="20"/>
          <w:color w:val="auto"/>
        </w:rPr>
      </w:pPr>
      <w:r>
        <w:rPr>
          <w:rFonts w:ascii="Arial" w:cs="Arial" w:eastAsia="Arial" w:hAnsi="Arial"/>
          <w:sz w:val="13"/>
          <w:szCs w:val="13"/>
          <w:color w:val="auto"/>
        </w:rPr>
        <w:t>Goods or services incurred for research and development activities that have not yet been invoiced are recorded as liabilities within accrued expenses and other current liabilities on the Company’s balance sheets. Amounts recorded for unbilled services often represent estimates, which are typically based on contracted amounts for the proportion of work performed and determined through analysis with internal personnel and external service providers as to the progress or stage of completion of the associated services. The Company makes judgments and estimates in determining the accrued and other current liabilities balance. If the actual timing of the performance of services or the level of effort varies from the estimate, the Company adjusts accrued expenses or prepaid expenses accordingly, which impact research and development expenses. The Company has not experienced any material differences between accrued costs and actual costs incurred. Changes in these estimates that result in material changes to the Company’s accrued costs could materially affect the Company’s results of operations.</w:t>
      </w:r>
    </w:p>
    <w:p>
      <w:pPr>
        <w:spacing w:after="0" w:line="324"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The Company has and may continue to acquire the rights to licensed technology that represents in-process research and development to use and develop in the commercialization of new product candidates. The upfront payments made to acquire licenses, product or rights, or payments made related to future milestone payments are recognized as research and development expenses provided that there is no alternative future use of the rights in other research and development projects, up to the point of regulatory approval. Milestone payments are expensed when the specific milestone has been achieved.</w:t>
      </w:r>
    </w:p>
    <w:p>
      <w:pPr>
        <w:spacing w:after="0" w:line="170"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Non-refundable advance payments for goods or services to be rendered as part of future research and development activities are capitalized on the Company’s balance sheets until the goods or services are received.</w:t>
      </w:r>
    </w:p>
    <w:p>
      <w:pPr>
        <w:spacing w:after="0" w:line="158" w:lineRule="exact"/>
        <w:rPr>
          <w:sz w:val="20"/>
          <w:szCs w:val="20"/>
          <w:color w:val="auto"/>
        </w:rPr>
      </w:pPr>
    </w:p>
    <w:p>
      <w:pPr>
        <w:ind w:left="820" w:right="60" w:firstLine="385"/>
        <w:spacing w:after="0" w:line="300" w:lineRule="auto"/>
        <w:rPr>
          <w:sz w:val="20"/>
          <w:szCs w:val="20"/>
          <w:color w:val="auto"/>
        </w:rPr>
      </w:pPr>
      <w:r>
        <w:rPr>
          <w:rFonts w:ascii="Arial" w:cs="Arial" w:eastAsia="Arial" w:hAnsi="Arial"/>
          <w:sz w:val="15"/>
          <w:szCs w:val="15"/>
          <w:color w:val="auto"/>
        </w:rPr>
        <w:t>Classification between prepaid expenses and other current assets and other non-current assets is based on an evaluation of when the goods will be delivered and/or services will be performed, with such amounts subsequently amortized to expense once incurred.</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0420"/>
          </w:cols>
          <w:pgMar w:left="320" w:top="418" w:right="1159" w:bottom="1440" w:gutter="0" w:footer="0" w:header="0"/>
        </w:sectPr>
      </w:pPr>
    </w:p>
    <w:bookmarkStart w:id="262" w:name="page263"/>
    <w:bookmarkEnd w:id="2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820" w:right="20" w:firstLine="385"/>
        <w:spacing w:after="0" w:line="253" w:lineRule="auto"/>
        <w:rPr>
          <w:sz w:val="20"/>
          <w:szCs w:val="20"/>
          <w:color w:val="auto"/>
        </w:rPr>
      </w:pPr>
      <w:r>
        <w:rPr>
          <w:rFonts w:ascii="Arial" w:cs="Arial" w:eastAsia="Arial" w:hAnsi="Arial"/>
          <w:sz w:val="16"/>
          <w:szCs w:val="16"/>
          <w:color w:val="auto"/>
        </w:rPr>
        <w:t>The Company measures and records expense related to all equity awards granted to employees and non-employees in the statements of operations and comprehensive loss based on their grant date fair values, including stock options and restricted stock awards. For stock-based awards that vest subject to the satisfaction of a service requirement, the expense is recognized using the straight-line method over the requisite service period, which is generally the vesting period. Forfeitures are recognized as they occur.</w:t>
      </w:r>
    </w:p>
    <w:p>
      <w:pPr>
        <w:spacing w:after="0" w:line="167"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For purposes of determining the estimated fair value of options granted to employees and nonemployees, the Company uses the Black-Scholes option pricing model.</w:t>
      </w:r>
    </w:p>
    <w:p>
      <w:pPr>
        <w:spacing w:after="0" w:line="158"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The fair value of restricted stock awards is determined on the date of grant based on the estimated fair value of the Company’s common stock on that date.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Income Taxes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The Company accounts for income taxes using the asset and liability method.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p>
    <w:p>
      <w:pPr>
        <w:spacing w:after="0" w:line="167"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A valuation allowance is recorded for deferred tax assets if it is more likely than not that some portion or all of the deferred tax assets will not be realized. In evaluating the ability to recover its deferred income tax assets, the Company considers all available positive and negative evidence, including its operating results, ongoing tax planning and forecasts of future taxable income on a jurisdiction-by-jurisdiction basis. In the event the Company determines that it would be able to realize its deferred income tax assets in the future in excess of their net recorded amount, it would make an adjustment to the valuation allowance that would reduce the provision for income taxes. Conversely, in the event that all or part of the net deferred tax assets are determined not to be realizable in the future, an adjustment to the valuation allowance would be charged to earnings in the period when such determination is made. As of December 31, 2019 and 2020, the Company has recorded a full valuation allowance on its net deferred tax assets.</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Tax benefits related to uncertain tax positions are recognized when it is more likely than not that a tax position will be sustained during an audit.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Interest and penalties, if any, related to unrecognized tax benefits are included within the provision for income tax.</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99" w:lineRule="exact"/>
        <w:rPr>
          <w:sz w:val="20"/>
          <w:szCs w:val="20"/>
          <w:color w:val="auto"/>
        </w:rPr>
      </w:pPr>
    </w:p>
    <w:p>
      <w:pPr>
        <w:ind w:left="820" w:right="280" w:firstLine="385"/>
        <w:spacing w:after="0" w:line="25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Comprehensive Loss</w:t>
      </w:r>
    </w:p>
    <w:p>
      <w:pPr>
        <w:spacing w:after="0" w:line="99" w:lineRule="exact"/>
        <w:rPr>
          <w:sz w:val="20"/>
          <w:szCs w:val="20"/>
          <w:color w:val="auto"/>
        </w:rPr>
      </w:pPr>
    </w:p>
    <w:p>
      <w:pPr>
        <w:jc w:val="both"/>
        <w:ind w:left="820" w:right="40" w:firstLine="385"/>
        <w:spacing w:after="0" w:line="256" w:lineRule="auto"/>
        <w:rPr>
          <w:sz w:val="20"/>
          <w:szCs w:val="20"/>
          <w:color w:val="auto"/>
        </w:rPr>
      </w:pPr>
      <w:r>
        <w:rPr>
          <w:rFonts w:ascii="Arial" w:cs="Arial" w:eastAsia="Arial" w:hAnsi="Arial"/>
          <w:sz w:val="16"/>
          <w:szCs w:val="16"/>
          <w:color w:val="auto"/>
        </w:rPr>
        <w:t>Comprehensive loss includes net loss and certain changes in stockholders’ deficit that are excluded from net loss. The Company’s comprehensive loss is comprised of unrealized gains and losses on the Company’s marketable securities, which were immaterial for all periods presented. Accordingly, comprehensive loss is the same as net loss.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0400"/>
          </w:cols>
          <w:pgMar w:left="320" w:top="418" w:right="1179" w:bottom="1440" w:gutter="0" w:footer="0" w:header="0"/>
        </w:sectPr>
      </w:pPr>
    </w:p>
    <w:bookmarkStart w:id="263" w:name="page264"/>
    <w:bookmarkEnd w:id="2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Emerging Growth Company Status</w:t>
      </w:r>
    </w:p>
    <w:p>
      <w:pPr>
        <w:spacing w:after="0" w:line="99" w:lineRule="exact"/>
        <w:rPr>
          <w:sz w:val="20"/>
          <w:szCs w:val="20"/>
          <w:color w:val="auto"/>
        </w:rPr>
      </w:pPr>
    </w:p>
    <w:p>
      <w:pPr>
        <w:ind w:left="820" w:right="60" w:firstLine="385"/>
        <w:spacing w:after="0" w:line="319" w:lineRule="auto"/>
        <w:rPr>
          <w:sz w:val="20"/>
          <w:szCs w:val="20"/>
          <w:color w:val="auto"/>
        </w:rPr>
      </w:pPr>
      <w:r>
        <w:rPr>
          <w:rFonts w:ascii="Arial" w:cs="Arial" w:eastAsia="Arial" w:hAnsi="Arial"/>
          <w:sz w:val="13"/>
          <w:szCs w:val="13"/>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(a) is no longer an emerging growth company or (b)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99" w:lineRule="exact"/>
        <w:rPr>
          <w:sz w:val="20"/>
          <w:szCs w:val="20"/>
          <w:color w:val="auto"/>
        </w:rPr>
      </w:pPr>
    </w:p>
    <w:p>
      <w:pPr>
        <w:ind w:left="820" w:right="80" w:firstLine="385"/>
        <w:spacing w:after="0" w:line="251" w:lineRule="auto"/>
        <w:rPr>
          <w:sz w:val="20"/>
          <w:szCs w:val="20"/>
          <w:color w:val="auto"/>
        </w:rPr>
      </w:pPr>
      <w:r>
        <w:rPr>
          <w:rFonts w:ascii="Arial" w:cs="Arial" w:eastAsia="Arial" w:hAnsi="Arial"/>
          <w:sz w:val="16"/>
          <w:szCs w:val="16"/>
          <w:color w:val="auto"/>
        </w:rPr>
        <w:t xml:space="preserve">On January 1, 2019, the Company adopted Financial Accounting Standards Board (FASB) Accounting Standards Update (ASU) No. 2016-18, </w:t>
      </w:r>
      <w:r>
        <w:rPr>
          <w:rFonts w:ascii="Arial" w:cs="Arial" w:eastAsia="Arial" w:hAnsi="Arial"/>
          <w:sz w:val="16"/>
          <w:szCs w:val="16"/>
          <w:i w:val="1"/>
          <w:iCs w:val="1"/>
          <w:color w:val="auto"/>
        </w:rPr>
        <w:t xml:space="preserve">Statement of Cash Flows </w:t>
      </w:r>
      <w:r>
        <w:rPr>
          <w:rFonts w:ascii="Arial" w:cs="Arial" w:eastAsia="Arial" w:hAnsi="Arial"/>
          <w:sz w:val="16"/>
          <w:szCs w:val="16"/>
          <w:color w:val="auto"/>
        </w:rPr>
        <w:t>(Topic 230)—Restricted Cash (ASU 2016-18). This standard requires amounts generally described as restricted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cash equivalents to be included with cash and cash equivalents when reconciling beginning-of-period and end-of-period total amounts shown on the statements of cash flows. The provisions of ASU 2016-18 are applied retrospectively. The adoption of this standard did not have a material impact on the Company’s financial statements.</w:t>
      </w:r>
    </w:p>
    <w:p>
      <w:pPr>
        <w:spacing w:after="0" w:line="170" w:lineRule="exact"/>
        <w:rPr>
          <w:sz w:val="20"/>
          <w:szCs w:val="20"/>
          <w:color w:val="auto"/>
        </w:rPr>
      </w:pPr>
    </w:p>
    <w:p>
      <w:pPr>
        <w:ind w:left="820" w:right="320" w:firstLine="385"/>
        <w:spacing w:after="0" w:line="329" w:lineRule="auto"/>
        <w:rPr>
          <w:sz w:val="20"/>
          <w:szCs w:val="20"/>
          <w:color w:val="auto"/>
        </w:rPr>
      </w:pPr>
      <w:r>
        <w:rPr>
          <w:rFonts w:ascii="Arial" w:cs="Arial" w:eastAsia="Arial" w:hAnsi="Arial"/>
          <w:sz w:val="13"/>
          <w:szCs w:val="13"/>
          <w:color w:val="auto"/>
        </w:rPr>
        <w:t xml:space="preserve">On January 1, 2019, the Company early adopted FASB ASU No. 2018-07, </w:t>
      </w:r>
      <w:r>
        <w:rPr>
          <w:rFonts w:ascii="Arial" w:cs="Arial" w:eastAsia="Arial" w:hAnsi="Arial"/>
          <w:sz w:val="13"/>
          <w:szCs w:val="13"/>
          <w:i w:val="1"/>
          <w:iCs w:val="1"/>
          <w:color w:val="auto"/>
        </w:rPr>
        <w:t>Compensation-Stock Compensation (Topic 718): Improvements to</w:t>
      </w:r>
      <w:r>
        <w:rPr>
          <w:rFonts w:ascii="Arial" w:cs="Arial" w:eastAsia="Arial" w:hAnsi="Arial"/>
          <w:sz w:val="13"/>
          <w:szCs w:val="13"/>
          <w:color w:val="auto"/>
        </w:rPr>
        <w:t xml:space="preserve"> </w:t>
      </w:r>
      <w:r>
        <w:rPr>
          <w:rFonts w:ascii="Arial" w:cs="Arial" w:eastAsia="Arial" w:hAnsi="Arial"/>
          <w:sz w:val="13"/>
          <w:szCs w:val="13"/>
          <w:i w:val="1"/>
          <w:iCs w:val="1"/>
          <w:color w:val="auto"/>
        </w:rPr>
        <w:t>Nonemployee Share-Based Payment Accounting</w:t>
      </w:r>
      <w:r>
        <w:rPr>
          <w:rFonts w:ascii="Arial" w:cs="Arial" w:eastAsia="Arial" w:hAnsi="Arial"/>
          <w:sz w:val="13"/>
          <w:szCs w:val="13"/>
          <w:color w:val="auto"/>
        </w:rPr>
        <w:t>. This standard simplifies several aspects of the accounting for nonemployee share-based payment</w:t>
      </w:r>
      <w:r>
        <w:rPr>
          <w:rFonts w:ascii="Arial" w:cs="Arial" w:eastAsia="Arial" w:hAnsi="Arial"/>
          <w:sz w:val="13"/>
          <w:szCs w:val="13"/>
          <w:i w:val="1"/>
          <w:iCs w:val="1"/>
          <w:color w:val="auto"/>
        </w:rPr>
        <w:t xml:space="preserve"> </w:t>
      </w:r>
      <w:r>
        <w:rPr>
          <w:rFonts w:ascii="Arial" w:cs="Arial" w:eastAsia="Arial" w:hAnsi="Arial"/>
          <w:sz w:val="13"/>
          <w:szCs w:val="13"/>
          <w:color w:val="auto"/>
        </w:rPr>
        <w:t>transactions resulting from expanding the scope of Topic 718 to include share-based payment transactions for acquiring goods and services from nonemployees. The adoption of this standard did not have a material impact on the Company’s financial statements.</w:t>
      </w:r>
    </w:p>
    <w:p>
      <w:pPr>
        <w:spacing w:after="0" w:line="123" w:lineRule="exact"/>
        <w:rPr>
          <w:sz w:val="20"/>
          <w:szCs w:val="20"/>
          <w:color w:val="auto"/>
        </w:rPr>
      </w:pPr>
    </w:p>
    <w:p>
      <w:pPr>
        <w:ind w:left="820" w:right="120" w:firstLine="385"/>
        <w:spacing w:after="0" w:line="275" w:lineRule="auto"/>
        <w:rPr>
          <w:sz w:val="20"/>
          <w:szCs w:val="20"/>
          <w:color w:val="auto"/>
        </w:rPr>
      </w:pPr>
      <w:r>
        <w:rPr>
          <w:rFonts w:ascii="Arial" w:cs="Arial" w:eastAsia="Arial" w:hAnsi="Arial"/>
          <w:sz w:val="15"/>
          <w:szCs w:val="15"/>
          <w:color w:val="auto"/>
        </w:rPr>
        <w:t xml:space="preserve">On January 1, 2020, the Company adopted FASB ASU No. 2018-13, </w:t>
      </w:r>
      <w:r>
        <w:rPr>
          <w:rFonts w:ascii="Arial" w:cs="Arial" w:eastAsia="Arial" w:hAnsi="Arial"/>
          <w:sz w:val="15"/>
          <w:szCs w:val="15"/>
          <w:i w:val="1"/>
          <w:iCs w:val="1"/>
          <w:color w:val="auto"/>
        </w:rPr>
        <w:t>Fair Value Measurement (Topic 820): Disclosure Framework—Changes to</w:t>
      </w:r>
      <w:r>
        <w:rPr>
          <w:rFonts w:ascii="Arial" w:cs="Arial" w:eastAsia="Arial" w:hAnsi="Arial"/>
          <w:sz w:val="15"/>
          <w:szCs w:val="15"/>
          <w:color w:val="auto"/>
        </w:rPr>
        <w:t xml:space="preserve"> </w:t>
      </w:r>
      <w:r>
        <w:rPr>
          <w:rFonts w:ascii="Arial" w:cs="Arial" w:eastAsia="Arial" w:hAnsi="Arial"/>
          <w:sz w:val="15"/>
          <w:szCs w:val="15"/>
          <w:i w:val="1"/>
          <w:iCs w:val="1"/>
          <w:color w:val="auto"/>
        </w:rPr>
        <w:t>the Disclosure Requirements for Fair Value Measurement</w:t>
      </w:r>
      <w:r>
        <w:rPr>
          <w:rFonts w:ascii="Arial" w:cs="Arial" w:eastAsia="Arial" w:hAnsi="Arial"/>
          <w:sz w:val="15"/>
          <w:szCs w:val="15"/>
          <w:color w:val="auto"/>
        </w:rPr>
        <w:t>. This standard eliminates, modifies and adds disclosure requirements for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The Company adopted the removed and modified disclosures on a retrospective basis and the new disclosures on a prospective basis. The adoption of this standard did not have a material impact on the Company’s financial statements.</w:t>
      </w:r>
    </w:p>
    <w:p>
      <w:pPr>
        <w:spacing w:after="0" w:line="24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99" w:lineRule="exact"/>
        <w:rPr>
          <w:sz w:val="20"/>
          <w:szCs w:val="20"/>
          <w:color w:val="auto"/>
        </w:rPr>
      </w:pPr>
    </w:p>
    <w:p>
      <w:pPr>
        <w:ind w:left="820" w:right="40" w:firstLine="385"/>
        <w:spacing w:after="0" w:line="268" w:lineRule="auto"/>
        <w:rPr>
          <w:sz w:val="20"/>
          <w:szCs w:val="20"/>
          <w:color w:val="auto"/>
        </w:rPr>
      </w:pPr>
      <w:r>
        <w:rPr>
          <w:rFonts w:ascii="Arial" w:cs="Arial" w:eastAsia="Arial" w:hAnsi="Arial"/>
          <w:sz w:val="15"/>
          <w:szCs w:val="15"/>
          <w:color w:val="auto"/>
        </w:rPr>
        <w:t xml:space="preserve">In February 2016, the FASB issued 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 amended, which requires lessees to recognize operating and financing lease liabilities and corresponding right-of-use assets on the balance sheet for all leases with lease terms of more than twelve months. In July 2018, the FASB issued ASU No. 2018-11, </w:t>
      </w:r>
      <w:r>
        <w:rPr>
          <w:rFonts w:ascii="Arial" w:cs="Arial" w:eastAsia="Arial" w:hAnsi="Arial"/>
          <w:sz w:val="15"/>
          <w:szCs w:val="15"/>
          <w:i w:val="1"/>
          <w:iCs w:val="1"/>
          <w:color w:val="auto"/>
        </w:rPr>
        <w:t>Leases, Targeted Improvements (Topic 842)</w:t>
      </w:r>
      <w:r>
        <w:rPr>
          <w:rFonts w:ascii="Arial" w:cs="Arial" w:eastAsia="Arial" w:hAnsi="Arial"/>
          <w:sz w:val="15"/>
          <w:szCs w:val="15"/>
          <w:color w:val="auto"/>
        </w:rPr>
        <w:t>, an update which provides an alternative transition method, in addition to the existing modified retrospective transition method, by allowing entities to initially apply the new lease standard at the adoption date and recognize a cumulative-effect adjustment to the opening balance of retained earnings in the period of adoption. As an emerging growth company, these new lease standards are effective for the Company for fiscal year beginning January 1, 2022, with early adoption permitted. The Company is evaluating the impact of this standard on its financial statements.</w:t>
      </w:r>
    </w:p>
    <w:p>
      <w:pPr>
        <w:spacing w:after="0" w:line="161" w:lineRule="exact"/>
        <w:rPr>
          <w:sz w:val="20"/>
          <w:szCs w:val="20"/>
          <w:color w:val="auto"/>
        </w:rPr>
      </w:pPr>
    </w:p>
    <w:p>
      <w:pPr>
        <w:ind w:left="820" w:firstLine="385"/>
        <w:spacing w:after="0" w:line="27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which replaces the existing incurred loss impairment model with an expected credit loss model. This standard will require</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9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0400"/>
          </w:cols>
          <w:pgMar w:left="320" w:top="418" w:right="1179" w:bottom="1440" w:gutter="0" w:footer="0" w:header="0"/>
        </w:sectPr>
      </w:pPr>
    </w:p>
    <w:bookmarkStart w:id="264" w:name="page265"/>
    <w:bookmarkEnd w:id="2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3. Fair Value Measurements</w:t>
      </w:r>
    </w:p>
    <w:p>
      <w:pPr>
        <w:spacing w:after="0" w:line="10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Financial assets and liabilities are recognized at fair value on a recurring basis. The following table summarize the Company’s financial assets and liabilities measured at fair value on a recurring basis by level within the fair value hierarchy:</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5"/>
              </w:rPr>
              <w:t>Valuation</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3"/>
                <w:szCs w:val="13"/>
                <w:b w:val="1"/>
                <w:bCs w:val="1"/>
                <w:color w:val="auto"/>
                <w:w w:val="85"/>
              </w:rPr>
              <w:t>December 31, 2019</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72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98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3"/>
                <w:szCs w:val="13"/>
                <w:b w:val="1"/>
                <w:bCs w:val="1"/>
                <w:color w:val="auto"/>
              </w:rPr>
              <w:t>Gain</w:t>
            </w:r>
          </w:p>
        </w:tc>
        <w:tc>
          <w:tcPr>
            <w:tcW w:w="380" w:type="dxa"/>
            <w:vAlign w:val="bottom"/>
          </w:tcPr>
          <w:p>
            <w:pPr>
              <w:spacing w:after="0"/>
              <w:rPr>
                <w:sz w:val="13"/>
                <w:szCs w:val="13"/>
                <w:color w:val="auto"/>
              </w:rPr>
            </w:pPr>
          </w:p>
        </w:tc>
        <w:tc>
          <w:tcPr>
            <w:tcW w:w="420" w:type="dxa"/>
            <w:vAlign w:val="bottom"/>
          </w:tcPr>
          <w:p>
            <w:pPr>
              <w:ind w:left="160"/>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Cash equivalents: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19,373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19,373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0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Government agencies bonds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2</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Marketable securities: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treasuries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gridSpan w:val="2"/>
          </w:tcPr>
          <w:p>
            <w:pPr>
              <w:spacing w:after="0"/>
              <w:rPr>
                <w:sz w:val="20"/>
                <w:szCs w:val="20"/>
                <w:color w:val="auto"/>
              </w:rPr>
            </w:pPr>
            <w:r>
              <w:rPr>
                <w:rFonts w:ascii="Arial" w:cs="Arial" w:eastAsia="Arial" w:hAnsi="Arial"/>
                <w:sz w:val="16"/>
                <w:szCs w:val="16"/>
                <w:color w:val="auto"/>
              </w:rPr>
              <w:t>Total financial assets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jc w:val="right"/>
              <w:ind w:right="9"/>
              <w:spacing w:after="0"/>
              <w:rPr>
                <w:sz w:val="20"/>
                <w:szCs w:val="20"/>
                <w:color w:val="auto"/>
              </w:rPr>
            </w:pPr>
            <w:r>
              <w:rPr>
                <w:rFonts w:ascii="Arial" w:cs="Arial" w:eastAsia="Arial" w:hAnsi="Arial"/>
                <w:sz w:val="4"/>
                <w:szCs w:val="4"/>
                <w:color w:val="auto"/>
                <w:w w:val="87"/>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25,626</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Borders>
              <w:bottom w:val="single" w:sz="8" w:color="auto"/>
            </w:tcBorders>
          </w:tcPr>
          <w:p>
            <w:pPr>
              <w:jc w:val="center"/>
              <w:ind w:right="269"/>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14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25,626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color w:val="auto"/>
              </w:rPr>
              <w:t>Convertible preferred stock tranche liability</w:t>
            </w:r>
          </w:p>
        </w:tc>
        <w:tc>
          <w:tcPr>
            <w:tcW w:w="1060" w:type="dxa"/>
            <w:vAlign w:val="bottom"/>
          </w:tcPr>
          <w:p>
            <w:pPr>
              <w:spacing w:after="0"/>
              <w:rPr>
                <w:sz w:val="16"/>
                <w:szCs w:val="16"/>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Level 3</w:t>
            </w:r>
          </w:p>
        </w:tc>
        <w:tc>
          <w:tcPr>
            <w:tcW w:w="120" w:type="dxa"/>
            <w:vAlign w:val="bottom"/>
            <w:gridSpan w:val="2"/>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Total financial liabilities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700" w:type="dxa"/>
            <w:vAlign w:val="bottom"/>
            <w:gridSpan w:val="2"/>
            <w:shd w:val="clear" w:color="auto" w:fill="CCEEFF"/>
          </w:tcPr>
          <w:p>
            <w:pPr>
              <w:jc w:val="right"/>
              <w:ind w:right="1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w w:val="85"/>
              </w:rPr>
              <w:t>Valuation</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left="226"/>
              <w:spacing w:after="0"/>
              <w:rPr>
                <w:sz w:val="20"/>
                <w:szCs w:val="20"/>
                <w:color w:val="auto"/>
              </w:rPr>
            </w:pPr>
            <w:r>
              <w:rPr>
                <w:rFonts w:ascii="Arial" w:cs="Arial" w:eastAsia="Arial" w:hAnsi="Arial"/>
                <w:sz w:val="13"/>
                <w:szCs w:val="13"/>
                <w:b w:val="1"/>
                <w:bCs w:val="1"/>
                <w:color w:val="auto"/>
                <w:w w:val="85"/>
              </w:rPr>
              <w:t>December 31, 2020</w:t>
            </w: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Amortized</w:t>
            </w:r>
          </w:p>
        </w:tc>
        <w:tc>
          <w:tcPr>
            <w:tcW w:w="72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98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94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65"/>
              <w:spacing w:after="0"/>
              <w:rPr>
                <w:sz w:val="20"/>
                <w:szCs w:val="20"/>
                <w:color w:val="auto"/>
              </w:rPr>
            </w:pPr>
            <w:r>
              <w:rPr>
                <w:rFonts w:ascii="Arial" w:cs="Arial" w:eastAsia="Arial" w:hAnsi="Arial"/>
                <w:sz w:val="13"/>
                <w:szCs w:val="13"/>
                <w:b w:val="1"/>
                <w:bCs w:val="1"/>
                <w:color w:val="auto"/>
                <w:w w:val="89"/>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86"/>
              <w:spacing w:after="0"/>
              <w:rPr>
                <w:sz w:val="20"/>
                <w:szCs w:val="20"/>
                <w:color w:val="auto"/>
              </w:rPr>
            </w:pPr>
            <w:r>
              <w:rPr>
                <w:rFonts w:ascii="Arial" w:cs="Arial" w:eastAsia="Arial" w:hAnsi="Arial"/>
                <w:sz w:val="13"/>
                <w:szCs w:val="13"/>
                <w:b w:val="1"/>
                <w:bCs w:val="1"/>
                <w:color w:val="auto"/>
              </w:rPr>
              <w:t>Gain</w:t>
            </w:r>
          </w:p>
        </w:tc>
        <w:tc>
          <w:tcPr>
            <w:tcW w:w="380" w:type="dxa"/>
            <w:vAlign w:val="bottom"/>
          </w:tcPr>
          <w:p>
            <w:pPr>
              <w:spacing w:after="0"/>
              <w:rPr>
                <w:sz w:val="13"/>
                <w:szCs w:val="13"/>
                <w:color w:val="auto"/>
              </w:rPr>
            </w:pPr>
          </w:p>
        </w:tc>
        <w:tc>
          <w:tcPr>
            <w:tcW w:w="420" w:type="dxa"/>
            <w:vAlign w:val="bottom"/>
          </w:tcPr>
          <w:p>
            <w:pPr>
              <w:ind w:left="160"/>
              <w:spacing w:after="0"/>
              <w:rPr>
                <w:sz w:val="20"/>
                <w:szCs w:val="20"/>
                <w:color w:val="auto"/>
              </w:rPr>
            </w:pPr>
            <w:r>
              <w:rPr>
                <w:rFonts w:ascii="Arial" w:cs="Arial" w:eastAsia="Arial" w:hAnsi="Arial"/>
                <w:sz w:val="13"/>
                <w:szCs w:val="13"/>
                <w:b w:val="1"/>
                <w:bCs w:val="1"/>
                <w:color w:val="auto"/>
                <w:w w:val="78"/>
              </w:rPr>
              <w:t>Loss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tcPr>
          <w:p>
            <w:pPr>
              <w:ind w:left="280"/>
              <w:spacing w:after="0"/>
              <w:rPr>
                <w:sz w:val="20"/>
                <w:szCs w:val="20"/>
                <w:color w:val="auto"/>
              </w:rPr>
            </w:pPr>
            <w:r>
              <w:rPr>
                <w:rFonts w:ascii="Arial" w:cs="Arial" w:eastAsia="Arial" w:hAnsi="Arial"/>
                <w:sz w:val="16"/>
                <w:szCs w:val="16"/>
                <w:b w:val="1"/>
                <w:bCs w:val="1"/>
                <w:color w:val="auto"/>
              </w:rPr>
              <w:t>Cash equivalents: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0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Level 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w w:val="84"/>
              </w:rPr>
              <w:t>$ 127,535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$ 127,535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100" w:type="dxa"/>
            <w:vAlign w:val="bottom"/>
            <w:gridSpan w:val="2"/>
          </w:tcPr>
          <w:p>
            <w:pPr>
              <w:spacing w:after="0"/>
              <w:rPr>
                <w:sz w:val="20"/>
                <w:szCs w:val="20"/>
                <w:color w:val="auto"/>
              </w:rPr>
            </w:pPr>
            <w:r>
              <w:rPr>
                <w:rFonts w:ascii="Arial" w:cs="Arial" w:eastAsia="Arial" w:hAnsi="Arial"/>
                <w:sz w:val="16"/>
                <w:szCs w:val="16"/>
                <w:color w:val="auto"/>
              </w:rPr>
              <w:t>Total financial assets</w:t>
            </w: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1"/>
              </w:rPr>
              <w:t>$ 127,535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center"/>
              <w:ind w:right="269"/>
              <w:spacing w:after="0"/>
              <w:rPr>
                <w:sz w:val="20"/>
                <w:szCs w:val="20"/>
                <w:color w:val="auto"/>
              </w:rPr>
            </w:pPr>
            <w:r>
              <w:rPr>
                <w:rFonts w:ascii="Arial" w:cs="Arial" w:eastAsia="Arial" w:hAnsi="Arial"/>
                <w:sz w:val="16"/>
                <w:szCs w:val="16"/>
                <w:color w:val="auto"/>
                <w:w w:val="8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6"/>
                <w:szCs w:val="16"/>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4"/>
              </w:rPr>
              <w:t>$ 127,535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60" w:firstLine="385"/>
        <w:spacing w:after="0" w:line="251" w:lineRule="auto"/>
        <w:rPr>
          <w:sz w:val="20"/>
          <w:szCs w:val="20"/>
          <w:color w:val="auto"/>
        </w:rPr>
      </w:pPr>
      <w:r>
        <w:rPr>
          <w:rFonts w:ascii="Arial" w:cs="Arial" w:eastAsia="Arial" w:hAnsi="Arial"/>
          <w:sz w:val="16"/>
          <w:szCs w:val="16"/>
          <w:color w:val="auto"/>
        </w:rPr>
        <w:t>Money market funds and U.S. treasuries are classified as Level 1 because they are valued using quoted market prices in active markets for identical assets. Financial instruments classified within Level 2 of the fair value hierarchy are valued based on the observable inputs or can be derived from non-binding quotes from its investment managers, which are based on proprietary valuation models of independent pricing services. These models generally use inputs such as observable market data, quoted market prices for similar instruments, or historical pricing trends of a security relative to its peers.</w:t>
      </w:r>
    </w:p>
    <w:p>
      <w:pPr>
        <w:spacing w:after="0" w:line="170" w:lineRule="exact"/>
        <w:rPr>
          <w:sz w:val="20"/>
          <w:szCs w:val="20"/>
          <w:color w:val="auto"/>
        </w:rPr>
      </w:pPr>
    </w:p>
    <w:p>
      <w:pPr>
        <w:ind w:left="820" w:right="20" w:firstLine="385"/>
        <w:spacing w:after="0" w:line="300" w:lineRule="auto"/>
        <w:rPr>
          <w:sz w:val="20"/>
          <w:szCs w:val="20"/>
          <w:color w:val="auto"/>
        </w:rPr>
      </w:pPr>
      <w:r>
        <w:rPr>
          <w:rFonts w:ascii="Arial" w:cs="Arial" w:eastAsia="Arial" w:hAnsi="Arial"/>
          <w:sz w:val="15"/>
          <w:szCs w:val="15"/>
          <w:color w:val="auto"/>
        </w:rPr>
        <w:t>There were no unrealized losses as of December 31, 2019 and 2020. All available-for-sale marketable securities held as of December 31, 2019 had contractual maturities of less than one year. There were no available-for-sale marketable securities as of December 31, 2020.</w:t>
      </w:r>
    </w:p>
    <w:p>
      <w:pPr>
        <w:spacing w:after="0" w:line="76"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440"/>
          </w:cols>
          <w:pgMar w:left="320" w:top="418" w:right="1139" w:bottom="1440" w:gutter="0" w:footer="0" w:header="0"/>
        </w:sectPr>
      </w:pPr>
    </w:p>
    <w:bookmarkStart w:id="265" w:name="page266"/>
    <w:bookmarkEnd w:id="2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(SFP)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significant unobservable assumptions used to value the convertible preferred stock tranche liability as of</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December 31, 2019 and August 24, 2020, the date immediately before the settlement of the tranche liability:</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554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Pr>
          <w:p>
            <w:pPr>
              <w:ind w:left="20"/>
              <w:spacing w:after="0"/>
              <w:rPr>
                <w:sz w:val="20"/>
                <w:szCs w:val="20"/>
                <w:color w:val="auto"/>
              </w:rPr>
            </w:pPr>
            <w:r>
              <w:rPr>
                <w:rFonts w:ascii="Arial" w:cs="Arial" w:eastAsia="Arial" w:hAnsi="Arial"/>
                <w:sz w:val="13"/>
                <w:szCs w:val="13"/>
                <w:b w:val="1"/>
                <w:bCs w:val="1"/>
                <w:color w:val="auto"/>
                <w:w w:val="87"/>
              </w:rPr>
              <w:t>August 24,</w:t>
            </w:r>
          </w:p>
        </w:tc>
      </w:tr>
      <w:tr>
        <w:trPr>
          <w:trHeight w:val="121"/>
        </w:trPr>
        <w:tc>
          <w:tcPr>
            <w:tcW w:w="554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2"/>
              </w:rPr>
              <w:t>2019</w:t>
            </w:r>
          </w:p>
        </w:tc>
        <w:tc>
          <w:tcPr>
            <w:tcW w:w="3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2"/>
              </w:rPr>
              <w:t>2020</w:t>
            </w:r>
          </w:p>
        </w:tc>
      </w:tr>
      <w:tr>
        <w:trPr>
          <w:trHeight w:val="180"/>
        </w:trPr>
        <w:tc>
          <w:tcPr>
            <w:tcW w:w="55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Term to Valuation Date (in years)</w:t>
            </w:r>
          </w:p>
        </w:tc>
        <w:tc>
          <w:tcPr>
            <w:tcW w:w="76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0.25 – 0.75</w:t>
            </w: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0.00</w:t>
            </w:r>
          </w:p>
        </w:tc>
      </w:tr>
      <w:tr>
        <w:trPr>
          <w:trHeight w:val="200"/>
        </w:trPr>
        <w:tc>
          <w:tcPr>
            <w:tcW w:w="5540" w:type="dxa"/>
            <w:vAlign w:val="bottom"/>
          </w:tcPr>
          <w:p>
            <w:pPr>
              <w:spacing w:after="0"/>
              <w:rPr>
                <w:sz w:val="20"/>
                <w:szCs w:val="20"/>
                <w:color w:val="auto"/>
              </w:rPr>
            </w:pPr>
            <w:r>
              <w:rPr>
                <w:rFonts w:ascii="Arial" w:cs="Arial" w:eastAsia="Arial" w:hAnsi="Arial"/>
                <w:sz w:val="16"/>
                <w:szCs w:val="16"/>
                <w:color w:val="auto"/>
              </w:rPr>
              <w:t>Discount Rate</w:t>
            </w:r>
          </w:p>
        </w:tc>
        <w:tc>
          <w:tcPr>
            <w:tcW w:w="760" w:type="dxa"/>
            <w:vAlign w:val="bottom"/>
          </w:tcPr>
          <w:p>
            <w:pPr>
              <w:jc w:val="center"/>
              <w:spacing w:after="0"/>
              <w:rPr>
                <w:sz w:val="20"/>
                <w:szCs w:val="20"/>
                <w:color w:val="auto"/>
              </w:rPr>
            </w:pPr>
            <w:r>
              <w:rPr>
                <w:rFonts w:ascii="Arial" w:cs="Arial" w:eastAsia="Arial" w:hAnsi="Arial"/>
                <w:sz w:val="16"/>
                <w:szCs w:val="16"/>
                <w:color w:val="auto"/>
                <w:w w:val="88"/>
              </w:rPr>
              <w:t>5.00%</w:t>
            </w:r>
          </w:p>
        </w:tc>
        <w:tc>
          <w:tcPr>
            <w:tcW w:w="3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6"/>
                <w:szCs w:val="16"/>
                <w:color w:val="auto"/>
                <w:w w:val="88"/>
              </w:rPr>
              <w:t>5.00%</w:t>
            </w:r>
          </w:p>
        </w:tc>
      </w:tr>
    </w:tbl>
    <w:p>
      <w:pPr>
        <w:spacing w:after="0" w:line="165"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following table summarizes the changes in the estimated fair value of the Company’s convertible preferred stock tranche liability measured on a recurring basis using significant Level 3 inputs: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12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85"/>
              </w:rPr>
              <w:t>December 31,</w:t>
            </w: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jc w:val="right"/>
              <w:ind w:right="1"/>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gridSpan w:val="4"/>
          </w:tcPr>
          <w:p>
            <w:pPr>
              <w:jc w:val="center"/>
              <w:ind w:right="60"/>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57"/>
              <w:spacing w:after="0"/>
              <w:rPr>
                <w:sz w:val="20"/>
                <w:szCs w:val="20"/>
                <w:color w:val="auto"/>
              </w:rPr>
            </w:pPr>
            <w:r>
              <w:rPr>
                <w:rFonts w:ascii="Arial" w:cs="Arial" w:eastAsia="Arial" w:hAnsi="Arial"/>
                <w:sz w:val="16"/>
                <w:szCs w:val="16"/>
                <w:color w:val="auto"/>
              </w:rPr>
              <w:t>$  —</w:t>
            </w: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5160" w:type="dxa"/>
            <w:vAlign w:val="bottom"/>
          </w:tcPr>
          <w:p>
            <w:pPr>
              <w:ind w:left="320"/>
              <w:spacing w:after="0" w:line="176" w:lineRule="exact"/>
              <w:rPr>
                <w:sz w:val="20"/>
                <w:szCs w:val="20"/>
                <w:color w:val="auto"/>
              </w:rPr>
            </w:pPr>
            <w:r>
              <w:rPr>
                <w:rFonts w:ascii="Arial" w:cs="Arial" w:eastAsia="Arial" w:hAnsi="Arial"/>
                <w:sz w:val="16"/>
                <w:szCs w:val="16"/>
                <w:color w:val="auto"/>
              </w:rPr>
              <w:t>Recognition of convertible preferred stock tranche liability upon the</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160" w:type="dxa"/>
            <w:vAlign w:val="bottom"/>
          </w:tcPr>
          <w:p>
            <w:pPr>
              <w:ind w:left="460"/>
              <w:spacing w:after="0"/>
              <w:rPr>
                <w:sz w:val="20"/>
                <w:szCs w:val="20"/>
                <w:color w:val="auto"/>
              </w:rPr>
            </w:pPr>
            <w:r>
              <w:rPr>
                <w:rFonts w:ascii="Arial" w:cs="Arial" w:eastAsia="Arial" w:hAnsi="Arial"/>
                <w:sz w:val="16"/>
                <w:szCs w:val="16"/>
                <w:color w:val="auto"/>
              </w:rPr>
              <w:t>issuance of Series B convertible preferred stock</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797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upon remeasurement</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97"/>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5160" w:type="dxa"/>
            <w:vAlign w:val="bottom"/>
          </w:tcPr>
          <w:p>
            <w:pPr>
              <w:ind w:left="320"/>
              <w:spacing w:after="0" w:line="176" w:lineRule="exact"/>
              <w:rPr>
                <w:sz w:val="20"/>
                <w:szCs w:val="20"/>
                <w:color w:val="auto"/>
              </w:rPr>
            </w:pPr>
            <w:r>
              <w:rPr>
                <w:rFonts w:ascii="Arial" w:cs="Arial" w:eastAsia="Arial" w:hAnsi="Arial"/>
                <w:sz w:val="16"/>
                <w:szCs w:val="16"/>
                <w:color w:val="auto"/>
                <w:w w:val="95"/>
              </w:rPr>
              <w:t>Settlement of convertible preferred stock tranche liability on second and</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200" w:type="dxa"/>
            <w:vAlign w:val="bottom"/>
          </w:tcPr>
          <w:p>
            <w:pPr>
              <w:spacing w:after="0"/>
              <w:rPr>
                <w:sz w:val="17"/>
                <w:szCs w:val="17"/>
                <w:color w:val="auto"/>
              </w:rPr>
            </w:pPr>
          </w:p>
        </w:tc>
        <w:tc>
          <w:tcPr>
            <w:tcW w:w="5160" w:type="dxa"/>
            <w:vAlign w:val="bottom"/>
          </w:tcPr>
          <w:p>
            <w:pPr>
              <w:ind w:left="460"/>
              <w:spacing w:after="0"/>
              <w:rPr>
                <w:sz w:val="20"/>
                <w:szCs w:val="20"/>
                <w:color w:val="auto"/>
              </w:rPr>
            </w:pPr>
            <w:r>
              <w:rPr>
                <w:rFonts w:ascii="Arial" w:cs="Arial" w:eastAsia="Arial" w:hAnsi="Arial"/>
                <w:sz w:val="16"/>
                <w:szCs w:val="16"/>
                <w:color w:val="auto"/>
              </w:rPr>
              <w:t>third closings of the Series B convertible preferred stock</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w w:val="85"/>
              </w:rPr>
              <w:t>(711)</w:t>
            </w:r>
          </w:p>
        </w:tc>
        <w:tc>
          <w:tcPr>
            <w:tcW w:w="0" w:type="dxa"/>
            <w:vAlign w:val="bottom"/>
          </w:tcPr>
          <w:p>
            <w:pPr>
              <w:spacing w:after="0"/>
              <w:rPr>
                <w:sz w:val="1"/>
                <w:szCs w:val="1"/>
                <w:color w:val="auto"/>
              </w:rPr>
            </w:pPr>
          </w:p>
        </w:tc>
      </w:tr>
      <w:tr>
        <w:trPr>
          <w:trHeight w:val="24"/>
        </w:trPr>
        <w:tc>
          <w:tcPr>
            <w:tcW w:w="120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200" w:type="dxa"/>
            <w:vAlign w:val="bottom"/>
            <w:vMerge w:val="continue"/>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$ 786</w:t>
            </w:r>
          </w:p>
        </w:tc>
        <w:tc>
          <w:tcPr>
            <w:tcW w:w="300" w:type="dxa"/>
            <w:vAlign w:val="bottom"/>
            <w:shd w:val="clear" w:color="auto" w:fill="CCEEFF"/>
          </w:tcPr>
          <w:p>
            <w:pPr>
              <w:spacing w:after="0"/>
              <w:rPr>
                <w:sz w:val="16"/>
                <w:szCs w:val="16"/>
                <w:color w:val="auto"/>
              </w:rPr>
            </w:pPr>
          </w:p>
        </w:tc>
        <w:tc>
          <w:tcPr>
            <w:tcW w:w="500" w:type="dxa"/>
            <w:vAlign w:val="bottom"/>
            <w:gridSpan w:val="3"/>
            <w:shd w:val="clear" w:color="auto" w:fill="CCEEFF"/>
          </w:tcPr>
          <w:p>
            <w:pPr>
              <w:ind w:left="400"/>
              <w:spacing w:after="0"/>
              <w:rPr>
                <w:sz w:val="20"/>
                <w:szCs w:val="20"/>
                <w:color w:val="auto"/>
              </w:rPr>
            </w:pPr>
            <w:r>
              <w:rPr>
                <w:rFonts w:ascii="Arial" w:cs="Arial" w:eastAsia="Arial" w:hAnsi="Arial"/>
                <w:sz w:val="16"/>
                <w:szCs w:val="16"/>
                <w:color w:val="auto"/>
                <w:w w:val="89"/>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4. Balance Sheet Components</w:t>
            </w: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63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360" w:type="dxa"/>
            <w:vAlign w:val="bottom"/>
            <w:gridSpan w:val="2"/>
          </w:tcPr>
          <w:p>
            <w:pPr>
              <w:ind w:left="380"/>
              <w:spacing w:after="0"/>
              <w:rPr>
                <w:sz w:val="20"/>
                <w:szCs w:val="20"/>
                <w:color w:val="auto"/>
              </w:rPr>
            </w:pPr>
            <w:r>
              <w:rPr>
                <w:rFonts w:ascii="Arial" w:cs="Arial" w:eastAsia="Arial" w:hAnsi="Arial"/>
                <w:sz w:val="16"/>
                <w:szCs w:val="16"/>
                <w:b w:val="1"/>
                <w:bCs w:val="1"/>
                <w:i w:val="1"/>
                <w:iCs w:val="1"/>
                <w:color w:val="auto"/>
              </w:rPr>
              <w:t>Property and Equipment, Net</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gridSpan w:val="2"/>
          </w:tcPr>
          <w:p>
            <w:pPr>
              <w:ind w:left="380"/>
              <w:spacing w:after="0"/>
              <w:rPr>
                <w:sz w:val="20"/>
                <w:szCs w:val="20"/>
                <w:color w:val="auto"/>
              </w:rPr>
            </w:pPr>
            <w:r>
              <w:rPr>
                <w:rFonts w:ascii="Arial" w:cs="Arial" w:eastAsia="Arial" w:hAnsi="Arial"/>
                <w:sz w:val="16"/>
                <w:szCs w:val="16"/>
                <w:color w:val="auto"/>
              </w:rPr>
              <w:t>Property and equipment, net, consists of the following:</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2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December 31,</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ind w:right="89"/>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4"/>
          </w:tcPr>
          <w:p>
            <w:pPr>
              <w:ind w:left="400"/>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5"/>
          </w:tcPr>
          <w:p>
            <w:pPr>
              <w:ind w:left="260"/>
              <w:spacing w:after="0" w:line="122" w:lineRule="exact"/>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7,206</w:t>
            </w:r>
          </w:p>
        </w:tc>
        <w:tc>
          <w:tcPr>
            <w:tcW w:w="30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  7,237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Laboratory equipment</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5,846</w:t>
            </w:r>
          </w:p>
        </w:tc>
        <w:tc>
          <w:tcPr>
            <w:tcW w:w="3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Arial" w:cs="Arial" w:eastAsia="Arial" w:hAnsi="Arial"/>
                <w:sz w:val="16"/>
                <w:szCs w:val="16"/>
                <w:color w:val="auto"/>
              </w:rPr>
              <w:t>8,182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tcPr>
          <w:p>
            <w:pPr>
              <w:spacing w:after="0"/>
              <w:rPr>
                <w:sz w:val="20"/>
                <w:szCs w:val="20"/>
                <w:color w:val="auto"/>
              </w:rPr>
            </w:pPr>
            <w:r>
              <w:rPr>
                <w:rFonts w:ascii="Arial" w:cs="Arial" w:eastAsia="Arial" w:hAnsi="Arial"/>
                <w:sz w:val="16"/>
                <w:szCs w:val="16"/>
                <w:color w:val="auto"/>
              </w:rPr>
              <w:t>Computer equipment and software</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237</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Construction in progress</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77"/>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7,678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160" w:type="dxa"/>
            <w:vAlign w:val="bottom"/>
          </w:tcPr>
          <w:p>
            <w:pPr>
              <w:ind w:left="320"/>
              <w:spacing w:after="0"/>
              <w:rPr>
                <w:sz w:val="20"/>
                <w:szCs w:val="20"/>
                <w:color w:val="auto"/>
              </w:rPr>
            </w:pPr>
            <w:r>
              <w:rPr>
                <w:rFonts w:ascii="Arial" w:cs="Arial" w:eastAsia="Arial" w:hAnsi="Arial"/>
                <w:sz w:val="16"/>
                <w:szCs w:val="16"/>
                <w:color w:val="auto"/>
              </w:rPr>
              <w:t>Total property and equipment</w:t>
            </w: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5"/>
              </w:rPr>
              <w:t>13,808</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23,888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217"/>
              <w:spacing w:after="0"/>
              <w:rPr>
                <w:sz w:val="20"/>
                <w:szCs w:val="20"/>
                <w:color w:val="auto"/>
              </w:rPr>
            </w:pPr>
            <w:r>
              <w:rPr>
                <w:rFonts w:ascii="Arial" w:cs="Arial" w:eastAsia="Arial" w:hAnsi="Arial"/>
                <w:sz w:val="16"/>
                <w:szCs w:val="16"/>
                <w:color w:val="auto"/>
                <w:w w:val="94"/>
              </w:rPr>
              <w:t>(4,233)</w:t>
            </w: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(6,703)</w:t>
            </w:r>
          </w:p>
        </w:tc>
        <w:tc>
          <w:tcPr>
            <w:tcW w:w="0" w:type="dxa"/>
            <w:vAlign w:val="bottom"/>
          </w:tcPr>
          <w:p>
            <w:pPr>
              <w:spacing w:after="0"/>
              <w:rPr>
                <w:sz w:val="1"/>
                <w:szCs w:val="1"/>
                <w:color w:val="auto"/>
              </w:rPr>
            </w:pPr>
          </w:p>
        </w:tc>
      </w:tr>
      <w:tr>
        <w:trPr>
          <w:trHeight w:val="192"/>
        </w:trPr>
        <w:tc>
          <w:tcPr>
            <w:tcW w:w="1200" w:type="dxa"/>
            <w:vAlign w:val="bottom"/>
          </w:tcPr>
          <w:p>
            <w:pPr>
              <w:spacing w:after="0"/>
              <w:rPr>
                <w:sz w:val="16"/>
                <w:szCs w:val="16"/>
                <w:color w:val="auto"/>
              </w:rPr>
            </w:pPr>
          </w:p>
        </w:tc>
        <w:tc>
          <w:tcPr>
            <w:tcW w:w="5160" w:type="dxa"/>
            <w:vAlign w:val="bottom"/>
          </w:tcPr>
          <w:p>
            <w:pPr>
              <w:ind w:left="320"/>
              <w:spacing w:after="0"/>
              <w:rPr>
                <w:sz w:val="20"/>
                <w:szCs w:val="20"/>
                <w:color w:val="auto"/>
              </w:rPr>
            </w:pPr>
            <w:r>
              <w:rPr>
                <w:rFonts w:ascii="Arial" w:cs="Arial" w:eastAsia="Arial" w:hAnsi="Arial"/>
                <w:sz w:val="16"/>
                <w:szCs w:val="16"/>
                <w:color w:val="auto"/>
              </w:rPr>
              <w:t>Total property and equipment, net</w:t>
            </w:r>
          </w:p>
        </w:tc>
        <w:tc>
          <w:tcPr>
            <w:tcW w:w="32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9,575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6"/>
              </w:rPr>
              <w:t>$ 17,185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5160" w:type="dxa"/>
            <w:vAlign w:val="bottom"/>
            <w:vMerge w:val="restart"/>
          </w:tcPr>
          <w:p>
            <w:pPr>
              <w:ind w:left="3460"/>
              <w:spacing w:after="0"/>
              <w:rPr>
                <w:sz w:val="20"/>
                <w:szCs w:val="20"/>
                <w:color w:val="auto"/>
              </w:rPr>
            </w:pPr>
            <w:r>
              <w:rPr>
                <w:rFonts w:ascii="Arial" w:cs="Arial" w:eastAsia="Arial" w:hAnsi="Arial"/>
                <w:sz w:val="16"/>
                <w:szCs w:val="16"/>
                <w:color w:val="auto"/>
              </w:rPr>
              <w:t>F-14</w:t>
            </w: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66" w:name="page267"/>
    <w:bookmarkEnd w:id="2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Depreciation and amortization expense for the years ended December 31, 2019 and 2020 was approximately $2.0 million and $2.5 million. Construction in progress relates to the Company’s manufacturing and office space located in Union City, California (see Note 13), and consists primarily of capitalized machinery and equipment as the Company builds-out its manufacturing facility.</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210"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ind w:left="400"/>
              <w:spacing w:after="0"/>
              <w:rPr>
                <w:sz w:val="20"/>
                <w:szCs w:val="20"/>
                <w:color w:val="auto"/>
              </w:rPr>
            </w:pPr>
            <w:r>
              <w:rPr>
                <w:rFonts w:ascii="Arial" w:cs="Arial" w:eastAsia="Arial" w:hAnsi="Arial"/>
                <w:sz w:val="13"/>
                <w:szCs w:val="13"/>
                <w:b w:val="1"/>
                <w:bCs w:val="1"/>
                <w:color w:val="auto"/>
              </w:rPr>
              <w:t>December 31,</w:t>
            </w:r>
          </w:p>
        </w:tc>
      </w:tr>
      <w:tr>
        <w:trPr>
          <w:trHeight w:val="121"/>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Borders>
              <w:top w:val="single" w:sz="8" w:color="auto"/>
              <w:bottom w:val="single" w:sz="8" w:color="auto"/>
            </w:tcBorders>
          </w:tcPr>
          <w:p>
            <w:pPr>
              <w:jc w:val="right"/>
              <w:ind w:right="53"/>
              <w:spacing w:after="0" w:line="122" w:lineRule="exact"/>
              <w:rPr>
                <w:sz w:val="20"/>
                <w:szCs w:val="20"/>
                <w:color w:val="auto"/>
              </w:rPr>
            </w:pPr>
            <w:r>
              <w:rPr>
                <w:rFonts w:ascii="Arial" w:cs="Arial" w:eastAsia="Arial" w:hAnsi="Arial"/>
                <w:sz w:val="13"/>
                <w:szCs w:val="13"/>
                <w:b w:val="1"/>
                <w:bCs w:val="1"/>
                <w:color w:val="auto"/>
              </w:rPr>
              <w:t>2019</w:t>
            </w:r>
          </w:p>
        </w:tc>
        <w:tc>
          <w:tcPr>
            <w:tcW w:w="1100" w:type="dxa"/>
            <w:vAlign w:val="bottom"/>
            <w:tcBorders>
              <w:top w:val="single" w:sz="8" w:color="auto"/>
              <w:bottom w:val="single" w:sz="8" w:color="auto"/>
            </w:tcBorders>
            <w:gridSpan w:val="2"/>
          </w:tcPr>
          <w:p>
            <w:pPr>
              <w:jc w:val="right"/>
              <w:ind w:right="61"/>
              <w:spacing w:after="0" w:line="122"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r>
      <w:tr>
        <w:trPr>
          <w:trHeight w:val="121"/>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3"/>
          </w:tcPr>
          <w:p>
            <w:pPr>
              <w:jc w:val="right"/>
              <w:ind w:right="341"/>
              <w:spacing w:after="0" w:line="122" w:lineRule="exact"/>
              <w:rPr>
                <w:sz w:val="20"/>
                <w:szCs w:val="20"/>
                <w:color w:val="auto"/>
              </w:rPr>
            </w:pPr>
            <w:r>
              <w:rPr>
                <w:rFonts w:ascii="Arial" w:cs="Arial" w:eastAsia="Arial" w:hAnsi="Arial"/>
                <w:sz w:val="13"/>
                <w:szCs w:val="13"/>
                <w:b w:val="1"/>
                <w:bCs w:val="1"/>
                <w:color w:val="auto"/>
              </w:rPr>
              <w:t>(in thousands)</w:t>
            </w:r>
          </w:p>
        </w:tc>
        <w:tc>
          <w:tcPr>
            <w:tcW w:w="40" w:type="dxa"/>
            <w:vAlign w:val="bottom"/>
          </w:tcPr>
          <w:p>
            <w:pPr>
              <w:spacing w:after="0"/>
              <w:rPr>
                <w:sz w:val="10"/>
                <w:szCs w:val="10"/>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 and related expenses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6"/>
              </w:rPr>
              <w:t>$ 1,121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$ 2,090</w:t>
            </w:r>
          </w:p>
        </w:tc>
        <w:tc>
          <w:tcPr>
            <w:tcW w:w="4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Accrued research and development expenses</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296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391</w:t>
            </w:r>
          </w:p>
        </w:tc>
        <w:tc>
          <w:tcPr>
            <w:tcW w:w="4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services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4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Accrued property and equipment</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6"/>
                <w:szCs w:val="16"/>
                <w:color w:val="auto"/>
              </w:rPr>
            </w:pP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40" w:type="dxa"/>
            <w:vAlign w:val="bottom"/>
            <w:shd w:val="clear" w:color="auto" w:fill="CCEEFF"/>
          </w:tcPr>
          <w:p>
            <w:pPr>
              <w:spacing w:after="0"/>
              <w:rPr>
                <w:sz w:val="16"/>
                <w:szCs w:val="16"/>
                <w:color w:val="auto"/>
              </w:rPr>
            </w:pPr>
          </w:p>
        </w:tc>
      </w:tr>
      <w:tr>
        <w:trPr>
          <w:trHeight w:val="192"/>
        </w:trPr>
        <w:tc>
          <w:tcPr>
            <w:tcW w:w="5600" w:type="dxa"/>
            <w:vAlign w:val="bottom"/>
          </w:tcPr>
          <w:p>
            <w:pPr>
              <w:ind w:left="320"/>
              <w:spacing w:after="0"/>
              <w:rPr>
                <w:sz w:val="20"/>
                <w:szCs w:val="20"/>
                <w:color w:val="auto"/>
              </w:rPr>
            </w:pPr>
            <w:r>
              <w:rPr>
                <w:rFonts w:ascii="Arial" w:cs="Arial" w:eastAsia="Arial" w:hAnsi="Arial"/>
                <w:sz w:val="16"/>
                <w:szCs w:val="16"/>
                <w:color w:val="auto"/>
              </w:rPr>
              <w:t>Total accrued liabilities</w:t>
            </w:r>
          </w:p>
        </w:tc>
        <w:tc>
          <w:tcPr>
            <w:tcW w:w="2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2"/>
              </w:rPr>
              <w:t>$ 1,959</w:t>
            </w:r>
          </w:p>
        </w:tc>
        <w:tc>
          <w:tcPr>
            <w:tcW w:w="60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$ 3,161</w:t>
            </w:r>
          </w:p>
        </w:tc>
        <w:tc>
          <w:tcPr>
            <w:tcW w:w="40" w:type="dxa"/>
            <w:vAlign w:val="bottom"/>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5. Collaboration and License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Master Collaboration Agreement</w:t>
      </w:r>
    </w:p>
    <w:p>
      <w:pPr>
        <w:spacing w:after="0" w:line="99" w:lineRule="exact"/>
        <w:rPr>
          <w:sz w:val="20"/>
          <w:szCs w:val="20"/>
          <w:color w:val="auto"/>
        </w:rPr>
      </w:pPr>
    </w:p>
    <w:p>
      <w:pPr>
        <w:ind w:left="820" w:right="60" w:firstLine="385"/>
        <w:spacing w:after="0" w:line="307" w:lineRule="auto"/>
        <w:rPr>
          <w:sz w:val="20"/>
          <w:szCs w:val="20"/>
          <w:color w:val="auto"/>
        </w:rPr>
      </w:pPr>
      <w:r>
        <w:rPr>
          <w:rFonts w:ascii="Arial" w:cs="Arial" w:eastAsia="Arial" w:hAnsi="Arial"/>
          <w:sz w:val="13"/>
          <w:szCs w:val="13"/>
          <w:color w:val="auto"/>
        </w:rPr>
        <w:t>In October 2016, the Company entered into a Master Collaboration Agreement (MCA) with a related party, Gladstone Institutes (Gladstone), to collaborate on discovering therapies for the treatment of congestive heart failure and other diseases and conditions as mutually agreed. Under the MCA, the Company was required to provide minimum collaboration funding of $3.6 million during the first two years. During the year ended December 31, 2019, Gladstone completed the collaboration under the MCA and the Company satisfied the minimum collaboration funding requirement of</w:t>
      </w:r>
    </w:p>
    <w:p>
      <w:pPr>
        <w:spacing w:after="0" w:line="1" w:lineRule="exact"/>
        <w:rPr>
          <w:sz w:val="20"/>
          <w:szCs w:val="20"/>
          <w:color w:val="auto"/>
        </w:rPr>
      </w:pPr>
    </w:p>
    <w:p>
      <w:pPr>
        <w:ind w:left="820" w:right="20"/>
        <w:spacing w:after="0" w:line="269" w:lineRule="auto"/>
        <w:rPr>
          <w:sz w:val="20"/>
          <w:szCs w:val="20"/>
          <w:color w:val="auto"/>
        </w:rPr>
      </w:pPr>
      <w:r>
        <w:rPr>
          <w:rFonts w:ascii="Arial" w:cs="Arial" w:eastAsia="Arial" w:hAnsi="Arial"/>
          <w:sz w:val="15"/>
          <w:szCs w:val="15"/>
          <w:color w:val="auto"/>
        </w:rPr>
        <w:t>$3.6 million. In addition, on the third-year anniversary of the MCA’s effective date in October 2019, pursuant to the MCA, the Company issued 100,000 shares of the Company’s common stock to Gladstone in consideration for certain patent rights and technology created in the course of performance of the collaboration being licensed to the Company under the Gladstone License Agreement (as defined below). The related cost was recognized as research and development expenses since the technology acquired had no alternative future use.</w:t>
      </w:r>
    </w:p>
    <w:p>
      <w:pPr>
        <w:spacing w:after="0" w:line="15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During the year ended December 31, 2019, the Company recorded research and development expenses of $0.4 million pursuant to the MCA.</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There was no expense recognized during the year ended December 31, 2020 pursuant to the MCA.</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License Agreement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In connection and concurrent with the execution of the MCA, the Company entered into a license agreement with Gladstone (Gladstone License</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Agreement), pursuant to which Gladstone granted the Company a worldwide, royalty-bearing exclusive patent license and a non-exclusive technology</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license to develop and commercialize certain products for certain diseases. Upon the execution of the Gladstone License Agreement, the Company paid</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 non-refundable upfront license fee of $0.1 million and issued 750,000 shares of the Company’s common stock to Gladstone. Pursuant to the Gladstone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License Agreement, the Company is obligated, among other things, to pay Gladstone (i) annual license maintenance fees ranging from $25,000 up to</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$0.1 million per year, which will be creditable against royalties paid in the following twelve month period, (ii) milestone payments up to $4.1 million for</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royalty-bearing products directed to a particular target, which are contingent upon achieving specific clinical and commercialization milestone events,</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and (iii) tiered low-single digit royalties on future net sales of each royalty-bearing product. Under the agreement, the Company is subject to diligence</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requirements to</w:t>
      </w:r>
    </w:p>
    <w:p>
      <w:pPr>
        <w:spacing w:after="0" w:line="123"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0420"/>
          </w:cols>
          <w:pgMar w:left="320" w:top="418" w:right="1159" w:bottom="1440" w:gutter="0" w:footer="0" w:header="0"/>
        </w:sectPr>
      </w:pPr>
    </w:p>
    <w:bookmarkStart w:id="267" w:name="page268"/>
    <w:bookmarkEnd w:id="2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jc w:val="both"/>
        <w:ind w:left="820" w:right="240"/>
        <w:spacing w:after="0" w:line="256" w:lineRule="auto"/>
        <w:rPr>
          <w:sz w:val="20"/>
          <w:szCs w:val="20"/>
          <w:color w:val="auto"/>
        </w:rPr>
      </w:pPr>
      <w:r>
        <w:rPr>
          <w:rFonts w:ascii="Arial" w:cs="Arial" w:eastAsia="Arial" w:hAnsi="Arial"/>
          <w:sz w:val="16"/>
          <w:szCs w:val="16"/>
          <w:color w:val="auto"/>
        </w:rPr>
        <w:t>develop and commercialize at least one royalty-bearing product. The Company may pay $50,000 to $100,000 to extend the deadline for its diligence milestone obligations for up to four additional one-year terms. As of December 31, 2020, the Company has not recognized any milestone and royalty payments under the Gladstone License Agreement.</w:t>
      </w:r>
    </w:p>
    <w:p>
      <w:pPr>
        <w:spacing w:after="0" w:line="166"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During the years ended December 31, 2019 and 2020, the amounts recorded as research and development expenses related to annual license fees payable pursuant to the Gladstone License Agreement were not material.</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License Agreement</w:t>
      </w:r>
    </w:p>
    <w:p>
      <w:pPr>
        <w:spacing w:after="0" w:line="99" w:lineRule="exact"/>
        <w:rPr>
          <w:sz w:val="20"/>
          <w:szCs w:val="20"/>
          <w:color w:val="auto"/>
        </w:rPr>
      </w:pPr>
    </w:p>
    <w:p>
      <w:pPr>
        <w:ind w:left="820" w:right="180" w:firstLine="385"/>
        <w:spacing w:after="0" w:line="319" w:lineRule="auto"/>
        <w:rPr>
          <w:sz w:val="20"/>
          <w:szCs w:val="20"/>
          <w:color w:val="auto"/>
        </w:rPr>
      </w:pPr>
      <w:r>
        <w:rPr>
          <w:rFonts w:ascii="Arial" w:cs="Arial" w:eastAsia="Arial" w:hAnsi="Arial"/>
          <w:sz w:val="13"/>
          <w:szCs w:val="13"/>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December 31, 2020, the Company has not recognized any milestone and royalty payments under the UTSW License.</w:t>
      </w:r>
    </w:p>
    <w:p>
      <w:pPr>
        <w:spacing w:after="0" w:line="128" w:lineRule="exact"/>
        <w:rPr>
          <w:sz w:val="20"/>
          <w:szCs w:val="20"/>
          <w:color w:val="auto"/>
        </w:rPr>
      </w:pPr>
    </w:p>
    <w:p>
      <w:pPr>
        <w:ind w:left="820" w:right="440" w:firstLine="385"/>
        <w:spacing w:after="0" w:line="266" w:lineRule="auto"/>
        <w:rPr>
          <w:sz w:val="20"/>
          <w:szCs w:val="20"/>
          <w:color w:val="auto"/>
        </w:rPr>
      </w:pPr>
      <w:r>
        <w:rPr>
          <w:rFonts w:ascii="Arial" w:cs="Arial" w:eastAsia="Arial" w:hAnsi="Arial"/>
          <w:sz w:val="16"/>
          <w:szCs w:val="16"/>
          <w:color w:val="auto"/>
        </w:rPr>
        <w:t>During the year ended December 31, 2020, the Company recorded research and development expenses of $0.1 million related to the upfront license fee payable pursuant to the UTSW License.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License Agreements</w:t>
      </w:r>
    </w:p>
    <w:p>
      <w:pPr>
        <w:spacing w:after="0" w:line="99"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In addition to the agreements described above, the Company has also entered into other license agreements with various institutions and business entities, none of which are material individually or in the aggregate.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6. Commitments and Contingencies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Facility Leases</w:t>
      </w:r>
    </w:p>
    <w:p>
      <w:pPr>
        <w:spacing w:after="0" w:line="99" w:lineRule="exact"/>
        <w:rPr>
          <w:sz w:val="20"/>
          <w:szCs w:val="20"/>
          <w:color w:val="auto"/>
        </w:rPr>
      </w:pPr>
    </w:p>
    <w:p>
      <w:pPr>
        <w:ind w:left="820" w:right="240" w:firstLine="385"/>
        <w:spacing w:after="0" w:line="329" w:lineRule="auto"/>
        <w:rPr>
          <w:sz w:val="20"/>
          <w:szCs w:val="20"/>
          <w:color w:val="auto"/>
        </w:rPr>
      </w:pPr>
      <w:r>
        <w:rPr>
          <w:rFonts w:ascii="Arial" w:cs="Arial" w:eastAsia="Arial" w:hAnsi="Arial"/>
          <w:sz w:val="13"/>
          <w:szCs w:val="13"/>
          <w:color w:val="auto"/>
        </w:rPr>
        <w:t>In December 2016, the Company entered into a lease agreement (Lease Agreement or Lease) for office and laboratory space in South San Francisco, California. The Lease expires in May 2025 and the Company may renew the lease term for two additional five-year periods. In connection with the execution of the Lease, the Company provided the landlord with a security deposit of $0.4 million in the form of a letter of credit, which is collateralized by a restricted cash deposit and recorded as restricted cash, non-current on the balance sheets as of December 31, 2019 and 2020.</w:t>
      </w:r>
    </w:p>
    <w:p>
      <w:pPr>
        <w:spacing w:after="0" w:line="123"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Pursuant to the Lease Agreement, the Company received a tenant improvement allowance (TIA) of $5.8 million in aggregate for leasehold improvements to the facility. As of December 31, 2020, the remaining balance of the TIA that is recorded as a component of deferred rent on the balance sheet is $3.2 million.</w:t>
      </w:r>
    </w:p>
    <w:p>
      <w:pPr>
        <w:spacing w:after="0" w:line="166" w:lineRule="exact"/>
        <w:rPr>
          <w:sz w:val="20"/>
          <w:szCs w:val="20"/>
          <w:color w:val="auto"/>
        </w:rPr>
      </w:pPr>
    </w:p>
    <w:p>
      <w:pPr>
        <w:ind w:left="820" w:right="160" w:firstLine="385"/>
        <w:spacing w:after="0" w:line="343" w:lineRule="auto"/>
        <w:rPr>
          <w:sz w:val="20"/>
          <w:szCs w:val="20"/>
          <w:color w:val="auto"/>
        </w:rPr>
      </w:pPr>
      <w:r>
        <w:rPr>
          <w:rFonts w:ascii="Arial" w:cs="Arial" w:eastAsia="Arial" w:hAnsi="Arial"/>
          <w:sz w:val="13"/>
          <w:szCs w:val="13"/>
          <w:color w:val="auto"/>
        </w:rPr>
        <w:t>In December 2020, the Company entered into a sublease agreement for additional office and laboratory space in South San Francisco, California with a lease term that expires on November 30, 2021. The Company provided the landlord a security deposit of $0.1 million in the form of a letter of credit, which is collateralized by a restricted cash deposit and recorded as restricted cash, non-current on the balance sheet as of December 31, 2020.</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During the years ended December 31, 2019 and 2020, the Company recognized rent expense of $2.1 million and $2.4 million.</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0440"/>
          </w:cols>
          <w:pgMar w:left="320" w:top="418" w:right="1139" w:bottom="1440" w:gutter="0" w:footer="0" w:header="0"/>
        </w:sectPr>
      </w:pPr>
    </w:p>
    <w:bookmarkStart w:id="268" w:name="page269"/>
    <w:bookmarkEnd w:id="2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future minimum lease payments for the Company’s office space and laboratory facilities as of December 31,</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2020:</w:t>
      </w:r>
    </w:p>
    <w:p>
      <w:pPr>
        <w:spacing w:after="0" w:line="198"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46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r>
      <w:tr>
        <w:trPr>
          <w:trHeight w:val="169"/>
        </w:trPr>
        <w:tc>
          <w:tcPr>
            <w:tcW w:w="46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Year ending December 31,</w:t>
            </w:r>
          </w:p>
        </w:tc>
        <w:tc>
          <w:tcPr>
            <w:tcW w:w="19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2021</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3,752</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40" w:type="dxa"/>
            <w:vAlign w:val="bottom"/>
            <w:shd w:val="clear" w:color="auto" w:fill="CCEEFF"/>
          </w:tcPr>
          <w:p>
            <w:pPr>
              <w:spacing w:after="0"/>
              <w:rPr>
                <w:sz w:val="16"/>
                <w:szCs w:val="16"/>
                <w:color w:val="auto"/>
              </w:rPr>
            </w:pPr>
          </w:p>
        </w:tc>
      </w:tr>
      <w:tr>
        <w:trPr>
          <w:trHeight w:val="189"/>
        </w:trPr>
        <w:tc>
          <w:tcPr>
            <w:tcW w:w="4660" w:type="dxa"/>
            <w:vAlign w:val="bottom"/>
          </w:tcPr>
          <w:p>
            <w:pPr>
              <w:spacing w:after="0"/>
              <w:rPr>
                <w:sz w:val="20"/>
                <w:szCs w:val="20"/>
                <w:color w:val="auto"/>
              </w:rPr>
            </w:pPr>
            <w:r>
              <w:rPr>
                <w:rFonts w:ascii="Arial" w:cs="Arial" w:eastAsia="Arial" w:hAnsi="Arial"/>
                <w:sz w:val="16"/>
                <w:szCs w:val="16"/>
                <w:color w:val="auto"/>
              </w:rPr>
              <w:t>2023</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2,283</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2,363</w:t>
            </w:r>
          </w:p>
        </w:tc>
        <w:tc>
          <w:tcPr>
            <w:tcW w:w="40" w:type="dxa"/>
            <w:vAlign w:val="bottom"/>
            <w:shd w:val="clear" w:color="auto" w:fill="CCEEFF"/>
          </w:tcPr>
          <w:p>
            <w:pPr>
              <w:spacing w:after="0"/>
              <w:rPr>
                <w:sz w:val="16"/>
                <w:szCs w:val="16"/>
                <w:color w:val="auto"/>
              </w:rPr>
            </w:pPr>
          </w:p>
        </w:tc>
      </w:tr>
      <w:tr>
        <w:trPr>
          <w:trHeight w:val="192"/>
        </w:trPr>
        <w:tc>
          <w:tcPr>
            <w:tcW w:w="4660" w:type="dxa"/>
            <w:vAlign w:val="bottom"/>
          </w:tcPr>
          <w:p>
            <w:pPr>
              <w:spacing w:after="0"/>
              <w:rPr>
                <w:sz w:val="20"/>
                <w:szCs w:val="20"/>
                <w:color w:val="auto"/>
              </w:rPr>
            </w:pPr>
            <w:r>
              <w:rPr>
                <w:rFonts w:ascii="Arial" w:cs="Arial" w:eastAsia="Arial" w:hAnsi="Arial"/>
                <w:sz w:val="16"/>
                <w:szCs w:val="16"/>
                <w:color w:val="auto"/>
              </w:rPr>
              <w:t>2025</w:t>
            </w:r>
          </w:p>
        </w:tc>
        <w:tc>
          <w:tcPr>
            <w:tcW w:w="1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40" w:type="dxa"/>
            <w:vAlign w:val="bottom"/>
          </w:tcPr>
          <w:p>
            <w:pPr>
              <w:spacing w:after="0"/>
              <w:rPr>
                <w:sz w:val="16"/>
                <w:szCs w:val="16"/>
                <w:color w:val="auto"/>
              </w:rPr>
            </w:pPr>
          </w:p>
        </w:tc>
      </w:tr>
      <w:tr>
        <w:trPr>
          <w:trHeight w:val="189"/>
        </w:trPr>
        <w:tc>
          <w:tcPr>
            <w:tcW w:w="4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future minimum lease payments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11,603</w:t>
            </w:r>
          </w:p>
        </w:tc>
        <w:tc>
          <w:tcPr>
            <w:tcW w:w="40" w:type="dxa"/>
            <w:vAlign w:val="bottom"/>
            <w:shd w:val="clear" w:color="auto" w:fill="CCEEFF"/>
          </w:tcPr>
          <w:p>
            <w:pPr>
              <w:spacing w:after="0"/>
              <w:rPr>
                <w:sz w:val="16"/>
                <w:szCs w:val="16"/>
                <w:color w:val="auto"/>
              </w:rPr>
            </w:pPr>
          </w:p>
        </w:tc>
      </w:tr>
      <w:tr>
        <w:trPr>
          <w:trHeight w:val="20"/>
        </w:trPr>
        <w:tc>
          <w:tcPr>
            <w:tcW w:w="46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Company has previously entered into agreements to sublease portions of the Company’s facilities in South San Francisco to two different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subtenants, both of which have expired as of December 31, 2020. Pursuant to the sublease agreements, the Company received sublease income of</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$1.0 million and $0.4 million during the years ended December 31, 2019 and 2020, which are recognized as a component of other income (expense), net</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within the Company’s statements of operations and comprehensive loss.</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99" w:lineRule="exact"/>
        <w:rPr>
          <w:sz w:val="20"/>
          <w:szCs w:val="20"/>
          <w:color w:val="auto"/>
        </w:rPr>
      </w:pPr>
    </w:p>
    <w:p>
      <w:pPr>
        <w:ind w:left="820" w:right="60" w:firstLine="385"/>
        <w:spacing w:after="0" w:line="343" w:lineRule="auto"/>
        <w:rPr>
          <w:sz w:val="20"/>
          <w:szCs w:val="20"/>
          <w:color w:val="auto"/>
        </w:rPr>
      </w:pPr>
      <w:r>
        <w:rPr>
          <w:rFonts w:ascii="Arial" w:cs="Arial" w:eastAsia="Arial" w:hAnsi="Arial"/>
          <w:sz w:val="13"/>
          <w:szCs w:val="13"/>
          <w:color w:val="auto"/>
        </w:rPr>
        <w:t>The Company also entered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Indemnification</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2019 and 2020, the Company does not have any material indemnification claims that were probable or reasonably possible and, consequently, has not recorded any related liabilities.</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7. Convertible Preferred Stock</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B Convertible Preferred Stock Financing</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In August 2019, the Company entered into a Series B preferred stock purchase agreement (Series B SPA) for the issuance of up to 55,555,527 shares of the Company’s Series B convertible preferred stock at a purchase price of $1.656 per share in multiple closings. The Company completed the initial closing in August 2019, whereby 18,518,509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170"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w:t>
      </w:r>
    </w:p>
    <w:p>
      <w:pPr>
        <w:spacing w:after="0" w:line="5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0400"/>
          </w:cols>
          <w:pgMar w:left="320" w:top="418" w:right="1179" w:bottom="1440" w:gutter="0" w:footer="0" w:header="0"/>
        </w:sectPr>
      </w:pPr>
    </w:p>
    <w:bookmarkStart w:id="269" w:name="page270"/>
    <w:bookmarkEnd w:id="2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60"/>
        <w:spacing w:after="0" w:line="266" w:lineRule="auto"/>
        <w:rPr>
          <w:sz w:val="20"/>
          <w:szCs w:val="20"/>
          <w:color w:val="auto"/>
        </w:rPr>
      </w:pPr>
      <w:r>
        <w:rPr>
          <w:rFonts w:ascii="Arial" w:cs="Arial" w:eastAsia="Arial" w:hAnsi="Arial"/>
          <w:sz w:val="16"/>
          <w:szCs w:val="16"/>
          <w:color w:val="auto"/>
        </w:rPr>
        <w:t>convertible preferred stock. Any changes in fair value of convertible preferred stock tranche liability in subsequent reporting periods are recognized as a component of other income (expense), net in the statements of operations and comprehensive loss (see Note 3).</w:t>
      </w:r>
    </w:p>
    <w:p>
      <w:pPr>
        <w:spacing w:after="0" w:line="158"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In March 2020, the Company completed its second closing of Series B convertible preferred stock financing and issued 18,518,509 shares of Series B convertible preferred stock at the fixed purchase price of $1.656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54"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In August 2020, the Company completed its third closing of Series B convertible preferred stock financing and issued 18,518,509 shares of Series B convertible preferred stock at the purchase price of $1.656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Financing</w:t>
      </w:r>
    </w:p>
    <w:p>
      <w:pPr>
        <w:spacing w:after="0" w:line="99"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In December 2020, the Company entered into a Series C preferred stock purchase agreement (Series C SPA) for the issuance of up to 51,158,291 shares of the Company’s Series C convertible preferred stock at a purchase price of $2.072 per share in two closings. The Company completed the initial closing in December 2020, whereby 41,505,782 shares of Series C convertible preferred stock were issued for gross proceeds of $86.0 million.</w:t>
      </w:r>
    </w:p>
    <w:p>
      <w:pPr>
        <w:spacing w:after="0" w:line="11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Company’s convertible preferred stock consists of the following:</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3"/>
                <w:szCs w:val="13"/>
                <w:b w:val="1"/>
                <w:bCs w:val="1"/>
                <w:color w:val="auto"/>
                <w:w w:val="85"/>
              </w:rPr>
              <w:t>December 31, 2019</w:t>
            </w: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 Issued and</w:t>
            </w:r>
          </w:p>
        </w:tc>
        <w:tc>
          <w:tcPr>
            <w:tcW w:w="22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14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600" w:type="dxa"/>
            <w:vAlign w:val="bottom"/>
            <w:tcBorders>
              <w:top w:val="single" w:sz="8" w:color="auto"/>
            </w:tcBorders>
            <w:gridSpan w:val="8"/>
          </w:tcPr>
          <w:p>
            <w:pPr>
              <w:jc w:val="center"/>
              <w:ind w:left="510"/>
              <w:spacing w:after="0" w:line="122" w:lineRule="exact"/>
              <w:rPr>
                <w:sz w:val="20"/>
                <w:szCs w:val="20"/>
                <w:color w:val="auto"/>
              </w:rPr>
            </w:pPr>
            <w:r>
              <w:rPr>
                <w:rFonts w:ascii="Arial" w:cs="Arial" w:eastAsia="Arial" w:hAnsi="Arial"/>
                <w:sz w:val="13"/>
                <w:szCs w:val="13"/>
                <w:b w:val="1"/>
                <w:bCs w:val="1"/>
                <w:color w:val="auto"/>
                <w:w w:val="84"/>
              </w:rPr>
              <w:t>(in thousands, except shares and original issue price)</w:t>
            </w: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2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43,393</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18,518,509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30,667</w:t>
            </w:r>
          </w:p>
        </w:tc>
        <w:tc>
          <w:tcPr>
            <w:tcW w:w="60" w:type="dxa"/>
            <w:vAlign w:val="bottom"/>
            <w:shd w:val="clear" w:color="auto" w:fill="CCEEFF"/>
          </w:tcPr>
          <w:p>
            <w:pPr>
              <w:spacing w:after="0"/>
              <w:rPr>
                <w:sz w:val="16"/>
                <w:szCs w:val="16"/>
                <w:color w:val="auto"/>
              </w:rPr>
            </w:pPr>
          </w:p>
        </w:tc>
      </w:tr>
      <w:tr>
        <w:trPr>
          <w:trHeight w:val="192"/>
        </w:trPr>
        <w:tc>
          <w:tcPr>
            <w:tcW w:w="5380" w:type="dxa"/>
            <w:vAlign w:val="bottom"/>
            <w:gridSpan w:val="3"/>
          </w:tcPr>
          <w:p>
            <w:pPr>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106,900,000</w:t>
            </w:r>
          </w:p>
        </w:tc>
        <w:tc>
          <w:tcPr>
            <w:tcW w:w="24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68,418,509</w:t>
            </w:r>
          </w:p>
        </w:tc>
        <w:tc>
          <w:tcPr>
            <w:tcW w:w="2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73,042</w:t>
            </w:r>
          </w:p>
        </w:tc>
        <w:tc>
          <w:tcPr>
            <w:tcW w:w="2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80,567</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13"/>
                <w:szCs w:val="13"/>
                <w:b w:val="1"/>
                <w:bCs w:val="1"/>
                <w:color w:val="auto"/>
                <w:w w:val="85"/>
              </w:rPr>
              <w:t>December 31, 2020</w:t>
            </w: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w:t>
            </w:r>
          </w:p>
        </w:tc>
        <w:tc>
          <w:tcPr>
            <w:tcW w:w="24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0"/>
                <w:szCs w:val="10"/>
                <w:b w:val="1"/>
                <w:bCs w:val="1"/>
                <w:color w:val="auto"/>
              </w:rPr>
              <w:t>Shares Issued and</w:t>
            </w:r>
          </w:p>
        </w:tc>
        <w:tc>
          <w:tcPr>
            <w:tcW w:w="22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0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Authorized</w:t>
            </w:r>
          </w:p>
        </w:tc>
        <w:tc>
          <w:tcPr>
            <w:tcW w:w="2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6"/>
              </w:rPr>
              <w:t>Outstanding</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jc w:val="center"/>
              <w:ind w:right="145"/>
              <w:spacing w:after="0"/>
              <w:rPr>
                <w:sz w:val="20"/>
                <w:szCs w:val="20"/>
                <w:color w:val="auto"/>
              </w:rPr>
            </w:pPr>
            <w:r>
              <w:rPr>
                <w:rFonts w:ascii="Arial" w:cs="Arial" w:eastAsia="Arial" w:hAnsi="Arial"/>
                <w:sz w:val="13"/>
                <w:szCs w:val="13"/>
                <w:b w:val="1"/>
                <w:bCs w:val="1"/>
                <w:color w:val="auto"/>
                <w:w w:val="86"/>
              </w:rPr>
              <w:t>Value</w:t>
            </w:r>
          </w:p>
        </w:tc>
        <w:tc>
          <w:tcPr>
            <w:tcW w:w="240" w:type="dxa"/>
            <w:vAlign w:val="bottom"/>
          </w:tcPr>
          <w:p>
            <w:pPr>
              <w:spacing w:after="0"/>
              <w:rPr>
                <w:sz w:val="13"/>
                <w:szCs w:val="13"/>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3600" w:type="dxa"/>
            <w:vAlign w:val="bottom"/>
            <w:tcBorders>
              <w:top w:val="single" w:sz="8" w:color="auto"/>
            </w:tcBorders>
            <w:gridSpan w:val="8"/>
          </w:tcPr>
          <w:p>
            <w:pPr>
              <w:jc w:val="center"/>
              <w:ind w:left="510"/>
              <w:spacing w:after="0" w:line="122" w:lineRule="exact"/>
              <w:rPr>
                <w:sz w:val="20"/>
                <w:szCs w:val="20"/>
                <w:color w:val="auto"/>
              </w:rPr>
            </w:pPr>
            <w:r>
              <w:rPr>
                <w:rFonts w:ascii="Arial" w:cs="Arial" w:eastAsia="Arial" w:hAnsi="Arial"/>
                <w:sz w:val="13"/>
                <w:szCs w:val="13"/>
                <w:b w:val="1"/>
                <w:bCs w:val="1"/>
                <w:color w:val="auto"/>
                <w:w w:val="84"/>
              </w:rPr>
              <w:t>(in thousands, except shares and original issue price)</w:t>
            </w:r>
          </w:p>
        </w:tc>
        <w:tc>
          <w:tcPr>
            <w:tcW w:w="5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20" w:type="dxa"/>
            <w:vAlign w:val="bottom"/>
            <w:gridSpan w:val="2"/>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43,393</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41,505,782</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85,717</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156,613,818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146,961,309</w:t>
            </w:r>
          </w:p>
        </w:tc>
        <w:tc>
          <w:tcPr>
            <w:tcW w:w="4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220,754</w:t>
            </w:r>
          </w:p>
        </w:tc>
        <w:tc>
          <w:tcPr>
            <w:tcW w:w="36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380" w:firstLine="385"/>
        <w:spacing w:after="0" w:line="256" w:lineRule="auto"/>
        <w:rPr>
          <w:sz w:val="20"/>
          <w:szCs w:val="20"/>
          <w:color w:val="auto"/>
        </w:rPr>
      </w:pPr>
      <w:r>
        <w:rPr>
          <w:rFonts w:ascii="Arial" w:cs="Arial" w:eastAsia="Arial" w:hAnsi="Arial"/>
          <w:sz w:val="16"/>
          <w:szCs w:val="16"/>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0440"/>
          </w:cols>
          <w:pgMar w:left="320" w:top="418" w:right="1139" w:bottom="1440" w:gutter="0" w:footer="0" w:header="0"/>
        </w:sectPr>
      </w:pPr>
    </w:p>
    <w:bookmarkStart w:id="270" w:name="page271"/>
    <w:bookmarkEnd w:id="2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spacing w:after="0" w:line="275" w:lineRule="auto"/>
        <w:rPr>
          <w:sz w:val="20"/>
          <w:szCs w:val="20"/>
          <w:color w:val="auto"/>
        </w:rPr>
      </w:pPr>
      <w:r>
        <w:rPr>
          <w:rFonts w:ascii="Arial" w:cs="Arial" w:eastAsia="Arial" w:hAnsi="Arial"/>
          <w:sz w:val="15"/>
          <w:szCs w:val="15"/>
          <w:color w:val="auto"/>
        </w:rPr>
        <w:t>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153"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holders of the Company’s Series A, Series B and Series C convertible preferred stock (together, convertible preferred stock) have various rights, preferences and privileges as follows: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Voting Rights</w:t>
      </w:r>
    </w:p>
    <w:p>
      <w:pPr>
        <w:spacing w:after="0" w:line="99" w:lineRule="exact"/>
        <w:rPr>
          <w:sz w:val="20"/>
          <w:szCs w:val="20"/>
          <w:color w:val="auto"/>
        </w:rPr>
      </w:pPr>
    </w:p>
    <w:p>
      <w:pPr>
        <w:ind w:left="820" w:right="80" w:firstLine="385"/>
        <w:spacing w:after="0" w:line="281" w:lineRule="auto"/>
        <w:rPr>
          <w:sz w:val="20"/>
          <w:szCs w:val="20"/>
          <w:color w:val="auto"/>
        </w:rPr>
      </w:pPr>
      <w:r>
        <w:rPr>
          <w:rFonts w:ascii="Arial" w:cs="Arial" w:eastAsia="Arial" w:hAnsi="Arial"/>
          <w:sz w:val="15"/>
          <w:szCs w:val="15"/>
          <w:color w:val="auto"/>
        </w:rPr>
        <w:t>Each holder of shares of convertible preferred stock is entitled to the number of votes equal to the number of shares of common stock into which such shares of convertible preferred stock could be converted. The holders of convertible preferred stock vote together with the holders of common stock as a single class on an as-converted basis on all matters as to which holders of common stock have the right to vote.</w:t>
      </w:r>
    </w:p>
    <w:p>
      <w:pPr>
        <w:spacing w:after="0" w:line="149"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The holders of convertible preferred stock, voting as a separate class, are entitled to elect three members of the Company’s board of directors. The holders of common stock, voting as a separate class, are entitled to elect one member of the Company’s board of directors. Any additional members of the Company’s board of directors are elected by the holders of common stock and convertible preferred stock, voting together as a single class on an as-converted basis.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Dividends</w:t>
      </w:r>
    </w:p>
    <w:p>
      <w:pPr>
        <w:spacing w:after="0" w:line="99" w:lineRule="exact"/>
        <w:rPr>
          <w:sz w:val="20"/>
          <w:szCs w:val="20"/>
          <w:color w:val="auto"/>
        </w:rPr>
      </w:pPr>
    </w:p>
    <w:p>
      <w:pPr>
        <w:ind w:left="820" w:firstLine="385"/>
        <w:spacing w:after="0" w:line="281" w:lineRule="auto"/>
        <w:rPr>
          <w:sz w:val="20"/>
          <w:szCs w:val="20"/>
          <w:color w:val="auto"/>
        </w:rPr>
      </w:pPr>
      <w:r>
        <w:rPr>
          <w:rFonts w:ascii="Arial" w:cs="Arial" w:eastAsia="Arial" w:hAnsi="Arial"/>
          <w:sz w:val="15"/>
          <w:szCs w:val="15"/>
          <w:color w:val="auto"/>
        </w:rPr>
        <w:t>Each holder of convertible preferred stock is entitled to receive dividends when and if declared by the board of directors at an annual rate of $0.08 per share for the Series A preferred stock, $0.132 per share for the Series B preferred stock, and $0.166 per share for the Series C preferred stock. Dividends are noncumulative. No dividends have been declared or paid as of December 31, 2020.</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Conversion</w:t>
      </w:r>
    </w:p>
    <w:p>
      <w:pPr>
        <w:spacing w:after="0" w:line="99" w:lineRule="exact"/>
        <w:rPr>
          <w:sz w:val="20"/>
          <w:szCs w:val="20"/>
          <w:color w:val="auto"/>
        </w:rPr>
      </w:pPr>
    </w:p>
    <w:p>
      <w:pPr>
        <w:ind w:left="820" w:right="100" w:firstLine="385"/>
        <w:spacing w:after="0" w:line="251" w:lineRule="auto"/>
        <w:rPr>
          <w:sz w:val="20"/>
          <w:szCs w:val="20"/>
          <w:color w:val="auto"/>
        </w:rPr>
      </w:pPr>
      <w:r>
        <w:rPr>
          <w:rFonts w:ascii="Arial" w:cs="Arial" w:eastAsia="Arial" w:hAnsi="Arial"/>
          <w:sz w:val="16"/>
          <w:szCs w:val="16"/>
          <w:color w:val="auto"/>
        </w:rPr>
        <w:t>Each share of convertible preferred stock is convertible, at the option of the holder any time after the issuance date, into shares of common stock determined by dividing the original issue price by the conversion price in effect on the date of conversion. The conversion price of each series of convertible preferred stock is $1.00 for Series A convertible preferred stock, $1.656 for Series B convertible preferred stock, and $2.072 for Series C convertible preferred stock, subject to adjustment for anti-dilution provisions and stock dividend, stock split, combination of shares, reorganization, recapitalization, reclassification or other similar event.</w:t>
      </w:r>
    </w:p>
    <w:p>
      <w:pPr>
        <w:spacing w:after="0" w:line="170"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Each share of convertible preferred stock is automatically convertible into common stock immediately upon the earlier of (i) the closing of a firm commitment underwritten initial public offering pursuant to an effective registration statement filed under the Securities Act of 1933, as amended, resulting in aggregate gross proceeds not less than $75.0 million (a “Qualified IPO”) or (ii) the Company’s receipt of a written request for such conversion from a majority of the holders of convertible preferred stock then outstanding, voting together as a single class on an as-converted basis. With respect to a Qualified IPO at which the price per share is less than $2.59 (subject to adjustment for stock dividend, stock split, combination of shares, reorganization, recapitalization, reclassification or other similar event), each share of convertible preferred stock is convertible into common stock with the written consent of a majority of the holders of the Series C convertible preferred stock then outstanding, voting as a separate class.</w:t>
      </w:r>
    </w:p>
    <w:p>
      <w:pPr>
        <w:spacing w:after="0" w:line="72"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0380"/>
          </w:cols>
          <w:pgMar w:left="320" w:top="418" w:right="1199" w:bottom="1440" w:gutter="0" w:footer="0" w:header="0"/>
        </w:sectPr>
      </w:pPr>
    </w:p>
    <w:bookmarkStart w:id="271" w:name="page272"/>
    <w:bookmarkEnd w:id="2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Liquidation Preference</w:t>
      </w:r>
    </w:p>
    <w:p>
      <w:pPr>
        <w:spacing w:after="0" w:line="99" w:lineRule="exact"/>
        <w:rPr>
          <w:sz w:val="20"/>
          <w:szCs w:val="20"/>
          <w:color w:val="auto"/>
        </w:rPr>
      </w:pPr>
    </w:p>
    <w:p>
      <w:pPr>
        <w:ind w:left="820" w:right="80" w:firstLine="385"/>
        <w:spacing w:after="0" w:line="315" w:lineRule="auto"/>
        <w:rPr>
          <w:sz w:val="20"/>
          <w:szCs w:val="20"/>
          <w:color w:val="auto"/>
        </w:rPr>
      </w:pPr>
      <w:r>
        <w:rPr>
          <w:rFonts w:ascii="Arial" w:cs="Arial" w:eastAsia="Arial" w:hAnsi="Arial"/>
          <w:sz w:val="13"/>
          <w:szCs w:val="13"/>
          <w:color w:val="auto"/>
        </w:rPr>
        <w:t>In the event of any liquidation, dissolution or winding up of the Company, either voluntary or involuntary, the holders of the preferred stock shall be entitled to receive, prior and in preference to any distribution of any of the assets of the Company to the holders of common stock, an amount per share equal to $1.00 per share for Series A convertible preferred stock, $1.656 per share for Series B convertible preferred stock and $2.072 per share for Series C convertible preferred stock (subject to adjustment for stock dividend, stock split, combination of shares, reorganization, recapitalization, reclassification or other similar event) plus all declared but unpaid dividends. After the distributions described above have been paid in full, the remaining assets of the Company shall be distributed among the holders of common stock in proportion to the numbers of shares of common stock. If the assets of the Company are insufficient to permit the payments to holders of convertible preferred stock of the full amount described above, all assets and funds legally available shall be distributed ratably among holders of convertible preferred stock.</w:t>
      </w:r>
    </w:p>
    <w:p>
      <w:pPr>
        <w:spacing w:after="0" w:line="200" w:lineRule="exact"/>
        <w:rPr>
          <w:sz w:val="20"/>
          <w:szCs w:val="20"/>
          <w:color w:val="auto"/>
        </w:rPr>
      </w:pPr>
    </w:p>
    <w:p>
      <w:pPr>
        <w:spacing w:after="0" w:line="21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8. Common Stock</w:t>
      </w:r>
    </w:p>
    <w:p>
      <w:pPr>
        <w:spacing w:after="0" w:line="103"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balance sheets and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w:t>
      </w:r>
    </w:p>
    <w:p>
      <w:pPr>
        <w:spacing w:after="0" w:line="17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 has reserved the following shares of common stock for issuance, on an as-if converted basis:</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6280" w:type="dxa"/>
            <w:vAlign w:val="bottom"/>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50"/>
        </w:trPr>
        <w:tc>
          <w:tcPr>
            <w:tcW w:w="62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47"/>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0"/>
        </w:trPr>
        <w:tc>
          <w:tcPr>
            <w:tcW w:w="628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Conversion of outstanding shares of convertible preferred stock</w:t>
            </w:r>
          </w:p>
        </w:tc>
        <w:tc>
          <w:tcPr>
            <w:tcW w:w="8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6"/>
              </w:rPr>
              <w:t>146,961,309</w:t>
            </w:r>
          </w:p>
        </w:tc>
        <w:tc>
          <w:tcPr>
            <w:tcW w:w="60" w:type="dxa"/>
            <w:vAlign w:val="bottom"/>
            <w:shd w:val="clear" w:color="auto" w:fill="CCEEFF"/>
          </w:tcPr>
          <w:p>
            <w:pPr>
              <w:spacing w:after="0"/>
              <w:rPr>
                <w:sz w:val="15"/>
                <w:szCs w:val="15"/>
                <w:color w:val="auto"/>
              </w:rPr>
            </w:pP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Options outstanding under the 2016 Plan</w:t>
            </w:r>
          </w:p>
        </w:tc>
        <w:tc>
          <w:tcPr>
            <w:tcW w:w="880" w:type="dxa"/>
            <w:vAlign w:val="bottom"/>
          </w:tcPr>
          <w:p>
            <w:pPr>
              <w:jc w:val="right"/>
              <w:spacing w:after="0"/>
              <w:rPr>
                <w:sz w:val="20"/>
                <w:szCs w:val="20"/>
                <w:color w:val="auto"/>
              </w:rPr>
            </w:pPr>
            <w:r>
              <w:rPr>
                <w:rFonts w:ascii="Arial" w:cs="Arial" w:eastAsia="Arial" w:hAnsi="Arial"/>
                <w:sz w:val="16"/>
                <w:szCs w:val="16"/>
                <w:color w:val="auto"/>
              </w:rPr>
              <w:t>6,965,000</w:t>
            </w:r>
          </w:p>
        </w:tc>
        <w:tc>
          <w:tcPr>
            <w:tcW w:w="60" w:type="dxa"/>
            <w:vAlign w:val="bottom"/>
          </w:tcPr>
          <w:p>
            <w:pPr>
              <w:spacing w:after="0"/>
              <w:rPr>
                <w:sz w:val="16"/>
                <w:szCs w:val="16"/>
                <w:color w:val="auto"/>
              </w:rPr>
            </w:pPr>
          </w:p>
        </w:tc>
      </w:tr>
      <w:tr>
        <w:trPr>
          <w:trHeight w:val="189"/>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Options available for future grant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2,473,024</w:t>
            </w:r>
          </w:p>
        </w:tc>
        <w:tc>
          <w:tcPr>
            <w:tcW w:w="60" w:type="dxa"/>
            <w:vAlign w:val="bottom"/>
            <w:shd w:val="clear" w:color="auto" w:fill="CCEEFF"/>
          </w:tcPr>
          <w:p>
            <w:pPr>
              <w:spacing w:after="0"/>
              <w:rPr>
                <w:sz w:val="16"/>
                <w:szCs w:val="16"/>
                <w:color w:val="auto"/>
              </w:rPr>
            </w:pPr>
          </w:p>
        </w:tc>
      </w:tr>
      <w:tr>
        <w:trPr>
          <w:trHeight w:val="192"/>
        </w:trPr>
        <w:tc>
          <w:tcPr>
            <w:tcW w:w="6280" w:type="dxa"/>
            <w:vAlign w:val="bottom"/>
          </w:tcPr>
          <w:p>
            <w:pPr>
              <w:ind w:left="3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156,399,333</w:t>
            </w:r>
          </w:p>
        </w:tc>
        <w:tc>
          <w:tcPr>
            <w:tcW w:w="60" w:type="dxa"/>
            <w:vAlign w:val="bottom"/>
          </w:tcPr>
          <w:p>
            <w:pPr>
              <w:spacing w:after="0"/>
              <w:rPr>
                <w:sz w:val="16"/>
                <w:szCs w:val="16"/>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9. Stock-Based Compensation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Amended and Restated 2016 Equity Incentive Plan</w:t>
      </w:r>
    </w:p>
    <w:p>
      <w:pPr>
        <w:spacing w:after="0" w:line="99" w:lineRule="exact"/>
        <w:rPr>
          <w:sz w:val="20"/>
          <w:szCs w:val="20"/>
          <w:color w:val="auto"/>
        </w:rPr>
      </w:pPr>
    </w:p>
    <w:p>
      <w:pPr>
        <w:ind w:left="820" w:right="20" w:firstLine="385"/>
        <w:spacing w:after="0" w:line="256" w:lineRule="auto"/>
        <w:rPr>
          <w:sz w:val="20"/>
          <w:szCs w:val="20"/>
          <w:color w:val="auto"/>
        </w:rPr>
      </w:pPr>
      <w:r>
        <w:rPr>
          <w:rFonts w:ascii="Arial" w:cs="Arial" w:eastAsia="Arial" w:hAnsi="Arial"/>
          <w:sz w:val="16"/>
          <w:szCs w:val="16"/>
          <w:color w:val="auto"/>
        </w:rPr>
        <w:t>In October 2016, the Company adopted the 2016 Equity Incentive Plan, which was later amended and restated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166" w:lineRule="exact"/>
        <w:rPr>
          <w:sz w:val="20"/>
          <w:szCs w:val="20"/>
          <w:color w:val="auto"/>
        </w:rPr>
      </w:pPr>
    </w:p>
    <w:p>
      <w:pPr>
        <w:ind w:left="820" w:firstLine="385"/>
        <w:spacing w:after="0" w:line="253" w:lineRule="auto"/>
        <w:rPr>
          <w:sz w:val="20"/>
          <w:szCs w:val="20"/>
          <w:color w:val="auto"/>
        </w:rPr>
      </w:pPr>
      <w:r>
        <w:rPr>
          <w:rFonts w:ascii="Arial" w:cs="Arial" w:eastAsia="Arial" w:hAnsi="Arial"/>
          <w:sz w:val="16"/>
          <w:szCs w:val="16"/>
          <w:color w:val="auto"/>
        </w:rPr>
        <w:t>Under the 2016 Plan, the Company’s board of directors has the authority to select the service provider to whom options will be granted and the type of award that will be granted, to determine when awards are to be granted, the number of shares, the term, and the exercise price. Options have a term of ten years and generally vest over a four-year period. As of December 31, 2020, 2,473,024 shares of common stock were authorized and available for grant under the 2016 Plan.</w:t>
      </w:r>
    </w:p>
    <w:p>
      <w:pPr>
        <w:spacing w:after="0" w:line="10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440"/>
          </w:cols>
          <w:pgMar w:left="320" w:top="418" w:right="1139" w:bottom="1440" w:gutter="0" w:footer="0" w:header="0"/>
        </w:sectPr>
      </w:pPr>
    </w:p>
    <w:bookmarkStart w:id="272" w:name="page273"/>
    <w:bookmarkEnd w:id="2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stock option activity under the 2016 Plan:</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27"/>
              <w:spacing w:after="0" w:line="130" w:lineRule="exact"/>
              <w:rPr>
                <w:sz w:val="20"/>
                <w:szCs w:val="20"/>
                <w:color w:val="auto"/>
              </w:rPr>
            </w:pPr>
            <w:r>
              <w:rPr>
                <w:rFonts w:ascii="Arial" w:cs="Arial" w:eastAsia="Arial" w:hAnsi="Arial"/>
                <w:sz w:val="13"/>
                <w:szCs w:val="13"/>
                <w:b w:val="1"/>
                <w:bCs w:val="1"/>
                <w:color w:val="auto"/>
                <w:w w:val="85"/>
              </w:rPr>
              <w:t>Weighted-</w:t>
            </w:r>
          </w:p>
        </w:tc>
        <w:tc>
          <w:tcPr>
            <w:tcW w:w="52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92"/>
              </w:rPr>
              <w:t>Number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7"/>
              <w:spacing w:after="0" w:line="130" w:lineRule="exact"/>
              <w:rPr>
                <w:sz w:val="20"/>
                <w:szCs w:val="20"/>
                <w:color w:val="auto"/>
              </w:rPr>
            </w:pPr>
            <w:r>
              <w:rPr>
                <w:rFonts w:ascii="Arial" w:cs="Arial" w:eastAsia="Arial" w:hAnsi="Arial"/>
                <w:sz w:val="13"/>
                <w:szCs w:val="13"/>
                <w:b w:val="1"/>
                <w:bCs w:val="1"/>
                <w:color w:val="auto"/>
                <w:w w:val="85"/>
              </w:rPr>
              <w:t>Average</w:t>
            </w:r>
          </w:p>
        </w:tc>
        <w:tc>
          <w:tcPr>
            <w:tcW w:w="52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00" w:type="dxa"/>
            <w:vAlign w:val="bottom"/>
            <w:gridSpan w:val="2"/>
          </w:tcPr>
          <w:p>
            <w:pPr>
              <w:jc w:val="center"/>
              <w:ind w:right="320"/>
              <w:spacing w:after="0" w:line="130" w:lineRule="exact"/>
              <w:rPr>
                <w:sz w:val="20"/>
                <w:szCs w:val="20"/>
                <w:color w:val="auto"/>
              </w:rPr>
            </w:pPr>
            <w:r>
              <w:rPr>
                <w:rFonts w:ascii="Arial" w:cs="Arial" w:eastAsia="Arial" w:hAnsi="Arial"/>
                <w:sz w:val="13"/>
                <w:szCs w:val="13"/>
                <w:b w:val="1"/>
                <w:bCs w:val="1"/>
                <w:color w:val="auto"/>
                <w:w w:val="89"/>
              </w:rPr>
              <w:t>Options</w:t>
            </w:r>
          </w:p>
        </w:tc>
        <w:tc>
          <w:tcPr>
            <w:tcW w:w="1020" w:type="dxa"/>
            <w:vAlign w:val="bottom"/>
            <w:gridSpan w:val="3"/>
          </w:tcPr>
          <w:p>
            <w:pPr>
              <w:ind w:left="260"/>
              <w:spacing w:after="0" w:line="130" w:lineRule="exact"/>
              <w:rPr>
                <w:sz w:val="20"/>
                <w:szCs w:val="20"/>
                <w:color w:val="auto"/>
              </w:rPr>
            </w:pPr>
            <w:r>
              <w:rPr>
                <w:rFonts w:ascii="Arial" w:cs="Arial" w:eastAsia="Arial" w:hAnsi="Arial"/>
                <w:sz w:val="13"/>
                <w:szCs w:val="13"/>
                <w:b w:val="1"/>
                <w:bCs w:val="1"/>
                <w:color w:val="auto"/>
                <w:w w:val="83"/>
              </w:rPr>
              <w:t>Exercise Price</w:t>
            </w:r>
          </w:p>
        </w:tc>
        <w:tc>
          <w:tcPr>
            <w:tcW w:w="1420" w:type="dxa"/>
            <w:vAlign w:val="bottom"/>
            <w:gridSpan w:val="2"/>
          </w:tcPr>
          <w:p>
            <w:pPr>
              <w:jc w:val="center"/>
              <w:ind w:left="445"/>
              <w:spacing w:after="0" w:line="130" w:lineRule="exact"/>
              <w:rPr>
                <w:sz w:val="20"/>
                <w:szCs w:val="20"/>
                <w:color w:val="auto"/>
              </w:rPr>
            </w:pPr>
            <w:r>
              <w:rPr>
                <w:rFonts w:ascii="Arial" w:cs="Arial" w:eastAsia="Arial" w:hAnsi="Arial"/>
                <w:sz w:val="13"/>
                <w:szCs w:val="13"/>
                <w:b w:val="1"/>
                <w:bCs w:val="1"/>
                <w:color w:val="auto"/>
                <w:w w:val="90"/>
              </w:rPr>
              <w:t>Contractual Life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Outstanding</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27"/>
              <w:spacing w:after="0"/>
              <w:rPr>
                <w:sz w:val="20"/>
                <w:szCs w:val="20"/>
                <w:color w:val="auto"/>
              </w:rPr>
            </w:pPr>
            <w:r>
              <w:rPr>
                <w:rFonts w:ascii="Arial" w:cs="Arial" w:eastAsia="Arial" w:hAnsi="Arial"/>
                <w:sz w:val="13"/>
                <w:szCs w:val="13"/>
                <w:b w:val="1"/>
                <w:bCs w:val="1"/>
                <w:color w:val="auto"/>
                <w:w w:val="88"/>
              </w:rPr>
              <w:t>Per Share</w:t>
            </w:r>
          </w:p>
        </w:tc>
        <w:tc>
          <w:tcPr>
            <w:tcW w:w="5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9"/>
              </w:rPr>
              <w:t>(years)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5,285,000</w:t>
            </w: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1,876,250</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0.57</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(107,103)</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0.31</w:t>
            </w: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820" w:type="dxa"/>
            <w:vAlign w:val="bottom"/>
          </w:tcPr>
          <w:p>
            <w:pPr>
              <w:ind w:left="280"/>
              <w:spacing w:after="0"/>
              <w:rPr>
                <w:sz w:val="20"/>
                <w:szCs w:val="20"/>
                <w:color w:val="auto"/>
              </w:rPr>
            </w:pPr>
            <w:r>
              <w:rPr>
                <w:rFonts w:ascii="Arial" w:cs="Arial" w:eastAsia="Arial" w:hAnsi="Arial"/>
                <w:sz w:val="16"/>
                <w:szCs w:val="16"/>
                <w:color w:val="auto"/>
              </w:rPr>
              <w:t>Options cancelled</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(89,147)</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0.40</w:t>
            </w: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6,965,000</w:t>
            </w:r>
          </w:p>
        </w:tc>
        <w:tc>
          <w:tcPr>
            <w:tcW w:w="32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Exercisable as of December 31, 2020</w:t>
            </w: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0.19</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8.05</w:t>
            </w:r>
          </w:p>
        </w:tc>
        <w:tc>
          <w:tcPr>
            <w:tcW w:w="620" w:type="dxa"/>
            <w:vAlign w:val="bottom"/>
            <w:gridSpan w:val="2"/>
            <w:vMerge w:val="restart"/>
          </w:tcPr>
          <w:p>
            <w:pPr>
              <w:ind w:left="52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2,298</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40" w:type="dxa"/>
            <w:vAlign w:val="bottom"/>
            <w:gridSpan w:val="2"/>
            <w:vMerge w:val="continue"/>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92"/>
              </w:rPr>
              <w:t>2,641,917</w:t>
            </w:r>
          </w:p>
        </w:tc>
        <w:tc>
          <w:tcPr>
            <w:tcW w:w="32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total intrinsic value of options exercised during the years ended December 31, 2019 and 2020 was approximately $0.3 million and $37,000. The aggregate intrinsic is the difference between the fair value of the Company’s common stock, as approved by the Company’s board of directors, and exercise price of the option.</w:t>
      </w:r>
    </w:p>
    <w:p>
      <w:pPr>
        <w:spacing w:after="0" w:line="166"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auto"/>
        </w:rPr>
        <w:t>The weighted average grant-date fair value of options granted during the years ended December 31, 2019 and 2020 was $0.57 and $0.83 per share.</w:t>
      </w:r>
    </w:p>
    <w:p>
      <w:pPr>
        <w:spacing w:after="0" w:line="29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stock-based compensation recognized in the Company’s statements of operations and comprehensive loss:</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8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1"/>
        </w:trPr>
        <w:tc>
          <w:tcPr>
            <w:tcW w:w="4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28"/>
              <w:spacing w:after="0" w:line="122" w:lineRule="exact"/>
              <w:rPr>
                <w:sz w:val="20"/>
                <w:szCs w:val="20"/>
                <w:color w:val="auto"/>
              </w:rPr>
            </w:pPr>
            <w:r>
              <w:rPr>
                <w:rFonts w:ascii="Arial" w:cs="Arial" w:eastAsia="Arial" w:hAnsi="Arial"/>
                <w:sz w:val="13"/>
                <w:szCs w:val="13"/>
                <w:b w:val="1"/>
                <w:bCs w:val="1"/>
                <w:color w:val="auto"/>
                <w:w w:val="96"/>
              </w:rPr>
              <w:t>2019</w:t>
            </w: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25"/>
              <w:spacing w:after="0" w:line="122" w:lineRule="exact"/>
              <w:rPr>
                <w:sz w:val="20"/>
                <w:szCs w:val="20"/>
                <w:color w:val="auto"/>
              </w:rPr>
            </w:pPr>
            <w:r>
              <w:rPr>
                <w:rFonts w:ascii="Arial" w:cs="Arial" w:eastAsia="Arial" w:hAnsi="Arial"/>
                <w:sz w:val="13"/>
                <w:szCs w:val="13"/>
                <w:b w:val="1"/>
                <w:bCs w:val="1"/>
                <w:color w:val="auto"/>
                <w:w w:val="82"/>
              </w:rPr>
              <w:t>2020</w:t>
            </w:r>
          </w:p>
        </w:tc>
        <w:tc>
          <w:tcPr>
            <w:tcW w:w="40" w:type="dxa"/>
            <w:vAlign w:val="bottom"/>
          </w:tcPr>
          <w:p>
            <w:pPr>
              <w:spacing w:after="0"/>
              <w:rPr>
                <w:sz w:val="10"/>
                <w:szCs w:val="10"/>
                <w:color w:val="auto"/>
              </w:rPr>
            </w:pPr>
          </w:p>
        </w:tc>
      </w:tr>
      <w:tr>
        <w:trPr>
          <w:trHeight w:val="121"/>
        </w:trPr>
        <w:tc>
          <w:tcPr>
            <w:tcW w:w="4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gridSpan w:val="2"/>
          </w:tcPr>
          <w:p>
            <w:pPr>
              <w:jc w:val="right"/>
              <w:ind w:right="300"/>
              <w:spacing w:after="0" w:line="122" w:lineRule="exact"/>
              <w:rPr>
                <w:sz w:val="20"/>
                <w:szCs w:val="20"/>
                <w:color w:val="auto"/>
              </w:rPr>
            </w:pPr>
            <w:r>
              <w:rPr>
                <w:rFonts w:ascii="Arial" w:cs="Arial" w:eastAsia="Arial" w:hAnsi="Arial"/>
                <w:sz w:val="13"/>
                <w:szCs w:val="13"/>
                <w:b w:val="1"/>
                <w:bCs w:val="1"/>
                <w:color w:val="auto"/>
                <w:w w:val="98"/>
              </w:rPr>
              <w:t>(in thousands)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48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40" w:type="dxa"/>
            <w:vAlign w:val="bottom"/>
            <w:shd w:val="clear" w:color="auto" w:fill="CCEEFF"/>
          </w:tcPr>
          <w:p>
            <w:pPr>
              <w:spacing w:after="0"/>
              <w:rPr>
                <w:sz w:val="16"/>
                <w:szCs w:val="16"/>
                <w:color w:val="auto"/>
              </w:rPr>
            </w:pPr>
          </w:p>
        </w:tc>
      </w:tr>
      <w:tr>
        <w:trPr>
          <w:trHeight w:val="192"/>
        </w:trPr>
        <w:tc>
          <w:tcPr>
            <w:tcW w:w="48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w:t>
            </w:r>
          </w:p>
        </w:tc>
        <w:tc>
          <w:tcPr>
            <w:tcW w:w="1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40" w:type="dxa"/>
            <w:vAlign w:val="bottom"/>
          </w:tcPr>
          <w:p>
            <w:pPr>
              <w:spacing w:after="0"/>
              <w:rPr>
                <w:sz w:val="16"/>
                <w:szCs w:val="16"/>
                <w:color w:val="auto"/>
              </w:rPr>
            </w:pPr>
          </w:p>
        </w:tc>
      </w:tr>
      <w:tr>
        <w:trPr>
          <w:trHeight w:val="189"/>
        </w:trPr>
        <w:tc>
          <w:tcPr>
            <w:tcW w:w="4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stock-based compensation</w:t>
            </w:r>
          </w:p>
        </w:tc>
        <w:tc>
          <w:tcPr>
            <w:tcW w:w="2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40" w:type="dxa"/>
            <w:vAlign w:val="bottom"/>
            <w:shd w:val="clear" w:color="auto" w:fill="CCEEFF"/>
          </w:tcPr>
          <w:p>
            <w:pPr>
              <w:spacing w:after="0"/>
              <w:rPr>
                <w:sz w:val="16"/>
                <w:szCs w:val="16"/>
                <w:color w:val="auto"/>
              </w:rPr>
            </w:pPr>
          </w:p>
        </w:tc>
      </w:tr>
      <w:tr>
        <w:trPr>
          <w:trHeight w:val="20"/>
        </w:trPr>
        <w:tc>
          <w:tcPr>
            <w:tcW w:w="4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420" w:firstLine="385"/>
        <w:spacing w:after="0" w:line="266" w:lineRule="auto"/>
        <w:rPr>
          <w:sz w:val="20"/>
          <w:szCs w:val="20"/>
          <w:color w:val="auto"/>
        </w:rPr>
      </w:pPr>
      <w:r>
        <w:rPr>
          <w:rFonts w:ascii="Arial" w:cs="Arial" w:eastAsia="Arial" w:hAnsi="Arial"/>
          <w:sz w:val="16"/>
          <w:szCs w:val="16"/>
          <w:color w:val="auto"/>
        </w:rPr>
        <w:t>As of December 31, 2020, there was approximately $2.3 million of unrecognized stock-based compensation, which the Company expects to recognize over a weighted-average period of 3.0 years.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Valuation</w:t>
      </w:r>
    </w:p>
    <w:p>
      <w:pPr>
        <w:spacing w:after="0" w:line="99"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fair value of the Company’s stock option awards is estimated on the date of grant using the Black-Scholes option pricing model using the following assumptions: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1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0"/>
              </w:rPr>
              <w:t>Year Ended December 31,</w:t>
            </w:r>
          </w:p>
        </w:tc>
        <w:tc>
          <w:tcPr>
            <w:tcW w:w="780" w:type="dxa"/>
            <w:vAlign w:val="bottom"/>
            <w:tcBorders>
              <w:bottom w:val="single" w:sz="8" w:color="auto"/>
            </w:tcBorders>
          </w:tcPr>
          <w:p>
            <w:pPr>
              <w:spacing w:after="0"/>
              <w:rPr>
                <w:sz w:val="13"/>
                <w:szCs w:val="13"/>
                <w:color w:val="auto"/>
              </w:rPr>
            </w:pPr>
          </w:p>
        </w:tc>
      </w:tr>
      <w:tr>
        <w:trPr>
          <w:trHeight w:val="121"/>
        </w:trPr>
        <w:tc>
          <w:tcPr>
            <w:tcW w:w="3100" w:type="dxa"/>
            <w:vAlign w:val="bottom"/>
            <w:tcBorders>
              <w:bottom w:val="single" w:sz="8" w:color="CCEEFF"/>
            </w:tcBorders>
          </w:tcPr>
          <w:p>
            <w:pPr>
              <w:spacing w:after="0"/>
              <w:rPr>
                <w:sz w:val="10"/>
                <w:szCs w:val="10"/>
                <w:color w:val="auto"/>
              </w:rPr>
            </w:pPr>
          </w:p>
        </w:tc>
        <w:tc>
          <w:tcPr>
            <w:tcW w:w="344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gridSpan w:val="2"/>
          </w:tcPr>
          <w:p>
            <w:pPr>
              <w:jc w:val="right"/>
              <w:ind w:right="525"/>
              <w:spacing w:after="0" w:line="12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gridSpan w:val="2"/>
          </w:tcPr>
          <w:p>
            <w:pPr>
              <w:jc w:val="right"/>
              <w:ind w:right="521"/>
              <w:spacing w:after="0" w:line="122" w:lineRule="exact"/>
              <w:rPr>
                <w:sz w:val="20"/>
                <w:szCs w:val="20"/>
                <w:color w:val="auto"/>
              </w:rPr>
            </w:pPr>
            <w:r>
              <w:rPr>
                <w:rFonts w:ascii="Arial" w:cs="Arial" w:eastAsia="Arial" w:hAnsi="Arial"/>
                <w:sz w:val="13"/>
                <w:szCs w:val="13"/>
                <w:b w:val="1"/>
                <w:bCs w:val="1"/>
                <w:color w:val="auto"/>
              </w:rPr>
              <w:t>2020</w:t>
            </w:r>
          </w:p>
        </w:tc>
      </w:tr>
      <w:tr>
        <w:trPr>
          <w:trHeight w:val="180"/>
        </w:trPr>
        <w:tc>
          <w:tcPr>
            <w:tcW w:w="3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term (in years)</w:t>
            </w:r>
          </w:p>
        </w:tc>
        <w:tc>
          <w:tcPr>
            <w:tcW w:w="34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5.0</w:t>
            </w:r>
          </w:p>
        </w:tc>
        <w:tc>
          <w:tcPr>
            <w:tcW w:w="7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 6.1</w:t>
            </w: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5.9</w:t>
            </w:r>
          </w:p>
        </w:tc>
        <w:tc>
          <w:tcPr>
            <w:tcW w:w="7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 6.1</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Expected volatility</w:t>
            </w:r>
          </w:p>
        </w:tc>
        <w:tc>
          <w:tcPr>
            <w:tcW w:w="4100" w:type="dxa"/>
            <w:vAlign w:val="bottom"/>
            <w:gridSpan w:val="2"/>
          </w:tcPr>
          <w:p>
            <w:pPr>
              <w:jc w:val="right"/>
              <w:spacing w:after="0"/>
              <w:rPr>
                <w:sz w:val="20"/>
                <w:szCs w:val="20"/>
                <w:color w:val="auto"/>
              </w:rPr>
            </w:pPr>
            <w:r>
              <w:rPr>
                <w:rFonts w:ascii="Arial" w:cs="Arial" w:eastAsia="Arial" w:hAnsi="Arial"/>
                <w:sz w:val="16"/>
                <w:szCs w:val="16"/>
                <w:color w:val="auto"/>
              </w:rPr>
              <w:t>105%</w:t>
            </w: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 192%</w:t>
            </w:r>
          </w:p>
        </w:tc>
        <w:tc>
          <w:tcPr>
            <w:tcW w:w="660" w:type="dxa"/>
            <w:vAlign w:val="bottom"/>
          </w:tcPr>
          <w:p>
            <w:pPr>
              <w:jc w:val="right"/>
              <w:spacing w:after="0"/>
              <w:rPr>
                <w:sz w:val="20"/>
                <w:szCs w:val="20"/>
                <w:color w:val="auto"/>
              </w:rPr>
            </w:pPr>
            <w:r>
              <w:rPr>
                <w:rFonts w:ascii="Arial" w:cs="Arial" w:eastAsia="Arial" w:hAnsi="Arial"/>
                <w:sz w:val="16"/>
                <w:szCs w:val="16"/>
                <w:color w:val="auto"/>
              </w:rPr>
              <w:t>178%</w:t>
            </w:r>
          </w:p>
        </w:tc>
        <w:tc>
          <w:tcPr>
            <w:tcW w:w="780" w:type="dxa"/>
            <w:vAlign w:val="bottom"/>
          </w:tcPr>
          <w:p>
            <w:pPr>
              <w:spacing w:after="0"/>
              <w:rPr>
                <w:sz w:val="20"/>
                <w:szCs w:val="20"/>
                <w:color w:val="auto"/>
              </w:rPr>
            </w:pPr>
            <w:r>
              <w:rPr>
                <w:rFonts w:ascii="Arial" w:cs="Arial" w:eastAsia="Arial" w:hAnsi="Arial"/>
                <w:sz w:val="16"/>
                <w:szCs w:val="16"/>
                <w:color w:val="auto"/>
              </w:rPr>
              <w:t>– 183%</w:t>
            </w:r>
          </w:p>
        </w:tc>
      </w:tr>
      <w:tr>
        <w:trPr>
          <w:trHeight w:val="18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2.5%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1.5%</w:t>
            </w: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3440" w:type="dxa"/>
            <w:vAlign w:val="bottom"/>
          </w:tcPr>
          <w:p>
            <w:pPr>
              <w:spacing w:after="0"/>
              <w:rPr>
                <w:sz w:val="17"/>
                <w:szCs w:val="17"/>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6"/>
                <w:szCs w:val="16"/>
                <w:color w:val="auto"/>
                <w:w w:val="99"/>
              </w:rPr>
              <w:t>—%</w:t>
            </w:r>
          </w:p>
        </w:tc>
        <w:tc>
          <w:tcPr>
            <w:tcW w:w="14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r>
      <w:tr>
        <w:trPr>
          <w:trHeight w:val="306"/>
        </w:trPr>
        <w:tc>
          <w:tcPr>
            <w:tcW w:w="3100" w:type="dxa"/>
            <w:vAlign w:val="bottom"/>
          </w:tcPr>
          <w:p>
            <w:pPr>
              <w:spacing w:after="0"/>
              <w:rPr>
                <w:sz w:val="24"/>
                <w:szCs w:val="24"/>
                <w:color w:val="auto"/>
              </w:rPr>
            </w:pPr>
          </w:p>
        </w:tc>
        <w:tc>
          <w:tcPr>
            <w:tcW w:w="4100" w:type="dxa"/>
            <w:vAlign w:val="bottom"/>
            <w:gridSpan w:val="2"/>
          </w:tcPr>
          <w:p>
            <w:pPr>
              <w:jc w:val="right"/>
              <w:ind w:right="2167"/>
              <w:spacing w:after="0"/>
              <w:rPr>
                <w:sz w:val="20"/>
                <w:szCs w:val="20"/>
                <w:color w:val="auto"/>
              </w:rPr>
            </w:pPr>
            <w:r>
              <w:rPr>
                <w:rFonts w:ascii="Arial" w:cs="Arial" w:eastAsia="Arial" w:hAnsi="Arial"/>
                <w:sz w:val="16"/>
                <w:szCs w:val="16"/>
                <w:color w:val="auto"/>
              </w:rPr>
              <w:t>F-21</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440"/>
          </w:cols>
          <w:pgMar w:left="320" w:top="418" w:right="1139" w:bottom="1440" w:gutter="0" w:footer="0" w:header="0"/>
        </w:sectPr>
      </w:pPr>
    </w:p>
    <w:bookmarkStart w:id="273" w:name="page274"/>
    <w:bookmarkEnd w:id="2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assumptions used to determine the fair value of options granted were as follows. Each of these inputs is subjective and generally requires significant judgement.</w:t>
      </w:r>
    </w:p>
    <w:p>
      <w:pPr>
        <w:spacing w:after="0" w:line="64" w:lineRule="exact"/>
        <w:rPr>
          <w:sz w:val="20"/>
          <w:szCs w:val="20"/>
          <w:color w:val="auto"/>
        </w:rPr>
      </w:pPr>
    </w:p>
    <w:p>
      <w:pPr>
        <w:ind w:left="1200" w:right="340" w:firstLine="369"/>
        <w:spacing w:after="0" w:line="256"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determines the expected term, which represents the period that stock-based awards are expected to be</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in accordance with the simplified method due to its limited operating history, which is presumed to be the mid-point between the contractual term and the vesting period.</w:t>
      </w:r>
    </w:p>
    <w:p>
      <w:pPr>
        <w:spacing w:after="0" w:line="71" w:lineRule="exact"/>
        <w:rPr>
          <w:sz w:val="20"/>
          <w:szCs w:val="20"/>
          <w:color w:val="auto"/>
        </w:rPr>
      </w:pPr>
    </w:p>
    <w:p>
      <w:pPr>
        <w:ind w:left="1200" w:right="100" w:firstLine="369"/>
        <w:spacing w:after="0" w:line="253"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b w:val="1"/>
          <w:bCs w:val="1"/>
          <w:i w:val="1"/>
          <w:iCs w:val="1"/>
          <w:color w:val="auto"/>
        </w:rPr>
        <w:t>—</w:t>
      </w:r>
      <w:r>
        <w:rPr>
          <w:rFonts w:ascii="Arial" w:cs="Arial" w:eastAsia="Arial" w:hAnsi="Arial"/>
          <w:sz w:val="16"/>
          <w:szCs w:val="16"/>
          <w:color w:val="auto"/>
        </w:rPr>
        <w:t>As there is no trading history for the Company’s common stock, the Company determines its computation of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w:t>
      </w:r>
    </w:p>
    <w:p>
      <w:pPr>
        <w:spacing w:after="0" w:line="73" w:lineRule="exact"/>
        <w:rPr>
          <w:sz w:val="20"/>
          <w:szCs w:val="20"/>
          <w:color w:val="auto"/>
        </w:rPr>
      </w:pPr>
    </w:p>
    <w:p>
      <w:pPr>
        <w:ind w:left="1200" w:right="60" w:firstLine="369"/>
        <w:spacing w:after="0" w:line="266" w:lineRule="auto"/>
        <w:rPr>
          <w:sz w:val="20"/>
          <w:szCs w:val="20"/>
          <w:color w:val="auto"/>
        </w:rPr>
      </w:pPr>
      <w:r>
        <w:rPr>
          <w:rFonts w:ascii="Arial" w:cs="Arial" w:eastAsia="Arial" w:hAnsi="Arial"/>
          <w:sz w:val="16"/>
          <w:szCs w:val="16"/>
          <w:i w:val="1"/>
          <w:iCs w:val="1"/>
          <w:color w:val="auto"/>
        </w:rPr>
        <w:t>Risk-Free Interest Rate</w:t>
      </w:r>
      <w:r>
        <w:rPr>
          <w:rFonts w:ascii="Arial" w:cs="Arial" w:eastAsia="Arial" w:hAnsi="Arial"/>
          <w:sz w:val="16"/>
          <w:szCs w:val="16"/>
          <w:b w:val="1"/>
          <w:bCs w:val="1"/>
          <w:i w:val="1"/>
          <w:iCs w:val="1"/>
          <w:color w:val="auto"/>
        </w:rPr>
        <w:t>—</w:t>
      </w:r>
      <w:r>
        <w:rPr>
          <w:rFonts w:ascii="Arial" w:cs="Arial" w:eastAsia="Arial" w:hAnsi="Arial"/>
          <w:sz w:val="16"/>
          <w:szCs w:val="16"/>
          <w:color w:val="auto"/>
        </w:rPr>
        <w:t>The Company bases the risk-free interest rate on U.S. Treasury zero coupon issues in effect at the time of grant for</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corresponding with the expected term assumption.</w:t>
      </w:r>
    </w:p>
    <w:p>
      <w:pPr>
        <w:spacing w:after="0" w:line="64" w:lineRule="exact"/>
        <w:rPr>
          <w:sz w:val="20"/>
          <w:szCs w:val="20"/>
          <w:color w:val="auto"/>
        </w:rPr>
      </w:pPr>
    </w:p>
    <w:p>
      <w:pPr>
        <w:ind w:left="1200" w:right="240" w:firstLine="369"/>
        <w:spacing w:after="0" w:line="266" w:lineRule="auto"/>
        <w:rPr>
          <w:sz w:val="20"/>
          <w:szCs w:val="20"/>
          <w:color w:val="auto"/>
        </w:rPr>
      </w:pPr>
      <w:r>
        <w:rPr>
          <w:rFonts w:ascii="Arial" w:cs="Arial" w:eastAsia="Arial" w:hAnsi="Arial"/>
          <w:sz w:val="16"/>
          <w:szCs w:val="16"/>
          <w:i w:val="1"/>
          <w:iCs w:val="1"/>
          <w:color w:val="auto"/>
        </w:rPr>
        <w:t>Expected Dividend Yield</w:t>
      </w:r>
      <w:r>
        <w:rPr>
          <w:rFonts w:ascii="Arial" w:cs="Arial" w:eastAsia="Arial" w:hAnsi="Arial"/>
          <w:sz w:val="16"/>
          <w:szCs w:val="16"/>
          <w:b w:val="1"/>
          <w:bCs w:val="1"/>
          <w:i w:val="1"/>
          <w:iCs w:val="1"/>
          <w:color w:val="auto"/>
        </w:rPr>
        <w:t>—</w:t>
      </w:r>
      <w:r>
        <w:rPr>
          <w:rFonts w:ascii="Arial" w:cs="Arial" w:eastAsia="Arial" w:hAnsi="Arial"/>
          <w:sz w:val="16"/>
          <w:szCs w:val="16"/>
          <w:color w:val="auto"/>
        </w:rPr>
        <w:t>The expected dividend yield is assumed to be zero as the Company has never paid and has no plans to pay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its common stock.</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99" w:lineRule="exact"/>
        <w:rPr>
          <w:sz w:val="20"/>
          <w:szCs w:val="20"/>
          <w:color w:val="auto"/>
        </w:rPr>
      </w:pPr>
    </w:p>
    <w:p>
      <w:pPr>
        <w:ind w:left="820" w:right="160" w:firstLine="385"/>
        <w:spacing w:after="0" w:line="275" w:lineRule="auto"/>
        <w:rPr>
          <w:sz w:val="20"/>
          <w:szCs w:val="20"/>
          <w:color w:val="auto"/>
        </w:rPr>
      </w:pPr>
      <w:r>
        <w:rPr>
          <w:rFonts w:ascii="Arial" w:cs="Arial" w:eastAsia="Arial" w:hAnsi="Arial"/>
          <w:sz w:val="15"/>
          <w:szCs w:val="15"/>
          <w:color w:val="auto"/>
        </w:rPr>
        <w:t>The 2016 Plan allows the Company to grant stock options that may be exercised by option holders prior to vesting, subject to certain limitations. The Company has also issued restricted stock awards to certain employees and non-employee founders under its 2016 Plan. The 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53" w:lineRule="exact"/>
        <w:rPr>
          <w:sz w:val="20"/>
          <w:szCs w:val="20"/>
          <w:color w:val="auto"/>
        </w:rPr>
      </w:pPr>
    </w:p>
    <w:p>
      <w:pPr>
        <w:ind w:left="820" w:right="40" w:firstLine="385"/>
        <w:spacing w:after="0" w:line="256" w:lineRule="auto"/>
        <w:rPr>
          <w:sz w:val="20"/>
          <w:szCs w:val="20"/>
          <w:color w:val="auto"/>
        </w:rPr>
      </w:pPr>
      <w:r>
        <w:rPr>
          <w:rFonts w:ascii="Arial" w:cs="Arial" w:eastAsia="Arial" w:hAnsi="Arial"/>
          <w:sz w:val="16"/>
          <w:szCs w:val="16"/>
          <w:color w:val="auto"/>
        </w:rPr>
        <w:t>The proceeds from early exercises are initially recorded in accrued expenses and other current liabilities and other non-current liabilities and are reclassified to common stock and additional paid-in capital the vesting conditions are met and the repurchase right lapses. As of December 31, 2019 and 2020, $0.1 million and $53,000 was recorded as liabilities on the balance sheets.</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summary of restricted stock activity 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7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Weighted</w:t>
            </w:r>
          </w:p>
        </w:tc>
      </w:tr>
      <w:tr>
        <w:trPr>
          <w:trHeight w:val="130"/>
        </w:trPr>
        <w:tc>
          <w:tcPr>
            <w:tcW w:w="7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jc w:val="center"/>
              <w:ind w:right="80"/>
              <w:spacing w:after="0" w:line="130" w:lineRule="exact"/>
              <w:rPr>
                <w:sz w:val="20"/>
                <w:szCs w:val="20"/>
                <w:color w:val="auto"/>
              </w:rPr>
            </w:pPr>
            <w:r>
              <w:rPr>
                <w:rFonts w:ascii="Arial" w:cs="Arial" w:eastAsia="Arial" w:hAnsi="Arial"/>
                <w:sz w:val="13"/>
                <w:szCs w:val="13"/>
                <w:b w:val="1"/>
                <w:bCs w:val="1"/>
                <w:color w:val="auto"/>
                <w:w w:val="88"/>
              </w:rPr>
              <w:t>Average Fair</w:t>
            </w:r>
          </w:p>
        </w:tc>
      </w:tr>
      <w:tr>
        <w:trPr>
          <w:trHeight w:val="130"/>
        </w:trPr>
        <w:tc>
          <w:tcPr>
            <w:tcW w:w="7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3"/>
          </w:tcPr>
          <w:p>
            <w:pPr>
              <w:jc w:val="center"/>
              <w:ind w:right="60"/>
              <w:spacing w:after="0" w:line="130" w:lineRule="exact"/>
              <w:rPr>
                <w:sz w:val="20"/>
                <w:szCs w:val="20"/>
                <w:color w:val="auto"/>
              </w:rPr>
            </w:pPr>
            <w:r>
              <w:rPr>
                <w:rFonts w:ascii="Arial" w:cs="Arial" w:eastAsia="Arial" w:hAnsi="Arial"/>
                <w:sz w:val="13"/>
                <w:szCs w:val="13"/>
                <w:b w:val="1"/>
                <w:bCs w:val="1"/>
                <w:color w:val="auto"/>
                <w:w w:val="88"/>
              </w:rPr>
              <w:t>Value at Date</w:t>
            </w:r>
          </w:p>
        </w:tc>
      </w:tr>
      <w:tr>
        <w:trPr>
          <w:trHeight w:val="130"/>
        </w:trPr>
        <w:tc>
          <w:tcPr>
            <w:tcW w:w="7400" w:type="dxa"/>
            <w:vAlign w:val="bottom"/>
          </w:tcPr>
          <w:p>
            <w:pPr>
              <w:spacing w:after="0"/>
              <w:rPr>
                <w:sz w:val="11"/>
                <w:szCs w:val="11"/>
                <w:color w:val="auto"/>
              </w:rPr>
            </w:pPr>
          </w:p>
        </w:tc>
        <w:tc>
          <w:tcPr>
            <w:tcW w:w="1100" w:type="dxa"/>
            <w:vAlign w:val="bottom"/>
            <w:gridSpan w:val="2"/>
          </w:tcPr>
          <w:p>
            <w:pPr>
              <w:jc w:val="right"/>
              <w:ind w:right="440"/>
              <w:spacing w:after="0" w:line="130" w:lineRule="exact"/>
              <w:rPr>
                <w:sz w:val="20"/>
                <w:szCs w:val="20"/>
                <w:color w:val="auto"/>
              </w:rPr>
            </w:pPr>
            <w:r>
              <w:rPr>
                <w:rFonts w:ascii="Arial" w:cs="Arial" w:eastAsia="Arial" w:hAnsi="Arial"/>
                <w:sz w:val="13"/>
                <w:szCs w:val="13"/>
                <w:b w:val="1"/>
                <w:bCs w:val="1"/>
                <w:color w:val="auto"/>
                <w:w w:val="98"/>
              </w:rPr>
              <w:t>Number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4"/>
              </w:rPr>
              <w:t>of Grant</w:t>
            </w:r>
          </w:p>
        </w:tc>
      </w:tr>
      <w:tr>
        <w:trPr>
          <w:trHeight w:val="150"/>
        </w:trPr>
        <w:tc>
          <w:tcPr>
            <w:tcW w:w="7400" w:type="dxa"/>
            <w:vAlign w:val="bottom"/>
          </w:tcPr>
          <w:p>
            <w:pPr>
              <w:spacing w:after="0"/>
              <w:rPr>
                <w:sz w:val="13"/>
                <w:szCs w:val="13"/>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Shares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per Share</w:t>
            </w:r>
          </w:p>
        </w:tc>
      </w:tr>
      <w:tr>
        <w:trPr>
          <w:trHeight w:val="180"/>
        </w:trPr>
        <w:tc>
          <w:tcPr>
            <w:tcW w:w="740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Unvested as of December 31, 2019</w:t>
            </w:r>
          </w:p>
        </w:tc>
        <w:tc>
          <w:tcPr>
            <w:tcW w:w="7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1,986,608</w:t>
            </w: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0.12</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7400" w:type="dxa"/>
            <w:vAlign w:val="bottom"/>
          </w:tcPr>
          <w:p>
            <w:pPr>
              <w:ind w:left="300"/>
              <w:spacing w:after="0"/>
              <w:rPr>
                <w:sz w:val="20"/>
                <w:szCs w:val="20"/>
                <w:color w:val="auto"/>
              </w:rPr>
            </w:pPr>
            <w:r>
              <w:rPr>
                <w:rFonts w:ascii="Arial" w:cs="Arial" w:eastAsia="Arial" w:hAnsi="Arial"/>
                <w:sz w:val="16"/>
                <w:szCs w:val="16"/>
                <w:color w:val="auto"/>
              </w:rPr>
              <w:t>Vested</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w w:val="95"/>
              </w:rPr>
              <w:t>(1,151,616)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0.10</w:t>
            </w:r>
          </w:p>
        </w:tc>
        <w:tc>
          <w:tcPr>
            <w:tcW w:w="60" w:type="dxa"/>
            <w:vAlign w:val="bottom"/>
          </w:tcPr>
          <w:p>
            <w:pPr>
              <w:spacing w:after="0"/>
              <w:rPr>
                <w:sz w:val="16"/>
                <w:szCs w:val="16"/>
                <w:color w:val="auto"/>
              </w:rPr>
            </w:pPr>
          </w:p>
        </w:tc>
      </w:tr>
      <w:tr>
        <w:trPr>
          <w:trHeight w:val="189"/>
        </w:trPr>
        <w:tc>
          <w:tcPr>
            <w:tcW w:w="74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Repurchased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(6,167)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60" w:type="dxa"/>
            <w:vAlign w:val="bottom"/>
            <w:shd w:val="clear" w:color="auto" w:fill="CCEEFF"/>
          </w:tcPr>
          <w:p>
            <w:pPr>
              <w:spacing w:after="0"/>
              <w:rPr>
                <w:sz w:val="16"/>
                <w:szCs w:val="16"/>
                <w:color w:val="auto"/>
              </w:rPr>
            </w:pPr>
          </w:p>
        </w:tc>
      </w:tr>
      <w:tr>
        <w:trPr>
          <w:trHeight w:val="192"/>
        </w:trPr>
        <w:tc>
          <w:tcPr>
            <w:tcW w:w="7400" w:type="dxa"/>
            <w:vAlign w:val="bottom"/>
          </w:tcPr>
          <w:p>
            <w:pPr>
              <w:spacing w:after="0"/>
              <w:rPr>
                <w:sz w:val="20"/>
                <w:szCs w:val="20"/>
                <w:color w:val="auto"/>
              </w:rPr>
            </w:pPr>
            <w:r>
              <w:rPr>
                <w:rFonts w:ascii="Arial" w:cs="Arial" w:eastAsia="Arial" w:hAnsi="Arial"/>
                <w:sz w:val="16"/>
                <w:szCs w:val="16"/>
                <w:color w:val="auto"/>
              </w:rPr>
              <w:t>Unvested as of December 31, 2020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828,825</w:t>
            </w: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0.15</w:t>
            </w:r>
          </w:p>
        </w:tc>
        <w:tc>
          <w:tcPr>
            <w:tcW w:w="60" w:type="dxa"/>
            <w:vAlign w:val="bottom"/>
          </w:tcPr>
          <w:p>
            <w:pPr>
              <w:spacing w:after="0"/>
              <w:rPr>
                <w:sz w:val="16"/>
                <w:szCs w:val="16"/>
                <w:color w:val="auto"/>
              </w:rPr>
            </w:pPr>
          </w:p>
        </w:tc>
      </w:tr>
      <w:tr>
        <w:trPr>
          <w:trHeight w:val="20"/>
        </w:trPr>
        <w:tc>
          <w:tcPr>
            <w:tcW w:w="7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Employee Recourse Notes</w:t>
      </w:r>
    </w:p>
    <w:p>
      <w:pPr>
        <w:spacing w:after="0" w:line="99" w:lineRule="exact"/>
        <w:rPr>
          <w:sz w:val="20"/>
          <w:szCs w:val="20"/>
          <w:color w:val="auto"/>
        </w:rPr>
      </w:pPr>
    </w:p>
    <w:p>
      <w:pPr>
        <w:ind w:left="820" w:right="120" w:firstLine="385"/>
        <w:spacing w:after="0" w:line="253" w:lineRule="auto"/>
        <w:rPr>
          <w:sz w:val="20"/>
          <w:szCs w:val="20"/>
          <w:color w:val="auto"/>
        </w:rPr>
      </w:pPr>
      <w:r>
        <w:rPr>
          <w:rFonts w:ascii="Arial" w:cs="Arial" w:eastAsia="Arial" w:hAnsi="Arial"/>
          <w:sz w:val="16"/>
          <w:szCs w:val="16"/>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ninety days after employment is terminated. As of December 31, 2020, the principal and accrued interest amount of the notes was $87,000. The notes are presented in the statements of convertible preferred stock and stockholders’ deficit.</w:t>
      </w:r>
    </w:p>
    <w:p>
      <w:pPr>
        <w:spacing w:after="0" w:line="10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0440"/>
          </w:cols>
          <w:pgMar w:left="320" w:top="418" w:right="1139" w:bottom="1440" w:gutter="0" w:footer="0" w:header="0"/>
        </w:sectPr>
      </w:pPr>
    </w:p>
    <w:bookmarkStart w:id="274" w:name="page275"/>
    <w:bookmarkEnd w:id="2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10. Income Taxes</w:t>
      </w:r>
    </w:p>
    <w:p>
      <w:pPr>
        <w:spacing w:after="0" w:line="103" w:lineRule="exact"/>
        <w:rPr>
          <w:sz w:val="20"/>
          <w:szCs w:val="20"/>
          <w:color w:val="auto"/>
        </w:rPr>
      </w:pPr>
    </w:p>
    <w:p>
      <w:pPr>
        <w:ind w:left="820" w:right="80" w:firstLine="385"/>
        <w:spacing w:after="0" w:line="329" w:lineRule="auto"/>
        <w:rPr>
          <w:sz w:val="20"/>
          <w:szCs w:val="20"/>
          <w:color w:val="auto"/>
        </w:rPr>
      </w:pPr>
      <w:r>
        <w:rPr>
          <w:rFonts w:ascii="Arial" w:cs="Arial" w:eastAsia="Arial" w:hAnsi="Arial"/>
          <w:sz w:val="13"/>
          <w:szCs w:val="13"/>
          <w:color w:val="auto"/>
        </w:rPr>
        <w:t>No provision for, or benefit from, income taxes was recorded during the years ended December 31, 2019 and 2020. The Company has established a full valuation allowance against its net deferred tax assets due to the uncertainty regarding the realization of such assets. All losses to date have been incurred in the United States. 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Effective Tax Rate Reconciliation</w:t>
      </w:r>
    </w:p>
    <w:p>
      <w:pPr>
        <w:spacing w:after="0" w:line="99"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The effective tax rate of the Company’s provision for income taxes differs from the federal statutory rate and the effective tax rate reconciliation is as follows: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3"/>
                <w:szCs w:val="13"/>
                <w:b w:val="1"/>
                <w:bCs w:val="1"/>
                <w:color w:val="auto"/>
                <w:w w:val="94"/>
              </w:rPr>
              <w:t>December 31,</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9"/>
              </w:rPr>
              <w:t>2020</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74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U.S. federal taxes at statutory rate</w:t>
            </w:r>
          </w:p>
        </w:tc>
        <w:tc>
          <w:tcPr>
            <w:tcW w:w="620" w:type="dxa"/>
            <w:vAlign w:val="bottom"/>
            <w:gridSpan w:val="3"/>
            <w:shd w:val="clear" w:color="auto" w:fill="CCEEFF"/>
          </w:tcPr>
          <w:p>
            <w:pPr>
              <w:jc w:val="right"/>
              <w:ind w:right="26"/>
              <w:spacing w:after="0" w:line="181" w:lineRule="exact"/>
              <w:rPr>
                <w:sz w:val="20"/>
                <w:szCs w:val="20"/>
                <w:color w:val="auto"/>
              </w:rPr>
            </w:pPr>
            <w:r>
              <w:rPr>
                <w:rFonts w:ascii="Arial" w:cs="Arial" w:eastAsia="Arial" w:hAnsi="Arial"/>
                <w:sz w:val="16"/>
                <w:szCs w:val="16"/>
                <w:color w:val="auto"/>
              </w:rPr>
              <w:t>21.0%</w:t>
            </w:r>
          </w:p>
        </w:tc>
        <w:tc>
          <w:tcPr>
            <w:tcW w:w="720" w:type="dxa"/>
            <w:vAlign w:val="bottom"/>
            <w:tcBorders>
              <w:right w:val="single" w:sz="8" w:color="CCEEFF"/>
            </w:tcBorders>
            <w:shd w:val="clear" w:color="auto" w:fill="CCEEFF"/>
          </w:tcPr>
          <w:p>
            <w:pPr>
              <w:spacing w:after="0"/>
              <w:rPr>
                <w:sz w:val="15"/>
                <w:szCs w:val="15"/>
                <w:color w:val="auto"/>
              </w:rPr>
            </w:pPr>
          </w:p>
        </w:tc>
        <w:tc>
          <w:tcPr>
            <w:tcW w:w="520" w:type="dxa"/>
            <w:vAlign w:val="bottom"/>
            <w:gridSpan w:val="4"/>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w w:val="96"/>
              </w:rPr>
              <w:t>21.0%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Credits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620" w:type="dxa"/>
            <w:vAlign w:val="bottom"/>
            <w:gridSpan w:val="3"/>
          </w:tcPr>
          <w:p>
            <w:pPr>
              <w:jc w:val="right"/>
              <w:ind w:right="106"/>
              <w:spacing w:after="0"/>
              <w:rPr>
                <w:sz w:val="20"/>
                <w:szCs w:val="20"/>
                <w:color w:val="auto"/>
              </w:rPr>
            </w:pPr>
            <w:r>
              <w:rPr>
                <w:rFonts w:ascii="Arial" w:cs="Arial" w:eastAsia="Arial" w:hAnsi="Arial"/>
                <w:sz w:val="16"/>
                <w:szCs w:val="16"/>
                <w:color w:val="auto"/>
              </w:rPr>
              <w:t>(0.2)</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Section 382 limitation on tax attribute carryforwards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(9.0)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620" w:type="dxa"/>
            <w:vAlign w:val="bottom"/>
            <w:gridSpan w:val="3"/>
          </w:tcPr>
          <w:p>
            <w:pPr>
              <w:jc w:val="right"/>
              <w:ind w:right="106"/>
              <w:spacing w:after="0"/>
              <w:rPr>
                <w:sz w:val="20"/>
                <w:szCs w:val="20"/>
                <w:color w:val="auto"/>
              </w:rPr>
            </w:pPr>
            <w:r>
              <w:rPr>
                <w:rFonts w:ascii="Arial" w:cs="Arial" w:eastAsia="Arial" w:hAnsi="Arial"/>
                <w:sz w:val="16"/>
                <w:szCs w:val="16"/>
                <w:color w:val="auto"/>
              </w:rPr>
              <w:t>(30.7)</w:t>
            </w: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620" w:type="dxa"/>
            <w:vAlign w:val="bottom"/>
            <w:gridSpan w:val="3"/>
            <w:shd w:val="clear" w:color="auto" w:fill="CCEEFF"/>
          </w:tcPr>
          <w:p>
            <w:pPr>
              <w:jc w:val="right"/>
              <w:ind w:right="106"/>
              <w:spacing w:after="0"/>
              <w:rPr>
                <w:sz w:val="20"/>
                <w:szCs w:val="20"/>
                <w:color w:val="auto"/>
              </w:rPr>
            </w:pPr>
            <w:r>
              <w:rPr>
                <w:rFonts w:ascii="Arial" w:cs="Arial" w:eastAsia="Arial" w:hAnsi="Arial"/>
                <w:sz w:val="16"/>
                <w:szCs w:val="16"/>
                <w:color w:val="auto"/>
              </w:rPr>
              <w:t>(0.1)</w:t>
            </w: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740" w:type="dxa"/>
            <w:vAlign w:val="bottom"/>
            <w:vMerge w:val="continue"/>
          </w:tcPr>
          <w:p>
            <w:pPr>
              <w:spacing w:after="0"/>
              <w:rPr>
                <w:sz w:val="16"/>
                <w:szCs w:val="16"/>
                <w:color w:val="auto"/>
              </w:rPr>
            </w:pPr>
          </w:p>
        </w:tc>
        <w:tc>
          <w:tcPr>
            <w:tcW w:w="620" w:type="dxa"/>
            <w:vAlign w:val="bottom"/>
            <w:gridSpan w:val="3"/>
          </w:tcPr>
          <w:p>
            <w:pPr>
              <w:jc w:val="right"/>
              <w:ind w:right="26"/>
              <w:spacing w:after="0"/>
              <w:rPr>
                <w:sz w:val="20"/>
                <w:szCs w:val="20"/>
                <w:color w:val="auto"/>
              </w:rPr>
            </w:pPr>
            <w:r>
              <w:rPr>
                <w:rFonts w:ascii="Arial" w:cs="Arial" w:eastAsia="Arial" w:hAnsi="Arial"/>
                <w:sz w:val="16"/>
                <w:szCs w:val="16"/>
                <w:color w:val="auto"/>
              </w:rPr>
              <w:t>0.0%</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vMerge w:val="restart"/>
          </w:tcPr>
          <w:p>
            <w:pPr>
              <w:ind w:left="36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3"/>
                <w:szCs w:val="13"/>
                <w:b w:val="1"/>
                <w:bCs w:val="1"/>
                <w:color w:val="auto"/>
                <w:w w:val="82"/>
              </w:rPr>
              <w:t>December 31,</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Borders>
              <w:bottom w:val="single" w:sz="8" w:color="auto"/>
            </w:tcBorders>
            <w:gridSpan w:val="2"/>
          </w:tcPr>
          <w:p>
            <w:pPr>
              <w:jc w:val="right"/>
              <w:ind w:right="6"/>
              <w:spacing w:after="0" w:line="122" w:lineRule="exact"/>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75"/>
              </w:rPr>
              <w:t>2020</w:t>
            </w:r>
          </w:p>
        </w:tc>
        <w:tc>
          <w:tcPr>
            <w:tcW w:w="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Balance at beginning of year</w:t>
            </w: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280"/>
              <w:spacing w:after="0"/>
              <w:rPr>
                <w:sz w:val="20"/>
                <w:szCs w:val="20"/>
                <w:color w:val="auto"/>
              </w:rPr>
            </w:pPr>
            <w:r>
              <w:rPr>
                <w:rFonts w:ascii="Arial" w:cs="Arial" w:eastAsia="Arial" w:hAnsi="Arial"/>
                <w:sz w:val="16"/>
                <w:szCs w:val="16"/>
                <w:color w:val="auto"/>
              </w:rPr>
              <w:t>Additions based on tax positions related to current year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2"/>
              </w:rPr>
              <w:t>473</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Additions based on tax positions related to prior years</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271</w:t>
            </w:r>
          </w:p>
        </w:tc>
        <w:tc>
          <w:tcPr>
            <w:tcW w:w="7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40" w:type="dxa"/>
            <w:vAlign w:val="bottom"/>
          </w:tcPr>
          <w:p>
            <w:pPr>
              <w:ind w:left="280"/>
              <w:spacing w:after="0"/>
              <w:rPr>
                <w:sz w:val="20"/>
                <w:szCs w:val="20"/>
                <w:color w:val="auto"/>
              </w:rPr>
            </w:pPr>
            <w:r>
              <w:rPr>
                <w:rFonts w:ascii="Arial" w:cs="Arial" w:eastAsia="Arial" w:hAnsi="Arial"/>
                <w:sz w:val="16"/>
                <w:szCs w:val="16"/>
                <w:color w:val="auto"/>
              </w:rPr>
              <w:t>Reductions for tax positions related to prior years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6"/>
              </w:rPr>
              <w:t>(466)</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6"/>
                <w:szCs w:val="16"/>
                <w:color w:val="auto"/>
              </w:rPr>
              <w:t>Balance at end of year</w:t>
            </w:r>
          </w:p>
        </w:tc>
        <w:tc>
          <w:tcPr>
            <w:tcW w:w="380" w:type="dxa"/>
            <w:vAlign w:val="bottom"/>
            <w:gridSpan w:val="2"/>
            <w:shd w:val="clear" w:color="auto" w:fill="CCEEFF"/>
          </w:tcPr>
          <w:p>
            <w:pPr>
              <w:jc w:val="right"/>
              <w:ind w:right="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744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80" w:firstLine="385"/>
        <w:spacing w:after="0" w:line="256" w:lineRule="auto"/>
        <w:rPr>
          <w:sz w:val="20"/>
          <w:szCs w:val="20"/>
          <w:color w:val="auto"/>
        </w:rPr>
      </w:pPr>
      <w:r>
        <w:rPr>
          <w:rFonts w:ascii="Arial" w:cs="Arial" w:eastAsia="Arial" w:hAnsi="Arial"/>
          <w:sz w:val="16"/>
          <w:szCs w:val="16"/>
          <w:color w:val="auto"/>
        </w:rPr>
        <w:t>The Company does not expect that its uncertain tax positions will materially change in the next twelve months. The reversal of the uncertain tax benefits would not impact the Company’s effective tax rate as the Company continues to maintain a full valuation allowance against its deferred tax assets.</w:t>
      </w:r>
    </w:p>
    <w:p>
      <w:pPr>
        <w:spacing w:after="0" w:line="166" w:lineRule="exact"/>
        <w:rPr>
          <w:sz w:val="20"/>
          <w:szCs w:val="20"/>
          <w:color w:val="auto"/>
        </w:rPr>
      </w:pPr>
    </w:p>
    <w:p>
      <w:pPr>
        <w:ind w:left="820" w:right="80" w:firstLine="385"/>
        <w:spacing w:after="0" w:line="256" w:lineRule="auto"/>
        <w:rPr>
          <w:sz w:val="20"/>
          <w:szCs w:val="20"/>
          <w:color w:val="auto"/>
        </w:rPr>
      </w:pPr>
      <w:r>
        <w:rPr>
          <w:rFonts w:ascii="Arial" w:cs="Arial" w:eastAsia="Arial" w:hAnsi="Arial"/>
          <w:sz w:val="16"/>
          <w:szCs w:val="16"/>
          <w:color w:val="auto"/>
        </w:rPr>
        <w:t>The Company files tax returns in U.S. federal and state with varying statutes of limitations. Due to net operating loss and credit carryforwards, all of the tax years since inception through the 2020 tax year remain subject to examination by the U.S. federal and state authorities. The Company is currently not subject to any income tax audits by federal or state taxing authorities.</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0440"/>
          </w:cols>
          <w:pgMar w:left="320" w:top="418" w:right="1139" w:bottom="1440" w:gutter="0" w:footer="0" w:header="0"/>
        </w:sectPr>
      </w:pPr>
    </w:p>
    <w:bookmarkStart w:id="275" w:name="page276"/>
    <w:bookmarkEnd w:id="2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Deferred Income Taxes</w:t>
      </w:r>
    </w:p>
    <w:p>
      <w:pPr>
        <w:spacing w:after="0" w:line="9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tax effects of significant items comprising the Company’s deferred income taxes are as follows</w:t>
      </w:r>
      <w:r>
        <w:rPr>
          <w:rFonts w:ascii="Arial" w:cs="Arial" w:eastAsia="Arial" w:hAnsi="Arial"/>
          <w:sz w:val="16"/>
          <w:szCs w:val="16"/>
          <w:b w:val="1"/>
          <w:bCs w:val="1"/>
          <w:color w:val="auto"/>
        </w:rPr>
        <w:t>:</w:t>
      </w: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9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1"/>
        </w:trPr>
        <w:tc>
          <w:tcPr>
            <w:tcW w:w="49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5"/>
              <w:spacing w:after="0" w:line="122" w:lineRule="exact"/>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03"/>
              <w:spacing w:after="0" w:line="122" w:lineRule="exact"/>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0"/>
                <w:szCs w:val="10"/>
                <w:color w:val="auto"/>
              </w:rPr>
            </w:pPr>
          </w:p>
        </w:tc>
      </w:tr>
      <w:tr>
        <w:trPr>
          <w:trHeight w:val="121"/>
        </w:trPr>
        <w:tc>
          <w:tcPr>
            <w:tcW w:w="496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Net operating losses</w:t>
            </w:r>
          </w:p>
        </w:tc>
        <w:tc>
          <w:tcPr>
            <w:tcW w:w="2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11,820</w:t>
            </w:r>
          </w:p>
        </w:tc>
        <w:tc>
          <w:tcPr>
            <w:tcW w:w="30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20,917</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Tax credits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Accrued expenses and other</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Tenant improvements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ind w:left="300"/>
              <w:spacing w:after="0"/>
              <w:rPr>
                <w:sz w:val="20"/>
                <w:szCs w:val="20"/>
                <w:color w:val="auto"/>
              </w:rPr>
            </w:pPr>
            <w:r>
              <w:rPr>
                <w:rFonts w:ascii="Arial" w:cs="Arial" w:eastAsia="Arial" w:hAnsi="Arial"/>
                <w:sz w:val="16"/>
                <w:szCs w:val="16"/>
                <w:color w:val="auto"/>
              </w:rPr>
              <w:t>Property and equipment</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93</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Stock-based compensation</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6"/>
                <w:szCs w:val="16"/>
                <w:color w:val="auto"/>
              </w:rPr>
            </w:pPr>
          </w:p>
        </w:tc>
      </w:tr>
      <w:tr>
        <w:trPr>
          <w:trHeight w:val="192"/>
        </w:trPr>
        <w:tc>
          <w:tcPr>
            <w:tcW w:w="4960" w:type="dxa"/>
            <w:vAlign w:val="bottom"/>
          </w:tcPr>
          <w:p>
            <w:pPr>
              <w:ind w:left="300"/>
              <w:spacing w:after="0"/>
              <w:rPr>
                <w:sz w:val="20"/>
                <w:szCs w:val="20"/>
                <w:color w:val="auto"/>
              </w:rPr>
            </w:pPr>
            <w:r>
              <w:rPr>
                <w:rFonts w:ascii="Arial" w:cs="Arial" w:eastAsia="Arial" w:hAnsi="Arial"/>
                <w:sz w:val="16"/>
                <w:szCs w:val="16"/>
                <w:color w:val="auto"/>
              </w:rPr>
              <w:t>Other</w:t>
            </w:r>
          </w:p>
        </w:tc>
        <w:tc>
          <w:tcPr>
            <w:tcW w:w="28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6"/>
                <w:szCs w:val="16"/>
                <w:color w:val="auto"/>
              </w:rPr>
            </w:pPr>
          </w:p>
        </w:tc>
      </w:tr>
      <w:tr>
        <w:trPr>
          <w:trHeight w:val="189"/>
        </w:trPr>
        <w:tc>
          <w:tcPr>
            <w:tcW w:w="49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Total deferred tax assets</w:t>
            </w:r>
          </w:p>
        </w:tc>
        <w:tc>
          <w:tcPr>
            <w:tcW w:w="2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15,418</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24,287</w:t>
            </w:r>
          </w:p>
        </w:tc>
        <w:tc>
          <w:tcPr>
            <w:tcW w:w="100" w:type="dxa"/>
            <w:vAlign w:val="bottom"/>
            <w:shd w:val="clear" w:color="auto" w:fill="CCEEFF"/>
          </w:tcPr>
          <w:p>
            <w:pPr>
              <w:spacing w:after="0"/>
              <w:rPr>
                <w:sz w:val="16"/>
                <w:szCs w:val="16"/>
                <w:color w:val="auto"/>
              </w:rPr>
            </w:pP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Valuation allowance</w:t>
            </w:r>
          </w:p>
        </w:tc>
        <w:tc>
          <w:tcPr>
            <w:tcW w:w="2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(15,418)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87"/>
              </w:rPr>
              <w:t>(24,287)</w:t>
            </w:r>
          </w:p>
        </w:tc>
      </w:tr>
      <w:tr>
        <w:trPr>
          <w:trHeight w:val="24"/>
        </w:trPr>
        <w:tc>
          <w:tcPr>
            <w:tcW w:w="49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9"/>
        </w:trPr>
        <w:tc>
          <w:tcPr>
            <w:tcW w:w="49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Net deferred tax assets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49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314" w:lineRule="auto"/>
        <w:rPr>
          <w:sz w:val="20"/>
          <w:szCs w:val="20"/>
          <w:color w:val="auto"/>
        </w:rPr>
      </w:pPr>
      <w:r>
        <w:rPr>
          <w:rFonts w:ascii="Arial" w:cs="Arial" w:eastAsia="Arial" w:hAnsi="Arial"/>
          <w:sz w:val="13"/>
          <w:szCs w:val="13"/>
          <w:color w:val="auto"/>
        </w:rPr>
        <w:t>The tax benefit of net operating losses, temporary differences and credit carryforwards are recorded as an asset to the extent that the Company assesses that realization is more likely than not. Realization of the future tax benefits is dependent on the Company’s ability to generate sufficient taxable income within the carryforward period. As a result of the Company’s recent history of operating losses, the Company believes that recognition of deferred tax assets arising from the above-mentioned future tax benefits is currently not likely to be realized and, accordingly, has provided a full valuation allowance. The valuation allowance increased by $7.4 million and $8.9 million during the years ended December 31, 2019 and 2020. The increase in the valuation allowance during the year ended December 31, 2020 would have been larger but for the reduction in net operating loss and tax credit carryforwards limited under Section 382. The impact of the Section 382 limitation resulted in the reduction of deferred tax assets for federal research credits and state net operating loss carryforwards, with an offsetting reduction of the valuation allowance.</w:t>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Operating Loss and Tax Credit Carryforwards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As of December 31, 2020, the Company’s net operating loss and tax carryforwards are summarized as follows:</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520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rPr>
              <w:t>Amount</w:t>
            </w:r>
          </w:p>
        </w:tc>
        <w:tc>
          <w:tcPr>
            <w:tcW w:w="260" w:type="dxa"/>
            <w:vAlign w:val="bottom"/>
            <w:tcBorders>
              <w:bottom w:val="single" w:sz="8" w:color="CCEEFF"/>
            </w:tcBorders>
          </w:tcPr>
          <w:p>
            <w:pPr>
              <w:spacing w:after="0"/>
              <w:rPr>
                <w:sz w:val="13"/>
                <w:szCs w:val="13"/>
                <w:color w:val="auto"/>
              </w:rPr>
            </w:pPr>
          </w:p>
        </w:tc>
        <w:tc>
          <w:tcPr>
            <w:tcW w:w="17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Expiration in years</w:t>
            </w:r>
          </w:p>
        </w:tc>
      </w:tr>
      <w:tr>
        <w:trPr>
          <w:trHeight w:val="180"/>
        </w:trPr>
        <w:tc>
          <w:tcPr>
            <w:tcW w:w="52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Net operating losses, federal (post-December 31, 2017)</w:t>
            </w:r>
          </w:p>
        </w:tc>
        <w:tc>
          <w:tcPr>
            <w:tcW w:w="17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w w:val="98"/>
              </w:rPr>
              <w:t>$  75,431</w:t>
            </w:r>
          </w:p>
        </w:tc>
        <w:tc>
          <w:tcPr>
            <w:tcW w:w="26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Do Not Expire</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Net operating losses, federal (pre-January 1, 2018)</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3,093</w:t>
            </w:r>
          </w:p>
        </w:tc>
        <w:tc>
          <w:tcPr>
            <w:tcW w:w="2020" w:type="dxa"/>
            <w:vAlign w:val="bottom"/>
            <w:gridSpan w:val="2"/>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losses, state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62,508</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tcPr>
          <w:p>
            <w:pPr>
              <w:spacing w:after="0"/>
              <w:rPr>
                <w:sz w:val="20"/>
                <w:szCs w:val="20"/>
                <w:color w:val="auto"/>
              </w:rPr>
            </w:pPr>
            <w:r>
              <w:rPr>
                <w:rFonts w:ascii="Arial" w:cs="Arial" w:eastAsia="Arial" w:hAnsi="Arial"/>
                <w:sz w:val="16"/>
                <w:szCs w:val="16"/>
                <w:color w:val="auto"/>
              </w:rPr>
              <w:t>Tax credits, federal</w:t>
            </w:r>
          </w:p>
        </w:tc>
        <w:tc>
          <w:tcPr>
            <w:tcW w:w="240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2020" w:type="dxa"/>
            <w:vAlign w:val="bottom"/>
            <w:gridSpan w:val="2"/>
          </w:tcPr>
          <w:p>
            <w:pPr>
              <w:ind w:left="240"/>
              <w:spacing w:after="0"/>
              <w:rPr>
                <w:sz w:val="20"/>
                <w:szCs w:val="20"/>
                <w:color w:val="auto"/>
              </w:rPr>
            </w:pPr>
            <w:r>
              <w:rPr>
                <w:rFonts w:ascii="Arial" w:cs="Arial" w:eastAsia="Arial" w:hAnsi="Arial"/>
                <w:sz w:val="16"/>
                <w:szCs w:val="16"/>
                <w:color w:val="auto"/>
              </w:rPr>
              <w:t>Begins to Expire 2036</w:t>
            </w:r>
          </w:p>
        </w:tc>
      </w:tr>
      <w:tr>
        <w:trPr>
          <w:trHeight w:val="189"/>
        </w:trPr>
        <w:tc>
          <w:tcPr>
            <w:tcW w:w="5200" w:type="dxa"/>
            <w:vAlign w:val="bottom"/>
            <w:shd w:val="clear" w:color="auto" w:fill="CCEEFF"/>
          </w:tcPr>
          <w:p>
            <w:pPr>
              <w:spacing w:after="0"/>
              <w:rPr>
                <w:sz w:val="20"/>
                <w:szCs w:val="20"/>
                <w:color w:val="auto"/>
              </w:rPr>
            </w:pPr>
            <w:r>
              <w:rPr>
                <w:rFonts w:ascii="Arial" w:cs="Arial" w:eastAsia="Arial" w:hAnsi="Arial"/>
                <w:sz w:val="16"/>
                <w:szCs w:val="16"/>
                <w:color w:val="auto"/>
              </w:rPr>
              <w:t>Tax credits, state</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Do Not Expire</w:t>
            </w:r>
          </w:p>
        </w:tc>
      </w:tr>
    </w:tbl>
    <w:p>
      <w:pPr>
        <w:spacing w:after="0" w:line="176" w:lineRule="exact"/>
        <w:rPr>
          <w:sz w:val="20"/>
          <w:szCs w:val="20"/>
          <w:color w:val="auto"/>
        </w:rPr>
      </w:pPr>
    </w:p>
    <w:p>
      <w:pPr>
        <w:ind w:left="820" w:right="40" w:firstLine="385"/>
        <w:spacing w:after="0" w:line="249" w:lineRule="auto"/>
        <w:rPr>
          <w:sz w:val="20"/>
          <w:szCs w:val="20"/>
          <w:color w:val="auto"/>
        </w:rPr>
      </w:pPr>
      <w:r>
        <w:rPr>
          <w:rFonts w:ascii="Arial" w:cs="Arial" w:eastAsia="Arial" w:hAnsi="Arial"/>
          <w:sz w:val="16"/>
          <w:szCs w:val="16"/>
          <w:color w:val="auto"/>
        </w:rPr>
        <w:t>Under Section 382 of the Internal Revenue Code of 1986, as amended, the ability to utilize net operating loss carryforwards or other tax attributes, such as research tax credits, in any taxable year may be limited if the Company has experienced an “ownership change”. This annual limitation may result in the expiration of net operating losses and credits before utilization. As of December 31, 2020, a formal study was conducted and concluded that the Company has experienced an ownership change in 2020. As a result, the Company has removed $3.1 million of deferred tax assets related to net operating loss carryforwards and research tax credit carryforwards due to Section 382 limitations. The Company’s ability to use its remaining net operating loss carryforwards may be further limited if the Company experiences a Section 382 ownership change as a result of future changes in its stock ownership.</w:t>
      </w:r>
    </w:p>
    <w:p>
      <w:pPr>
        <w:spacing w:after="0" w:line="11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0440"/>
          </w:cols>
          <w:pgMar w:left="320" w:top="418" w:right="1139" w:bottom="1440" w:gutter="0" w:footer="0" w:header="0"/>
        </w:sectPr>
      </w:pPr>
    </w:p>
    <w:bookmarkStart w:id="276" w:name="page277"/>
    <w:bookmarkEnd w:id="2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Company recognizes interest and penalties related to taxes and uncertain tax positions as a component of income tax expense. During the years ended December 31, 2019 and 2020, no interest and penalties were accrued by the Company.</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11. Net Loss Per Share</w:t>
      </w:r>
    </w:p>
    <w:p>
      <w:pPr>
        <w:spacing w:after="0" w:line="103"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The following potentially dilutive securities were not included in the calculation of diluted net loss per share for the periods presented because the effect would have been anti-dilutive:</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6920" w:type="dxa"/>
            <w:vAlign w:val="bottom"/>
          </w:tcPr>
          <w:p>
            <w:pPr>
              <w:spacing w:after="0"/>
              <w:rPr>
                <w:sz w:val="13"/>
                <w:szCs w:val="13"/>
                <w:color w:val="auto"/>
              </w:rPr>
            </w:pPr>
          </w:p>
        </w:tc>
        <w:tc>
          <w:tcPr>
            <w:tcW w:w="2700" w:type="dxa"/>
            <w:vAlign w:val="bottom"/>
            <w:gridSpan w:val="4"/>
          </w:tcPr>
          <w:p>
            <w:pPr>
              <w:ind w:left="620"/>
              <w:spacing w:after="0"/>
              <w:rPr>
                <w:sz w:val="20"/>
                <w:szCs w:val="20"/>
                <w:color w:val="auto"/>
              </w:rPr>
            </w:pPr>
            <w:r>
              <w:rPr>
                <w:rFonts w:ascii="Arial" w:cs="Arial" w:eastAsia="Arial" w:hAnsi="Arial"/>
                <w:sz w:val="13"/>
                <w:szCs w:val="13"/>
                <w:b w:val="1"/>
                <w:bCs w:val="1"/>
                <w:color w:val="auto"/>
              </w:rPr>
              <w:t>Year Ended December 31,</w:t>
            </w:r>
          </w:p>
        </w:tc>
      </w:tr>
      <w:tr>
        <w:trPr>
          <w:trHeight w:val="121"/>
        </w:trPr>
        <w:tc>
          <w:tcPr>
            <w:tcW w:w="6920" w:type="dxa"/>
            <w:vAlign w:val="bottom"/>
          </w:tcPr>
          <w:p>
            <w:pPr>
              <w:spacing w:after="0"/>
              <w:rPr>
                <w:sz w:val="10"/>
                <w:szCs w:val="10"/>
                <w:color w:val="auto"/>
              </w:rPr>
            </w:pPr>
          </w:p>
        </w:tc>
        <w:tc>
          <w:tcPr>
            <w:tcW w:w="1180" w:type="dxa"/>
            <w:vAlign w:val="bottom"/>
            <w:tcBorders>
              <w:top w:val="single" w:sz="8" w:color="auto"/>
            </w:tcBorders>
          </w:tcPr>
          <w:p>
            <w:pPr>
              <w:jc w:val="right"/>
              <w:ind w:right="407"/>
              <w:spacing w:after="0" w:line="122" w:lineRule="exact"/>
              <w:rPr>
                <w:sz w:val="20"/>
                <w:szCs w:val="20"/>
                <w:color w:val="auto"/>
              </w:rPr>
            </w:pPr>
            <w:r>
              <w:rPr>
                <w:rFonts w:ascii="Arial" w:cs="Arial" w:eastAsia="Arial" w:hAnsi="Arial"/>
                <w:sz w:val="13"/>
                <w:szCs w:val="13"/>
                <w:b w:val="1"/>
                <w:bCs w:val="1"/>
                <w:color w:val="auto"/>
              </w:rPr>
              <w:t>2019</w:t>
            </w:r>
          </w:p>
        </w:tc>
        <w:tc>
          <w:tcPr>
            <w:tcW w:w="1440" w:type="dxa"/>
            <w:vAlign w:val="bottom"/>
            <w:tcBorders>
              <w:top w:val="single" w:sz="8" w:color="auto"/>
            </w:tcBorders>
            <w:gridSpan w:val="2"/>
          </w:tcPr>
          <w:p>
            <w:pPr>
              <w:jc w:val="right"/>
              <w:ind w:right="401"/>
              <w:spacing w:after="0" w:line="122" w:lineRule="exact"/>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0"/>
                <w:szCs w:val="10"/>
                <w:color w:val="auto"/>
              </w:rPr>
            </w:pPr>
          </w:p>
        </w:tc>
      </w:tr>
      <w:tr>
        <w:trPr>
          <w:trHeight w:val="180"/>
        </w:trPr>
        <w:tc>
          <w:tcPr>
            <w:tcW w:w="6920" w:type="dxa"/>
            <w:vAlign w:val="bottom"/>
            <w:tcBorders>
              <w:top w:val="single" w:sz="8" w:color="CCEEFF"/>
            </w:tcBorders>
            <w:shd w:val="clear" w:color="auto" w:fill="CCEEFF"/>
          </w:tcPr>
          <w:p>
            <w:pPr>
              <w:ind w:left="160"/>
              <w:spacing w:after="0" w:line="180" w:lineRule="exact"/>
              <w:rPr>
                <w:sz w:val="20"/>
                <w:szCs w:val="20"/>
                <w:color w:val="auto"/>
              </w:rPr>
            </w:pPr>
            <w:r>
              <w:rPr>
                <w:rFonts w:ascii="Arial" w:cs="Arial" w:eastAsia="Arial" w:hAnsi="Arial"/>
                <w:sz w:val="16"/>
                <w:szCs w:val="16"/>
                <w:color w:val="auto"/>
              </w:rPr>
              <w:t>Convertible preferred stock</w:t>
            </w:r>
          </w:p>
        </w:tc>
        <w:tc>
          <w:tcPr>
            <w:tcW w:w="11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68,418,509</w:t>
            </w: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146,961,309</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6920" w:type="dxa"/>
            <w:vAlign w:val="bottom"/>
          </w:tcPr>
          <w:p>
            <w:pPr>
              <w:ind w:left="160"/>
              <w:spacing w:after="0"/>
              <w:rPr>
                <w:sz w:val="20"/>
                <w:szCs w:val="20"/>
                <w:color w:val="auto"/>
              </w:rPr>
            </w:pPr>
            <w:r>
              <w:rPr>
                <w:rFonts w:ascii="Arial" w:cs="Arial" w:eastAsia="Arial" w:hAnsi="Arial"/>
                <w:sz w:val="16"/>
                <w:szCs w:val="16"/>
                <w:color w:val="auto"/>
              </w:rPr>
              <w:t>Outstanding stock options</w:t>
            </w:r>
          </w:p>
        </w:tc>
        <w:tc>
          <w:tcPr>
            <w:tcW w:w="1180" w:type="dxa"/>
            <w:vAlign w:val="bottom"/>
          </w:tcPr>
          <w:p>
            <w:pPr>
              <w:jc w:val="right"/>
              <w:spacing w:after="0"/>
              <w:rPr>
                <w:sz w:val="20"/>
                <w:szCs w:val="20"/>
                <w:color w:val="auto"/>
              </w:rPr>
            </w:pPr>
            <w:r>
              <w:rPr>
                <w:rFonts w:ascii="Arial" w:cs="Arial" w:eastAsia="Arial" w:hAnsi="Arial"/>
                <w:sz w:val="16"/>
                <w:szCs w:val="16"/>
                <w:color w:val="auto"/>
              </w:rPr>
              <w:t>5,285,000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6,965,000</w:t>
            </w:r>
          </w:p>
        </w:tc>
        <w:tc>
          <w:tcPr>
            <w:tcW w:w="80" w:type="dxa"/>
            <w:vAlign w:val="bottom"/>
          </w:tcPr>
          <w:p>
            <w:pPr>
              <w:spacing w:after="0"/>
              <w:rPr>
                <w:sz w:val="16"/>
                <w:szCs w:val="16"/>
                <w:color w:val="auto"/>
              </w:rPr>
            </w:pPr>
          </w:p>
        </w:tc>
      </w:tr>
      <w:tr>
        <w:trPr>
          <w:trHeight w:val="189"/>
        </w:trPr>
        <w:tc>
          <w:tcPr>
            <w:tcW w:w="6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Restricted stock subject to future vesting</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1,986,608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828,825</w:t>
            </w:r>
          </w:p>
        </w:tc>
        <w:tc>
          <w:tcPr>
            <w:tcW w:w="80" w:type="dxa"/>
            <w:vAlign w:val="bottom"/>
            <w:shd w:val="clear" w:color="auto" w:fill="CCEEFF"/>
          </w:tcPr>
          <w:p>
            <w:pPr>
              <w:spacing w:after="0"/>
              <w:rPr>
                <w:sz w:val="16"/>
                <w:szCs w:val="16"/>
                <w:color w:val="auto"/>
              </w:rPr>
            </w:pPr>
          </w:p>
        </w:tc>
      </w:tr>
      <w:tr>
        <w:trPr>
          <w:trHeight w:val="192"/>
        </w:trPr>
        <w:tc>
          <w:tcPr>
            <w:tcW w:w="6920" w:type="dxa"/>
            <w:vAlign w:val="bottom"/>
          </w:tcPr>
          <w:p>
            <w:pPr>
              <w:ind w:left="30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75,690,117</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154,755,134</w:t>
            </w:r>
          </w:p>
        </w:tc>
        <w:tc>
          <w:tcPr>
            <w:tcW w:w="80" w:type="dxa"/>
            <w:vAlign w:val="bottom"/>
          </w:tcPr>
          <w:p>
            <w:pPr>
              <w:spacing w:after="0"/>
              <w:rPr>
                <w:sz w:val="16"/>
                <w:szCs w:val="16"/>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jc w:val="center"/>
        <w:ind w:right="6740"/>
        <w:spacing w:after="0"/>
        <w:rPr>
          <w:sz w:val="20"/>
          <w:szCs w:val="20"/>
          <w:color w:val="auto"/>
        </w:rPr>
      </w:pPr>
      <w:r>
        <w:rPr>
          <w:rFonts w:ascii="Arial" w:cs="Arial" w:eastAsia="Arial" w:hAnsi="Arial"/>
          <w:sz w:val="16"/>
          <w:szCs w:val="16"/>
          <w:b w:val="1"/>
          <w:bCs w:val="1"/>
          <w:color w:val="auto"/>
        </w:rPr>
        <w:t>12. Related Party Transactions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Institutes</w:t>
      </w:r>
    </w:p>
    <w:p>
      <w:pPr>
        <w:spacing w:after="0" w:line="99" w:lineRule="exact"/>
        <w:rPr>
          <w:sz w:val="20"/>
          <w:szCs w:val="20"/>
          <w:color w:val="auto"/>
        </w:rPr>
      </w:pPr>
    </w:p>
    <w:p>
      <w:pPr>
        <w:ind w:left="820" w:right="140" w:firstLine="385"/>
        <w:spacing w:after="0" w:line="319" w:lineRule="auto"/>
        <w:rPr>
          <w:sz w:val="20"/>
          <w:szCs w:val="20"/>
          <w:color w:val="auto"/>
        </w:rPr>
      </w:pPr>
      <w:r>
        <w:rPr>
          <w:rFonts w:ascii="Arial" w:cs="Arial" w:eastAsia="Arial" w:hAnsi="Arial"/>
          <w:sz w:val="13"/>
          <w:szCs w:val="13"/>
          <w:color w:val="auto"/>
        </w:rPr>
        <w:t>Under the MCA, Gladstone performed specific research activities for the Company in accordance with the mutually agreed-upon annual project plans (see Note 5). During the year ended December 31, 2019, the Company recognized $0.4 million in research and development expenses in relation to the services provided by Gladstone. No such research services were provided during the year ended December 31, 2020. In addition, during the year ended December 31, 2019, the Company recognized $0.2 million in aggregate lab, license and patent fees and $75,000 in stock. During the year ended December 31, 2020, the Company recognized $0.1 million in aggregate lab, license and patent fees. As of December 31, 2019 and 2020, the related party balance included within accounts payable and accrued expenses was $10,000 and $nil.</w:t>
      </w:r>
    </w:p>
    <w:p>
      <w:pPr>
        <w:spacing w:after="0" w:line="22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Scientific Founders</w:t>
      </w:r>
    </w:p>
    <w:p>
      <w:pPr>
        <w:spacing w:after="0" w:line="99" w:lineRule="exact"/>
        <w:rPr>
          <w:sz w:val="20"/>
          <w:szCs w:val="20"/>
          <w:color w:val="auto"/>
        </w:rPr>
      </w:pPr>
    </w:p>
    <w:p>
      <w:pPr>
        <w:ind w:left="820" w:right="20" w:firstLine="385"/>
        <w:spacing w:after="0" w:line="266" w:lineRule="auto"/>
        <w:rPr>
          <w:sz w:val="20"/>
          <w:szCs w:val="20"/>
          <w:color w:val="auto"/>
        </w:rPr>
      </w:pPr>
      <w:r>
        <w:rPr>
          <w:rFonts w:ascii="Arial" w:cs="Arial" w:eastAsia="Arial" w:hAnsi="Arial"/>
          <w:sz w:val="16"/>
          <w:szCs w:val="16"/>
          <w:color w:val="auto"/>
        </w:rPr>
        <w:t>During the years ended December 31, 2019 and 2020, the Company recognized a total of $0.2 million in each period in consulting expense paid to five of its scientific founders.</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13. Subsequent Events</w:t>
      </w:r>
    </w:p>
    <w:p>
      <w:pPr>
        <w:spacing w:after="0" w:line="103" w:lineRule="exact"/>
        <w:rPr>
          <w:sz w:val="20"/>
          <w:szCs w:val="20"/>
          <w:color w:val="auto"/>
        </w:rPr>
      </w:pPr>
    </w:p>
    <w:p>
      <w:pPr>
        <w:ind w:left="820" w:right="300" w:firstLine="385"/>
        <w:spacing w:after="0" w:line="256" w:lineRule="auto"/>
        <w:rPr>
          <w:sz w:val="20"/>
          <w:szCs w:val="20"/>
          <w:color w:val="auto"/>
        </w:rPr>
      </w:pPr>
      <w:r>
        <w:rPr>
          <w:rFonts w:ascii="Arial" w:cs="Arial" w:eastAsia="Arial" w:hAnsi="Arial"/>
          <w:sz w:val="16"/>
          <w:szCs w:val="16"/>
          <w:color w:val="auto"/>
        </w:rPr>
        <w:t>The Company evaluated subsequent events from December 31, 2020, the date of these financial statements, through May 7, 2021, the date the financial statements were available for issuance, for events requiring recognition or disclosure in the financial statements for the year ended December 31, 2020.</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Issuance</w:t>
      </w:r>
    </w:p>
    <w:p>
      <w:pPr>
        <w:spacing w:after="0" w:line="99" w:lineRule="exact"/>
        <w:rPr>
          <w:sz w:val="20"/>
          <w:szCs w:val="20"/>
          <w:color w:val="auto"/>
        </w:rPr>
      </w:pPr>
    </w:p>
    <w:p>
      <w:pPr>
        <w:ind w:left="820" w:right="380" w:firstLine="385"/>
        <w:spacing w:after="0" w:line="266" w:lineRule="auto"/>
        <w:rPr>
          <w:sz w:val="20"/>
          <w:szCs w:val="20"/>
          <w:color w:val="auto"/>
        </w:rPr>
      </w:pPr>
      <w:r>
        <w:rPr>
          <w:rFonts w:ascii="Arial" w:cs="Arial" w:eastAsia="Arial" w:hAnsi="Arial"/>
          <w:sz w:val="16"/>
          <w:szCs w:val="16"/>
          <w:color w:val="auto"/>
        </w:rPr>
        <w:t>In January 2021, the Company sold an additional 9,652,509 shares of Series C convertible preferred stock at the price of $2.072 per share for aggregate gross proceeds of $20.0 million.</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Manufacturing and Office Space Lease Agreement</w:t>
      </w:r>
    </w:p>
    <w:p>
      <w:pPr>
        <w:spacing w:after="0" w:line="99" w:lineRule="exact"/>
        <w:rPr>
          <w:sz w:val="20"/>
          <w:szCs w:val="20"/>
          <w:color w:val="auto"/>
        </w:rPr>
      </w:pPr>
    </w:p>
    <w:p>
      <w:pPr>
        <w:ind w:left="820" w:right="20" w:firstLine="385"/>
        <w:spacing w:after="0" w:line="281" w:lineRule="auto"/>
        <w:rPr>
          <w:sz w:val="20"/>
          <w:szCs w:val="20"/>
          <w:color w:val="auto"/>
        </w:rPr>
      </w:pPr>
      <w:r>
        <w:rPr>
          <w:rFonts w:ascii="Arial" w:cs="Arial" w:eastAsia="Arial" w:hAnsi="Arial"/>
          <w:sz w:val="15"/>
          <w:szCs w:val="15"/>
          <w:color w:val="auto"/>
        </w:rPr>
        <w:t>In February 2021, the Company entered into a lease agreement for manufacturing and office space located in Union City, California. The lease has a ten-year term with one five-year renewal option. Upon the execution of the lease agreement, the Company provided the landlord with a security deposit of $3.3 million. Total lease payments during the lease term are expected to be $13.9 million.</w:t>
      </w:r>
    </w:p>
    <w:p>
      <w:pPr>
        <w:spacing w:after="0" w:line="9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0440"/>
          </w:cols>
          <w:pgMar w:left="320" w:top="418" w:right="1139" w:bottom="1440" w:gutter="0" w:footer="0" w:header="0"/>
        </w:sectPr>
      </w:pPr>
    </w:p>
    <w:bookmarkStart w:id="277" w:name="page278"/>
    <w:bookmarkEnd w:id="2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2021 Stock Options Grants</w:t>
      </w:r>
    </w:p>
    <w:p>
      <w:pPr>
        <w:spacing w:after="0" w:line="99"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In January 2021, the Company granted 778,250 options to employees, each with an exercise price of $0.94 per share and a four-year vesting schedule. In February 2021, the Company granted 2,500,000 options to its chief executive officer, with an exercise price of $0.94 per share and a four-year vesting schedule.</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0280"/>
          </w:cols>
          <w:pgMar w:left="320" w:top="418" w:right="1299" w:bottom="1440" w:gutter="0" w:footer="0" w:header="0"/>
        </w:sectPr>
      </w:pPr>
    </w:p>
    <w:bookmarkStart w:id="278" w:name="page279"/>
    <w:bookmarkEnd w:id="2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Balance Sheets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760" w:type="dxa"/>
            <w:vAlign w:val="bottom"/>
            <w:shd w:val="clear" w:color="auto" w:fill="CCEEFF"/>
          </w:tcPr>
          <w:p>
            <w:pPr>
              <w:spacing w:after="0" w:line="168"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128,535</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128,439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129,964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129,750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17,185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21,267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Restricted cash, non-current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assets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60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148,161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159,757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CONVERTIBLE PREFERRED STOCK AND STOCKHOLDERS’ DEFICIT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rent and other lease liabilities, current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Operating lease liabilities, 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Deferred rent and other lease liabilities, non-current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3,662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Convertible preferred stock, $0.0001 par value; 156,613,818 shares authorized as of December 31, 2020 and</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March 31, 2021; 146,961,309 and 156,613,818 shares issued and outstanding as of December 31, 2020 and</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March 31, 2021; aggregate liquidation preference of $247,900 as of March 31,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220,754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240,735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spacing w:after="0"/>
              <w:rPr>
                <w:sz w:val="20"/>
                <w:szCs w:val="20"/>
                <w:color w:val="auto"/>
              </w:rPr>
            </w:pPr>
            <w:r>
              <w:rPr>
                <w:rFonts w:ascii="Arial" w:cs="Arial" w:eastAsia="Arial" w:hAnsi="Arial"/>
                <w:sz w:val="16"/>
                <w:szCs w:val="16"/>
                <w:color w:val="auto"/>
              </w:rPr>
              <w:t>Stockholders’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w w:val="95"/>
              </w:rPr>
              <w:t>Common stock, $0.0001 par value; 181,980,000 shares authorized as of December 31, 2020 and March 31, 2021;</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7,261,976 and 7,334,861 shares issued and outstanding as of December 31, 2020 and March 31, 2021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Additional paid-in 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1,583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receivable from stockholders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6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(82,812)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6"/>
                <w:szCs w:val="16"/>
                <w:color w:val="auto"/>
                <w:w w:val="97"/>
              </w:rPr>
              <w:t>(95,910)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deficit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(81,315)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7"/>
              </w:rPr>
              <w:t>(93,943)</w:t>
            </w:r>
          </w:p>
        </w:tc>
        <w:tc>
          <w:tcPr>
            <w:tcW w:w="0" w:type="dxa"/>
            <w:vAlign w:val="bottom"/>
          </w:tcPr>
          <w:p>
            <w:pPr>
              <w:spacing w:after="0"/>
              <w:rPr>
                <w:sz w:val="1"/>
                <w:szCs w:val="1"/>
                <w:color w:val="auto"/>
              </w:rPr>
            </w:pPr>
          </w:p>
        </w:tc>
      </w:tr>
      <w:tr>
        <w:trPr>
          <w:trHeight w:val="192"/>
        </w:trPr>
        <w:tc>
          <w:tcPr>
            <w:tcW w:w="7780" w:type="dxa"/>
            <w:vAlign w:val="bottom"/>
            <w:gridSpan w:val="2"/>
          </w:tcPr>
          <w:p>
            <w:pPr>
              <w:spacing w:after="0"/>
              <w:rPr>
                <w:sz w:val="20"/>
                <w:szCs w:val="20"/>
                <w:color w:val="auto"/>
              </w:rPr>
            </w:pPr>
            <w:r>
              <w:rPr>
                <w:rFonts w:ascii="Arial" w:cs="Arial" w:eastAsia="Arial" w:hAnsi="Arial"/>
                <w:sz w:val="16"/>
                <w:szCs w:val="16"/>
                <w:color w:val="auto"/>
              </w:rPr>
              <w:t>Total liabilities, convertible preferred stock and stockholders’ deficit</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148,161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159,757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0440"/>
          </w:cols>
          <w:pgMar w:left="320" w:top="418" w:right="1139" w:bottom="1440" w:gutter="0" w:footer="0" w:header="0"/>
        </w:sectPr>
      </w:pPr>
    </w:p>
    <w:bookmarkStart w:id="279" w:name="page280"/>
    <w:bookmarkEnd w:id="2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Operations and Comprehensive Loss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and per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92" w:lineRule="exact"/>
        <w:rPr>
          <w:sz w:val="20"/>
          <w:szCs w:val="20"/>
          <w:color w:val="auto"/>
        </w:rPr>
      </w:pPr>
    </w:p>
    <w:p>
      <w:pPr>
        <w:jc w:val="center"/>
        <w:ind w:left="7600"/>
        <w:spacing w:after="0"/>
        <w:rPr>
          <w:sz w:val="20"/>
          <w:szCs w:val="20"/>
          <w:color w:val="auto"/>
        </w:rPr>
      </w:pPr>
      <w:r>
        <w:rPr>
          <w:rFonts w:ascii="Arial" w:cs="Arial" w:eastAsia="Arial" w:hAnsi="Arial"/>
          <w:sz w:val="13"/>
          <w:szCs w:val="13"/>
          <w:b w:val="1"/>
          <w:bCs w:val="1"/>
          <w:color w:val="auto"/>
        </w:rPr>
        <w:t>Three Months Ended</w:t>
      </w:r>
    </w:p>
    <w:p>
      <w:pPr>
        <w:jc w:val="center"/>
        <w:ind w:left="7600"/>
        <w:spacing w:after="0" w:line="217" w:lineRule="auto"/>
        <w:rPr>
          <w:sz w:val="20"/>
          <w:szCs w:val="20"/>
          <w:color w:val="auto"/>
        </w:rPr>
      </w:pPr>
      <w:r>
        <w:rPr>
          <w:rFonts w:ascii="Arial" w:cs="Arial" w:eastAsia="Arial" w:hAnsi="Arial"/>
          <w:sz w:val="13"/>
          <w:szCs w:val="13"/>
          <w:b w:val="1"/>
          <w:bCs w:val="1"/>
          <w:color w:val="auto"/>
        </w:rPr>
        <w:t>March 31,</w:t>
      </w:r>
    </w:p>
    <w:tbl>
      <w:tblPr>
        <w:tblLayout w:type="fixed"/>
        <w:tblInd w:w="82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6340" w:type="dxa"/>
            <w:vAlign w:val="bottom"/>
            <w:tcBorders>
              <w:bottom w:val="single" w:sz="8" w:color="CCEEFF"/>
            </w:tcBorders>
          </w:tcPr>
          <w:p>
            <w:pPr>
              <w:spacing w:after="0"/>
              <w:rPr>
                <w:sz w:val="10"/>
                <w:szCs w:val="10"/>
                <w:color w:val="auto"/>
              </w:rPr>
            </w:pPr>
          </w:p>
        </w:tc>
        <w:tc>
          <w:tcPr>
            <w:tcW w:w="136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2020</w:t>
            </w:r>
          </w:p>
        </w:tc>
        <w:tc>
          <w:tcPr>
            <w:tcW w:w="22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63"/>
              <w:spacing w:after="0" w:line="122" w:lineRule="exact"/>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rPr>
              <w:t>Operating expenses:</w:t>
            </w:r>
          </w:p>
        </w:tc>
        <w:tc>
          <w:tcPr>
            <w:tcW w:w="1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7,297</w:t>
            </w:r>
          </w:p>
        </w:tc>
        <w:tc>
          <w:tcPr>
            <w:tcW w:w="2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360" w:type="dxa"/>
            <w:vAlign w:val="bottom"/>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1,969</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600"/>
              <w:spacing w:after="0"/>
              <w:rPr>
                <w:sz w:val="20"/>
                <w:szCs w:val="20"/>
                <w:color w:val="auto"/>
              </w:rPr>
            </w:pPr>
            <w:r>
              <w:rPr>
                <w:rFonts w:ascii="Arial" w:cs="Arial" w:eastAsia="Arial" w:hAnsi="Arial"/>
                <w:sz w:val="16"/>
                <w:szCs w:val="16"/>
                <w:color w:val="auto"/>
              </w:rPr>
              <w:t>Total operating expenses</w:t>
            </w:r>
          </w:p>
        </w:tc>
        <w:tc>
          <w:tcPr>
            <w:tcW w:w="13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(9,266)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(13,105)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80"/>
              <w:spacing w:after="0"/>
              <w:rPr>
                <w:sz w:val="20"/>
                <w:szCs w:val="20"/>
                <w:color w:val="auto"/>
              </w:rPr>
            </w:pPr>
            <w:r>
              <w:rPr>
                <w:rFonts w:ascii="Arial" w:cs="Arial" w:eastAsia="Arial" w:hAnsi="Arial"/>
                <w:sz w:val="16"/>
                <w:szCs w:val="16"/>
                <w:color w:val="auto"/>
              </w:rPr>
              <w:t>Change in fair value of convertible preferred stock tranche liability</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600"/>
              <w:spacing w:after="0"/>
              <w:rPr>
                <w:sz w:val="20"/>
                <w:szCs w:val="20"/>
                <w:color w:val="auto"/>
              </w:rPr>
            </w:pPr>
            <w:r>
              <w:rPr>
                <w:rFonts w:ascii="Arial" w:cs="Arial" w:eastAsia="Arial" w:hAnsi="Arial"/>
                <w:sz w:val="16"/>
                <w:szCs w:val="16"/>
                <w:color w:val="auto"/>
              </w:rPr>
              <w:t>Total other income (expense), net</w:t>
            </w:r>
          </w:p>
        </w:tc>
        <w:tc>
          <w:tcPr>
            <w:tcW w:w="13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Loss before income tax expense</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(9,051)</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(13,098)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color w:val="auto"/>
              </w:rPr>
              <w:t>Income tax expense</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color w:val="auto"/>
              </w:rPr>
              <w:t>Net loss and comprehensive loss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(9,051)</w:t>
            </w:r>
          </w:p>
        </w:tc>
        <w:tc>
          <w:tcPr>
            <w:tcW w:w="2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1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gridSpan w:val="2"/>
            <w:vMerge w:val="continue"/>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(1.69)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(1.99)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3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Weighted-average shares used in computing net loss per share, basic and diluted</w:t>
            </w:r>
          </w:p>
        </w:tc>
        <w:tc>
          <w:tcPr>
            <w:tcW w:w="13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5,351,978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7"/>
              </w:rPr>
              <w:t>6,586,917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0440"/>
          </w:cols>
          <w:pgMar w:left="320" w:top="418" w:right="1139" w:bottom="1440" w:gutter="0" w:footer="0" w:header="0"/>
        </w:sectPr>
      </w:pPr>
    </w:p>
    <w:bookmarkStart w:id="280" w:name="page281"/>
    <w:bookmarkEnd w:id="2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20" w:type="dxa"/>
            <w:vAlign w:val="bottom"/>
            <w:gridSpan w:val="4"/>
            <w:vMerge w:val="restart"/>
          </w:tcPr>
          <w:p>
            <w:pPr>
              <w:jc w:val="right"/>
              <w:ind w:right="269"/>
              <w:spacing w:after="0"/>
              <w:rPr>
                <w:sz w:val="20"/>
                <w:szCs w:val="20"/>
                <w:color w:val="auto"/>
              </w:rPr>
            </w:pPr>
            <w:r>
              <w:rPr>
                <w:rFonts w:ascii="Arial" w:cs="Arial" w:eastAsia="Arial" w:hAnsi="Arial"/>
                <w:sz w:val="13"/>
                <w:szCs w:val="13"/>
                <w:b w:val="1"/>
                <w:bCs w:val="1"/>
                <w:color w:val="auto"/>
              </w:rPr>
              <w:t>Convertible</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120" w:type="dxa"/>
            <w:vAlign w:val="bottom"/>
          </w:tcPr>
          <w:p>
            <w:pPr>
              <w:spacing w:after="0"/>
              <w:rPr>
                <w:sz w:val="6"/>
                <w:szCs w:val="6"/>
                <w:color w:val="auto"/>
              </w:rPr>
            </w:pPr>
          </w:p>
        </w:tc>
        <w:tc>
          <w:tcPr>
            <w:tcW w:w="1320" w:type="dxa"/>
            <w:vAlign w:val="bottom"/>
            <w:gridSpan w:val="4"/>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6"/>
                <w:szCs w:val="6"/>
                <w:color w:val="auto"/>
              </w:rPr>
            </w:pPr>
          </w:p>
        </w:tc>
        <w:tc>
          <w:tcPr>
            <w:tcW w:w="840" w:type="dxa"/>
            <w:vAlign w:val="bottom"/>
            <w:gridSpan w:val="3"/>
            <w:vMerge w:val="restart"/>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320" w:type="dxa"/>
            <w:vAlign w:val="bottom"/>
            <w:gridSpan w:val="4"/>
            <w:vMerge w:val="restart"/>
          </w:tcPr>
          <w:p>
            <w:pPr>
              <w:jc w:val="right"/>
              <w:ind w:right="169"/>
              <w:spacing w:after="0"/>
              <w:rPr>
                <w:sz w:val="20"/>
                <w:szCs w:val="20"/>
                <w:color w:val="auto"/>
              </w:rPr>
            </w:pPr>
            <w:r>
              <w:rPr>
                <w:rFonts w:ascii="Arial" w:cs="Arial" w:eastAsia="Arial" w:hAnsi="Arial"/>
                <w:sz w:val="13"/>
                <w:szCs w:val="13"/>
                <w:b w:val="1"/>
                <w:bCs w:val="1"/>
                <w:color w:val="auto"/>
              </w:rPr>
              <w:t>Preferred Stock</w:t>
            </w:r>
          </w:p>
        </w:tc>
        <w:tc>
          <w:tcPr>
            <w:tcW w:w="12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4"/>
            <w:vMerge w:val="restart"/>
          </w:tcPr>
          <w:p>
            <w:pPr>
              <w:ind w:left="220"/>
              <w:spacing w:after="0"/>
              <w:rPr>
                <w:sz w:val="20"/>
                <w:szCs w:val="20"/>
                <w:color w:val="auto"/>
              </w:rPr>
            </w:pPr>
            <w:r>
              <w:rPr>
                <w:rFonts w:ascii="Arial" w:cs="Arial" w:eastAsia="Arial" w:hAnsi="Arial"/>
                <w:sz w:val="13"/>
                <w:szCs w:val="13"/>
                <w:b w:val="1"/>
                <w:bCs w:val="1"/>
                <w:color w:val="auto"/>
                <w:w w:val="88"/>
              </w:rPr>
              <w:t>Common Stock</w:t>
            </w:r>
          </w:p>
        </w:tc>
        <w:tc>
          <w:tcPr>
            <w:tcW w:w="20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Borders>
              <w:bottom w:val="single" w:sz="8" w:color="auto"/>
            </w:tcBorders>
            <w:gridSpan w:val="4"/>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ind w:right="31"/>
              <w:spacing w:after="0" w:line="110" w:lineRule="exact"/>
              <w:rPr>
                <w:sz w:val="20"/>
                <w:szCs w:val="20"/>
                <w:color w:val="auto"/>
              </w:rPr>
            </w:pPr>
            <w:r>
              <w:rPr>
                <w:rFonts w:ascii="Arial" w:cs="Arial" w:eastAsia="Arial" w:hAnsi="Arial"/>
                <w:sz w:val="12"/>
                <w:szCs w:val="12"/>
                <w:b w:val="1"/>
                <w:bCs w:val="1"/>
                <w:color w:val="auto"/>
                <w:w w:val="99"/>
              </w:rPr>
              <w:t>Paid-In</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7"/>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80" w:type="dxa"/>
            <w:vAlign w:val="bottom"/>
          </w:tcPr>
          <w:p>
            <w:pPr>
              <w:jc w:val="right"/>
              <w:ind w:right="9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ind w:left="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ind w:right="31"/>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68,418,509</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73,042</w:t>
            </w:r>
          </w:p>
        </w:tc>
        <w:tc>
          <w:tcPr>
            <w:tcW w:w="120" w:type="dxa"/>
            <w:vAlign w:val="bottom"/>
            <w:tcBorders>
              <w:top w:val="single" w:sz="8" w:color="CCEEFF"/>
              <w:right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7,161,040</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(43,739)</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w w:val="96"/>
              </w:rPr>
              <w:t>Issuance of Series B convertible preferred stock,</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net of issuance costs of $23 and partial</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settlement of convertible preferred stock</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tranche liability of $27</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18,518,509</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30,671</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upon exercise of</w:t>
            </w: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Repurchase of common stock related to early</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20" w:type="dxa"/>
            <w:vAlign w:val="bottom"/>
          </w:tcPr>
          <w:p>
            <w:pPr>
              <w:ind w:left="320"/>
              <w:spacing w:after="0"/>
              <w:rPr>
                <w:sz w:val="20"/>
                <w:szCs w:val="20"/>
                <w:color w:val="auto"/>
              </w:rPr>
            </w:pPr>
            <w:r>
              <w:rPr>
                <w:rFonts w:ascii="Arial" w:cs="Arial" w:eastAsia="Arial" w:hAnsi="Arial"/>
                <w:sz w:val="14"/>
                <w:szCs w:val="14"/>
                <w:color w:val="auto"/>
              </w:rPr>
              <w:t>exercise of options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(3,667)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Vesting of early exercised stock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Notes receivable from stockholders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120" w:type="dxa"/>
            <w:vAlign w:val="bottom"/>
          </w:tcPr>
          <w:p>
            <w:pPr>
              <w:ind w:left="180"/>
              <w:spacing w:after="0"/>
              <w:rPr>
                <w:sz w:val="20"/>
                <w:szCs w:val="20"/>
                <w:color w:val="auto"/>
              </w:rPr>
            </w:pPr>
            <w:r>
              <w:rPr>
                <w:rFonts w:ascii="Arial" w:cs="Arial" w:eastAsia="Arial" w:hAnsi="Arial"/>
                <w:sz w:val="14"/>
                <w:szCs w:val="14"/>
                <w:color w:val="auto"/>
              </w:rPr>
              <w:t>Net loss and other comprehensive loss</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(9,051)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Balance as of March 31, 2020</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86,937,018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103,713</w:t>
            </w:r>
          </w:p>
        </w:tc>
        <w:tc>
          <w:tcPr>
            <w:tcW w:w="120" w:type="dxa"/>
            <w:vAlign w:val="bottom"/>
            <w:tcBorders>
              <w:right w:val="single" w:sz="8" w:color="auto"/>
            </w:tcBorders>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7,177,373</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(53,468)</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0440"/>
          </w:cols>
          <w:pgMar w:left="320" w:top="418" w:right="1139" w:bottom="1440" w:gutter="0" w:footer="0" w:header="0"/>
        </w:sectPr>
      </w:pPr>
    </w:p>
    <w:bookmarkStart w:id="281" w:name="page282"/>
    <w:bookmarkEnd w:id="2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Convertible Preferred Stock and Stockholders’ Deficit</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 except share data)</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78"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1400" w:type="dxa"/>
            <w:vAlign w:val="bottom"/>
            <w:gridSpan w:val="3"/>
            <w:vMerge w:val="restart"/>
          </w:tcPr>
          <w:p>
            <w:pPr>
              <w:jc w:val="right"/>
              <w:ind w:right="310"/>
              <w:spacing w:after="0"/>
              <w:rPr>
                <w:sz w:val="20"/>
                <w:szCs w:val="20"/>
                <w:color w:val="auto"/>
              </w:rPr>
            </w:pPr>
            <w:r>
              <w:rPr>
                <w:rFonts w:ascii="Arial" w:cs="Arial" w:eastAsia="Arial" w:hAnsi="Arial"/>
                <w:sz w:val="13"/>
                <w:szCs w:val="13"/>
                <w:b w:val="1"/>
                <w:bCs w:val="1"/>
                <w:color w:val="auto"/>
              </w:rPr>
              <w:t>Convertible</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Notes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30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gridSpan w:val="3"/>
            <w:vMerge w:val="restart"/>
          </w:tcPr>
          <w:p>
            <w:pPr>
              <w:jc w:val="right"/>
              <w:spacing w:after="0" w:line="130"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6"/>
                <w:szCs w:val="6"/>
                <w:color w:val="auto"/>
              </w:rPr>
            </w:pPr>
          </w:p>
        </w:tc>
        <w:tc>
          <w:tcPr>
            <w:tcW w:w="840" w:type="dxa"/>
            <w:vAlign w:val="bottom"/>
            <w:gridSpan w:val="3"/>
            <w:vMerge w:val="restart"/>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Receivable</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gridSpan w:val="2"/>
            <w:vMerge w:val="restart"/>
          </w:tcPr>
          <w:p>
            <w:pPr>
              <w:jc w:val="center"/>
              <w:ind w:right="220"/>
              <w:spacing w:after="0" w:line="13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9"/>
        </w:trPr>
        <w:tc>
          <w:tcPr>
            <w:tcW w:w="3020" w:type="dxa"/>
            <w:vAlign w:val="bottom"/>
          </w:tcPr>
          <w:p>
            <w:pPr>
              <w:spacing w:after="0"/>
              <w:rPr>
                <w:sz w:val="5"/>
                <w:szCs w:val="5"/>
                <w:color w:val="auto"/>
              </w:rPr>
            </w:pPr>
          </w:p>
        </w:tc>
        <w:tc>
          <w:tcPr>
            <w:tcW w:w="1400" w:type="dxa"/>
            <w:vAlign w:val="bottom"/>
            <w:gridSpan w:val="3"/>
            <w:vMerge w:val="restart"/>
          </w:tcPr>
          <w:p>
            <w:pPr>
              <w:jc w:val="right"/>
              <w:ind w:right="210"/>
              <w:spacing w:after="0"/>
              <w:rPr>
                <w:sz w:val="20"/>
                <w:szCs w:val="20"/>
                <w:color w:val="auto"/>
              </w:rPr>
            </w:pPr>
            <w:r>
              <w:rPr>
                <w:rFonts w:ascii="Arial" w:cs="Arial" w:eastAsia="Arial" w:hAnsi="Arial"/>
                <w:sz w:val="13"/>
                <w:szCs w:val="13"/>
                <w:b w:val="1"/>
                <w:bCs w:val="1"/>
                <w:color w:val="auto"/>
              </w:rPr>
              <w:t>Preferred Stock</w:t>
            </w:r>
          </w:p>
        </w:tc>
        <w:tc>
          <w:tcPr>
            <w:tcW w:w="1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020" w:type="dxa"/>
            <w:vAlign w:val="bottom"/>
          </w:tcPr>
          <w:p>
            <w:pPr>
              <w:spacing w:after="0"/>
              <w:rPr>
                <w:sz w:val="9"/>
                <w:szCs w:val="9"/>
                <w:color w:val="auto"/>
              </w:rPr>
            </w:pPr>
          </w:p>
        </w:tc>
        <w:tc>
          <w:tcPr>
            <w:tcW w:w="1400" w:type="dxa"/>
            <w:vAlign w:val="bottom"/>
            <w:tcBorders>
              <w:bottom w:val="single" w:sz="8" w:color="auto"/>
            </w:tcBorders>
            <w:gridSpan w:val="3"/>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11"/>
              <w:spacing w:after="0" w:line="110" w:lineRule="exact"/>
              <w:rPr>
                <w:sz w:val="20"/>
                <w:szCs w:val="20"/>
                <w:color w:val="auto"/>
              </w:rPr>
            </w:pPr>
            <w:r>
              <w:rPr>
                <w:rFonts w:ascii="Arial" w:cs="Arial" w:eastAsia="Arial" w:hAnsi="Arial"/>
                <w:sz w:val="12"/>
                <w:szCs w:val="12"/>
                <w:b w:val="1"/>
                <w:bCs w:val="1"/>
                <w:color w:val="auto"/>
                <w:w w:val="99"/>
              </w:rPr>
              <w:t>Paid-In</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7"/>
              </w:rPr>
              <w:t>from</w:t>
            </w:r>
          </w:p>
        </w:tc>
        <w:tc>
          <w:tcPr>
            <w:tcW w:w="960" w:type="dxa"/>
            <w:vAlign w:val="bottom"/>
            <w:gridSpan w:val="4"/>
          </w:tcPr>
          <w:p>
            <w:pPr>
              <w:ind w:left="100"/>
              <w:spacing w:after="0" w:line="110" w:lineRule="exact"/>
              <w:rPr>
                <w:sz w:val="20"/>
                <w:szCs w:val="20"/>
                <w:color w:val="auto"/>
              </w:rPr>
            </w:pPr>
            <w:r>
              <w:rPr>
                <w:rFonts w:ascii="Arial" w:cs="Arial" w:eastAsia="Arial" w:hAnsi="Arial"/>
                <w:sz w:val="12"/>
                <w:szCs w:val="12"/>
                <w:b w:val="1"/>
                <w:bCs w:val="1"/>
                <w:color w:val="auto"/>
              </w:rPr>
              <w:t>Accumulated</w:t>
            </w:r>
          </w:p>
        </w:tc>
        <w:tc>
          <w:tcPr>
            <w:tcW w:w="920" w:type="dxa"/>
            <w:vAlign w:val="bottom"/>
            <w:gridSpan w:val="4"/>
          </w:tcPr>
          <w:p>
            <w:pPr>
              <w:jc w:val="center"/>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760" w:type="dxa"/>
            <w:vAlign w:val="bottom"/>
          </w:tcPr>
          <w:p>
            <w:pPr>
              <w:jc w:val="right"/>
              <w:ind w:right="131"/>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11"/>
              <w:spacing w:after="0"/>
              <w:rPr>
                <w:sz w:val="20"/>
                <w:szCs w:val="20"/>
                <w:color w:val="auto"/>
              </w:rPr>
            </w:pPr>
            <w:r>
              <w:rPr>
                <w:rFonts w:ascii="Arial" w:cs="Arial" w:eastAsia="Arial" w:hAnsi="Arial"/>
                <w:sz w:val="13"/>
                <w:szCs w:val="13"/>
                <w:b w:val="1"/>
                <w:bCs w:val="1"/>
                <w:color w:val="auto"/>
                <w:w w:val="92"/>
              </w:rPr>
              <w:t>Capital</w:t>
            </w:r>
          </w:p>
        </w:tc>
        <w:tc>
          <w:tcPr>
            <w:tcW w:w="10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4"/>
              </w:rPr>
              <w:t>Stockholders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as of December 31, 2020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146,961,309</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$220,754</w:t>
            </w:r>
          </w:p>
        </w:tc>
        <w:tc>
          <w:tcPr>
            <w:tcW w:w="100" w:type="dxa"/>
            <w:vAlign w:val="bottom"/>
            <w:tcBorders>
              <w:top w:val="single" w:sz="8" w:color="CCEEFF"/>
              <w:right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7,261,976</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1,583</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(82,812)</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(81,315)</w:t>
            </w: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200"/>
              <w:spacing w:after="0"/>
              <w:rPr>
                <w:sz w:val="20"/>
                <w:szCs w:val="20"/>
                <w:color w:val="auto"/>
              </w:rPr>
            </w:pPr>
            <w:r>
              <w:rPr>
                <w:rFonts w:ascii="Arial" w:cs="Arial" w:eastAsia="Arial" w:hAnsi="Arial"/>
                <w:sz w:val="14"/>
                <w:szCs w:val="14"/>
                <w:color w:val="auto"/>
              </w:rPr>
              <w:t>Issuance of Series C convertible preferred</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340"/>
              <w:spacing w:after="0"/>
              <w:rPr>
                <w:sz w:val="20"/>
                <w:szCs w:val="20"/>
                <w:color w:val="auto"/>
              </w:rPr>
            </w:pPr>
            <w:r>
              <w:rPr>
                <w:rFonts w:ascii="Arial" w:cs="Arial" w:eastAsia="Arial" w:hAnsi="Arial"/>
                <w:sz w:val="14"/>
                <w:szCs w:val="14"/>
                <w:color w:val="auto"/>
              </w:rPr>
              <w:t>stock, net of issuance costs of $20</w:t>
            </w:r>
          </w:p>
        </w:tc>
        <w:tc>
          <w:tcPr>
            <w:tcW w:w="760" w:type="dxa"/>
            <w:vAlign w:val="bottom"/>
          </w:tcPr>
          <w:p>
            <w:pPr>
              <w:jc w:val="right"/>
              <w:spacing w:after="0"/>
              <w:rPr>
                <w:sz w:val="20"/>
                <w:szCs w:val="20"/>
                <w:color w:val="auto"/>
              </w:rPr>
            </w:pPr>
            <w:r>
              <w:rPr>
                <w:rFonts w:ascii="Arial" w:cs="Arial" w:eastAsia="Arial" w:hAnsi="Arial"/>
                <w:sz w:val="14"/>
                <w:szCs w:val="14"/>
                <w:color w:val="auto"/>
              </w:rPr>
              <w:t>9,652,509</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19,981</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Issuance of common stock upon exercise of</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75,073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020" w:type="dxa"/>
            <w:vAlign w:val="bottom"/>
          </w:tcPr>
          <w:p>
            <w:pPr>
              <w:ind w:left="200"/>
              <w:spacing w:after="0"/>
              <w:rPr>
                <w:sz w:val="20"/>
                <w:szCs w:val="20"/>
                <w:color w:val="auto"/>
              </w:rPr>
            </w:pPr>
            <w:r>
              <w:rPr>
                <w:rFonts w:ascii="Arial" w:cs="Arial" w:eastAsia="Arial" w:hAnsi="Arial"/>
                <w:sz w:val="14"/>
                <w:szCs w:val="14"/>
                <w:color w:val="auto"/>
                <w:w w:val="99"/>
              </w:rPr>
              <w:t>Repurchase of common stock related to early</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20" w:type="dxa"/>
            <w:vAlign w:val="bottom"/>
          </w:tcPr>
          <w:p>
            <w:pPr>
              <w:ind w:left="340"/>
              <w:spacing w:after="0"/>
              <w:rPr>
                <w:sz w:val="20"/>
                <w:szCs w:val="20"/>
                <w:color w:val="auto"/>
              </w:rPr>
            </w:pPr>
            <w:r>
              <w:rPr>
                <w:rFonts w:ascii="Arial" w:cs="Arial" w:eastAsia="Arial" w:hAnsi="Arial"/>
                <w:sz w:val="14"/>
                <w:szCs w:val="14"/>
                <w:color w:val="auto"/>
              </w:rPr>
              <w:t>exercise of options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(2,188)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loss and other comprehensive loss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(13,098)</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4"/>
                <w:szCs w:val="14"/>
                <w:color w:val="auto"/>
              </w:rPr>
              <w:t>Balance as of March 31, 2021</w:t>
            </w: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20" w:type="dxa"/>
            <w:vAlign w:val="bottom"/>
            <w:vMerge w:val="continue"/>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156,613,818</w:t>
            </w:r>
          </w:p>
        </w:tc>
        <w:tc>
          <w:tcPr>
            <w:tcW w:w="64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240,735</w:t>
            </w:r>
          </w:p>
        </w:tc>
        <w:tc>
          <w:tcPr>
            <w:tcW w:w="100" w:type="dxa"/>
            <w:vAlign w:val="bottom"/>
            <w:tcBorders>
              <w:right w:val="single" w:sz="8" w:color="auto"/>
            </w:tcBorders>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7,334,861</w:t>
            </w:r>
          </w:p>
        </w:tc>
        <w:tc>
          <w:tcPr>
            <w:tcW w:w="140" w:type="dxa"/>
            <w:vAlign w:val="bottom"/>
          </w:tcPr>
          <w:p>
            <w:pPr>
              <w:spacing w:after="0"/>
              <w:rPr>
                <w:sz w:val="15"/>
                <w:szCs w:val="15"/>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2,053</w:t>
            </w:r>
          </w:p>
        </w:tc>
        <w:tc>
          <w:tcPr>
            <w:tcW w:w="320" w:type="dxa"/>
            <w:vAlign w:val="bottom"/>
            <w:gridSpan w:val="2"/>
          </w:tcPr>
          <w:p>
            <w:pPr>
              <w:jc w:val="right"/>
              <w:ind w:right="3"/>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(87)</w:t>
            </w:r>
          </w:p>
        </w:tc>
        <w:tc>
          <w:tcPr>
            <w:tcW w:w="22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(95,910)</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(93,943)</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0440"/>
          </w:cols>
          <w:pgMar w:left="320" w:top="418" w:right="1139" w:bottom="1440" w:gutter="0" w:footer="0" w:header="0"/>
        </w:sectPr>
      </w:pPr>
    </w:p>
    <w:bookmarkStart w:id="282" w:name="page283"/>
    <w:bookmarkEnd w:id="2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Condensed Statements of Cash Flows</w:t>
      </w:r>
    </w:p>
    <w:p>
      <w:pPr>
        <w:spacing w:after="0" w:line="20"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(in thousands)</w:t>
      </w:r>
    </w:p>
    <w:p>
      <w:pPr>
        <w:spacing w:after="0" w:line="5"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i w:val="1"/>
          <w:iCs w:val="1"/>
          <w:color w:val="auto"/>
        </w:rPr>
        <w:t>(unaudited)</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1"/>
              </w:rPr>
              <w:t>Three Months Ended March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08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197"/>
              <w:spacing w:after="0" w:line="122" w:lineRule="exact"/>
              <w:rPr>
                <w:sz w:val="20"/>
                <w:szCs w:val="20"/>
                <w:color w:val="auto"/>
              </w:rPr>
            </w:pPr>
            <w:r>
              <w:rPr>
                <w:rFonts w:ascii="Arial" w:cs="Arial" w:eastAsia="Arial" w:hAnsi="Arial"/>
                <w:sz w:val="13"/>
                <w:szCs w:val="13"/>
                <w:b w:val="1"/>
                <w:bCs w:val="1"/>
                <w:color w:val="auto"/>
              </w:rPr>
              <w:t>2020</w:t>
            </w:r>
          </w:p>
        </w:tc>
        <w:tc>
          <w:tcPr>
            <w:tcW w:w="30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17"/>
              <w:spacing w:after="0" w:line="122" w:lineRule="exact"/>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80" w:type="dxa"/>
            <w:vAlign w:val="bottom"/>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Cash flows from operating activities:</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Net loss</w:t>
            </w:r>
          </w:p>
        </w:tc>
        <w:tc>
          <w:tcPr>
            <w:tcW w:w="440" w:type="dxa"/>
            <w:vAlign w:val="bottom"/>
            <w:gridSpan w:val="2"/>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(9,051)</w:t>
            </w:r>
          </w:p>
        </w:tc>
        <w:tc>
          <w:tcPr>
            <w:tcW w:w="420" w:type="dxa"/>
            <w:vAlign w:val="bottom"/>
            <w:gridSpan w:val="2"/>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0"/>
              <w:spacing w:after="0" w:line="130" w:lineRule="exact"/>
              <w:rPr>
                <w:sz w:val="20"/>
                <w:szCs w:val="20"/>
                <w:color w:val="auto"/>
              </w:rPr>
            </w:pPr>
            <w:r>
              <w:rPr>
                <w:rFonts w:ascii="Arial" w:cs="Arial" w:eastAsia="Arial" w:hAnsi="Arial"/>
                <w:sz w:val="13"/>
                <w:szCs w:val="13"/>
                <w:color w:val="auto"/>
              </w:rPr>
              <w:t>(13,098)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Adjustments to reconcile net loss to net cash used in operating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Depreciation and amortization</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584</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689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Stock-based compensation</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154</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Loss on disposal of property and equipment</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35</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Non-cash operating lease expense</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171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220"/>
              <w:spacing w:after="0" w:line="130" w:lineRule="exact"/>
              <w:rPr>
                <w:sz w:val="20"/>
                <w:szCs w:val="20"/>
                <w:color w:val="auto"/>
              </w:rPr>
            </w:pPr>
            <w:r>
              <w:rPr>
                <w:rFonts w:ascii="Arial" w:cs="Arial" w:eastAsia="Arial" w:hAnsi="Arial"/>
                <w:sz w:val="13"/>
                <w:szCs w:val="13"/>
                <w:color w:val="auto"/>
              </w:rPr>
              <w:t>Change in fair value of convertible preferred stock tranche liability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19</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220"/>
              <w:spacing w:after="0" w:line="130" w:lineRule="exact"/>
              <w:rPr>
                <w:sz w:val="20"/>
                <w:szCs w:val="20"/>
                <w:color w:val="auto"/>
              </w:rPr>
            </w:pPr>
            <w:r>
              <w:rPr>
                <w:rFonts w:ascii="Arial" w:cs="Arial" w:eastAsia="Arial" w:hAnsi="Arial"/>
                <w:sz w:val="13"/>
                <w:szCs w:val="13"/>
                <w:color w:val="auto"/>
              </w:rPr>
              <w:t>Changes in operating assets and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Prepaid expenses and other current assets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158</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Other non-current assets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(169)</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(3,313)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Accounts payable</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674</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618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Accrued expenses and other current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(452)</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Deferred rent and other lease liabilities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(182)</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480"/>
              <w:spacing w:after="0" w:line="130" w:lineRule="exact"/>
              <w:rPr>
                <w:sz w:val="20"/>
                <w:szCs w:val="20"/>
                <w:color w:val="auto"/>
              </w:rPr>
            </w:pPr>
            <w:r>
              <w:rPr>
                <w:rFonts w:ascii="Arial" w:cs="Arial" w:eastAsia="Arial" w:hAnsi="Arial"/>
                <w:sz w:val="13"/>
                <w:szCs w:val="13"/>
                <w:color w:val="auto"/>
              </w:rPr>
              <w:t>Operating lease liabilities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(384)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ind w:left="480"/>
              <w:spacing w:after="0" w:line="130" w:lineRule="exact"/>
              <w:rPr>
                <w:sz w:val="20"/>
                <w:szCs w:val="20"/>
                <w:color w:val="auto"/>
              </w:rPr>
            </w:pPr>
            <w:r>
              <w:rPr>
                <w:rFonts w:ascii="Arial" w:cs="Arial" w:eastAsia="Arial" w:hAnsi="Arial"/>
                <w:sz w:val="13"/>
                <w:szCs w:val="13"/>
                <w:color w:val="auto"/>
              </w:rPr>
              <w:t>Other non-current liabilities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0" w:lineRule="exact"/>
              <w:rPr>
                <w:sz w:val="20"/>
                <w:szCs w:val="20"/>
                <w:color w:val="auto"/>
              </w:rPr>
            </w:pPr>
            <w:r>
              <w:rPr>
                <w:rFonts w:ascii="Arial" w:cs="Arial" w:eastAsia="Arial" w:hAnsi="Arial"/>
                <w:sz w:val="13"/>
                <w:szCs w:val="13"/>
                <w:color w:val="auto"/>
              </w:rPr>
              <w:t>(8)</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used in operating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(8,238)</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(15,789)</w:t>
            </w:r>
          </w:p>
        </w:tc>
        <w:tc>
          <w:tcPr>
            <w:tcW w:w="0" w:type="dxa"/>
            <w:vAlign w:val="bottom"/>
          </w:tcPr>
          <w:p>
            <w:pPr>
              <w:spacing w:after="0"/>
              <w:rPr>
                <w:sz w:val="1"/>
                <w:szCs w:val="1"/>
                <w:color w:val="auto"/>
              </w:rPr>
            </w:pPr>
          </w:p>
        </w:tc>
      </w:tr>
      <w:tr>
        <w:trPr>
          <w:trHeight w:val="133"/>
        </w:trPr>
        <w:tc>
          <w:tcPr>
            <w:tcW w:w="71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investing activities: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Purchases of property and equipment</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0" w:lineRule="exact"/>
              <w:rPr>
                <w:sz w:val="20"/>
                <w:szCs w:val="20"/>
                <w:color w:val="auto"/>
              </w:rPr>
            </w:pPr>
            <w:r>
              <w:rPr>
                <w:rFonts w:ascii="Arial" w:cs="Arial" w:eastAsia="Arial" w:hAnsi="Arial"/>
                <w:sz w:val="13"/>
                <w:szCs w:val="13"/>
                <w:color w:val="auto"/>
              </w:rPr>
              <w:t>(435)</w:t>
            </w: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(4,323)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Proceeds from maturities of marketable securities</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2,753</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ind w:left="720"/>
              <w:spacing w:after="0" w:line="130" w:lineRule="exact"/>
              <w:rPr>
                <w:sz w:val="20"/>
                <w:szCs w:val="20"/>
                <w:color w:val="auto"/>
              </w:rPr>
            </w:pPr>
            <w:r>
              <w:rPr>
                <w:rFonts w:ascii="Arial" w:cs="Arial" w:eastAsia="Arial" w:hAnsi="Arial"/>
                <w:sz w:val="13"/>
                <w:szCs w:val="13"/>
                <w:color w:val="auto"/>
              </w:rPr>
              <w:t>Net cash provided by (used in) investing activities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2,318</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(4,323)</w:t>
            </w:r>
          </w:p>
        </w:tc>
        <w:tc>
          <w:tcPr>
            <w:tcW w:w="0" w:type="dxa"/>
            <w:vAlign w:val="bottom"/>
          </w:tcPr>
          <w:p>
            <w:pPr>
              <w:spacing w:after="0"/>
              <w:rPr>
                <w:sz w:val="1"/>
                <w:szCs w:val="1"/>
                <w:color w:val="auto"/>
              </w:rPr>
            </w:pPr>
          </w:p>
        </w:tc>
      </w:tr>
      <w:tr>
        <w:trPr>
          <w:trHeight w:val="133"/>
        </w:trPr>
        <w:tc>
          <w:tcPr>
            <w:tcW w:w="7100" w:type="dxa"/>
            <w:vAlign w:val="bottom"/>
            <w:gridSpan w:val="2"/>
          </w:tcPr>
          <w:p>
            <w:pPr>
              <w:spacing w:after="0" w:line="133" w:lineRule="exact"/>
              <w:rPr>
                <w:sz w:val="20"/>
                <w:szCs w:val="20"/>
                <w:color w:val="auto"/>
              </w:rPr>
            </w:pPr>
            <w:r>
              <w:rPr>
                <w:rFonts w:ascii="Arial" w:cs="Arial" w:eastAsia="Arial" w:hAnsi="Arial"/>
                <w:sz w:val="13"/>
                <w:szCs w:val="13"/>
                <w:b w:val="1"/>
                <w:bCs w:val="1"/>
                <w:color w:val="auto"/>
              </w:rPr>
              <w:t>Cash flows from financing activities:</w:t>
            </w: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issuance of Series B convertible preferred stock, net of issuance costs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30,667</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Proceeds from issuance of Series C convertible preferred stock, net of issuance costs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3"/>
                <w:szCs w:val="13"/>
                <w:color w:val="auto"/>
              </w:rPr>
              <w:t>19,986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Proceeds from exercise of stock options</w:t>
            </w:r>
          </w:p>
        </w:tc>
        <w:tc>
          <w:tcPr>
            <w:tcW w:w="3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3</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0"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80" w:type="dxa"/>
            <w:vAlign w:val="bottom"/>
          </w:tcPr>
          <w:p>
            <w:pPr>
              <w:ind w:left="720"/>
              <w:spacing w:after="0" w:line="133" w:lineRule="exact"/>
              <w:rPr>
                <w:sz w:val="20"/>
                <w:szCs w:val="20"/>
                <w:color w:val="auto"/>
              </w:rPr>
            </w:pPr>
            <w:r>
              <w:rPr>
                <w:rFonts w:ascii="Arial" w:cs="Arial" w:eastAsia="Arial" w:hAnsi="Arial"/>
                <w:sz w:val="13"/>
                <w:szCs w:val="13"/>
                <w:color w:val="auto"/>
              </w:rPr>
              <w:t>Net cash provided by financing activities</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30,670</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3"/>
                <w:szCs w:val="13"/>
                <w:color w:val="auto"/>
              </w:rPr>
              <w:t>20,015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Net increase (decrease) in cash, cash equivalents and restricted cash</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24,750</w:t>
            </w: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Cash, cash equivalents and restricted cash at beginning of period</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24,271</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129,083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 at end of period</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49,021</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128,986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Components of cash, cash equivalents and restricted cash:</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and cash equivalents</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48,622</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128,439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80" w:type="dxa"/>
            <w:vAlign w:val="bottom"/>
          </w:tcPr>
          <w:p>
            <w:pPr>
              <w:spacing w:after="0" w:line="130" w:lineRule="exact"/>
              <w:rPr>
                <w:sz w:val="20"/>
                <w:szCs w:val="20"/>
                <w:color w:val="auto"/>
              </w:rPr>
            </w:pPr>
            <w:r>
              <w:rPr>
                <w:rFonts w:ascii="Arial" w:cs="Arial" w:eastAsia="Arial" w:hAnsi="Arial"/>
                <w:sz w:val="13"/>
                <w:szCs w:val="13"/>
                <w:color w:val="auto"/>
              </w:rPr>
              <w:t>Restricted cash, non-current</w:t>
            </w:r>
          </w:p>
        </w:tc>
        <w:tc>
          <w:tcPr>
            <w:tcW w:w="3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399</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547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cash equivalents and restricted cash</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49,021</w:t>
            </w:r>
          </w:p>
        </w:tc>
        <w:tc>
          <w:tcPr>
            <w:tcW w:w="3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128,986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cash operating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Cash paid for leases that were included in operating cash outflows</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1,389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operating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Lease liability obtained in exchange for right-of-use asset</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80" w:type="dxa"/>
            <w:vAlign w:val="bottom"/>
            <w:shd w:val="clear" w:color="auto" w:fill="CCEEFF"/>
          </w:tcPr>
          <w:p>
            <w:pPr>
              <w:spacing w:after="0" w:line="130" w:lineRule="exact"/>
              <w:rPr>
                <w:sz w:val="20"/>
                <w:szCs w:val="20"/>
                <w:color w:val="auto"/>
              </w:rPr>
            </w:pPr>
            <w:r>
              <w:rPr>
                <w:rFonts w:ascii="Arial" w:cs="Arial" w:eastAsia="Arial" w:hAnsi="Arial"/>
                <w:sz w:val="13"/>
                <w:szCs w:val="13"/>
                <w:color w:val="auto"/>
              </w:rPr>
              <w:t>Deferred offering costs related to initial public offering included in accounts payable</w:t>
            </w:r>
          </w:p>
        </w:tc>
        <w:tc>
          <w:tcPr>
            <w:tcW w:w="440" w:type="dxa"/>
            <w:vAlign w:val="bottom"/>
            <w:gridSpan w:val="2"/>
            <w:shd w:val="clear" w:color="auto" w:fill="CCEEFF"/>
          </w:tcPr>
          <w:p>
            <w:pPr>
              <w:jc w:val="right"/>
              <w:ind w:right="28"/>
              <w:spacing w:after="0" w:line="130"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30"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0" w:lineRule="exact"/>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Property and equipment included in accounts payable and accrued expenses and other current liabilities</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1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162</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17" w:lineRule="exact"/>
              <w:rPr>
                <w:sz w:val="20"/>
                <w:szCs w:val="20"/>
                <w:color w:val="auto"/>
              </w:rPr>
            </w:pPr>
            <w:r>
              <w:rPr>
                <w:rFonts w:ascii="Arial" w:cs="Arial" w:eastAsia="Arial" w:hAnsi="Arial"/>
                <w:sz w:val="13"/>
                <w:szCs w:val="13"/>
                <w:color w:val="auto"/>
              </w:rPr>
              <w:t>452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91"/>
              </w:rPr>
              <w:t>Partial settlement of convertible preferred stock tranche liability in connection with the issuance of Series B convertible preferred stock</w:t>
            </w:r>
          </w:p>
        </w:tc>
        <w:tc>
          <w:tcPr>
            <w:tcW w:w="44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27</w:t>
            </w:r>
          </w:p>
        </w:tc>
        <w:tc>
          <w:tcPr>
            <w:tcW w:w="30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48"/>
              <w:spacing w:after="0" w:line="117"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line="141" w:lineRule="exact"/>
              <w:rPr>
                <w:sz w:val="20"/>
                <w:szCs w:val="20"/>
                <w:color w:val="auto"/>
              </w:rPr>
            </w:pPr>
            <w:r>
              <w:rPr>
                <w:rFonts w:ascii="Arial" w:cs="Arial" w:eastAsia="Arial" w:hAnsi="Arial"/>
                <w:sz w:val="13"/>
                <w:szCs w:val="13"/>
                <w:color w:val="auto"/>
                <w:w w:val="93"/>
              </w:rPr>
              <w:t>Offering costs related to Series B convertible preferred stock included in accounts payable and accrued expenses and other current</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10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80" w:type="dxa"/>
            <w:vAlign w:val="bottom"/>
          </w:tcPr>
          <w:p>
            <w:pPr>
              <w:ind w:left="100"/>
              <w:spacing w:after="0" w:line="146" w:lineRule="exact"/>
              <w:rPr>
                <w:sz w:val="20"/>
                <w:szCs w:val="20"/>
                <w:color w:val="auto"/>
              </w:rPr>
            </w:pPr>
            <w:r>
              <w:rPr>
                <w:rFonts w:ascii="Arial" w:cs="Arial" w:eastAsia="Arial" w:hAnsi="Arial"/>
                <w:sz w:val="13"/>
                <w:szCs w:val="13"/>
                <w:color w:val="auto"/>
              </w:rPr>
              <w:t>liabilities</w:t>
            </w:r>
          </w:p>
        </w:tc>
        <w:tc>
          <w:tcPr>
            <w:tcW w:w="440" w:type="dxa"/>
            <w:vAlign w:val="bottom"/>
            <w:gridSpan w:val="2"/>
          </w:tcPr>
          <w:p>
            <w:pPr>
              <w:jc w:val="right"/>
              <w:ind w:right="28"/>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6" w:lineRule="exact"/>
              <w:rPr>
                <w:sz w:val="20"/>
                <w:szCs w:val="20"/>
                <w:color w:val="auto"/>
              </w:rPr>
            </w:pPr>
            <w:r>
              <w:rPr>
                <w:rFonts w:ascii="Arial" w:cs="Arial" w:eastAsia="Arial" w:hAnsi="Arial"/>
                <w:sz w:val="13"/>
                <w:szCs w:val="13"/>
                <w:color w:val="auto"/>
              </w:rPr>
              <w:t>23</w:t>
            </w:r>
          </w:p>
        </w:tc>
        <w:tc>
          <w:tcPr>
            <w:tcW w:w="300" w:type="dxa"/>
            <w:vAlign w:val="bottom"/>
          </w:tcPr>
          <w:p>
            <w:pPr>
              <w:spacing w:after="0"/>
              <w:rPr>
                <w:sz w:val="12"/>
                <w:szCs w:val="12"/>
                <w:color w:val="auto"/>
              </w:rPr>
            </w:pPr>
          </w:p>
        </w:tc>
        <w:tc>
          <w:tcPr>
            <w:tcW w:w="420" w:type="dxa"/>
            <w:vAlign w:val="bottom"/>
            <w:gridSpan w:val="2"/>
          </w:tcPr>
          <w:p>
            <w:pPr>
              <w:jc w:val="right"/>
              <w:ind w:right="48"/>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rPr>
              <w:t>Offering costs related to Series C convertible preferred stock included in accounts payable</w:t>
            </w:r>
          </w:p>
        </w:tc>
        <w:tc>
          <w:tcPr>
            <w:tcW w:w="440" w:type="dxa"/>
            <w:vAlign w:val="bottom"/>
            <w:gridSpan w:val="2"/>
            <w:shd w:val="clear" w:color="auto" w:fill="CCEEFF"/>
          </w:tcPr>
          <w:p>
            <w:pPr>
              <w:jc w:val="right"/>
              <w:ind w:right="28"/>
              <w:spacing w:after="0" w:line="117"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0"/>
              <w:spacing w:after="0" w:line="117"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8"/>
              <w:spacing w:after="0" w:line="117"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799"/>
        <w:spacing w:after="0"/>
        <w:rPr>
          <w:sz w:val="20"/>
          <w:szCs w:val="20"/>
          <w:color w:val="auto"/>
        </w:rPr>
      </w:pPr>
      <w:r>
        <w:rPr>
          <w:rFonts w:ascii="Arial" w:cs="Arial" w:eastAsia="Arial" w:hAnsi="Arial"/>
          <w:sz w:val="16"/>
          <w:szCs w:val="16"/>
          <w:i w:val="1"/>
          <w:iCs w:val="1"/>
          <w:color w:val="auto"/>
        </w:rPr>
        <w:t>The accompanying notes are an integral part of these unaudited condensed financial statements.</w:t>
      </w:r>
    </w:p>
    <w:p>
      <w:pPr>
        <w:spacing w:after="0" w:line="134" w:lineRule="exact"/>
        <w:rPr>
          <w:sz w:val="20"/>
          <w:szCs w:val="20"/>
          <w:color w:val="auto"/>
        </w:rPr>
      </w:pPr>
    </w:p>
    <w:p>
      <w:pPr>
        <w:jc w:val="center"/>
        <w:ind w:right="-799"/>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0440"/>
          </w:cols>
          <w:pgMar w:left="320" w:top="418" w:right="1139" w:bottom="1440" w:gutter="0" w:footer="0" w:header="0"/>
        </w:sectPr>
      </w:pPr>
    </w:p>
    <w:bookmarkStart w:id="283" w:name="page284"/>
    <w:bookmarkEnd w:id="2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 Organization and Description of the Business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Description of the Business</w:t>
      </w:r>
    </w:p>
    <w:p>
      <w:pPr>
        <w:spacing w:after="0" w:line="99" w:lineRule="exact"/>
        <w:rPr>
          <w:sz w:val="20"/>
          <w:szCs w:val="20"/>
          <w:color w:val="auto"/>
        </w:rPr>
      </w:pPr>
    </w:p>
    <w:p>
      <w:pPr>
        <w:ind w:left="820" w:right="100" w:firstLine="385"/>
        <w:spacing w:after="0" w:line="253" w:lineRule="auto"/>
        <w:rPr>
          <w:sz w:val="20"/>
          <w:szCs w:val="20"/>
          <w:color w:val="auto"/>
        </w:rPr>
      </w:pPr>
      <w:r>
        <w:rPr>
          <w:rFonts w:ascii="Arial" w:cs="Arial" w:eastAsia="Arial" w:hAnsi="Arial"/>
          <w:sz w:val="16"/>
          <w:szCs w:val="16"/>
          <w:color w:val="auto"/>
        </w:rPr>
        <w:t>Tenaya Therapeutics, Inc. (the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Liquidity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Company has incurred net losses since inception and expects such losses to continue in the future as it conducts research and development</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activities. As of March 31, 2021, the Company had an accumulated deficit of $95.9 million. The Company incurred a net loss of $9.1 million and</w:t>
      </w:r>
    </w:p>
    <w:p>
      <w:pPr>
        <w:spacing w:after="0" w:line="16" w:lineRule="exact"/>
        <w:rPr>
          <w:sz w:val="20"/>
          <w:szCs w:val="20"/>
          <w:color w:val="auto"/>
        </w:rPr>
      </w:pPr>
    </w:p>
    <w:p>
      <w:pPr>
        <w:ind w:left="820"/>
        <w:spacing w:after="0"/>
        <w:rPr>
          <w:sz w:val="20"/>
          <w:szCs w:val="20"/>
          <w:color w:val="auto"/>
        </w:rPr>
      </w:pPr>
      <w:r>
        <w:rPr>
          <w:rFonts w:ascii="Arial" w:cs="Arial" w:eastAsia="Arial" w:hAnsi="Arial"/>
          <w:sz w:val="13"/>
          <w:szCs w:val="13"/>
          <w:color w:val="auto"/>
        </w:rPr>
        <w:t>$13.1 million during the three months ended March 31, 2020 and 2021. The Company had $128.4 million of cash and cash equivalents as of March 31,</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2021.</w:t>
      </w:r>
    </w:p>
    <w:p>
      <w:pPr>
        <w:spacing w:after="0" w:line="182" w:lineRule="exact"/>
        <w:rPr>
          <w:sz w:val="20"/>
          <w:szCs w:val="20"/>
          <w:color w:val="auto"/>
        </w:rPr>
      </w:pPr>
    </w:p>
    <w:p>
      <w:pPr>
        <w:ind w:left="820" w:firstLine="385"/>
        <w:spacing w:after="0" w:line="251" w:lineRule="auto"/>
        <w:rPr>
          <w:sz w:val="20"/>
          <w:szCs w:val="20"/>
          <w:color w:val="auto"/>
        </w:rPr>
      </w:pPr>
      <w:r>
        <w:rPr>
          <w:rFonts w:ascii="Arial" w:cs="Arial" w:eastAsia="Arial" w:hAnsi="Arial"/>
          <w:sz w:val="16"/>
          <w:szCs w:val="16"/>
          <w:color w:val="auto"/>
        </w:rPr>
        <w:t>Management recognizes the need to raise capital to fully implement its business plan. The Company has historically financed its operations primarily with proceeds from the issuance of its convertible preferred stock and may seek to raise capital through equity financings, debt financings, license agreements, collaborative agreements or other sources of financing. Management believes that its existing cash and cash equivalents as of March 31, 2021 are sufficient to fund the Company’s operations for at least the next twelve months following the filing date of these condensed financial statements.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99" w:lineRule="exact"/>
        <w:rPr>
          <w:sz w:val="20"/>
          <w:szCs w:val="20"/>
          <w:color w:val="auto"/>
        </w:rPr>
      </w:pPr>
    </w:p>
    <w:p>
      <w:pPr>
        <w:ind w:left="820" w:right="100" w:firstLine="385"/>
        <w:spacing w:after="0" w:line="281" w:lineRule="auto"/>
        <w:rPr>
          <w:sz w:val="20"/>
          <w:szCs w:val="20"/>
          <w:color w:val="auto"/>
        </w:rPr>
      </w:pPr>
      <w:r>
        <w:rPr>
          <w:rFonts w:ascii="Arial" w:cs="Arial" w:eastAsia="Arial" w:hAnsi="Arial"/>
          <w:sz w:val="15"/>
          <w:szCs w:val="15"/>
          <w:color w:val="auto"/>
        </w:rPr>
        <w:t>The accompanying condensed financial statements have been prepared in accordance with accounting principles generally accepted in the United States of America (GAAP) and follow the requirements of the Securities and Exchange Commission (SEC) for interim reporting. As permitted under those rules, certain footnotes or other financial information that are normally required by GAAP can be condensed or omitted.</w:t>
      </w:r>
    </w:p>
    <w:p>
      <w:pPr>
        <w:spacing w:after="0" w:line="24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99" w:lineRule="exact"/>
        <w:rPr>
          <w:sz w:val="20"/>
          <w:szCs w:val="20"/>
          <w:color w:val="auto"/>
        </w:rPr>
      </w:pPr>
    </w:p>
    <w:p>
      <w:pPr>
        <w:ind w:left="820" w:right="80" w:firstLine="385"/>
        <w:spacing w:after="0" w:line="316" w:lineRule="auto"/>
        <w:rPr>
          <w:sz w:val="20"/>
          <w:szCs w:val="20"/>
          <w:color w:val="auto"/>
        </w:rPr>
      </w:pPr>
      <w:r>
        <w:rPr>
          <w:rFonts w:ascii="Arial" w:cs="Arial" w:eastAsia="Arial" w:hAnsi="Arial"/>
          <w:sz w:val="13"/>
          <w:szCs w:val="13"/>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Significant estimates and assumptions made in the accompanying condensed financial statements include, but are not limited to, the fair value of common stock, the valuation of equity-based awards, the useful lives of property and equipment, the fair value of the convertible preferred stock tranche liability, accrued expenses related to research and development activities and the valuation allowance for deferred tax assets.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Unaudited Interim Condensed Financial Statements</w:t>
      </w:r>
    </w:p>
    <w:p>
      <w:pPr>
        <w:spacing w:after="0" w:line="99" w:lineRule="exact"/>
        <w:rPr>
          <w:sz w:val="20"/>
          <w:szCs w:val="20"/>
          <w:color w:val="auto"/>
        </w:rPr>
      </w:pPr>
    </w:p>
    <w:p>
      <w:pPr>
        <w:ind w:left="820" w:right="520" w:firstLine="385"/>
        <w:spacing w:after="0" w:line="329" w:lineRule="auto"/>
        <w:rPr>
          <w:sz w:val="20"/>
          <w:szCs w:val="20"/>
          <w:color w:val="auto"/>
        </w:rPr>
      </w:pPr>
      <w:r>
        <w:rPr>
          <w:rFonts w:ascii="Arial" w:cs="Arial" w:eastAsia="Arial" w:hAnsi="Arial"/>
          <w:sz w:val="13"/>
          <w:szCs w:val="13"/>
          <w:color w:val="auto"/>
        </w:rPr>
        <w:t>The interim condensed balance sheet as of March 31, 2021, and the interim condensed statements of operations and comprehensive loss, convertible preferred stock and stockholders’ deficit and cash flows for the three months ended March 31, 2020 and 2021 are unaudited. These unaudited interim condensed financial statements have been prepared on the same basis as the Company’s annual financial statements and, in the opinion of management, reflect all adjustments (consisting only of normal recurring adjustments) that are</w:t>
      </w:r>
    </w:p>
    <w:p>
      <w:pPr>
        <w:spacing w:after="0" w:line="65"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440"/>
          </w:cols>
          <w:pgMar w:left="320" w:top="418" w:right="1139" w:bottom="1440" w:gutter="0" w:footer="0" w:header="0"/>
        </w:sectPr>
      </w:pPr>
    </w:p>
    <w:bookmarkStart w:id="284" w:name="page285"/>
    <w:bookmarkEnd w:id="2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spacing w:after="0" w:line="251" w:lineRule="auto"/>
        <w:rPr>
          <w:sz w:val="20"/>
          <w:szCs w:val="20"/>
          <w:color w:val="auto"/>
        </w:rPr>
      </w:pPr>
      <w:r>
        <w:rPr>
          <w:rFonts w:ascii="Arial" w:cs="Arial" w:eastAsia="Arial" w:hAnsi="Arial"/>
          <w:sz w:val="16"/>
          <w:szCs w:val="16"/>
          <w:color w:val="auto"/>
        </w:rPr>
        <w:t>necessary for the fair statement of the Company’s financial position, results of operations and cash flows for the interim periods presented. The condensed results of operations for the three months ended March 31, 2021 are not necessarily indicative of the results to be expected for the full year or for any other future annual or interim period. The condensed balance sheet as of December 31, 2020 included herein was derived from the audited financial statements as of that date. These interim condensed financial statements should be read in conjunction with the Company’s audited financial statements included elsewhere in this prospectus.</w:t>
      </w:r>
    </w:p>
    <w:p>
      <w:pPr>
        <w:spacing w:after="0" w:line="264"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99"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The Company considers all highly liquid investments purchased with an original maturity of three months or less on the date of purchase to be cash equivalents. Cash equivalents primarily consist of money market funds that are stated at fair value.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Leases</w:t>
      </w:r>
    </w:p>
    <w:p>
      <w:pPr>
        <w:spacing w:after="0" w:line="99" w:lineRule="exact"/>
        <w:rPr>
          <w:sz w:val="20"/>
          <w:szCs w:val="20"/>
          <w:color w:val="auto"/>
        </w:rPr>
      </w:pPr>
    </w:p>
    <w:p>
      <w:pPr>
        <w:ind w:left="820" w:right="260" w:firstLine="385"/>
        <w:spacing w:after="0" w:line="383" w:lineRule="auto"/>
        <w:rPr>
          <w:sz w:val="20"/>
          <w:szCs w:val="20"/>
          <w:color w:val="auto"/>
        </w:rPr>
      </w:pPr>
      <w:r>
        <w:rPr>
          <w:rFonts w:ascii="Arial" w:cs="Arial" w:eastAsia="Arial" w:hAnsi="Arial"/>
          <w:sz w:val="13"/>
          <w:szCs w:val="13"/>
          <w:color w:val="auto"/>
        </w:rPr>
        <w:t xml:space="preserve">The Company adopted Accounting Standards Codification (ASC) Topic 842,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(ASC 842) on January 1, 2021, as discussed below in the section titled “Recently Adopted Accounting Standards”. Under ASC 842, the Company determines if an arrangement is a lease at inception.</w:t>
      </w:r>
    </w:p>
    <w:p>
      <w:pPr>
        <w:spacing w:after="0" w:line="89" w:lineRule="exact"/>
        <w:rPr>
          <w:sz w:val="20"/>
          <w:szCs w:val="20"/>
          <w:color w:val="auto"/>
        </w:rPr>
      </w:pPr>
    </w:p>
    <w:p>
      <w:pPr>
        <w:ind w:left="820" w:right="60" w:firstLine="385"/>
        <w:spacing w:after="0" w:line="314" w:lineRule="auto"/>
        <w:rPr>
          <w:sz w:val="20"/>
          <w:szCs w:val="20"/>
          <w:color w:val="auto"/>
        </w:rPr>
      </w:pPr>
      <w:r>
        <w:rPr>
          <w:rFonts w:ascii="Arial" w:cs="Arial" w:eastAsia="Arial" w:hAnsi="Arial"/>
          <w:sz w:val="13"/>
          <w:szCs w:val="13"/>
          <w:color w:val="auto"/>
        </w:rPr>
        <w:t>Operating lease right-of-use (ROU) assets represent the Company’s right to use an underlying asset for the lease term and lease liabilities represent the Company’s obligation to make lease payments arising from the lease. Operating lease ROU assets and liabilities are recognized based on the present value of lease payments over the lease term at the commencement date of the lease. ROU assets also include any initial direct costs incurred and any lease payments made at or before the lease commencement date, less any lease incentive received. The Company uses the rate implicit in the lease in determining the present value of lease payments and, if that rate is not readily determinable, the Company uses its incremental borrowing rate based on the information available at the date of lease commencement. The incremental borrowing rate reflects the rate of interest that a lessee would have to pay to borrow, on a collateralized basis over a similar term, an amount equal to the lease payments in a similar economic environment. The Company’s lease terms may include options to extend or terminate the lease when it is reasonably certain that the Company will exercise that option. Lease expense for lease payments is recognized on a straight-line basis over the lease term.</w:t>
      </w:r>
    </w:p>
    <w:p>
      <w:pPr>
        <w:spacing w:after="0" w:line="227" w:lineRule="exact"/>
        <w:rPr>
          <w:sz w:val="20"/>
          <w:szCs w:val="20"/>
          <w:color w:val="auto"/>
        </w:rPr>
      </w:pPr>
    </w:p>
    <w:p>
      <w:pPr>
        <w:ind w:left="820" w:right="260" w:firstLine="385"/>
        <w:spacing w:after="0" w:line="266" w:lineRule="auto"/>
        <w:rPr>
          <w:sz w:val="20"/>
          <w:szCs w:val="20"/>
          <w:color w:val="auto"/>
        </w:rPr>
      </w:pPr>
      <w:r>
        <w:rPr>
          <w:rFonts w:ascii="Arial" w:cs="Arial" w:eastAsia="Arial" w:hAnsi="Arial"/>
          <w:sz w:val="16"/>
          <w:szCs w:val="16"/>
          <w:color w:val="auto"/>
        </w:rPr>
        <w:t>The Company’s non-lease components are primarily related to property taxes, insurance, and common area maintenance, which vary based on future outcomes, and are recognized as rent expense when incurred.</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Deferred Offering Costs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Deferred offering costs, consisting of legal, accounting, audit and filing fees relating to the Company’s initial public offering, are capitalized.</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Deferred offering costs will be offset against offering proceeds upon the completion of the offering. In the event the offering is terminated or delayed,</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deferred offering costs will be expensed. As of December 31, 2020, the Company did not incur any deferred offering costs. As of March 31, 2021,</w:t>
      </w:r>
    </w:p>
    <w:p>
      <w:pPr>
        <w:spacing w:after="0" w:line="39" w:lineRule="exact"/>
        <w:rPr>
          <w:sz w:val="20"/>
          <w:szCs w:val="20"/>
          <w:color w:val="auto"/>
        </w:rPr>
      </w:pPr>
    </w:p>
    <w:p>
      <w:pPr>
        <w:ind w:left="820"/>
        <w:spacing w:after="0"/>
        <w:rPr>
          <w:sz w:val="20"/>
          <w:szCs w:val="20"/>
          <w:color w:val="auto"/>
        </w:rPr>
      </w:pPr>
      <w:r>
        <w:rPr>
          <w:rFonts w:ascii="Arial" w:cs="Arial" w:eastAsia="Arial" w:hAnsi="Arial"/>
          <w:sz w:val="13"/>
          <w:szCs w:val="13"/>
          <w:color w:val="auto"/>
        </w:rPr>
        <w:t>$0.1 million of deferred offering costs were capitalized, which are included in other non-current assets in the accompanying condensed balance sheet.</w:t>
      </w:r>
    </w:p>
    <w:p>
      <w:pPr>
        <w:spacing w:after="0" w:line="311"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99" w:lineRule="exact"/>
        <w:rPr>
          <w:sz w:val="20"/>
          <w:szCs w:val="20"/>
          <w:color w:val="auto"/>
        </w:rPr>
      </w:pPr>
    </w:p>
    <w:p>
      <w:pPr>
        <w:ind w:left="820" w:right="280" w:firstLine="385"/>
        <w:spacing w:after="0" w:line="251" w:lineRule="auto"/>
        <w:rPr>
          <w:sz w:val="20"/>
          <w:szCs w:val="20"/>
          <w:color w:val="auto"/>
        </w:rPr>
      </w:pPr>
      <w:r>
        <w:rPr>
          <w:rFonts w:ascii="Arial" w:cs="Arial" w:eastAsia="Arial" w:hAnsi="Arial"/>
          <w:sz w:val="16"/>
          <w:szCs w:val="16"/>
          <w:color w:val="auto"/>
        </w:rPr>
        <w:t>Basic net loss per share is calculated by dividing the net loss by the weighted-average number of shares of the Company’s common stock outstanding for the period, without consideration for potential dilutive shares of common stock. As the Company is in a loss position for the periods presented, diluted net loss per share is the same as basic net loss per share, since the effects of potentially dilutive securities are antidilutive. Shares related to early exercised stock options and restricted stock that are subject to repurchase are excluded from the basic and diluted net loss per share calculation until the Company’s repurchase right lapses.</w:t>
      </w:r>
    </w:p>
    <w:p>
      <w:pPr>
        <w:spacing w:after="0" w:line="111"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0400"/>
          </w:cols>
          <w:pgMar w:left="320" w:top="418" w:right="1179" w:bottom="1440" w:gutter="0" w:footer="0" w:header="0"/>
        </w:sectPr>
      </w:pPr>
    </w:p>
    <w:bookmarkStart w:id="285" w:name="page286"/>
    <w:bookmarkEnd w:id="2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Adopted Accounting Standards</w:t>
      </w:r>
    </w:p>
    <w:p>
      <w:pPr>
        <w:spacing w:after="0" w:line="99" w:lineRule="exact"/>
        <w:rPr>
          <w:sz w:val="20"/>
          <w:szCs w:val="20"/>
          <w:color w:val="auto"/>
        </w:rPr>
      </w:pPr>
    </w:p>
    <w:p>
      <w:pPr>
        <w:ind w:left="820" w:right="40" w:firstLine="385"/>
        <w:spacing w:after="0" w:line="251" w:lineRule="auto"/>
        <w:rPr>
          <w:sz w:val="20"/>
          <w:szCs w:val="20"/>
          <w:color w:val="auto"/>
        </w:rPr>
      </w:pPr>
      <w:r>
        <w:rPr>
          <w:rFonts w:ascii="Arial" w:cs="Arial" w:eastAsia="Arial" w:hAnsi="Arial"/>
          <w:sz w:val="16"/>
          <w:szCs w:val="16"/>
          <w:color w:val="auto"/>
        </w:rPr>
        <w:t xml:space="preserve">On January 1, 2020, the Company adopted Financial Accounting Standards Board (FASB) Accounting Standard Update (ASU) No. 2018-13, </w:t>
      </w:r>
      <w:r>
        <w:rPr>
          <w:rFonts w:ascii="Arial" w:cs="Arial" w:eastAsia="Arial" w:hAnsi="Arial"/>
          <w:sz w:val="16"/>
          <w:szCs w:val="16"/>
          <w:i w:val="1"/>
          <w:iCs w:val="1"/>
          <w:color w:val="auto"/>
        </w:rPr>
        <w:t>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Measurement (Topic 820): Disclosure Framework—Changes to the Disclosure Requirements for Fair Value Measurement</w:t>
      </w:r>
      <w:r>
        <w:rPr>
          <w:rFonts w:ascii="Arial" w:cs="Arial" w:eastAsia="Arial" w:hAnsi="Arial"/>
          <w:sz w:val="16"/>
          <w:szCs w:val="16"/>
          <w:color w:val="auto"/>
        </w:rPr>
        <w:t>. This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modifies and adds disclosure requirements for fair value measurements. The Company adopted the removed and modified disclosures on a retrospective basis and the new disclosures on a prospective basis. The adoption of this standard did not have a material impact on the Company’s financial statements.</w:t>
      </w:r>
    </w:p>
    <w:p>
      <w:pPr>
        <w:spacing w:after="0" w:line="170" w:lineRule="exact"/>
        <w:rPr>
          <w:sz w:val="20"/>
          <w:szCs w:val="20"/>
          <w:color w:val="auto"/>
        </w:rPr>
      </w:pPr>
    </w:p>
    <w:p>
      <w:pPr>
        <w:ind w:left="820" w:right="40" w:firstLine="385"/>
        <w:spacing w:after="0" w:line="316" w:lineRule="auto"/>
        <w:rPr>
          <w:sz w:val="20"/>
          <w:szCs w:val="20"/>
          <w:color w:val="auto"/>
        </w:rPr>
      </w:pPr>
      <w:r>
        <w:rPr>
          <w:rFonts w:ascii="Arial" w:cs="Arial" w:eastAsia="Arial" w:hAnsi="Arial"/>
          <w:sz w:val="13"/>
          <w:szCs w:val="13"/>
          <w:color w:val="auto"/>
        </w:rPr>
        <w:t xml:space="preserve">On January 1, 2021, the Company adopted ASC 842 using the modified retrospective transition method and elected the practical expedients to not reassess whether any expired or existing contracts are or contain leases, carry forward its historical lease classification and not reassess initial direct costs for existing leases. The Company elected to not separate non-lease components from the associated lease components and to not recognize ROU assets and lease liabilities for leases with a term of 12 months or less. Upon adoption of ASC 842, the Company recorded an operating right-of-use asset of $4.6 million, operating lease liabilities of $9.1 million and derecognized deferred rent and other lease liabilities of $4.5 million. Results for the three months ended March 31, 2021 are presented under ASC 842. Prior period amounts before January 1, 2021 have not been adjusted and continue to be reported in accordance with the Company’s historical accounting under previous lease guidance, ASC 840: </w:t>
      </w:r>
      <w:r>
        <w:rPr>
          <w:rFonts w:ascii="Arial" w:cs="Arial" w:eastAsia="Arial" w:hAnsi="Arial"/>
          <w:sz w:val="13"/>
          <w:szCs w:val="13"/>
          <w:i w:val="1"/>
          <w:iCs w:val="1"/>
          <w:color w:val="auto"/>
        </w:rPr>
        <w:t>Leases (Topic 840)</w:t>
      </w:r>
      <w:r>
        <w:rPr>
          <w:rFonts w:ascii="Arial" w:cs="Arial" w:eastAsia="Arial" w:hAnsi="Arial"/>
          <w:sz w:val="13"/>
          <w:szCs w:val="13"/>
          <w:color w:val="auto"/>
        </w:rPr>
        <w:t>.</w:t>
      </w:r>
    </w:p>
    <w:p>
      <w:pPr>
        <w:spacing w:after="0" w:line="22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Recently Issued Accounting Pronouncements Not Yet Adopted</w:t>
      </w:r>
    </w:p>
    <w:p>
      <w:pPr>
        <w:spacing w:after="0" w:line="99"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Instruments—Credit Losses (Topic 326): Measurement of Credit Losses on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w:t>
      </w:r>
      <w:r>
        <w:rPr>
          <w:rFonts w:ascii="Arial" w:cs="Arial" w:eastAsia="Arial" w:hAnsi="Arial"/>
          <w:sz w:val="15"/>
          <w:szCs w:val="15"/>
          <w:color w:val="auto"/>
        </w:rPr>
        <w:t>(ASU 2016-13), which replaces the existing incurred loss impairment model with an expected credit loss model. This standard will require</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to recognize an allowance for credit losses on available-for-sale debt securities rather than the current approach of recording a reduction to the carrying value of the asset. As an emerging growth company, ASU 2016-13 is effective for the Company for fiscal year beginning January 1, 2023. The Company is evaluating the impact of this standard on its financial statements.</w:t>
      </w:r>
    </w:p>
    <w:p>
      <w:pPr>
        <w:spacing w:after="0" w:line="60"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is effective for the Company for fiscal year beginning January 1, 2022. The Company is evaluating the impact of this standard on its financial statements.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3. Fair Value Measurements</w:t>
      </w:r>
    </w:p>
    <w:p>
      <w:pPr>
        <w:spacing w:after="0" w:line="103" w:lineRule="exact"/>
        <w:rPr>
          <w:sz w:val="20"/>
          <w:szCs w:val="20"/>
          <w:color w:val="auto"/>
        </w:rPr>
      </w:pPr>
    </w:p>
    <w:p>
      <w:pPr>
        <w:ind w:left="820" w:right="240" w:firstLine="385"/>
        <w:spacing w:after="0" w:line="266" w:lineRule="auto"/>
        <w:rPr>
          <w:sz w:val="20"/>
          <w:szCs w:val="20"/>
          <w:color w:val="auto"/>
        </w:rPr>
      </w:pPr>
      <w:r>
        <w:rPr>
          <w:rFonts w:ascii="Arial" w:cs="Arial" w:eastAsia="Arial" w:hAnsi="Arial"/>
          <w:sz w:val="16"/>
          <w:szCs w:val="16"/>
          <w:color w:val="auto"/>
        </w:rPr>
        <w:t>Financial assets and liabilities are recognized at fair value on a recurring basis. The following tables summarize the Company’s financial assets measured at fair value on a recurring basis by level within the fair value hierarchy:</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3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8"/>
              </w:rPr>
              <w:t>Valuation</w:t>
            </w: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3"/>
                <w:szCs w:val="13"/>
                <w:b w:val="1"/>
                <w:bCs w:val="1"/>
                <w:color w:val="auto"/>
                <w:w w:val="95"/>
              </w:rPr>
              <w:t>December 31, 2020</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3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Amortized</w:t>
            </w:r>
          </w:p>
        </w:tc>
        <w:tc>
          <w:tcPr>
            <w:tcW w:w="920" w:type="dxa"/>
            <w:vAlign w:val="bottom"/>
            <w:gridSpan w:val="3"/>
          </w:tcPr>
          <w:p>
            <w:pPr>
              <w:ind w:left="320"/>
              <w:spacing w:after="0" w:line="102" w:lineRule="exact"/>
              <w:rPr>
                <w:sz w:val="20"/>
                <w:szCs w:val="20"/>
                <w:color w:val="auto"/>
              </w:rPr>
            </w:pPr>
            <w:r>
              <w:rPr>
                <w:rFonts w:ascii="Arial" w:cs="Arial" w:eastAsia="Arial" w:hAnsi="Arial"/>
                <w:sz w:val="10"/>
                <w:szCs w:val="10"/>
                <w:b w:val="1"/>
                <w:bCs w:val="1"/>
                <w:color w:val="auto"/>
              </w:rPr>
              <w:t>Unrealized</w:t>
            </w:r>
          </w:p>
        </w:tc>
        <w:tc>
          <w:tcPr>
            <w:tcW w:w="90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300" w:type="dxa"/>
            <w:vAlign w:val="bottom"/>
          </w:tcPr>
          <w:p>
            <w:pPr>
              <w:spacing w:after="0"/>
              <w:rPr>
                <w:sz w:val="13"/>
                <w:szCs w:val="13"/>
                <w:color w:val="auto"/>
              </w:rPr>
            </w:pPr>
          </w:p>
        </w:tc>
        <w:tc>
          <w:tcPr>
            <w:tcW w:w="2480" w:type="dxa"/>
            <w:vAlign w:val="bottom"/>
            <w:gridSpan w:val="2"/>
          </w:tcPr>
          <w:p>
            <w:pPr>
              <w:jc w:val="right"/>
              <w:spacing w:after="0"/>
              <w:rPr>
                <w:sz w:val="20"/>
                <w:szCs w:val="20"/>
                <w:color w:val="auto"/>
              </w:rPr>
            </w:pPr>
            <w:r>
              <w:rPr>
                <w:rFonts w:ascii="Arial" w:cs="Arial" w:eastAsia="Arial" w:hAnsi="Arial"/>
                <w:sz w:val="13"/>
                <w:szCs w:val="13"/>
                <w:b w:val="1"/>
                <w:bCs w:val="1"/>
                <w:color w:val="auto"/>
              </w:rPr>
              <w:t>Hierarchy</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7"/>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Gain</w:t>
            </w: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33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right"/>
              <w:ind w:right="143"/>
              <w:spacing w:after="0" w:line="12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620"/>
              <w:spacing w:after="0"/>
              <w:rPr>
                <w:sz w:val="20"/>
                <w:szCs w:val="20"/>
                <w:color w:val="auto"/>
              </w:rPr>
            </w:pPr>
            <w:r>
              <w:rPr>
                <w:rFonts w:ascii="Arial" w:cs="Arial" w:eastAsia="Arial" w:hAnsi="Arial"/>
                <w:sz w:val="16"/>
                <w:szCs w:val="16"/>
                <w:b w:val="1"/>
                <w:bCs w:val="1"/>
                <w:color w:val="auto"/>
              </w:rPr>
              <w:t>Cash equivalents:</w:t>
            </w: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Money market funds</w:t>
            </w:r>
          </w:p>
        </w:tc>
        <w:tc>
          <w:tcPr>
            <w:tcW w:w="19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Level 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127,535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74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127,535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300" w:type="dxa"/>
            <w:vAlign w:val="bottom"/>
          </w:tcPr>
          <w:p>
            <w:pPr>
              <w:spacing w:after="0"/>
              <w:rPr>
                <w:sz w:val="20"/>
                <w:szCs w:val="20"/>
                <w:color w:val="auto"/>
              </w:rPr>
            </w:pPr>
            <w:r>
              <w:rPr>
                <w:rFonts w:ascii="Arial" w:cs="Arial" w:eastAsia="Arial" w:hAnsi="Arial"/>
                <w:sz w:val="16"/>
                <w:szCs w:val="16"/>
                <w:color w:val="auto"/>
              </w:rPr>
              <w:t>Total financial assets</w:t>
            </w:r>
          </w:p>
        </w:tc>
        <w:tc>
          <w:tcPr>
            <w:tcW w:w="1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127,535</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127,535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480" w:type="dxa"/>
            <w:vAlign w:val="bottom"/>
            <w:gridSpan w:val="2"/>
            <w:vMerge w:val="restart"/>
          </w:tcPr>
          <w:p>
            <w:pPr>
              <w:jc w:val="right"/>
              <w:ind w:right="749"/>
              <w:spacing w:after="0"/>
              <w:rPr>
                <w:sz w:val="20"/>
                <w:szCs w:val="20"/>
                <w:color w:val="auto"/>
              </w:rPr>
            </w:pPr>
            <w:r>
              <w:rPr>
                <w:rFonts w:ascii="Arial" w:cs="Arial" w:eastAsia="Arial" w:hAnsi="Arial"/>
                <w:sz w:val="16"/>
                <w:szCs w:val="16"/>
                <w:color w:val="auto"/>
              </w:rPr>
              <w:t>F-34</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86" w:name="page287"/>
    <w:bookmarkEnd w:id="2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88"/>
              </w:rPr>
              <w:t>Valuation</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23"/>
              <w:spacing w:after="0"/>
              <w:rPr>
                <w:sz w:val="20"/>
                <w:szCs w:val="20"/>
                <w:color w:val="auto"/>
              </w:rPr>
            </w:pPr>
            <w:r>
              <w:rPr>
                <w:rFonts w:ascii="Arial" w:cs="Arial" w:eastAsia="Arial" w:hAnsi="Arial"/>
                <w:sz w:val="13"/>
                <w:szCs w:val="13"/>
                <w:b w:val="1"/>
                <w:bCs w:val="1"/>
                <w:color w:val="auto"/>
              </w:rPr>
              <w:t>March 31, 2021</w:t>
            </w:r>
          </w:p>
        </w:tc>
        <w:tc>
          <w:tcPr>
            <w:tcW w:w="1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Amortized</w:t>
            </w:r>
          </w:p>
        </w:tc>
        <w:tc>
          <w:tcPr>
            <w:tcW w:w="920" w:type="dxa"/>
            <w:vAlign w:val="bottom"/>
            <w:gridSpan w:val="3"/>
          </w:tcPr>
          <w:p>
            <w:pPr>
              <w:ind w:left="320"/>
              <w:spacing w:after="0" w:line="102" w:lineRule="exact"/>
              <w:rPr>
                <w:sz w:val="20"/>
                <w:szCs w:val="20"/>
                <w:color w:val="auto"/>
              </w:rPr>
            </w:pPr>
            <w:r>
              <w:rPr>
                <w:rFonts w:ascii="Arial" w:cs="Arial" w:eastAsia="Arial" w:hAnsi="Arial"/>
                <w:sz w:val="10"/>
                <w:szCs w:val="10"/>
                <w:b w:val="1"/>
                <w:bCs w:val="1"/>
                <w:color w:val="auto"/>
              </w:rPr>
              <w:t>Unrealized</w:t>
            </w:r>
          </w:p>
        </w:tc>
        <w:tc>
          <w:tcPr>
            <w:tcW w:w="900" w:type="dxa"/>
            <w:vAlign w:val="bottom"/>
            <w:gridSpan w:val="3"/>
          </w:tcPr>
          <w:p>
            <w:pPr>
              <w:jc w:val="right"/>
              <w:spacing w:after="0" w:line="102" w:lineRule="exact"/>
              <w:rPr>
                <w:sz w:val="20"/>
                <w:szCs w:val="20"/>
                <w:color w:val="auto"/>
              </w:rPr>
            </w:pPr>
            <w:r>
              <w:rPr>
                <w:rFonts w:ascii="Arial" w:cs="Arial" w:eastAsia="Arial" w:hAnsi="Arial"/>
                <w:sz w:val="10"/>
                <w:szCs w:val="10"/>
                <w:b w:val="1"/>
                <w:bCs w:val="1"/>
                <w:color w:val="auto"/>
              </w:rPr>
              <w:t>Unrealized</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250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Hierarchy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47"/>
              <w:spacing w:after="0"/>
              <w:rPr>
                <w:sz w:val="20"/>
                <w:szCs w:val="20"/>
                <w:color w:val="auto"/>
              </w:rPr>
            </w:pPr>
            <w:r>
              <w:rPr>
                <w:rFonts w:ascii="Arial" w:cs="Arial" w:eastAsia="Arial" w:hAnsi="Arial"/>
                <w:sz w:val="13"/>
                <w:szCs w:val="13"/>
                <w:b w:val="1"/>
                <w:bCs w:val="1"/>
                <w:color w:val="auto"/>
              </w:rPr>
              <w:t>Cost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rPr>
              <w:t>Gain</w:t>
            </w:r>
          </w:p>
        </w:tc>
        <w:tc>
          <w:tcPr>
            <w:tcW w:w="3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Loss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right"/>
              <w:ind w:right="143"/>
              <w:spacing w:after="0" w:line="12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tcPr>
          <w:p>
            <w:pPr>
              <w:ind w:left="620"/>
              <w:spacing w:after="0"/>
              <w:rPr>
                <w:sz w:val="20"/>
                <w:szCs w:val="20"/>
                <w:color w:val="auto"/>
              </w:rPr>
            </w:pPr>
            <w:r>
              <w:rPr>
                <w:rFonts w:ascii="Arial" w:cs="Arial" w:eastAsia="Arial" w:hAnsi="Arial"/>
                <w:sz w:val="16"/>
                <w:szCs w:val="16"/>
                <w:b w:val="1"/>
                <w:bCs w:val="1"/>
                <w:color w:val="auto"/>
              </w:rPr>
              <w:t>Cash equivalents: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shd w:val="clear" w:color="auto" w:fill="CCEEFF"/>
          </w:tcPr>
          <w:p>
            <w:pPr>
              <w:ind w:left="620"/>
              <w:spacing w:after="0"/>
              <w:rPr>
                <w:sz w:val="20"/>
                <w:szCs w:val="20"/>
                <w:color w:val="auto"/>
              </w:rPr>
            </w:pPr>
            <w:r>
              <w:rPr>
                <w:rFonts w:ascii="Arial" w:cs="Arial" w:eastAsia="Arial" w:hAnsi="Arial"/>
                <w:sz w:val="16"/>
                <w:szCs w:val="16"/>
                <w:color w:val="auto"/>
              </w:rPr>
              <w:t>Money market funds</w:t>
            </w:r>
          </w:p>
        </w:tc>
        <w:tc>
          <w:tcPr>
            <w:tcW w:w="16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Level 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127,433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87"/>
              </w:rPr>
              <w:t>—</w:t>
            </w:r>
          </w:p>
        </w:tc>
        <w:tc>
          <w:tcPr>
            <w:tcW w:w="740" w:type="dxa"/>
            <w:vAlign w:val="bottom"/>
            <w:gridSpan w:val="2"/>
            <w:shd w:val="clear" w:color="auto" w:fill="CCEEFF"/>
          </w:tcPr>
          <w:p>
            <w:pPr>
              <w:jc w:val="right"/>
              <w:ind w:right="303"/>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127,433</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80" w:type="dxa"/>
            <w:vAlign w:val="bottom"/>
          </w:tcPr>
          <w:p>
            <w:pPr>
              <w:spacing w:after="0"/>
              <w:rPr>
                <w:sz w:val="20"/>
                <w:szCs w:val="20"/>
                <w:color w:val="auto"/>
              </w:rPr>
            </w:pPr>
            <w:r>
              <w:rPr>
                <w:rFonts w:ascii="Arial" w:cs="Arial" w:eastAsia="Arial" w:hAnsi="Arial"/>
                <w:sz w:val="16"/>
                <w:szCs w:val="16"/>
                <w:color w:val="auto"/>
              </w:rPr>
              <w:t>Total financial assets</w:t>
            </w:r>
          </w:p>
        </w:tc>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127,433</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3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127,433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Money market funds are classified as Level 1 because they are valued using quoted market prices in active markets for identical assets.</w:t>
      </w:r>
    </w:p>
    <w:p>
      <w:pPr>
        <w:spacing w:after="0" w:line="205"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There were no unrealized losses as of December 31, 2020 and March 31, 2021.</w:t>
      </w:r>
    </w:p>
    <w:p>
      <w:pPr>
        <w:spacing w:after="0" w:line="28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Convertible Preferred Stock Tranche Liability</w:t>
      </w:r>
    </w:p>
    <w:p>
      <w:pPr>
        <w:spacing w:after="0" w:line="99" w:lineRule="exact"/>
        <w:rPr>
          <w:sz w:val="20"/>
          <w:szCs w:val="20"/>
          <w:color w:val="auto"/>
        </w:rPr>
      </w:pPr>
    </w:p>
    <w:p>
      <w:pPr>
        <w:ind w:left="820" w:right="60" w:firstLine="385"/>
        <w:spacing w:after="0" w:line="268" w:lineRule="auto"/>
        <w:rPr>
          <w:sz w:val="20"/>
          <w:szCs w:val="20"/>
          <w:color w:val="auto"/>
        </w:rPr>
      </w:pPr>
      <w:r>
        <w:rPr>
          <w:rFonts w:ascii="Arial" w:cs="Arial" w:eastAsia="Arial" w:hAnsi="Arial"/>
          <w:sz w:val="15"/>
          <w:szCs w:val="15"/>
          <w:color w:val="auto"/>
        </w:rPr>
        <w:t>The Company’s convertible preferred stock tranche liability (see Note 7) was determined based on significant inputs not observable in the market, which represents a Level 3 measurement within the fair value hierarchy. Fair value was calculated using an option pricing model that required significant unobservable inputs supported by little or no market activity. The convertible preferred stock tranche liability is considered a non-contingent forward and the standard forward pricing model was used with the following key assumptions: (a) calculation of an expected term and (b) a risk-free interest rate. On the second and third closings of the Company’s Series B convertible preferred stock financings in March and August 2020, the convertible preferred stock tranche liability was settled and reclassified to Series B convertible preferred stock. Accordingly, there is no convertible preferred stock tranche liability as of December 31, 2020 and March 31, 2021.</w:t>
      </w:r>
    </w:p>
    <w:p>
      <w:pPr>
        <w:spacing w:after="0" w:line="161"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the significant unobservable assumptions used to value the convertible preferred stock tranche liability as of</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March 31, 2020:</w:t>
      </w:r>
    </w:p>
    <w:p>
      <w:pPr>
        <w:spacing w:after="0" w:line="178"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3920" w:type="dxa"/>
            <w:vAlign w:val="bottom"/>
          </w:tcPr>
          <w:p>
            <w:pPr>
              <w:spacing w:after="0"/>
              <w:rPr>
                <w:sz w:val="13"/>
                <w:szCs w:val="13"/>
                <w:color w:val="auto"/>
              </w:rPr>
            </w:pPr>
          </w:p>
        </w:tc>
        <w:tc>
          <w:tcPr>
            <w:tcW w:w="2620" w:type="dxa"/>
            <w:vAlign w:val="bottom"/>
            <w:gridSpan w:val="3"/>
          </w:tcPr>
          <w:p>
            <w:pPr>
              <w:jc w:val="center"/>
              <w:ind w:left="1632"/>
              <w:spacing w:after="0"/>
              <w:rPr>
                <w:sz w:val="20"/>
                <w:szCs w:val="20"/>
                <w:color w:val="auto"/>
              </w:rPr>
            </w:pPr>
            <w:r>
              <w:rPr>
                <w:rFonts w:ascii="Arial" w:cs="Arial" w:eastAsia="Arial" w:hAnsi="Arial"/>
                <w:sz w:val="13"/>
                <w:szCs w:val="13"/>
                <w:b w:val="1"/>
                <w:bCs w:val="1"/>
                <w:color w:val="auto"/>
                <w:w w:val="93"/>
              </w:rPr>
              <w:t>March 31,</w:t>
            </w:r>
          </w:p>
        </w:tc>
      </w:tr>
      <w:tr>
        <w:trPr>
          <w:trHeight w:val="150"/>
        </w:trPr>
        <w:tc>
          <w:tcPr>
            <w:tcW w:w="3920" w:type="dxa"/>
            <w:vAlign w:val="bottom"/>
          </w:tcPr>
          <w:p>
            <w:pPr>
              <w:spacing w:after="0"/>
              <w:rPr>
                <w:sz w:val="13"/>
                <w:szCs w:val="13"/>
                <w:color w:val="auto"/>
              </w:rPr>
            </w:pPr>
          </w:p>
        </w:tc>
        <w:tc>
          <w:tcPr>
            <w:tcW w:w="2440" w:type="dxa"/>
            <w:vAlign w:val="bottom"/>
            <w:gridSpan w:val="2"/>
          </w:tcPr>
          <w:p>
            <w:pPr>
              <w:jc w:val="right"/>
              <w:ind w:right="81"/>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r>
      <w:tr>
        <w:trPr>
          <w:trHeight w:val="180"/>
        </w:trPr>
        <w:tc>
          <w:tcPr>
            <w:tcW w:w="39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Term to valuation date (in years)</w:t>
            </w:r>
          </w:p>
        </w:tc>
        <w:tc>
          <w:tcPr>
            <w:tcW w:w="18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360"/>
              <w:spacing w:after="0" w:line="181" w:lineRule="exact"/>
              <w:rPr>
                <w:sz w:val="20"/>
                <w:szCs w:val="20"/>
                <w:color w:val="auto"/>
              </w:rPr>
            </w:pPr>
            <w:r>
              <w:rPr>
                <w:rFonts w:ascii="Arial" w:cs="Arial" w:eastAsia="Arial" w:hAnsi="Arial"/>
                <w:sz w:val="16"/>
                <w:szCs w:val="16"/>
                <w:color w:val="auto"/>
                <w:w w:val="80"/>
              </w:rPr>
              <w:t>0.5</w:t>
            </w:r>
          </w:p>
        </w:tc>
        <w:tc>
          <w:tcPr>
            <w:tcW w:w="180" w:type="dxa"/>
            <w:vAlign w:val="bottom"/>
            <w:tcBorders>
              <w:top w:val="single" w:sz="8" w:color="CCEEFF"/>
            </w:tcBorders>
            <w:shd w:val="clear" w:color="auto" w:fill="CCEEFF"/>
          </w:tcPr>
          <w:p>
            <w:pPr>
              <w:spacing w:after="0"/>
              <w:rPr>
                <w:sz w:val="15"/>
                <w:szCs w:val="15"/>
                <w:color w:val="auto"/>
              </w:rPr>
            </w:pPr>
          </w:p>
        </w:tc>
      </w:tr>
      <w:tr>
        <w:trPr>
          <w:trHeight w:val="200"/>
        </w:trPr>
        <w:tc>
          <w:tcPr>
            <w:tcW w:w="3920" w:type="dxa"/>
            <w:vAlign w:val="bottom"/>
          </w:tcPr>
          <w:p>
            <w:pPr>
              <w:spacing w:after="0"/>
              <w:rPr>
                <w:sz w:val="20"/>
                <w:szCs w:val="20"/>
                <w:color w:val="auto"/>
              </w:rPr>
            </w:pPr>
            <w:r>
              <w:rPr>
                <w:rFonts w:ascii="Arial" w:cs="Arial" w:eastAsia="Arial" w:hAnsi="Arial"/>
                <w:sz w:val="16"/>
                <w:szCs w:val="16"/>
                <w:color w:val="auto"/>
              </w:rPr>
              <w:t>Discount rate</w:t>
            </w:r>
          </w:p>
        </w:tc>
        <w:tc>
          <w:tcPr>
            <w:tcW w:w="2620" w:type="dxa"/>
            <w:vAlign w:val="bottom"/>
            <w:gridSpan w:val="3"/>
          </w:tcPr>
          <w:p>
            <w:pPr>
              <w:ind w:left="2240"/>
              <w:spacing w:after="0"/>
              <w:rPr>
                <w:sz w:val="20"/>
                <w:szCs w:val="20"/>
                <w:color w:val="auto"/>
              </w:rPr>
            </w:pPr>
            <w:r>
              <w:rPr>
                <w:rFonts w:ascii="Arial" w:cs="Arial" w:eastAsia="Arial" w:hAnsi="Arial"/>
                <w:sz w:val="16"/>
                <w:szCs w:val="16"/>
                <w:color w:val="auto"/>
                <w:w w:val="98"/>
              </w:rPr>
              <w:t>5.0%</w:t>
            </w:r>
          </w:p>
        </w:tc>
      </w:tr>
    </w:tbl>
    <w:p>
      <w:pPr>
        <w:spacing w:after="0" w:line="70"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The following table summarizes the changes in the estimated fair value of the Company’s convertible preferred stock tranche liability measured on a recurring basis using significant Level 3 inputs:</w:t>
      </w:r>
    </w:p>
    <w:p>
      <w:pPr>
        <w:spacing w:after="0" w:line="155"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5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March 31,</w:t>
            </w: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5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320"/>
              <w:spacing w:after="0" w:line="176" w:lineRule="exact"/>
              <w:rPr>
                <w:sz w:val="20"/>
                <w:szCs w:val="20"/>
                <w:color w:val="auto"/>
              </w:rPr>
            </w:pPr>
            <w:r>
              <w:rPr>
                <w:rFonts w:ascii="Arial" w:cs="Arial" w:eastAsia="Arial" w:hAnsi="Arial"/>
                <w:sz w:val="16"/>
                <w:szCs w:val="16"/>
                <w:color w:val="auto"/>
                <w:w w:val="96"/>
              </w:rPr>
              <w:t>Partial settlement upon second closing of Series B convertible preferred</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240" w:type="dxa"/>
            <w:vAlign w:val="bottom"/>
          </w:tcPr>
          <w:p>
            <w:pPr>
              <w:ind w:left="460"/>
              <w:spacing w:after="0"/>
              <w:rPr>
                <w:sz w:val="20"/>
                <w:szCs w:val="20"/>
                <w:color w:val="auto"/>
              </w:rPr>
            </w:pPr>
            <w:r>
              <w:rPr>
                <w:rFonts w:ascii="Arial" w:cs="Arial" w:eastAsia="Arial" w:hAnsi="Arial"/>
                <w:sz w:val="16"/>
                <w:szCs w:val="16"/>
                <w:color w:val="auto"/>
              </w:rPr>
              <w:t>stock</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fair value upon remeasurement</w:t>
            </w:r>
          </w:p>
        </w:tc>
        <w:tc>
          <w:tcPr>
            <w:tcW w:w="4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40" w:type="dxa"/>
            <w:vAlign w:val="bottom"/>
          </w:tcPr>
          <w:p>
            <w:pPr>
              <w:spacing w:after="0"/>
              <w:rPr>
                <w:sz w:val="20"/>
                <w:szCs w:val="20"/>
                <w:color w:val="auto"/>
              </w:rPr>
            </w:pPr>
            <w:r>
              <w:rPr>
                <w:rFonts w:ascii="Arial" w:cs="Arial" w:eastAsia="Arial" w:hAnsi="Arial"/>
                <w:sz w:val="16"/>
                <w:szCs w:val="16"/>
                <w:color w:val="auto"/>
              </w:rPr>
              <w:t>Ending balance</w:t>
            </w:r>
          </w:p>
        </w:tc>
        <w:tc>
          <w:tcPr>
            <w:tcW w:w="4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3120"/>
              <w:spacing w:after="0"/>
              <w:rPr>
                <w:sz w:val="20"/>
                <w:szCs w:val="20"/>
                <w:color w:val="auto"/>
              </w:rPr>
            </w:pPr>
            <w:r>
              <w:rPr>
                <w:rFonts w:ascii="Arial" w:cs="Arial" w:eastAsia="Arial" w:hAnsi="Arial"/>
                <w:sz w:val="16"/>
                <w:szCs w:val="16"/>
                <w:color w:val="auto"/>
              </w:rPr>
              <w:t>F-35</w:t>
            </w: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320" w:top="418" w:right="1139" w:bottom="1440" w:gutter="0" w:footer="0" w:header="0"/>
        </w:sectPr>
      </w:pPr>
    </w:p>
    <w:bookmarkStart w:id="287" w:name="page288"/>
    <w:bookmarkEnd w:id="2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4. Balance Sheet Components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Property and equipment, net consists of the following:</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000" w:type="dxa"/>
            <w:vAlign w:val="bottom"/>
            <w:gridSpan w:val="4"/>
          </w:tcPr>
          <w:p>
            <w:pPr>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3"/>
                <w:szCs w:val="13"/>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3"/>
              </w:rPr>
              <w:t>March 31,</w:t>
            </w:r>
          </w:p>
        </w:tc>
      </w:tr>
      <w:tr>
        <w:trPr>
          <w:trHeight w:val="150"/>
        </w:trPr>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3"/>
                <w:szCs w:val="13"/>
                <w:color w:val="auto"/>
              </w:rPr>
            </w:pPr>
          </w:p>
        </w:tc>
      </w:tr>
      <w:tr>
        <w:trPr>
          <w:trHeight w:val="121"/>
        </w:trPr>
        <w:tc>
          <w:tcPr>
            <w:tcW w:w="5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4"/>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8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Laboratory equipment</w:t>
            </w:r>
          </w:p>
        </w:tc>
        <w:tc>
          <w:tcPr>
            <w:tcW w:w="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8,676</w:t>
            </w:r>
          </w:p>
        </w:tc>
        <w:tc>
          <w:tcPr>
            <w:tcW w:w="100" w:type="dxa"/>
            <w:vAlign w:val="bottom"/>
            <w:shd w:val="clear" w:color="auto" w:fill="CCEEFF"/>
          </w:tcPr>
          <w:p>
            <w:pPr>
              <w:spacing w:after="0"/>
              <w:rPr>
                <w:sz w:val="16"/>
                <w:szCs w:val="16"/>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6"/>
                <w:szCs w:val="16"/>
                <w:color w:val="auto"/>
              </w:rPr>
              <w:t>Construction in progress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7,678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11,937</w:t>
            </w:r>
          </w:p>
        </w:tc>
        <w:tc>
          <w:tcPr>
            <w:tcW w:w="100" w:type="dxa"/>
            <w:vAlign w:val="bottom"/>
          </w:tcPr>
          <w:p>
            <w:pPr>
              <w:spacing w:after="0"/>
              <w:rPr>
                <w:sz w:val="16"/>
                <w:szCs w:val="16"/>
                <w:color w:val="auto"/>
              </w:rPr>
            </w:pPr>
          </w:p>
        </w:tc>
      </w:tr>
      <w:tr>
        <w:trPr>
          <w:trHeight w:val="18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100" w:type="dxa"/>
            <w:vAlign w:val="bottom"/>
            <w:shd w:val="clear" w:color="auto" w:fill="CCEEFF"/>
          </w:tcPr>
          <w:p>
            <w:pPr>
              <w:spacing w:after="0"/>
              <w:rPr>
                <w:sz w:val="16"/>
                <w:szCs w:val="16"/>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6"/>
                <w:szCs w:val="16"/>
                <w:color w:val="auto"/>
              </w:rPr>
              <w:t>Furniture and fixtures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6"/>
                <w:szCs w:val="16"/>
                <w:color w:val="auto"/>
              </w:rPr>
            </w:pPr>
          </w:p>
        </w:tc>
      </w:tr>
      <w:tr>
        <w:trPr>
          <w:trHeight w:val="18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 and software</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6"/>
                <w:szCs w:val="16"/>
                <w:color w:val="auto"/>
              </w:rPr>
            </w:pPr>
          </w:p>
        </w:tc>
      </w:tr>
      <w:tr>
        <w:trPr>
          <w:trHeight w:val="192"/>
        </w:trPr>
        <w:tc>
          <w:tcPr>
            <w:tcW w:w="5300" w:type="dxa"/>
            <w:vAlign w:val="bottom"/>
          </w:tcPr>
          <w:p>
            <w:pPr>
              <w:ind w:left="320"/>
              <w:spacing w:after="0"/>
              <w:rPr>
                <w:sz w:val="20"/>
                <w:szCs w:val="20"/>
                <w:color w:val="auto"/>
              </w:rPr>
            </w:pPr>
            <w:r>
              <w:rPr>
                <w:rFonts w:ascii="Arial" w:cs="Arial" w:eastAsia="Arial" w:hAnsi="Arial"/>
                <w:sz w:val="16"/>
                <w:szCs w:val="16"/>
                <w:color w:val="auto"/>
              </w:rPr>
              <w:t>Total property and equipment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23,888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28,656</w:t>
            </w:r>
          </w:p>
        </w:tc>
        <w:tc>
          <w:tcPr>
            <w:tcW w:w="100" w:type="dxa"/>
            <w:vAlign w:val="bottom"/>
          </w:tcPr>
          <w:p>
            <w:pPr>
              <w:spacing w:after="0"/>
              <w:rPr>
                <w:sz w:val="16"/>
                <w:szCs w:val="16"/>
                <w:color w:val="auto"/>
              </w:rPr>
            </w:pPr>
          </w:p>
        </w:tc>
      </w:tr>
      <w:tr>
        <w:trPr>
          <w:trHeight w:val="189"/>
        </w:trPr>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(6,703)</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8"/>
              </w:rPr>
              <w:t>(7,389)</w:t>
            </w:r>
          </w:p>
        </w:tc>
      </w:tr>
      <w:tr>
        <w:trPr>
          <w:trHeight w:val="192"/>
        </w:trPr>
        <w:tc>
          <w:tcPr>
            <w:tcW w:w="5300" w:type="dxa"/>
            <w:vAlign w:val="bottom"/>
          </w:tcPr>
          <w:p>
            <w:pPr>
              <w:ind w:left="320"/>
              <w:spacing w:after="0"/>
              <w:rPr>
                <w:sz w:val="20"/>
                <w:szCs w:val="20"/>
                <w:color w:val="auto"/>
              </w:rPr>
            </w:pPr>
            <w:r>
              <w:rPr>
                <w:rFonts w:ascii="Arial" w:cs="Arial" w:eastAsia="Arial" w:hAnsi="Arial"/>
                <w:sz w:val="16"/>
                <w:szCs w:val="16"/>
                <w:color w:val="auto"/>
              </w:rPr>
              <w:t>Total property and equipment, net</w:t>
            </w: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17,185</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21,267</w:t>
            </w:r>
          </w:p>
        </w:tc>
        <w:tc>
          <w:tcPr>
            <w:tcW w:w="100" w:type="dxa"/>
            <w:vAlign w:val="bottom"/>
          </w:tcPr>
          <w:p>
            <w:pPr>
              <w:spacing w:after="0"/>
              <w:rPr>
                <w:sz w:val="16"/>
                <w:szCs w:val="16"/>
                <w:color w:val="auto"/>
              </w:rPr>
            </w:pPr>
          </w:p>
        </w:tc>
      </w:tr>
      <w:tr>
        <w:trPr>
          <w:trHeight w:val="20"/>
        </w:trPr>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820" w:right="100" w:firstLine="385"/>
        <w:spacing w:after="0" w:line="256" w:lineRule="auto"/>
        <w:rPr>
          <w:sz w:val="20"/>
          <w:szCs w:val="20"/>
          <w:color w:val="auto"/>
        </w:rPr>
      </w:pPr>
      <w:r>
        <w:rPr>
          <w:rFonts w:ascii="Arial" w:cs="Arial" w:eastAsia="Arial" w:hAnsi="Arial"/>
          <w:sz w:val="16"/>
          <w:szCs w:val="16"/>
          <w:color w:val="auto"/>
        </w:rPr>
        <w:t>Depreciation and amortization expense for the three months ended March 31, 2020 and 2021 was $0.6 million and $0.7 million. Construction in progress consists primarily of capitalized machinery and equipment that is expected to be placed in service in the Company’s manufacturing and office space located in Union City, California after the lease commencement date in May 2021.</w:t>
      </w:r>
    </w:p>
    <w:p>
      <w:pPr>
        <w:spacing w:after="0" w:line="260"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Accrued Expenses and Other Current Liabilities</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Accrued expenses and other current liabilities consist of the following:</w:t>
      </w:r>
    </w:p>
    <w:p>
      <w:pPr>
        <w:spacing w:after="0" w:line="190"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5360" w:type="dxa"/>
            <w:vAlign w:val="bottom"/>
          </w:tcPr>
          <w:p>
            <w:pPr>
              <w:spacing w:after="0"/>
              <w:rPr>
                <w:sz w:val="13"/>
                <w:szCs w:val="13"/>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w w:val="85"/>
              </w:rPr>
              <w:t>December 31,</w:t>
            </w:r>
          </w:p>
        </w:tc>
        <w:tc>
          <w:tcPr>
            <w:tcW w:w="1120" w:type="dxa"/>
            <w:vAlign w:val="bottom"/>
            <w:gridSpan w:val="4"/>
          </w:tcPr>
          <w:p>
            <w:pPr>
              <w:ind w:left="520"/>
              <w:spacing w:after="0"/>
              <w:rPr>
                <w:sz w:val="20"/>
                <w:szCs w:val="20"/>
                <w:color w:val="auto"/>
              </w:rPr>
            </w:pPr>
            <w:r>
              <w:rPr>
                <w:rFonts w:ascii="Arial" w:cs="Arial" w:eastAsia="Arial" w:hAnsi="Arial"/>
                <w:sz w:val="13"/>
                <w:szCs w:val="13"/>
                <w:b w:val="1"/>
                <w:bCs w:val="1"/>
                <w:color w:val="auto"/>
                <w:w w:val="96"/>
              </w:rPr>
              <w:t>March 31,</w:t>
            </w:r>
          </w:p>
        </w:tc>
      </w:tr>
      <w:tr>
        <w:trPr>
          <w:trHeight w:val="150"/>
        </w:trPr>
        <w:tc>
          <w:tcPr>
            <w:tcW w:w="5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96"/>
              </w:rPr>
              <w:t>2021</w:t>
            </w:r>
          </w:p>
        </w:tc>
        <w:tc>
          <w:tcPr>
            <w:tcW w:w="40" w:type="dxa"/>
            <w:vAlign w:val="bottom"/>
          </w:tcPr>
          <w:p>
            <w:pPr>
              <w:spacing w:after="0"/>
              <w:rPr>
                <w:sz w:val="13"/>
                <w:szCs w:val="13"/>
                <w:color w:val="auto"/>
              </w:rPr>
            </w:pPr>
          </w:p>
        </w:tc>
      </w:tr>
      <w:tr>
        <w:trPr>
          <w:trHeight w:val="121"/>
        </w:trPr>
        <w:tc>
          <w:tcPr>
            <w:tcW w:w="5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tcPr>
          <w:p>
            <w:pPr>
              <w:jc w:val="right"/>
              <w:ind w:right="29"/>
              <w:spacing w:after="0" w:line="122" w:lineRule="exact"/>
              <w:rPr>
                <w:sz w:val="20"/>
                <w:szCs w:val="20"/>
                <w:color w:val="auto"/>
              </w:rPr>
            </w:pPr>
            <w:r>
              <w:rPr>
                <w:rFonts w:ascii="Arial" w:cs="Arial" w:eastAsia="Arial" w:hAnsi="Arial"/>
                <w:sz w:val="13"/>
                <w:szCs w:val="13"/>
                <w:b w:val="1"/>
                <w:bCs w:val="1"/>
                <w:color w:val="auto"/>
              </w:rPr>
              <w:t>(in thousands)</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Accrued compensation and related expenses</w:t>
            </w:r>
          </w:p>
        </w:tc>
        <w:tc>
          <w:tcPr>
            <w:tcW w:w="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40" w:type="dxa"/>
            <w:vAlign w:val="bottom"/>
            <w:shd w:val="clear" w:color="auto" w:fill="CCEEFF"/>
          </w:tcPr>
          <w:p>
            <w:pPr>
              <w:spacing w:after="0"/>
              <w:rPr>
                <w:sz w:val="16"/>
                <w:szCs w:val="16"/>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Accrued research and development expenses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134</w:t>
            </w:r>
          </w:p>
        </w:tc>
        <w:tc>
          <w:tcPr>
            <w:tcW w:w="40" w:type="dxa"/>
            <w:vAlign w:val="bottom"/>
          </w:tcPr>
          <w:p>
            <w:pPr>
              <w:spacing w:after="0"/>
              <w:rPr>
                <w:sz w:val="16"/>
                <w:szCs w:val="16"/>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services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40" w:type="dxa"/>
            <w:vAlign w:val="bottom"/>
            <w:shd w:val="clear" w:color="auto" w:fill="CCEEFF"/>
          </w:tcPr>
          <w:p>
            <w:pPr>
              <w:spacing w:after="0"/>
              <w:rPr>
                <w:sz w:val="16"/>
                <w:szCs w:val="16"/>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Accrued property and equipment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16"/>
                <w:szCs w:val="16"/>
                <w:color w:val="auto"/>
              </w:rPr>
            </w:pPr>
          </w:p>
        </w:tc>
      </w:tr>
      <w:tr>
        <w:trPr>
          <w:trHeight w:val="189"/>
        </w:trPr>
        <w:tc>
          <w:tcPr>
            <w:tcW w:w="53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liabilities</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5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40" w:type="dxa"/>
            <w:vAlign w:val="bottom"/>
            <w:shd w:val="clear" w:color="auto" w:fill="CCEEFF"/>
          </w:tcPr>
          <w:p>
            <w:pPr>
              <w:spacing w:after="0"/>
              <w:rPr>
                <w:sz w:val="16"/>
                <w:szCs w:val="16"/>
                <w:color w:val="auto"/>
              </w:rPr>
            </w:pPr>
          </w:p>
        </w:tc>
      </w:tr>
      <w:tr>
        <w:trPr>
          <w:trHeight w:val="192"/>
        </w:trPr>
        <w:tc>
          <w:tcPr>
            <w:tcW w:w="5360" w:type="dxa"/>
            <w:vAlign w:val="bottom"/>
          </w:tcPr>
          <w:p>
            <w:pPr>
              <w:ind w:left="320"/>
              <w:spacing w:after="0"/>
              <w:rPr>
                <w:sz w:val="20"/>
                <w:szCs w:val="20"/>
                <w:color w:val="auto"/>
              </w:rPr>
            </w:pPr>
            <w:r>
              <w:rPr>
                <w:rFonts w:ascii="Arial" w:cs="Arial" w:eastAsia="Arial" w:hAnsi="Arial"/>
                <w:sz w:val="16"/>
                <w:szCs w:val="16"/>
                <w:color w:val="auto"/>
              </w:rPr>
              <w:t>Total accrued expenses and other current liabilities</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3,161</w:t>
            </w:r>
          </w:p>
        </w:tc>
        <w:tc>
          <w:tcPr>
            <w:tcW w:w="5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w:t>
            </w:r>
          </w:p>
        </w:tc>
        <w:tc>
          <w:tcPr>
            <w:tcW w:w="40" w:type="dxa"/>
            <w:vAlign w:val="bottom"/>
          </w:tcPr>
          <w:p>
            <w:pPr>
              <w:spacing w:after="0"/>
              <w:rPr>
                <w:sz w:val="16"/>
                <w:szCs w:val="16"/>
                <w:color w:val="auto"/>
              </w:rPr>
            </w:pPr>
          </w:p>
        </w:tc>
      </w:tr>
      <w:tr>
        <w:trPr>
          <w:trHeight w:val="20"/>
        </w:trPr>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5. Collaboration and License Agreements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Gladstone License Agreement</w:t>
      </w:r>
    </w:p>
    <w:p>
      <w:pPr>
        <w:spacing w:after="0" w:line="99" w:lineRule="exact"/>
        <w:rPr>
          <w:sz w:val="20"/>
          <w:szCs w:val="20"/>
          <w:color w:val="auto"/>
        </w:rPr>
      </w:pPr>
    </w:p>
    <w:p>
      <w:pPr>
        <w:ind w:left="820" w:firstLine="385"/>
        <w:spacing w:after="0" w:line="312" w:lineRule="auto"/>
        <w:rPr>
          <w:sz w:val="20"/>
          <w:szCs w:val="20"/>
          <w:color w:val="auto"/>
        </w:rPr>
      </w:pPr>
      <w:r>
        <w:rPr>
          <w:rFonts w:ascii="Arial" w:cs="Arial" w:eastAsia="Arial" w:hAnsi="Arial"/>
          <w:sz w:val="13"/>
          <w:szCs w:val="13"/>
          <w:color w:val="auto"/>
        </w:rPr>
        <w:t>In October 2016, the Company entered into a license agreement with Gladstone Institutes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$0.1 million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March 31, 2021, the Company has not recognized any milestone and royalty payments under the Gladstone License Agreement.</w:t>
      </w:r>
    </w:p>
    <w:p>
      <w:pPr>
        <w:spacing w:after="0" w:line="7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0400"/>
          </w:cols>
          <w:pgMar w:left="320" w:top="418" w:right="1179" w:bottom="1440" w:gutter="0" w:footer="0" w:header="0"/>
        </w:sectPr>
      </w:pPr>
    </w:p>
    <w:bookmarkStart w:id="288" w:name="page289"/>
    <w:bookmarkEnd w:id="2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40" w:firstLine="385"/>
        <w:spacing w:after="0" w:line="266" w:lineRule="auto"/>
        <w:rPr>
          <w:sz w:val="20"/>
          <w:szCs w:val="20"/>
          <w:color w:val="auto"/>
        </w:rPr>
      </w:pPr>
      <w:r>
        <w:rPr>
          <w:rFonts w:ascii="Arial" w:cs="Arial" w:eastAsia="Arial" w:hAnsi="Arial"/>
          <w:sz w:val="16"/>
          <w:szCs w:val="16"/>
          <w:color w:val="auto"/>
        </w:rPr>
        <w:t>During the three months ended March 31, 2020 and 2021, there were no amounts recorded related to annual license fees payable pursuant to the Gladstone License Agreement.</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University of Texas Southwestern License Agreement</w:t>
      </w:r>
    </w:p>
    <w:p>
      <w:pPr>
        <w:spacing w:after="0" w:line="99" w:lineRule="exact"/>
        <w:rPr>
          <w:sz w:val="20"/>
          <w:szCs w:val="20"/>
          <w:color w:val="auto"/>
        </w:rPr>
      </w:pPr>
    </w:p>
    <w:p>
      <w:pPr>
        <w:ind w:left="820" w:right="140" w:firstLine="385"/>
        <w:spacing w:after="0" w:line="319" w:lineRule="auto"/>
        <w:rPr>
          <w:sz w:val="20"/>
          <w:szCs w:val="20"/>
          <w:color w:val="auto"/>
        </w:rPr>
      </w:pPr>
      <w:r>
        <w:rPr>
          <w:rFonts w:ascii="Arial" w:cs="Arial" w:eastAsia="Arial" w:hAnsi="Arial"/>
          <w:sz w:val="13"/>
          <w:szCs w:val="13"/>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March 31, 2021, the Company has not recognized any milestone and royalty payments under the UTSW License.</w:t>
      </w:r>
    </w:p>
    <w:p>
      <w:pPr>
        <w:spacing w:after="0" w:line="128"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During the three months ended March 31, 2020, the Company recorded research and development expenses of $0.1 million related to the upfront license fee payable pursuant to the UTSW License.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Other License Agreements</w:t>
      </w:r>
    </w:p>
    <w:p>
      <w:pPr>
        <w:spacing w:after="0" w:line="99" w:lineRule="exact"/>
        <w:rPr>
          <w:sz w:val="20"/>
          <w:szCs w:val="20"/>
          <w:color w:val="auto"/>
        </w:rPr>
      </w:pPr>
    </w:p>
    <w:p>
      <w:pPr>
        <w:ind w:left="820" w:right="80" w:firstLine="385"/>
        <w:spacing w:after="0" w:line="266" w:lineRule="auto"/>
        <w:rPr>
          <w:sz w:val="20"/>
          <w:szCs w:val="20"/>
          <w:color w:val="auto"/>
        </w:rPr>
      </w:pPr>
      <w:r>
        <w:rPr>
          <w:rFonts w:ascii="Arial" w:cs="Arial" w:eastAsia="Arial" w:hAnsi="Arial"/>
          <w:sz w:val="16"/>
          <w:szCs w:val="16"/>
          <w:color w:val="auto"/>
        </w:rPr>
        <w:t>In addition to the agreements described above, the Company has also entered into other license agreements with various institutions and business entities, none of which are material individually or in the aggregate.</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6. Commitments and Contingencies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Facility Leases</w:t>
      </w:r>
    </w:p>
    <w:p>
      <w:pPr>
        <w:spacing w:after="0" w:line="99" w:lineRule="exact"/>
        <w:rPr>
          <w:sz w:val="20"/>
          <w:szCs w:val="20"/>
          <w:color w:val="auto"/>
        </w:rPr>
      </w:pPr>
    </w:p>
    <w:p>
      <w:pPr>
        <w:ind w:left="820" w:right="240" w:firstLine="385"/>
        <w:spacing w:after="0" w:line="281" w:lineRule="auto"/>
        <w:rPr>
          <w:sz w:val="20"/>
          <w:szCs w:val="20"/>
          <w:color w:val="auto"/>
        </w:rPr>
      </w:pPr>
      <w:r>
        <w:rPr>
          <w:rFonts w:ascii="Arial" w:cs="Arial" w:eastAsia="Arial" w:hAnsi="Arial"/>
          <w:sz w:val="15"/>
          <w:szCs w:val="15"/>
          <w:color w:val="auto"/>
        </w:rPr>
        <w:t>In December 2016, the Company entered into a lease agreement for office and laboratory space in South San Francisco, California. The lease expires in May 2025 and the Company may renew the lease term for two additional five-year periods. Pursuant to the lease agreement, the Company received a tenant improvement allowance of $5.8 million in aggregate for leasehold improvements to the facility.</w:t>
      </w:r>
    </w:p>
    <w:p>
      <w:pPr>
        <w:spacing w:after="0" w:line="149" w:lineRule="exact"/>
        <w:rPr>
          <w:sz w:val="20"/>
          <w:szCs w:val="20"/>
          <w:color w:val="auto"/>
        </w:rPr>
      </w:pPr>
    </w:p>
    <w:p>
      <w:pPr>
        <w:ind w:left="820" w:right="100" w:firstLine="385"/>
        <w:spacing w:after="0" w:line="266" w:lineRule="auto"/>
        <w:rPr>
          <w:sz w:val="20"/>
          <w:szCs w:val="20"/>
          <w:color w:val="auto"/>
        </w:rPr>
      </w:pPr>
      <w:r>
        <w:rPr>
          <w:rFonts w:ascii="Arial" w:cs="Arial" w:eastAsia="Arial" w:hAnsi="Arial"/>
          <w:sz w:val="16"/>
          <w:szCs w:val="16"/>
          <w:color w:val="auto"/>
        </w:rPr>
        <w:t>In December 2020, the Company entered into a short-term sublease agreement for additional office and laboratory space in South San Francisco, California with a lease term that expires on November 30, 2021.</w:t>
      </w:r>
    </w:p>
    <w:p>
      <w:pPr>
        <w:spacing w:after="0" w:line="158"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On January 1, 2021, the Company adopted ASC 842 (see Note 2) and the following disclosures as of and for the three months ended March 31, 2021 are presented under ASC 842. As of March 31, 2021, the remaining lease term was 4.4 years and the incremental borrowing rate used to determine the operating lease liability was 9.0%.</w:t>
      </w:r>
    </w:p>
    <w:p>
      <w:pPr>
        <w:spacing w:after="0" w:line="166" w:lineRule="exact"/>
        <w:rPr>
          <w:sz w:val="20"/>
          <w:szCs w:val="20"/>
          <w:color w:val="auto"/>
        </w:rPr>
      </w:pPr>
    </w:p>
    <w:p>
      <w:pPr>
        <w:ind w:left="820" w:right="520" w:firstLine="385"/>
        <w:spacing w:after="0" w:line="256" w:lineRule="auto"/>
        <w:rPr>
          <w:sz w:val="20"/>
          <w:szCs w:val="20"/>
          <w:color w:val="auto"/>
        </w:rPr>
      </w:pPr>
      <w:r>
        <w:rPr>
          <w:rFonts w:ascii="Arial" w:cs="Arial" w:eastAsia="Arial" w:hAnsi="Arial"/>
          <w:sz w:val="16"/>
          <w:szCs w:val="16"/>
          <w:color w:val="auto"/>
        </w:rPr>
        <w:t>For the three months ended March 31, 2021, the Company incurred $1.2 million in rent expense, of which $0.6 million is related to the Company’s short-term lease. Variable lease payments were $0.4 million for the three months ended March 31, 2021. For the three months ended March 31, 2020, the Company incurred $0.6 million in rent expense.</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March 31, 2021 the undiscounted future minimum lease payments due under the Company’s non-cancelable operating lease are as follows:</w:t>
      </w:r>
    </w:p>
    <w:p>
      <w:pPr>
        <w:spacing w:after="0" w:line="244" w:lineRule="exact"/>
        <w:rPr>
          <w:sz w:val="20"/>
          <w:szCs w:val="20"/>
          <w:color w:val="auto"/>
        </w:rPr>
      </w:pPr>
    </w:p>
    <w:tbl>
      <w:tblPr>
        <w:tblLayout w:type="fixed"/>
        <w:tblInd w:w="236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21"/>
        </w:trPr>
        <w:tc>
          <w:tcPr>
            <w:tcW w:w="4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2021 (remaining 9 months)</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2022</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2024</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0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80" w:type="dxa"/>
            <w:vAlign w:val="bottom"/>
          </w:tcPr>
          <w:p>
            <w:pPr>
              <w:ind w:left="320"/>
              <w:spacing w:after="0"/>
              <w:rPr>
                <w:sz w:val="20"/>
                <w:szCs w:val="20"/>
                <w:color w:val="auto"/>
              </w:rPr>
            </w:pPr>
            <w:r>
              <w:rPr>
                <w:rFonts w:ascii="Arial" w:cs="Arial" w:eastAsia="Arial" w:hAnsi="Arial"/>
                <w:sz w:val="16"/>
                <w:szCs w:val="16"/>
                <w:color w:val="auto"/>
              </w:rPr>
              <w:t>Total undiscounted future minimum lease payments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10,459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CEEFF"/>
          </w:tcPr>
          <w:p>
            <w:pPr>
              <w:spacing w:after="0"/>
              <w:rPr>
                <w:sz w:val="20"/>
                <w:szCs w:val="20"/>
                <w:color w:val="auto"/>
              </w:rPr>
            </w:pPr>
            <w:r>
              <w:rPr>
                <w:rFonts w:ascii="Arial" w:cs="Arial" w:eastAsia="Arial" w:hAnsi="Arial"/>
                <w:sz w:val="16"/>
                <w:szCs w:val="16"/>
                <w:color w:val="auto"/>
              </w:rPr>
              <w:t>Present value adjustment for minimum lease commitments</w:t>
            </w: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192"/>
        </w:trPr>
        <w:tc>
          <w:tcPr>
            <w:tcW w:w="4680" w:type="dxa"/>
            <w:vAlign w:val="bottom"/>
          </w:tcPr>
          <w:p>
            <w:pPr>
              <w:ind w:left="320"/>
              <w:spacing w:after="0"/>
              <w:rPr>
                <w:sz w:val="20"/>
                <w:szCs w:val="20"/>
                <w:color w:val="auto"/>
              </w:rPr>
            </w:pPr>
            <w:r>
              <w:rPr>
                <w:rFonts w:ascii="Arial" w:cs="Arial" w:eastAsia="Arial" w:hAnsi="Arial"/>
                <w:sz w:val="16"/>
                <w:szCs w:val="16"/>
                <w:color w:val="auto"/>
              </w:rPr>
              <w:t>Total operating lease liabilities</w:t>
            </w:r>
          </w:p>
        </w:tc>
        <w:tc>
          <w:tcPr>
            <w:tcW w:w="10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ind w:left="3120"/>
              <w:spacing w:after="0"/>
              <w:rPr>
                <w:sz w:val="20"/>
                <w:szCs w:val="20"/>
                <w:color w:val="auto"/>
              </w:rPr>
            </w:pPr>
            <w:r>
              <w:rPr>
                <w:rFonts w:ascii="Arial" w:cs="Arial" w:eastAsia="Arial" w:hAnsi="Arial"/>
                <w:sz w:val="16"/>
                <w:szCs w:val="16"/>
                <w:color w:val="auto"/>
              </w:rPr>
              <w:t>F-37</w:t>
            </w:r>
          </w:p>
        </w:tc>
        <w:tc>
          <w:tcPr>
            <w:tcW w:w="1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6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00"/>
          </w:cols>
          <w:pgMar w:left="320" w:top="418" w:right="1179" w:bottom="1440" w:gutter="0" w:footer="0" w:header="0"/>
        </w:sectPr>
      </w:pPr>
    </w:p>
    <w:bookmarkStart w:id="289" w:name="page290"/>
    <w:bookmarkEnd w:id="2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As of December 31, 2020, undiscounted future minimum lease payments due under the Company’s non-cancelable operating lease are as follows:</w:t>
      </w:r>
    </w:p>
    <w:p>
      <w:pPr>
        <w:spacing w:after="0" w:line="244" w:lineRule="exact"/>
        <w:rPr>
          <w:sz w:val="20"/>
          <w:szCs w:val="20"/>
          <w:color w:val="auto"/>
        </w:rPr>
      </w:pPr>
    </w:p>
    <w:tbl>
      <w:tblPr>
        <w:tblLayout w:type="fixed"/>
        <w:tblInd w:w="2020" w:type="dxa"/>
        <w:tblCellMar>
          <w:top w:w="0" w:type="dxa"/>
          <w:left w:w="0" w:type="dxa"/>
          <w:bottom w:w="0" w:type="dxa"/>
          <w:right w:w="0" w:type="dxa"/>
        </w:tblCellMar>
      </w:tblPr>
      <w:tr>
        <w:trPr>
          <w:trHeight w:val="150"/>
        </w:trPr>
        <w:tc>
          <w:tcPr>
            <w:tcW w:w="6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r>
      <w:tr>
        <w:trPr>
          <w:trHeight w:val="121"/>
        </w:trPr>
        <w:tc>
          <w:tcPr>
            <w:tcW w:w="6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2"/>
              </w:rPr>
              <w:t>(in thousands)</w:t>
            </w:r>
          </w:p>
        </w:tc>
        <w:tc>
          <w:tcPr>
            <w:tcW w:w="40" w:type="dxa"/>
            <w:vAlign w:val="bottom"/>
          </w:tcPr>
          <w:p>
            <w:pPr>
              <w:spacing w:after="0"/>
              <w:rPr>
                <w:sz w:val="10"/>
                <w:szCs w:val="10"/>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2021</w:t>
            </w:r>
          </w:p>
        </w:tc>
        <w:tc>
          <w:tcPr>
            <w:tcW w:w="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40" w:type="dxa"/>
            <w:vAlign w:val="bottom"/>
            <w:shd w:val="clear" w:color="auto" w:fill="CCEEFF"/>
          </w:tcPr>
          <w:p>
            <w:pPr>
              <w:spacing w:after="0"/>
              <w:rPr>
                <w:sz w:val="16"/>
                <w:szCs w:val="16"/>
                <w:color w:val="auto"/>
              </w:rPr>
            </w:pPr>
          </w:p>
        </w:tc>
      </w:tr>
      <w:tr>
        <w:trPr>
          <w:trHeight w:val="189"/>
        </w:trPr>
        <w:tc>
          <w:tcPr>
            <w:tcW w:w="6400" w:type="dxa"/>
            <w:vAlign w:val="bottom"/>
          </w:tcPr>
          <w:p>
            <w:pPr>
              <w:jc w:val="right"/>
              <w:ind w:right="6001"/>
              <w:spacing w:after="0"/>
              <w:rPr>
                <w:sz w:val="20"/>
                <w:szCs w:val="20"/>
                <w:color w:val="auto"/>
              </w:rPr>
            </w:pPr>
            <w:r>
              <w:rPr>
                <w:rFonts w:ascii="Arial" w:cs="Arial" w:eastAsia="Arial" w:hAnsi="Arial"/>
                <w:sz w:val="16"/>
                <w:szCs w:val="16"/>
                <w:color w:val="auto"/>
                <w:w w:val="84"/>
              </w:rPr>
              <w:t>2022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2,206</w:t>
            </w:r>
          </w:p>
        </w:tc>
        <w:tc>
          <w:tcPr>
            <w:tcW w:w="40" w:type="dxa"/>
            <w:vAlign w:val="bottom"/>
          </w:tcPr>
          <w:p>
            <w:pPr>
              <w:spacing w:after="0"/>
              <w:rPr>
                <w:sz w:val="16"/>
                <w:szCs w:val="16"/>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w:t>
            </w:r>
          </w:p>
        </w:tc>
        <w:tc>
          <w:tcPr>
            <w:tcW w:w="40" w:type="dxa"/>
            <w:vAlign w:val="bottom"/>
            <w:shd w:val="clear" w:color="auto" w:fill="CCEEFF"/>
          </w:tcPr>
          <w:p>
            <w:pPr>
              <w:spacing w:after="0"/>
              <w:rPr>
                <w:sz w:val="16"/>
                <w:szCs w:val="16"/>
                <w:color w:val="auto"/>
              </w:rPr>
            </w:pPr>
          </w:p>
        </w:tc>
      </w:tr>
      <w:tr>
        <w:trPr>
          <w:trHeight w:val="189"/>
        </w:trPr>
        <w:tc>
          <w:tcPr>
            <w:tcW w:w="6400" w:type="dxa"/>
            <w:vAlign w:val="bottom"/>
          </w:tcPr>
          <w:p>
            <w:pPr>
              <w:jc w:val="right"/>
              <w:ind w:right="6001"/>
              <w:spacing w:after="0"/>
              <w:rPr>
                <w:sz w:val="20"/>
                <w:szCs w:val="20"/>
                <w:color w:val="auto"/>
              </w:rPr>
            </w:pPr>
            <w:r>
              <w:rPr>
                <w:rFonts w:ascii="Arial" w:cs="Arial" w:eastAsia="Arial" w:hAnsi="Arial"/>
                <w:sz w:val="16"/>
                <w:szCs w:val="16"/>
                <w:color w:val="auto"/>
                <w:w w:val="84"/>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2,363</w:t>
            </w:r>
          </w:p>
        </w:tc>
        <w:tc>
          <w:tcPr>
            <w:tcW w:w="40" w:type="dxa"/>
            <w:vAlign w:val="bottom"/>
          </w:tcPr>
          <w:p>
            <w:pPr>
              <w:spacing w:after="0"/>
              <w:rPr>
                <w:sz w:val="16"/>
                <w:szCs w:val="16"/>
                <w:color w:val="auto"/>
              </w:rPr>
            </w:pPr>
          </w:p>
        </w:tc>
      </w:tr>
      <w:tr>
        <w:trPr>
          <w:trHeight w:val="189"/>
        </w:trPr>
        <w:tc>
          <w:tcPr>
            <w:tcW w:w="6400" w:type="dxa"/>
            <w:vAlign w:val="bottom"/>
            <w:shd w:val="clear" w:color="auto" w:fill="CCEEFF"/>
          </w:tcPr>
          <w:p>
            <w:pPr>
              <w:jc w:val="right"/>
              <w:ind w:right="6001"/>
              <w:spacing w:after="0"/>
              <w:rPr>
                <w:sz w:val="20"/>
                <w:szCs w:val="20"/>
                <w:color w:val="auto"/>
              </w:rPr>
            </w:pPr>
            <w:r>
              <w:rPr>
                <w:rFonts w:ascii="Arial" w:cs="Arial" w:eastAsia="Arial" w:hAnsi="Arial"/>
                <w:sz w:val="16"/>
                <w:szCs w:val="16"/>
                <w:color w:val="auto"/>
                <w:w w:val="84"/>
              </w:rPr>
              <w:t>2025</w:t>
            </w: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999</w:t>
            </w:r>
          </w:p>
        </w:tc>
        <w:tc>
          <w:tcPr>
            <w:tcW w:w="40" w:type="dxa"/>
            <w:vAlign w:val="bottom"/>
            <w:shd w:val="clear" w:color="auto" w:fill="CCEEFF"/>
          </w:tcPr>
          <w:p>
            <w:pPr>
              <w:spacing w:after="0"/>
              <w:rPr>
                <w:sz w:val="16"/>
                <w:szCs w:val="16"/>
                <w:color w:val="auto"/>
              </w:rPr>
            </w:pPr>
          </w:p>
        </w:tc>
      </w:tr>
      <w:tr>
        <w:trPr>
          <w:trHeight w:val="192"/>
        </w:trPr>
        <w:tc>
          <w:tcPr>
            <w:tcW w:w="6400" w:type="dxa"/>
            <w:vAlign w:val="bottom"/>
          </w:tcPr>
          <w:p>
            <w:pPr>
              <w:jc w:val="right"/>
              <w:ind w:right="3621"/>
              <w:spacing w:after="0"/>
              <w:rPr>
                <w:sz w:val="20"/>
                <w:szCs w:val="20"/>
                <w:color w:val="auto"/>
              </w:rPr>
            </w:pPr>
            <w:r>
              <w:rPr>
                <w:rFonts w:ascii="Arial" w:cs="Arial" w:eastAsia="Arial" w:hAnsi="Arial"/>
                <w:sz w:val="16"/>
                <w:szCs w:val="16"/>
                <w:color w:val="auto"/>
              </w:rPr>
              <w:t>Total future minimum lease payments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11,603</w:t>
            </w:r>
          </w:p>
        </w:tc>
        <w:tc>
          <w:tcPr>
            <w:tcW w:w="40" w:type="dxa"/>
            <w:vAlign w:val="bottom"/>
          </w:tcPr>
          <w:p>
            <w:pPr>
              <w:spacing w:after="0"/>
              <w:rPr>
                <w:sz w:val="16"/>
                <w:szCs w:val="16"/>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40" w:firstLine="385"/>
        <w:spacing w:after="0" w:line="329" w:lineRule="auto"/>
        <w:rPr>
          <w:sz w:val="20"/>
          <w:szCs w:val="20"/>
          <w:color w:val="auto"/>
        </w:rPr>
      </w:pPr>
      <w:r>
        <w:rPr>
          <w:rFonts w:ascii="Arial" w:cs="Arial" w:eastAsia="Arial" w:hAnsi="Arial"/>
          <w:sz w:val="13"/>
          <w:szCs w:val="13"/>
          <w:color w:val="auto"/>
        </w:rPr>
        <w:t>In February 2021, the Company entered into a lease agreement for manufacturing and office space located in Union City, California. The lease commenced in May 2021 and has a ten-year term with one five-year renewal option. Upon the execution of the lease agreement, the Company provided the landlord with a refundable security deposit of $3.3 million, which is included in other non-current assets on the condensed balance sheets. The total undiscounted future minimum lease payments associated with this operating lease are $13.9 million and are not included in the table above.</w:t>
      </w:r>
    </w:p>
    <w:p>
      <w:pPr>
        <w:spacing w:after="0" w:line="123" w:lineRule="exact"/>
        <w:rPr>
          <w:sz w:val="20"/>
          <w:szCs w:val="20"/>
          <w:color w:val="auto"/>
        </w:rPr>
      </w:pPr>
    </w:p>
    <w:p>
      <w:pPr>
        <w:ind w:left="820" w:right="280" w:firstLine="385"/>
        <w:spacing w:after="0" w:line="311" w:lineRule="auto"/>
        <w:rPr>
          <w:sz w:val="20"/>
          <w:szCs w:val="20"/>
          <w:color w:val="auto"/>
        </w:rPr>
      </w:pPr>
      <w:r>
        <w:rPr>
          <w:rFonts w:ascii="Arial" w:cs="Arial" w:eastAsia="Arial" w:hAnsi="Arial"/>
          <w:sz w:val="13"/>
          <w:szCs w:val="13"/>
          <w:color w:val="auto"/>
        </w:rPr>
        <w:t>The Company has previously entered into agreements to sublease portions of the Company’s facilities in South San Francisco to two different subtenants, both of which expired as of December 31, 2020. Pursuant to the sublease agreements, the Company received sublease income of</w:t>
      </w:r>
    </w:p>
    <w:p>
      <w:pPr>
        <w:spacing w:after="0" w:line="1" w:lineRule="exact"/>
        <w:rPr>
          <w:sz w:val="20"/>
          <w:szCs w:val="20"/>
          <w:color w:val="auto"/>
        </w:rPr>
      </w:pPr>
    </w:p>
    <w:p>
      <w:pPr>
        <w:ind w:left="820"/>
        <w:spacing w:after="0" w:line="252" w:lineRule="auto"/>
        <w:rPr>
          <w:sz w:val="20"/>
          <w:szCs w:val="20"/>
          <w:color w:val="auto"/>
        </w:rPr>
      </w:pPr>
      <w:r>
        <w:rPr>
          <w:rFonts w:ascii="Arial" w:cs="Arial" w:eastAsia="Arial" w:hAnsi="Arial"/>
          <w:sz w:val="16"/>
          <w:szCs w:val="16"/>
          <w:color w:val="auto"/>
        </w:rPr>
        <w:t>$0.2 million during the three months ended March 31, 2020, which is included in other income (expense), net on the condensed statements of operations and comprehensive loss.</w:t>
      </w:r>
    </w:p>
    <w:p>
      <w:pPr>
        <w:spacing w:after="0" w:line="26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Purchase Commitments</w:t>
      </w:r>
    </w:p>
    <w:p>
      <w:pPr>
        <w:spacing w:after="0" w:line="99" w:lineRule="exact"/>
        <w:rPr>
          <w:sz w:val="20"/>
          <w:szCs w:val="20"/>
          <w:color w:val="auto"/>
        </w:rPr>
      </w:pPr>
    </w:p>
    <w:p>
      <w:pPr>
        <w:ind w:left="820" w:right="180" w:firstLine="385"/>
        <w:spacing w:after="0" w:line="343" w:lineRule="auto"/>
        <w:rPr>
          <w:sz w:val="20"/>
          <w:szCs w:val="20"/>
          <w:color w:val="auto"/>
        </w:rPr>
      </w:pPr>
      <w:r>
        <w:rPr>
          <w:rFonts w:ascii="Arial" w:cs="Arial" w:eastAsia="Arial" w:hAnsi="Arial"/>
          <w:sz w:val="13"/>
          <w:szCs w:val="13"/>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20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Indemnification</w:t>
      </w:r>
    </w:p>
    <w:p>
      <w:pPr>
        <w:spacing w:after="0" w:line="99" w:lineRule="exact"/>
        <w:rPr>
          <w:sz w:val="20"/>
          <w:szCs w:val="20"/>
          <w:color w:val="auto"/>
        </w:rPr>
      </w:pPr>
    </w:p>
    <w:p>
      <w:pPr>
        <w:ind w:left="820" w:firstLine="385"/>
        <w:spacing w:after="0" w:line="316" w:lineRule="auto"/>
        <w:rPr>
          <w:sz w:val="20"/>
          <w:szCs w:val="20"/>
          <w:color w:val="auto"/>
        </w:rPr>
      </w:pPr>
      <w:r>
        <w:rPr>
          <w:rFonts w:ascii="Arial" w:cs="Arial" w:eastAsia="Arial" w:hAnsi="Arial"/>
          <w:sz w:val="13"/>
          <w:szCs w:val="13"/>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December 31, 2020 and March 31, 2021, the Company does not have any material indemnification claims that were probable or reasonably possible and, consequently, has not recorded any related liabilities.</w:t>
      </w:r>
    </w:p>
    <w:p>
      <w:pPr>
        <w:spacing w:after="0" w:line="222" w:lineRule="exact"/>
        <w:rPr>
          <w:sz w:val="20"/>
          <w:szCs w:val="20"/>
          <w:color w:val="auto"/>
        </w:rPr>
      </w:pPr>
    </w:p>
    <w:p>
      <w:pPr>
        <w:ind w:left="980" w:hanging="166"/>
        <w:spacing w:after="0"/>
        <w:tabs>
          <w:tab w:leader="none" w:pos="980" w:val="left"/>
        </w:tabs>
        <w:numPr>
          <w:ilvl w:val="0"/>
          <w:numId w:val="157"/>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Convertible Preferred Stock</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B Convertible Preferred Stock Financing</w:t>
      </w:r>
    </w:p>
    <w:p>
      <w:pPr>
        <w:spacing w:after="0" w:line="99"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In August 2019, the Company entered into a Series B preferred stock purchase agreement (Series B SPA) for the issuance of up to 55,555,527 shares of the Company’s Series B convertible preferred stock at a purchase price of $1.656 per share in multiple closings. The Company completed the initial closing in August 2019,</w:t>
      </w:r>
    </w:p>
    <w:p>
      <w:pPr>
        <w:spacing w:after="0" w:line="10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0400"/>
          </w:cols>
          <w:pgMar w:left="320" w:top="418" w:right="1179" w:bottom="1440" w:gutter="0" w:footer="0" w:header="0"/>
        </w:sectPr>
      </w:pPr>
    </w:p>
    <w:bookmarkStart w:id="290" w:name="page291"/>
    <w:bookmarkEnd w:id="2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240"/>
        <w:spacing w:after="0" w:line="383" w:lineRule="auto"/>
        <w:rPr>
          <w:sz w:val="20"/>
          <w:szCs w:val="20"/>
          <w:color w:val="auto"/>
        </w:rPr>
      </w:pPr>
      <w:r>
        <w:rPr>
          <w:rFonts w:ascii="Arial" w:cs="Arial" w:eastAsia="Arial" w:hAnsi="Arial"/>
          <w:sz w:val="13"/>
          <w:szCs w:val="13"/>
          <w:color w:val="auto"/>
        </w:rPr>
        <w:t>whereby 18,518,509 shares of Series B convertible preferred stock were issued for gross proceeds of $30.7 million. Pursuant to the Series B SPA, the Company was permitted to sell additional shares in subsequent closings contingent upon the approval of the Company’s board of directors.</w:t>
      </w:r>
    </w:p>
    <w:p>
      <w:pPr>
        <w:spacing w:after="0" w:line="89" w:lineRule="exact"/>
        <w:rPr>
          <w:sz w:val="20"/>
          <w:szCs w:val="20"/>
          <w:color w:val="auto"/>
        </w:rPr>
      </w:pPr>
    </w:p>
    <w:p>
      <w:pPr>
        <w:ind w:left="820" w:right="60" w:firstLine="385"/>
        <w:spacing w:after="0" w:line="323" w:lineRule="auto"/>
        <w:rPr>
          <w:sz w:val="20"/>
          <w:szCs w:val="20"/>
          <w:color w:val="auto"/>
        </w:rPr>
      </w:pPr>
      <w:r>
        <w:rPr>
          <w:rFonts w:ascii="Arial" w:cs="Arial" w:eastAsia="Arial" w:hAnsi="Arial"/>
          <w:sz w:val="13"/>
          <w:szCs w:val="13"/>
          <w:color w:val="auto"/>
        </w:rPr>
        <w:t>On issuance, the Company determined that its obligation to issue additional shares of Series B convertible preferred stock in future closings was a freestanding instrument that should be classified as a liability on the Company’s balance sheets. The freestanding financial instrument, or convertible preferred stock tranche liability, was recorded at fair value on issuance of $0.8 million with the remaining proceeds being allocated to the Series B convertible preferred stock. Any changes in fair value of the convertible preferred stock tranche liability in subsequent reporting periods are recognized as a component of other income (expense), net in the statements of operations and comprehensive loss (see Note 3).</w:t>
      </w:r>
    </w:p>
    <w:p>
      <w:pPr>
        <w:spacing w:after="0" w:line="126" w:lineRule="exact"/>
        <w:rPr>
          <w:sz w:val="20"/>
          <w:szCs w:val="20"/>
          <w:color w:val="auto"/>
        </w:rPr>
      </w:pPr>
    </w:p>
    <w:p>
      <w:pPr>
        <w:ind w:left="820" w:right="20" w:firstLine="385"/>
        <w:spacing w:after="0" w:line="272" w:lineRule="auto"/>
        <w:rPr>
          <w:sz w:val="20"/>
          <w:szCs w:val="20"/>
          <w:color w:val="auto"/>
        </w:rPr>
      </w:pPr>
      <w:r>
        <w:rPr>
          <w:rFonts w:ascii="Arial" w:cs="Arial" w:eastAsia="Arial" w:hAnsi="Arial"/>
          <w:sz w:val="15"/>
          <w:szCs w:val="15"/>
          <w:color w:val="auto"/>
        </w:rPr>
        <w:t>In March 2020, the Company completed its second closing of Series B convertible preferred stock financing and issued 18,518,509 shares of Series B convertible preferred stock at the fixed purchase price of $1.656 per share for gross proceeds of $30.7 million, thereby settling a portion of the convertible preferred stock tranche liability. Immediately prior to the second closing, the Company measured the convertible preferred stock tranche liability to its then fair value. Upon the closing of the second tranche, the convertible preferred stock tranche liability was partially settled and the related balance of the liability of $27,000 was reclassified to Series B convertible preferred stock.</w:t>
      </w:r>
    </w:p>
    <w:p>
      <w:pPr>
        <w:spacing w:after="0" w:line="154" w:lineRule="exact"/>
        <w:rPr>
          <w:sz w:val="20"/>
          <w:szCs w:val="20"/>
          <w:color w:val="auto"/>
        </w:rPr>
      </w:pPr>
    </w:p>
    <w:p>
      <w:pPr>
        <w:ind w:left="820" w:right="60" w:firstLine="385"/>
        <w:spacing w:after="0" w:line="272" w:lineRule="auto"/>
        <w:rPr>
          <w:sz w:val="20"/>
          <w:szCs w:val="20"/>
          <w:color w:val="auto"/>
        </w:rPr>
      </w:pPr>
      <w:r>
        <w:rPr>
          <w:rFonts w:ascii="Arial" w:cs="Arial" w:eastAsia="Arial" w:hAnsi="Arial"/>
          <w:sz w:val="15"/>
          <w:szCs w:val="15"/>
          <w:color w:val="auto"/>
        </w:rPr>
        <w:t>In August 2020, the Company completed its third closing of Series B convertible preferred stock financing and issued 18,518,509 shares of Series B convertible preferred stock at the purchase price of $1.656 per share for gross proceeds of $30.7 million, thereby settling the remainder of the convertible preferred stock tranche liability. Immediately prior to the third closing, the Company measured the convertible preferred stock tranche liability to its then fair value. Upon the closing of the third tranche, the remaining convertible preferred stock tranche liability was settled and the balance of the liability of $0.7 million was reclassified to Series B convertible preferred stock.</w:t>
      </w:r>
    </w:p>
    <w:p>
      <w:pPr>
        <w:spacing w:after="0" w:line="249"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Series C Convertible Preferred Stock Financing</w:t>
      </w:r>
    </w:p>
    <w:p>
      <w:pPr>
        <w:spacing w:after="0" w:line="99" w:lineRule="exact"/>
        <w:rPr>
          <w:sz w:val="20"/>
          <w:szCs w:val="20"/>
          <w:color w:val="auto"/>
        </w:rPr>
      </w:pPr>
    </w:p>
    <w:p>
      <w:pPr>
        <w:ind w:left="820" w:right="20" w:firstLine="385"/>
        <w:spacing w:after="0" w:line="343" w:lineRule="auto"/>
        <w:rPr>
          <w:sz w:val="20"/>
          <w:szCs w:val="20"/>
          <w:color w:val="auto"/>
        </w:rPr>
      </w:pPr>
      <w:r>
        <w:rPr>
          <w:rFonts w:ascii="Arial" w:cs="Arial" w:eastAsia="Arial" w:hAnsi="Arial"/>
          <w:sz w:val="13"/>
          <w:szCs w:val="13"/>
          <w:color w:val="auto"/>
        </w:rPr>
        <w:t>In December 2020, the Company entered into a Series C preferred stock purchase agreement (Series C SPA) for the issuance of up to 51,158,291 shares of the Company’s Series C convertible preferred stock at a purchase price of $2.072 per share in two closings. The Company completed the initial closing in December 2020, whereby 41,505,782 shares of Series C convertible preferred stock were issued for gross proceeds of $86.0 million.</w:t>
      </w:r>
    </w:p>
    <w:p>
      <w:pPr>
        <w:spacing w:after="0" w:line="114" w:lineRule="exact"/>
        <w:rPr>
          <w:sz w:val="20"/>
          <w:szCs w:val="20"/>
          <w:color w:val="auto"/>
        </w:rPr>
      </w:pPr>
    </w:p>
    <w:p>
      <w:pPr>
        <w:ind w:left="820" w:right="120" w:firstLine="385"/>
        <w:spacing w:after="0" w:line="266" w:lineRule="auto"/>
        <w:rPr>
          <w:sz w:val="20"/>
          <w:szCs w:val="20"/>
          <w:color w:val="auto"/>
        </w:rPr>
      </w:pPr>
      <w:r>
        <w:rPr>
          <w:rFonts w:ascii="Arial" w:cs="Arial" w:eastAsia="Arial" w:hAnsi="Arial"/>
          <w:sz w:val="16"/>
          <w:szCs w:val="16"/>
          <w:color w:val="auto"/>
        </w:rPr>
        <w:t>In January 2021, the Company sold an additional 9,652,509 shares of Series C convertible preferred stock at a purchase price of $2.072 per share for gross proceeds of $20.0 million.</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Company’s convertible preferred stock consists of the following:</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w w:val="87"/>
              </w:rPr>
              <w:t>December 31, 2020</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right"/>
              <w:ind w:right="212"/>
              <w:spacing w:after="0" w:line="102" w:lineRule="exact"/>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106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Shares Issued and</w:t>
            </w:r>
          </w:p>
        </w:tc>
        <w:tc>
          <w:tcPr>
            <w:tcW w:w="240" w:type="dxa"/>
            <w:vAlign w:val="bottom"/>
          </w:tcPr>
          <w:p>
            <w:pPr>
              <w:spacing w:after="0"/>
              <w:rPr>
                <w:sz w:val="8"/>
                <w:szCs w:val="8"/>
                <w:color w:val="auto"/>
              </w:rPr>
            </w:pPr>
          </w:p>
        </w:tc>
        <w:tc>
          <w:tcPr>
            <w:tcW w:w="78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right"/>
              <w:ind w:right="92"/>
              <w:spacing w:after="0"/>
              <w:rPr>
                <w:sz w:val="20"/>
                <w:szCs w:val="20"/>
                <w:color w:val="auto"/>
              </w:rPr>
            </w:pPr>
            <w:r>
              <w:rPr>
                <w:rFonts w:ascii="Arial" w:cs="Arial" w:eastAsia="Arial" w:hAnsi="Arial"/>
                <w:sz w:val="13"/>
                <w:szCs w:val="13"/>
                <w:b w:val="1"/>
                <w:bCs w:val="1"/>
                <w:color w:val="auto"/>
              </w:rPr>
              <w:t>Authorized</w:t>
            </w:r>
          </w:p>
        </w:tc>
        <w:tc>
          <w:tcPr>
            <w:tcW w:w="22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165"/>
              <w:spacing w:after="0"/>
              <w:rPr>
                <w:sz w:val="20"/>
                <w:szCs w:val="20"/>
                <w:color w:val="auto"/>
              </w:rPr>
            </w:pPr>
            <w:r>
              <w:rPr>
                <w:rFonts w:ascii="Arial" w:cs="Arial" w:eastAsia="Arial" w:hAnsi="Arial"/>
                <w:sz w:val="13"/>
                <w:szCs w:val="13"/>
                <w:b w:val="1"/>
                <w:bCs w:val="1"/>
                <w:color w:val="auto"/>
                <w:w w:val="92"/>
              </w:rPr>
              <w:t>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4"/>
          </w:tcPr>
          <w:p>
            <w:pPr>
              <w:ind w:left="200"/>
              <w:spacing w:after="0" w:line="122" w:lineRule="exact"/>
              <w:rPr>
                <w:sz w:val="20"/>
                <w:szCs w:val="20"/>
                <w:color w:val="auto"/>
              </w:rPr>
            </w:pPr>
            <w:r>
              <w:rPr>
                <w:rFonts w:ascii="Arial" w:cs="Arial" w:eastAsia="Arial" w:hAnsi="Arial"/>
                <w:sz w:val="13"/>
                <w:szCs w:val="13"/>
                <w:b w:val="1"/>
                <w:bCs w:val="1"/>
                <w:color w:val="auto"/>
              </w:rPr>
              <w:t>(in thousands, except shares)</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18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Series A</w:t>
            </w:r>
          </w:p>
        </w:tc>
        <w:tc>
          <w:tcPr>
            <w:tcW w:w="43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49,900,000</w:t>
            </w:r>
          </w:p>
        </w:tc>
        <w:tc>
          <w:tcPr>
            <w:tcW w:w="12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49,900,000</w:t>
            </w:r>
          </w:p>
        </w:tc>
        <w:tc>
          <w:tcPr>
            <w:tcW w:w="440" w:type="dxa"/>
            <w:vAlign w:val="bottom"/>
            <w:tcBorders>
              <w:top w:val="single" w:sz="8" w:color="CCEEFF"/>
            </w:tcBorders>
            <w:gridSpan w:val="2"/>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43,393</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Borders>
              <w:top w:val="single" w:sz="8" w:color="CCEEFF"/>
            </w:tcBorders>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Series B</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1880" w:type="dxa"/>
            <w:vAlign w:val="bottom"/>
          </w:tcPr>
          <w:p>
            <w:pPr>
              <w:spacing w:after="0"/>
              <w:rPr>
                <w:sz w:val="20"/>
                <w:szCs w:val="20"/>
                <w:color w:val="auto"/>
              </w:rPr>
            </w:pPr>
            <w:r>
              <w:rPr>
                <w:rFonts w:ascii="Arial" w:cs="Arial" w:eastAsia="Arial" w:hAnsi="Arial"/>
                <w:sz w:val="16"/>
                <w:szCs w:val="16"/>
                <w:color w:val="auto"/>
              </w:rPr>
              <w:t>Series C</w:t>
            </w:r>
          </w:p>
        </w:tc>
        <w:tc>
          <w:tcPr>
            <w:tcW w:w="34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41,505,782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85,717</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156,613,818</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146,961,309</w:t>
            </w:r>
          </w:p>
        </w:tc>
        <w:tc>
          <w:tcPr>
            <w:tcW w:w="44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220,754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380" w:type="dxa"/>
            <w:vAlign w:val="bottom"/>
            <w:gridSpan w:val="2"/>
          </w:tcPr>
          <w:p>
            <w:pPr>
              <w:jc w:val="right"/>
              <w:ind w:right="1252"/>
              <w:spacing w:after="0"/>
              <w:rPr>
                <w:sz w:val="20"/>
                <w:szCs w:val="20"/>
                <w:color w:val="auto"/>
              </w:rPr>
            </w:pPr>
            <w:r>
              <w:rPr>
                <w:rFonts w:ascii="Arial" w:cs="Arial" w:eastAsia="Arial" w:hAnsi="Arial"/>
                <w:sz w:val="16"/>
                <w:szCs w:val="16"/>
                <w:color w:val="auto"/>
              </w:rPr>
              <w:t>F-39</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440"/>
          </w:cols>
          <w:pgMar w:left="320" w:top="418" w:right="1139" w:bottom="1440" w:gutter="0" w:footer="0" w:header="0"/>
        </w:sectPr>
      </w:pPr>
    </w:p>
    <w:bookmarkStart w:id="291" w:name="page292"/>
    <w:bookmarkEnd w:id="2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3"/>
                <w:szCs w:val="13"/>
                <w:b w:val="1"/>
                <w:bCs w:val="1"/>
                <w:color w:val="auto"/>
              </w:rPr>
              <w:t>March 31, 2021</w:t>
            </w: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02"/>
        </w:trPr>
        <w:tc>
          <w:tcPr>
            <w:tcW w:w="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00" w:type="dxa"/>
            <w:vAlign w:val="bottom"/>
          </w:tcPr>
          <w:p>
            <w:pPr>
              <w:jc w:val="right"/>
              <w:ind w:right="208"/>
              <w:spacing w:after="0" w:line="102" w:lineRule="exact"/>
              <w:rPr>
                <w:sz w:val="20"/>
                <w:szCs w:val="20"/>
                <w:color w:val="auto"/>
              </w:rPr>
            </w:pPr>
            <w:r>
              <w:rPr>
                <w:rFonts w:ascii="Arial" w:cs="Arial" w:eastAsia="Arial" w:hAnsi="Arial"/>
                <w:sz w:val="10"/>
                <w:szCs w:val="10"/>
                <w:b w:val="1"/>
                <w:bCs w:val="1"/>
                <w:color w:val="auto"/>
              </w:rPr>
              <w:t>Shares</w:t>
            </w:r>
          </w:p>
        </w:tc>
        <w:tc>
          <w:tcPr>
            <w:tcW w:w="220" w:type="dxa"/>
            <w:vAlign w:val="bottom"/>
          </w:tcPr>
          <w:p>
            <w:pPr>
              <w:spacing w:after="0"/>
              <w:rPr>
                <w:sz w:val="8"/>
                <w:szCs w:val="8"/>
                <w:color w:val="auto"/>
              </w:rPr>
            </w:pPr>
          </w:p>
        </w:tc>
        <w:tc>
          <w:tcPr>
            <w:tcW w:w="1060" w:type="dxa"/>
            <w:vAlign w:val="bottom"/>
          </w:tcPr>
          <w:p>
            <w:pPr>
              <w:jc w:val="right"/>
              <w:spacing w:after="0" w:line="102" w:lineRule="exact"/>
              <w:rPr>
                <w:sz w:val="20"/>
                <w:szCs w:val="20"/>
                <w:color w:val="auto"/>
              </w:rPr>
            </w:pPr>
            <w:r>
              <w:rPr>
                <w:rFonts w:ascii="Arial" w:cs="Arial" w:eastAsia="Arial" w:hAnsi="Arial"/>
                <w:sz w:val="10"/>
                <w:szCs w:val="10"/>
                <w:b w:val="1"/>
                <w:bCs w:val="1"/>
                <w:color w:val="auto"/>
              </w:rPr>
              <w:t>Shares Issued and</w:t>
            </w:r>
          </w:p>
        </w:tc>
        <w:tc>
          <w:tcPr>
            <w:tcW w:w="240" w:type="dxa"/>
            <w:vAlign w:val="bottom"/>
          </w:tcPr>
          <w:p>
            <w:pPr>
              <w:spacing w:after="0"/>
              <w:rPr>
                <w:sz w:val="8"/>
                <w:szCs w:val="8"/>
                <w:color w:val="auto"/>
              </w:rPr>
            </w:pPr>
          </w:p>
        </w:tc>
        <w:tc>
          <w:tcPr>
            <w:tcW w:w="78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Net Carrying</w:t>
            </w:r>
          </w:p>
        </w:tc>
        <w:tc>
          <w:tcPr>
            <w:tcW w:w="240" w:type="dxa"/>
            <w:vAlign w:val="bottom"/>
          </w:tcPr>
          <w:p>
            <w:pPr>
              <w:spacing w:after="0"/>
              <w:rPr>
                <w:sz w:val="8"/>
                <w:szCs w:val="8"/>
                <w:color w:val="auto"/>
              </w:rPr>
            </w:pPr>
          </w:p>
        </w:tc>
        <w:tc>
          <w:tcPr>
            <w:tcW w:w="740" w:type="dxa"/>
            <w:vAlign w:val="bottom"/>
            <w:gridSpan w:val="2"/>
          </w:tcPr>
          <w:p>
            <w:pPr>
              <w:jc w:val="center"/>
              <w:spacing w:after="0" w:line="102" w:lineRule="exact"/>
              <w:rPr>
                <w:sz w:val="20"/>
                <w:szCs w:val="20"/>
                <w:color w:val="auto"/>
              </w:rPr>
            </w:pPr>
            <w:r>
              <w:rPr>
                <w:rFonts w:ascii="Arial" w:cs="Arial" w:eastAsia="Arial" w:hAnsi="Arial"/>
                <w:sz w:val="10"/>
                <w:szCs w:val="10"/>
                <w:b w:val="1"/>
                <w:bCs w:val="1"/>
                <w:color w:val="auto"/>
              </w:rPr>
              <w:t>Liquidation</w:t>
            </w:r>
          </w:p>
        </w:tc>
        <w:tc>
          <w:tcPr>
            <w:tcW w:w="60" w:type="dxa"/>
            <w:vAlign w:val="bottom"/>
          </w:tcPr>
          <w:p>
            <w:pPr>
              <w:spacing w:after="0"/>
              <w:rPr>
                <w:sz w:val="8"/>
                <w:szCs w:val="8"/>
                <w:color w:val="auto"/>
              </w:rPr>
            </w:pPr>
          </w:p>
        </w:tc>
      </w:tr>
      <w:tr>
        <w:trPr>
          <w:trHeight w:val="150"/>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900" w:type="dxa"/>
            <w:vAlign w:val="bottom"/>
          </w:tcPr>
          <w:p>
            <w:pPr>
              <w:jc w:val="right"/>
              <w:ind w:right="88"/>
              <w:spacing w:after="0"/>
              <w:rPr>
                <w:sz w:val="20"/>
                <w:szCs w:val="20"/>
                <w:color w:val="auto"/>
              </w:rPr>
            </w:pPr>
            <w:r>
              <w:rPr>
                <w:rFonts w:ascii="Arial" w:cs="Arial" w:eastAsia="Arial" w:hAnsi="Arial"/>
                <w:sz w:val="13"/>
                <w:szCs w:val="13"/>
                <w:b w:val="1"/>
                <w:bCs w:val="1"/>
                <w:color w:val="auto"/>
              </w:rPr>
              <w:t>Authorized</w:t>
            </w:r>
          </w:p>
        </w:tc>
        <w:tc>
          <w:tcPr>
            <w:tcW w:w="220" w:type="dxa"/>
            <w:vAlign w:val="bottom"/>
          </w:tcPr>
          <w:p>
            <w:pPr>
              <w:spacing w:after="0"/>
              <w:rPr>
                <w:sz w:val="13"/>
                <w:szCs w:val="13"/>
                <w:color w:val="auto"/>
              </w:rPr>
            </w:pP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Outstanding</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65"/>
              <w:spacing w:after="0"/>
              <w:rPr>
                <w:sz w:val="20"/>
                <w:szCs w:val="20"/>
                <w:color w:val="auto"/>
              </w:rPr>
            </w:pPr>
            <w:r>
              <w:rPr>
                <w:rFonts w:ascii="Arial" w:cs="Arial" w:eastAsia="Arial" w:hAnsi="Arial"/>
                <w:sz w:val="13"/>
                <w:szCs w:val="13"/>
                <w:b w:val="1"/>
                <w:bCs w:val="1"/>
                <w:color w:val="auto"/>
              </w:rPr>
              <w:t>Value</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Preference</w:t>
            </w:r>
          </w:p>
        </w:tc>
      </w:tr>
      <w:tr>
        <w:trPr>
          <w:trHeight w:val="121"/>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4"/>
          </w:tcPr>
          <w:p>
            <w:pPr>
              <w:ind w:left="200"/>
              <w:spacing w:after="0" w:line="122" w:lineRule="exact"/>
              <w:rPr>
                <w:sz w:val="20"/>
                <w:szCs w:val="20"/>
                <w:color w:val="auto"/>
              </w:rPr>
            </w:pPr>
            <w:r>
              <w:rPr>
                <w:rFonts w:ascii="Arial" w:cs="Arial" w:eastAsia="Arial" w:hAnsi="Arial"/>
                <w:sz w:val="13"/>
                <w:szCs w:val="13"/>
                <w:b w:val="1"/>
                <w:bCs w:val="1"/>
                <w:color w:val="auto"/>
              </w:rPr>
              <w:t>(in thousands, except shares)</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73"/>
        </w:trPr>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6"/>
                <w:szCs w:val="16"/>
                <w:b w:val="1"/>
                <w:bCs w:val="1"/>
                <w:color w:val="auto"/>
                <w:w w:val="87"/>
              </w:rPr>
              <w:t>Convertible Preferred Stock</w:t>
            </w:r>
          </w:p>
        </w:tc>
        <w:tc>
          <w:tcPr>
            <w:tcW w:w="34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A</w:t>
            </w:r>
          </w:p>
        </w:tc>
        <w:tc>
          <w:tcPr>
            <w:tcW w:w="900" w:type="dxa"/>
            <w:vAlign w:val="bottom"/>
          </w:tcPr>
          <w:p>
            <w:pPr>
              <w:jc w:val="right"/>
              <w:spacing w:after="0"/>
              <w:rPr>
                <w:sz w:val="20"/>
                <w:szCs w:val="20"/>
                <w:color w:val="auto"/>
              </w:rPr>
            </w:pPr>
            <w:r>
              <w:rPr>
                <w:rFonts w:ascii="Arial" w:cs="Arial" w:eastAsia="Arial" w:hAnsi="Arial"/>
                <w:sz w:val="16"/>
                <w:szCs w:val="16"/>
                <w:color w:val="auto"/>
              </w:rPr>
              <w:t>49,900,000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49,900,000</w:t>
            </w:r>
          </w:p>
        </w:tc>
        <w:tc>
          <w:tcPr>
            <w:tcW w:w="40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43,393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49,900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Series B</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55,555,527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91,644</w:t>
            </w: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92,000</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360" w:type="dxa"/>
            <w:vAlign w:val="bottom"/>
            <w:gridSpan w:val="2"/>
          </w:tcPr>
          <w:p>
            <w:pPr>
              <w:spacing w:after="0"/>
              <w:rPr>
                <w:sz w:val="20"/>
                <w:szCs w:val="20"/>
                <w:color w:val="auto"/>
              </w:rPr>
            </w:pPr>
            <w:r>
              <w:rPr>
                <w:rFonts w:ascii="Arial" w:cs="Arial" w:eastAsia="Arial" w:hAnsi="Arial"/>
                <w:sz w:val="16"/>
                <w:szCs w:val="16"/>
                <w:color w:val="auto"/>
              </w:rPr>
              <w:t>Series C</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51,158,291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105,698</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106,000</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156,613,818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156,613,818</w:t>
            </w:r>
          </w:p>
        </w:tc>
        <w:tc>
          <w:tcPr>
            <w:tcW w:w="40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240,735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247,900</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20" w:firstLine="385"/>
        <w:spacing w:after="0" w:line="319" w:lineRule="auto"/>
        <w:rPr>
          <w:sz w:val="20"/>
          <w:szCs w:val="20"/>
          <w:color w:val="auto"/>
        </w:rPr>
      </w:pPr>
      <w:r>
        <w:rPr>
          <w:rFonts w:ascii="Arial" w:cs="Arial" w:eastAsia="Arial" w:hAnsi="Arial"/>
          <w:sz w:val="13"/>
          <w:szCs w:val="13"/>
          <w:color w:val="auto"/>
        </w:rPr>
        <w:t>The Company classifies its convertible preferred stock outside of total stockholders’ deficit because, in the event of certain change of control events that are not solely within the control of the Company (including liquidation, sale or transfer of the Company), the shares would become redeemable at the option of the holders. As a result, the Company has classified its convertible preferred stock as mezzanine equity on the balance sheets as the preferred stock is contingently redeemable. The Company did not adjust the carrying values of the convertible preferred stock to the deemed liquidation values of such shares since a liquidation event was not probable as of each reporting date. Subsequent adjustments to increase or decrease the carrying values to the ultimate liquidation values will be made only if and when it becomes probable that such liquidation event will occur.</w:t>
      </w:r>
    </w:p>
    <w:p>
      <w:pPr>
        <w:spacing w:after="0" w:line="21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8. Common Stock</w:t>
      </w:r>
    </w:p>
    <w:p>
      <w:pPr>
        <w:spacing w:after="0" w:line="103" w:lineRule="exact"/>
        <w:rPr>
          <w:sz w:val="20"/>
          <w:szCs w:val="20"/>
          <w:color w:val="auto"/>
        </w:rPr>
      </w:pPr>
    </w:p>
    <w:p>
      <w:pPr>
        <w:ind w:left="820" w:right="40" w:firstLine="385"/>
        <w:spacing w:after="0" w:line="272" w:lineRule="auto"/>
        <w:rPr>
          <w:sz w:val="20"/>
          <w:szCs w:val="20"/>
          <w:color w:val="auto"/>
        </w:rPr>
      </w:pPr>
      <w:r>
        <w:rPr>
          <w:rFonts w:ascii="Arial" w:cs="Arial" w:eastAsia="Arial" w:hAnsi="Arial"/>
          <w:sz w:val="15"/>
          <w:szCs w:val="15"/>
          <w:color w:val="auto"/>
        </w:rPr>
        <w:t>The holders of the common stock are entitled to one vote per share on all matters to be voted on by the stockholders of the Company and are entitled to dividends, if and when declared by the board of directors, subject to the prior rights of the preferred stockholders. Common stock issued and outstanding on the condensed balance sheets and condensed statements of convertible preferred stock and stockholders’ deficit includes shares related to early exercised options and restricted stock that are subject to repurchase. Common stock issued and outstanding is reduced for any repurchases of early exercised stock options and restricted stock.</w:t>
      </w:r>
    </w:p>
    <w:p>
      <w:pPr>
        <w:spacing w:after="0" w:line="6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Company has reserved the following shares of common stock for issuance, on an as-if converted basis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6920" w:type="dxa"/>
            <w:vAlign w:val="bottom"/>
          </w:tcPr>
          <w:p>
            <w:pPr>
              <w:spacing w:after="0"/>
              <w:rPr>
                <w:sz w:val="13"/>
                <w:szCs w:val="13"/>
                <w:color w:val="auto"/>
              </w:rPr>
            </w:pPr>
          </w:p>
        </w:tc>
        <w:tc>
          <w:tcPr>
            <w:tcW w:w="1180" w:type="dxa"/>
            <w:vAlign w:val="bottom"/>
          </w:tcPr>
          <w:p>
            <w:pPr>
              <w:jc w:val="right"/>
              <w:ind w:right="167"/>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280" w:type="dxa"/>
            <w:vAlign w:val="bottom"/>
            <w:gridSpan w:val="2"/>
          </w:tcPr>
          <w:p>
            <w:pPr>
              <w:ind w:left="320"/>
              <w:spacing w:after="0"/>
              <w:rPr>
                <w:sz w:val="20"/>
                <w:szCs w:val="20"/>
                <w:color w:val="auto"/>
              </w:rPr>
            </w:pPr>
            <w:r>
              <w:rPr>
                <w:rFonts w:ascii="Arial" w:cs="Arial" w:eastAsia="Arial" w:hAnsi="Arial"/>
                <w:sz w:val="13"/>
                <w:szCs w:val="13"/>
                <w:b w:val="1"/>
                <w:bCs w:val="1"/>
                <w:color w:val="auto"/>
              </w:rPr>
              <w:t>March 31,</w:t>
            </w:r>
          </w:p>
        </w:tc>
      </w:tr>
      <w:tr>
        <w:trPr>
          <w:trHeight w:val="150"/>
        </w:trPr>
        <w:tc>
          <w:tcPr>
            <w:tcW w:w="6920" w:type="dxa"/>
            <w:vAlign w:val="bottom"/>
          </w:tcPr>
          <w:p>
            <w:pPr>
              <w:spacing w:after="0"/>
              <w:rPr>
                <w:sz w:val="13"/>
                <w:szCs w:val="13"/>
                <w:color w:val="auto"/>
              </w:rPr>
            </w:pPr>
          </w:p>
        </w:tc>
        <w:tc>
          <w:tcPr>
            <w:tcW w:w="1180" w:type="dxa"/>
            <w:vAlign w:val="bottom"/>
          </w:tcPr>
          <w:p>
            <w:pPr>
              <w:jc w:val="right"/>
              <w:ind w:right="407"/>
              <w:spacing w:after="0"/>
              <w:rPr>
                <w:sz w:val="20"/>
                <w:szCs w:val="20"/>
                <w:color w:val="auto"/>
              </w:rPr>
            </w:pPr>
            <w:r>
              <w:rPr>
                <w:rFonts w:ascii="Arial" w:cs="Arial" w:eastAsia="Arial" w:hAnsi="Arial"/>
                <w:sz w:val="13"/>
                <w:szCs w:val="13"/>
                <w:b w:val="1"/>
                <w:bCs w:val="1"/>
                <w:color w:val="auto"/>
              </w:rPr>
              <w:t>2020</w:t>
            </w:r>
          </w:p>
        </w:tc>
        <w:tc>
          <w:tcPr>
            <w:tcW w:w="1440" w:type="dxa"/>
            <w:vAlign w:val="bottom"/>
            <w:gridSpan w:val="2"/>
          </w:tcPr>
          <w:p>
            <w:pPr>
              <w:jc w:val="right"/>
              <w:ind w:right="40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3"/>
                <w:szCs w:val="13"/>
                <w:color w:val="auto"/>
              </w:rPr>
            </w:pPr>
          </w:p>
        </w:tc>
      </w:tr>
      <w:tr>
        <w:trPr>
          <w:trHeight w:val="180"/>
        </w:trPr>
        <w:tc>
          <w:tcPr>
            <w:tcW w:w="69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Conversion of outstanding shares of convertible preferred stock</w:t>
            </w:r>
          </w:p>
        </w:tc>
        <w:tc>
          <w:tcPr>
            <w:tcW w:w="118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146,961,309</w:t>
            </w:r>
          </w:p>
        </w:tc>
        <w:tc>
          <w:tcPr>
            <w:tcW w:w="24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156,613,818</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6920" w:type="dxa"/>
            <w:vAlign w:val="bottom"/>
          </w:tcPr>
          <w:p>
            <w:pPr>
              <w:spacing w:after="0"/>
              <w:rPr>
                <w:sz w:val="20"/>
                <w:szCs w:val="20"/>
                <w:color w:val="auto"/>
              </w:rPr>
            </w:pPr>
            <w:r>
              <w:rPr>
                <w:rFonts w:ascii="Arial" w:cs="Arial" w:eastAsia="Arial" w:hAnsi="Arial"/>
                <w:sz w:val="16"/>
                <w:szCs w:val="16"/>
                <w:color w:val="auto"/>
              </w:rPr>
              <w:t>Options outstanding under the 2016 Plan</w:t>
            </w:r>
          </w:p>
        </w:tc>
        <w:tc>
          <w:tcPr>
            <w:tcW w:w="1180" w:type="dxa"/>
            <w:vAlign w:val="bottom"/>
          </w:tcPr>
          <w:p>
            <w:pPr>
              <w:jc w:val="right"/>
              <w:spacing w:after="0"/>
              <w:rPr>
                <w:sz w:val="20"/>
                <w:szCs w:val="20"/>
                <w:color w:val="auto"/>
              </w:rPr>
            </w:pPr>
            <w:r>
              <w:rPr>
                <w:rFonts w:ascii="Arial" w:cs="Arial" w:eastAsia="Arial" w:hAnsi="Arial"/>
                <w:sz w:val="16"/>
                <w:szCs w:val="16"/>
                <w:color w:val="auto"/>
              </w:rPr>
              <w:t>6,965,000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10,368,032</w:t>
            </w:r>
          </w:p>
        </w:tc>
        <w:tc>
          <w:tcPr>
            <w:tcW w:w="80" w:type="dxa"/>
            <w:vAlign w:val="bottom"/>
          </w:tcPr>
          <w:p>
            <w:pPr>
              <w:spacing w:after="0"/>
              <w:rPr>
                <w:sz w:val="16"/>
                <w:szCs w:val="16"/>
                <w:color w:val="auto"/>
              </w:rPr>
            </w:pPr>
          </w:p>
        </w:tc>
      </w:tr>
      <w:tr>
        <w:trPr>
          <w:trHeight w:val="189"/>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Options available for future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2,473,024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2,275,357</w:t>
            </w:r>
          </w:p>
        </w:tc>
        <w:tc>
          <w:tcPr>
            <w:tcW w:w="80" w:type="dxa"/>
            <w:vAlign w:val="bottom"/>
            <w:shd w:val="clear" w:color="auto" w:fill="CCEEFF"/>
          </w:tcPr>
          <w:p>
            <w:pPr>
              <w:spacing w:after="0"/>
              <w:rPr>
                <w:sz w:val="16"/>
                <w:szCs w:val="16"/>
                <w:color w:val="auto"/>
              </w:rPr>
            </w:pPr>
          </w:p>
        </w:tc>
      </w:tr>
      <w:tr>
        <w:trPr>
          <w:trHeight w:val="192"/>
        </w:trPr>
        <w:tc>
          <w:tcPr>
            <w:tcW w:w="6920" w:type="dxa"/>
            <w:vAlign w:val="bottom"/>
          </w:tcPr>
          <w:p>
            <w:pPr>
              <w:ind w:left="30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156,399,333</w:t>
            </w:r>
          </w:p>
        </w:tc>
        <w:tc>
          <w:tcPr>
            <w:tcW w:w="24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169,257,207</w:t>
            </w:r>
          </w:p>
        </w:tc>
        <w:tc>
          <w:tcPr>
            <w:tcW w:w="80" w:type="dxa"/>
            <w:vAlign w:val="bottom"/>
          </w:tcPr>
          <w:p>
            <w:pPr>
              <w:spacing w:after="0"/>
              <w:rPr>
                <w:sz w:val="16"/>
                <w:szCs w:val="16"/>
                <w:color w:val="auto"/>
              </w:rPr>
            </w:pPr>
          </w:p>
        </w:tc>
      </w:tr>
      <w:tr>
        <w:trPr>
          <w:trHeight w:val="20"/>
        </w:trPr>
        <w:tc>
          <w:tcPr>
            <w:tcW w:w="6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9. Stock-Based Compensation</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2016 Equity Incentive Plan</w:t>
      </w:r>
    </w:p>
    <w:p>
      <w:pPr>
        <w:spacing w:after="0" w:line="99" w:lineRule="exact"/>
        <w:rPr>
          <w:sz w:val="20"/>
          <w:szCs w:val="20"/>
          <w:color w:val="auto"/>
        </w:rPr>
      </w:pPr>
    </w:p>
    <w:p>
      <w:pPr>
        <w:ind w:left="820" w:right="500" w:firstLine="385"/>
        <w:spacing w:after="0" w:line="256" w:lineRule="auto"/>
        <w:rPr>
          <w:sz w:val="20"/>
          <w:szCs w:val="20"/>
          <w:color w:val="auto"/>
        </w:rPr>
      </w:pPr>
      <w:r>
        <w:rPr>
          <w:rFonts w:ascii="Arial" w:cs="Arial" w:eastAsia="Arial" w:hAnsi="Arial"/>
          <w:sz w:val="16"/>
          <w:szCs w:val="16"/>
          <w:color w:val="auto"/>
        </w:rPr>
        <w:t>In October 2016, the Company adopted the 2016 Equity Incentive Plan (the 2016 Plan), which provides for the granting of incentive and non-statutory stock options, stock appreciation rights, restricted stock and restricted stock units and other forms of stock awards to its employees, directors and non-employee service providers.</w:t>
      </w:r>
    </w:p>
    <w:p>
      <w:pPr>
        <w:spacing w:after="0" w:line="7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Total shares reserved and available for grant under the 2016 Plan as of March 31, 2021 are 2,275,357.</w:t>
      </w:r>
    </w:p>
    <w:p>
      <w:pPr>
        <w:spacing w:after="0" w:line="134"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0440"/>
          </w:cols>
          <w:pgMar w:left="320" w:top="418" w:right="1139" w:bottom="1440" w:gutter="0" w:footer="0" w:header="0"/>
        </w:sectPr>
      </w:pPr>
    </w:p>
    <w:bookmarkStart w:id="292" w:name="page293"/>
    <w:bookmarkEnd w:id="29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Activity</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following table summarizes stock option activity under the 2016 Plan:</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3"/>
          </w:tcPr>
          <w:p>
            <w:pPr>
              <w:ind w:left="240"/>
              <w:spacing w:after="0"/>
              <w:rPr>
                <w:sz w:val="20"/>
                <w:szCs w:val="20"/>
                <w:color w:val="auto"/>
              </w:rPr>
            </w:pPr>
            <w:r>
              <w:rPr>
                <w:rFonts w:ascii="Arial" w:cs="Arial" w:eastAsia="Arial" w:hAnsi="Arial"/>
                <w:sz w:val="13"/>
                <w:szCs w:val="13"/>
                <w:b w:val="1"/>
                <w:bCs w:val="1"/>
                <w:color w:val="auto"/>
                <w:w w:val="85"/>
              </w:rPr>
              <w:t>Weighted-</w:t>
            </w: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4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5"/>
              </w:rPr>
              <w:t>Average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4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92"/>
              </w:rPr>
              <w:t>Number of</w:t>
            </w: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5"/>
              </w:rPr>
              <w:t>Exercise</w:t>
            </w:r>
          </w:p>
        </w:tc>
        <w:tc>
          <w:tcPr>
            <w:tcW w:w="4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Remaining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1040" w:type="dxa"/>
            <w:vAlign w:val="bottom"/>
            <w:gridSpan w:val="2"/>
          </w:tcPr>
          <w:p>
            <w:pPr>
              <w:jc w:val="center"/>
              <w:ind w:right="280"/>
              <w:spacing w:after="0" w:line="130" w:lineRule="exact"/>
              <w:rPr>
                <w:sz w:val="20"/>
                <w:szCs w:val="20"/>
                <w:color w:val="auto"/>
              </w:rPr>
            </w:pPr>
            <w:r>
              <w:rPr>
                <w:rFonts w:ascii="Arial" w:cs="Arial" w:eastAsia="Arial" w:hAnsi="Arial"/>
                <w:sz w:val="13"/>
                <w:szCs w:val="13"/>
                <w:b w:val="1"/>
                <w:bCs w:val="1"/>
                <w:color w:val="auto"/>
                <w:w w:val="89"/>
              </w:rPr>
              <w:t>Options</w:t>
            </w:r>
          </w:p>
        </w:tc>
        <w:tc>
          <w:tcPr>
            <w:tcW w:w="240" w:type="dxa"/>
            <w:vAlign w:val="bottom"/>
          </w:tcPr>
          <w:p>
            <w:pPr>
              <w:spacing w:after="0"/>
              <w:rPr>
                <w:sz w:val="11"/>
                <w:szCs w:val="11"/>
                <w:color w:val="auto"/>
              </w:rPr>
            </w:pPr>
          </w:p>
        </w:tc>
        <w:tc>
          <w:tcPr>
            <w:tcW w:w="560" w:type="dxa"/>
            <w:vAlign w:val="bottom"/>
            <w:gridSpan w:val="2"/>
          </w:tcPr>
          <w:p>
            <w:pPr>
              <w:jc w:val="center"/>
              <w:spacing w:after="0" w:line="130" w:lineRule="exact"/>
              <w:rPr>
                <w:sz w:val="20"/>
                <w:szCs w:val="20"/>
                <w:color w:val="auto"/>
              </w:rPr>
            </w:pPr>
            <w:r>
              <w:rPr>
                <w:rFonts w:ascii="Arial" w:cs="Arial" w:eastAsia="Arial" w:hAnsi="Arial"/>
                <w:sz w:val="13"/>
                <w:szCs w:val="13"/>
                <w:b w:val="1"/>
                <w:bCs w:val="1"/>
                <w:color w:val="auto"/>
                <w:w w:val="88"/>
              </w:rPr>
              <w:t>Price Per</w:t>
            </w:r>
          </w:p>
        </w:tc>
        <w:tc>
          <w:tcPr>
            <w:tcW w:w="1380" w:type="dxa"/>
            <w:vAlign w:val="bottom"/>
            <w:gridSpan w:val="2"/>
          </w:tcPr>
          <w:p>
            <w:pPr>
              <w:jc w:val="center"/>
              <w:ind w:left="365"/>
              <w:spacing w:after="0" w:line="130" w:lineRule="exact"/>
              <w:rPr>
                <w:sz w:val="20"/>
                <w:szCs w:val="20"/>
                <w:color w:val="auto"/>
              </w:rPr>
            </w:pPr>
            <w:r>
              <w:rPr>
                <w:rFonts w:ascii="Arial" w:cs="Arial" w:eastAsia="Arial" w:hAnsi="Arial"/>
                <w:sz w:val="13"/>
                <w:szCs w:val="13"/>
                <w:b w:val="1"/>
                <w:bCs w:val="1"/>
                <w:color w:val="auto"/>
                <w:w w:val="90"/>
              </w:rPr>
              <w:t>Contractual Life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Outstanding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44"/>
              <w:spacing w:after="0"/>
              <w:rPr>
                <w:sz w:val="20"/>
                <w:szCs w:val="20"/>
                <w:color w:val="auto"/>
              </w:rPr>
            </w:pPr>
            <w:r>
              <w:rPr>
                <w:rFonts w:ascii="Arial" w:cs="Arial" w:eastAsia="Arial" w:hAnsi="Arial"/>
                <w:sz w:val="13"/>
                <w:szCs w:val="13"/>
                <w:b w:val="1"/>
                <w:bCs w:val="1"/>
                <w:color w:val="auto"/>
                <w:w w:val="82"/>
              </w:rPr>
              <w:t>Share</w:t>
            </w:r>
          </w:p>
        </w:tc>
        <w:tc>
          <w:tcPr>
            <w:tcW w:w="4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4"/>
              </w:rPr>
              <w:t>(years)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Borders>
              <w:top w:val="single" w:sz="8" w:color="auto"/>
            </w:tcBorders>
            <w:gridSpan w:val="2"/>
          </w:tcPr>
          <w:p>
            <w:pPr>
              <w:spacing w:after="0" w:line="122" w:lineRule="exact"/>
              <w:rPr>
                <w:sz w:val="20"/>
                <w:szCs w:val="20"/>
                <w:color w:val="auto"/>
              </w:rPr>
            </w:pPr>
            <w:r>
              <w:rPr>
                <w:rFonts w:ascii="Arial" w:cs="Arial" w:eastAsia="Arial" w:hAnsi="Arial"/>
                <w:sz w:val="13"/>
                <w:szCs w:val="13"/>
                <w:b w:val="1"/>
                <w:bCs w:val="1"/>
                <w:color w:val="auto"/>
                <w:w w:val="84"/>
              </w:rPr>
              <w:t>(in thousands)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6,965,000</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Options granted</w:t>
            </w:r>
          </w:p>
        </w:tc>
        <w:tc>
          <w:tcPr>
            <w:tcW w:w="760" w:type="dxa"/>
            <w:vAlign w:val="bottom"/>
          </w:tcPr>
          <w:p>
            <w:pPr>
              <w:jc w:val="right"/>
              <w:spacing w:after="0"/>
              <w:rPr>
                <w:sz w:val="20"/>
                <w:szCs w:val="20"/>
                <w:color w:val="auto"/>
              </w:rPr>
            </w:pPr>
            <w:r>
              <w:rPr>
                <w:rFonts w:ascii="Arial" w:cs="Arial" w:eastAsia="Arial" w:hAnsi="Arial"/>
                <w:sz w:val="16"/>
                <w:szCs w:val="16"/>
                <w:color w:val="auto"/>
              </w:rPr>
              <w:t>3,581,200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0.94</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Options exercised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(75,073)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00" w:type="dxa"/>
            <w:vAlign w:val="bottom"/>
          </w:tcPr>
          <w:p>
            <w:pPr>
              <w:ind w:left="280"/>
              <w:spacing w:after="0"/>
              <w:rPr>
                <w:sz w:val="20"/>
                <w:szCs w:val="20"/>
                <w:color w:val="auto"/>
              </w:rPr>
            </w:pPr>
            <w:r>
              <w:rPr>
                <w:rFonts w:ascii="Arial" w:cs="Arial" w:eastAsia="Arial" w:hAnsi="Arial"/>
                <w:sz w:val="16"/>
                <w:szCs w:val="16"/>
                <w:color w:val="auto"/>
              </w:rPr>
              <w:t>Options cancelled</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(103,095)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0.52</w:t>
            </w: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6"/>
                <w:szCs w:val="16"/>
                <w:color w:val="auto"/>
              </w:rPr>
              <w:t>Outstanding as of March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10,368,032</w:t>
            </w:r>
          </w:p>
        </w:tc>
        <w:tc>
          <w:tcPr>
            <w:tcW w:w="2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6"/>
                <w:szCs w:val="16"/>
                <w:color w:val="auto"/>
              </w:rPr>
              <w:t>Exercisable as of March 31, 2021</w:t>
            </w: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vMerge w:val="restart"/>
          </w:tcPr>
          <w:p>
            <w:pPr>
              <w:ind w:left="240"/>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0.23</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color w:val="auto"/>
              </w:rPr>
              <w:t>7.93</w:t>
            </w:r>
          </w:p>
        </w:tc>
        <w:tc>
          <w:tcPr>
            <w:tcW w:w="560" w:type="dxa"/>
            <w:vAlign w:val="bottom"/>
            <w:gridSpan w:val="2"/>
            <w:vMerge w:val="restart"/>
          </w:tcPr>
          <w:p>
            <w:pPr>
              <w:ind w:left="460"/>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3,935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20" w:type="dxa"/>
            <w:vAlign w:val="bottom"/>
            <w:gridSpan w:val="2"/>
            <w:vMerge w:val="continue"/>
          </w:tcPr>
          <w:p>
            <w:pPr>
              <w:spacing w:after="0"/>
              <w:rPr>
                <w:sz w:val="15"/>
                <w:szCs w:val="15"/>
                <w:color w:val="auto"/>
              </w:rPr>
            </w:pPr>
          </w:p>
        </w:tc>
        <w:tc>
          <w:tcPr>
            <w:tcW w:w="7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3,120,909</w:t>
            </w:r>
          </w:p>
        </w:tc>
        <w:tc>
          <w:tcPr>
            <w:tcW w:w="2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100" w:firstLine="385"/>
        <w:spacing w:after="0" w:line="256" w:lineRule="auto"/>
        <w:rPr>
          <w:sz w:val="20"/>
          <w:szCs w:val="20"/>
          <w:color w:val="auto"/>
        </w:rPr>
      </w:pPr>
      <w:r>
        <w:rPr>
          <w:rFonts w:ascii="Arial" w:cs="Arial" w:eastAsia="Arial" w:hAnsi="Arial"/>
          <w:sz w:val="16"/>
          <w:szCs w:val="16"/>
          <w:color w:val="auto"/>
        </w:rPr>
        <w:t>The total intrinsic value of options exercised during the three months ended March 31, 2020 and 2021 was $6,000 and $70,000. The aggregate intrinsic value is the difference between the fair value of the Company’s common stock, as approved by the Company’s board of directors, and exercise price of the option.</w:t>
      </w:r>
    </w:p>
    <w:p>
      <w:pPr>
        <w:spacing w:after="0" w:line="166"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weighted average grant-date fair value of options granted during the three months ended March 31, 2020 and 2021 was $0.79 and $1.29 per</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share.</w:t>
      </w:r>
    </w:p>
    <w:p>
      <w:pPr>
        <w:spacing w:after="0" w:line="276"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99"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The following table summarizes stock-based compensation recognized in the Company’s condensed statements of operations and comprehensive</w:t>
      </w:r>
    </w:p>
    <w:p>
      <w:pPr>
        <w:spacing w:after="0" w:line="5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loss:</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490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6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48"/>
              <w:spacing w:after="0" w:line="122" w:lineRule="exact"/>
              <w:rPr>
                <w:sz w:val="20"/>
                <w:szCs w:val="20"/>
                <w:color w:val="auto"/>
              </w:rPr>
            </w:pPr>
            <w:r>
              <w:rPr>
                <w:rFonts w:ascii="Arial" w:cs="Arial" w:eastAsia="Arial" w:hAnsi="Arial"/>
                <w:sz w:val="13"/>
                <w:szCs w:val="13"/>
                <w:b w:val="1"/>
                <w:bCs w:val="1"/>
                <w:color w:val="auto"/>
                <w:w w:val="89"/>
              </w:rPr>
              <w:t>2020</w:t>
            </w:r>
          </w:p>
        </w:tc>
        <w:tc>
          <w:tcPr>
            <w:tcW w:w="10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65"/>
              <w:spacing w:after="0" w:line="122" w:lineRule="exact"/>
              <w:rPr>
                <w:sz w:val="20"/>
                <w:szCs w:val="20"/>
                <w:color w:val="auto"/>
              </w:rPr>
            </w:pPr>
            <w:r>
              <w:rPr>
                <w:rFonts w:ascii="Arial" w:cs="Arial" w:eastAsia="Arial" w:hAnsi="Arial"/>
                <w:sz w:val="13"/>
                <w:szCs w:val="13"/>
                <w:b w:val="1"/>
                <w:bCs w:val="1"/>
                <w:color w:val="auto"/>
                <w:w w:val="89"/>
              </w:rPr>
              <w:t>2021</w:t>
            </w:r>
          </w:p>
        </w:tc>
        <w:tc>
          <w:tcPr>
            <w:tcW w:w="40" w:type="dxa"/>
            <w:vAlign w:val="bottom"/>
          </w:tcPr>
          <w:p>
            <w:pPr>
              <w:spacing w:after="0"/>
              <w:rPr>
                <w:sz w:val="10"/>
                <w:szCs w:val="10"/>
                <w:color w:val="auto"/>
              </w:rPr>
            </w:pPr>
          </w:p>
        </w:tc>
      </w:tr>
      <w:tr>
        <w:trPr>
          <w:trHeight w:val="121"/>
        </w:trPr>
        <w:tc>
          <w:tcPr>
            <w:tcW w:w="49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2"/>
          </w:tcPr>
          <w:p>
            <w:pPr>
              <w:jc w:val="right"/>
              <w:ind w:right="240"/>
              <w:spacing w:after="0" w:line="122" w:lineRule="exact"/>
              <w:rPr>
                <w:sz w:val="20"/>
                <w:szCs w:val="20"/>
                <w:color w:val="auto"/>
              </w:rPr>
            </w:pPr>
            <w:r>
              <w:rPr>
                <w:rFonts w:ascii="Arial" w:cs="Arial" w:eastAsia="Arial" w:hAnsi="Arial"/>
                <w:sz w:val="13"/>
                <w:szCs w:val="13"/>
                <w:b w:val="1"/>
                <w:bCs w:val="1"/>
                <w:color w:val="auto"/>
              </w:rPr>
              <w:t>(in thousands)</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40" w:type="dxa"/>
            <w:vAlign w:val="bottom"/>
            <w:shd w:val="clear" w:color="auto" w:fill="CCEEFF"/>
          </w:tcPr>
          <w:p>
            <w:pPr>
              <w:spacing w:after="0"/>
              <w:rPr>
                <w:sz w:val="16"/>
                <w:szCs w:val="16"/>
                <w:color w:val="auto"/>
              </w:rPr>
            </w:pPr>
          </w:p>
        </w:tc>
      </w:tr>
      <w:tr>
        <w:trPr>
          <w:trHeight w:val="192"/>
        </w:trPr>
        <w:tc>
          <w:tcPr>
            <w:tcW w:w="490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40" w:type="dxa"/>
            <w:vAlign w:val="bottom"/>
          </w:tcPr>
          <w:p>
            <w:pPr>
              <w:spacing w:after="0"/>
              <w:rPr>
                <w:sz w:val="16"/>
                <w:szCs w:val="16"/>
                <w:color w:val="auto"/>
              </w:rPr>
            </w:pPr>
          </w:p>
        </w:tc>
      </w:tr>
      <w:tr>
        <w:trPr>
          <w:trHeight w:val="189"/>
        </w:trPr>
        <w:tc>
          <w:tcPr>
            <w:tcW w:w="4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stock-based compensation</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40" w:type="dxa"/>
            <w:vAlign w:val="bottom"/>
            <w:shd w:val="clear" w:color="auto" w:fill="CCEEFF"/>
          </w:tcPr>
          <w:p>
            <w:pPr>
              <w:spacing w:after="0"/>
              <w:rPr>
                <w:sz w:val="16"/>
                <w:szCs w:val="16"/>
                <w:color w:val="auto"/>
              </w:rPr>
            </w:pPr>
          </w:p>
        </w:tc>
      </w:tr>
      <w:tr>
        <w:trPr>
          <w:trHeight w:val="20"/>
        </w:trPr>
        <w:tc>
          <w:tcPr>
            <w:tcW w:w="49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8" w:lineRule="exact"/>
        <w:rPr>
          <w:sz w:val="20"/>
          <w:szCs w:val="20"/>
          <w:color w:val="auto"/>
        </w:rPr>
      </w:pPr>
    </w:p>
    <w:p>
      <w:pPr>
        <w:ind w:left="820" w:right="540" w:firstLine="385"/>
        <w:spacing w:after="0" w:line="266" w:lineRule="auto"/>
        <w:rPr>
          <w:sz w:val="20"/>
          <w:szCs w:val="20"/>
          <w:color w:val="auto"/>
        </w:rPr>
      </w:pPr>
      <w:r>
        <w:rPr>
          <w:rFonts w:ascii="Arial" w:cs="Arial" w:eastAsia="Arial" w:hAnsi="Arial"/>
          <w:sz w:val="16"/>
          <w:szCs w:val="16"/>
          <w:color w:val="auto"/>
        </w:rPr>
        <w:t>As of March 31, 2021, there was $6.4 million of unrecognized stock-based compensation, which the Company expects to recognize over a weighted-average period of 3.5 years.</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Stock Option Valuation</w:t>
      </w:r>
    </w:p>
    <w:p>
      <w:pPr>
        <w:spacing w:after="0" w:line="99" w:lineRule="exact"/>
        <w:rPr>
          <w:sz w:val="20"/>
          <w:szCs w:val="20"/>
          <w:color w:val="auto"/>
        </w:rPr>
      </w:pPr>
    </w:p>
    <w:p>
      <w:pPr>
        <w:ind w:left="820" w:right="340" w:firstLine="385"/>
        <w:spacing w:after="0" w:line="266" w:lineRule="auto"/>
        <w:rPr>
          <w:sz w:val="20"/>
          <w:szCs w:val="20"/>
          <w:color w:val="auto"/>
        </w:rPr>
      </w:pPr>
      <w:r>
        <w:rPr>
          <w:rFonts w:ascii="Arial" w:cs="Arial" w:eastAsia="Arial" w:hAnsi="Arial"/>
          <w:sz w:val="16"/>
          <w:szCs w:val="16"/>
          <w:color w:val="auto"/>
        </w:rPr>
        <w:t>The fair value of the Company’s stock option awards is estimated on the date of grant using the Black-Scholes option pricing model using the following assumptions:</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31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30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3100" w:type="dxa"/>
            <w:vAlign w:val="bottom"/>
            <w:tcBorders>
              <w:bottom w:val="single" w:sz="8" w:color="CCEEFF"/>
            </w:tcBorders>
          </w:tcPr>
          <w:p>
            <w:pPr>
              <w:spacing w:after="0"/>
              <w:rPr>
                <w:sz w:val="10"/>
                <w:szCs w:val="10"/>
                <w:color w:val="auto"/>
              </w:rPr>
            </w:pPr>
          </w:p>
        </w:tc>
        <w:tc>
          <w:tcPr>
            <w:tcW w:w="352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2020</w:t>
            </w:r>
          </w:p>
        </w:tc>
        <w:tc>
          <w:tcPr>
            <w:tcW w:w="280" w:type="dxa"/>
            <w:vAlign w:val="bottom"/>
            <w:tcBorders>
              <w:bottom w:val="single" w:sz="8" w:color="CCEEFF"/>
            </w:tcBorders>
          </w:tcPr>
          <w:p>
            <w:pPr>
              <w:spacing w:after="0"/>
              <w:rPr>
                <w:sz w:val="10"/>
                <w:szCs w:val="10"/>
                <w:color w:val="auto"/>
              </w:rPr>
            </w:pPr>
          </w:p>
        </w:tc>
        <w:tc>
          <w:tcPr>
            <w:tcW w:w="1380" w:type="dxa"/>
            <w:vAlign w:val="bottom"/>
            <w:tcBorders>
              <w:bottom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2021</w:t>
            </w:r>
          </w:p>
        </w:tc>
      </w:tr>
      <w:tr>
        <w:trPr>
          <w:trHeight w:val="180"/>
        </w:trPr>
        <w:tc>
          <w:tcPr>
            <w:tcW w:w="310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Expected term (in years)</w:t>
            </w:r>
          </w:p>
        </w:tc>
        <w:tc>
          <w:tcPr>
            <w:tcW w:w="352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6.0</w:t>
            </w:r>
          </w:p>
        </w:tc>
        <w:tc>
          <w:tcPr>
            <w:tcW w:w="28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line="181" w:lineRule="exact"/>
              <w:rPr>
                <w:sz w:val="20"/>
                <w:szCs w:val="20"/>
                <w:color w:val="auto"/>
              </w:rPr>
            </w:pPr>
            <w:r>
              <w:rPr>
                <w:rFonts w:ascii="Arial" w:cs="Arial" w:eastAsia="Arial" w:hAnsi="Arial"/>
                <w:sz w:val="16"/>
                <w:szCs w:val="16"/>
                <w:color w:val="auto"/>
                <w:w w:val="89"/>
              </w:rPr>
              <w:t>6.0 – 6.1</w:t>
            </w:r>
          </w:p>
        </w:tc>
      </w:tr>
      <w:tr>
        <w:trPr>
          <w:trHeight w:val="189"/>
        </w:trPr>
        <w:tc>
          <w:tcPr>
            <w:tcW w:w="3100" w:type="dxa"/>
            <w:vAlign w:val="bottom"/>
          </w:tcPr>
          <w:p>
            <w:pPr>
              <w:spacing w:after="0"/>
              <w:rPr>
                <w:sz w:val="20"/>
                <w:szCs w:val="20"/>
                <w:color w:val="auto"/>
              </w:rPr>
            </w:pPr>
            <w:r>
              <w:rPr>
                <w:rFonts w:ascii="Arial" w:cs="Arial" w:eastAsia="Arial" w:hAnsi="Arial"/>
                <w:sz w:val="16"/>
                <w:szCs w:val="16"/>
                <w:color w:val="auto"/>
              </w:rPr>
              <w:t>Expected volatility</w:t>
            </w:r>
          </w:p>
        </w:tc>
        <w:tc>
          <w:tcPr>
            <w:tcW w:w="4860" w:type="dxa"/>
            <w:vAlign w:val="bottom"/>
            <w:gridSpan w:val="2"/>
          </w:tcPr>
          <w:p>
            <w:pPr>
              <w:jc w:val="center"/>
              <w:ind w:left="3421"/>
              <w:spacing w:after="0"/>
              <w:rPr>
                <w:sz w:val="20"/>
                <w:szCs w:val="20"/>
                <w:color w:val="auto"/>
              </w:rPr>
            </w:pPr>
            <w:r>
              <w:rPr>
                <w:rFonts w:ascii="Arial" w:cs="Arial" w:eastAsia="Arial" w:hAnsi="Arial"/>
                <w:sz w:val="16"/>
                <w:szCs w:val="16"/>
                <w:color w:val="auto"/>
                <w:w w:val="87"/>
              </w:rPr>
              <w:t>178%</w:t>
            </w:r>
          </w:p>
        </w:tc>
        <w:tc>
          <w:tcPr>
            <w:tcW w:w="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color w:val="auto"/>
                <w:w w:val="87"/>
              </w:rPr>
              <w:t>183%</w:t>
            </w:r>
          </w:p>
        </w:tc>
      </w:tr>
      <w:tr>
        <w:trPr>
          <w:trHeight w:val="189"/>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352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w w:val="90"/>
              </w:rPr>
              <w:t>0.7% – 1.5%</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0.6% – 1.0%</w:t>
            </w:r>
          </w:p>
        </w:tc>
      </w:tr>
      <w:tr>
        <w:trPr>
          <w:trHeight w:val="200"/>
        </w:trPr>
        <w:tc>
          <w:tcPr>
            <w:tcW w:w="310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3520" w:type="dxa"/>
            <w:vAlign w:val="bottom"/>
          </w:tcPr>
          <w:p>
            <w:pPr>
              <w:spacing w:after="0"/>
              <w:rPr>
                <w:sz w:val="17"/>
                <w:szCs w:val="17"/>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color w:val="auto"/>
                <w:w w:val="92"/>
              </w:rPr>
              <w:t>—%</w:t>
            </w:r>
          </w:p>
        </w:tc>
        <w:tc>
          <w:tcPr>
            <w:tcW w:w="1380" w:type="dxa"/>
            <w:vAlign w:val="bottom"/>
          </w:tcPr>
          <w:p>
            <w:pPr>
              <w:jc w:val="center"/>
              <w:spacing w:after="0"/>
              <w:rPr>
                <w:sz w:val="20"/>
                <w:szCs w:val="20"/>
                <w:color w:val="auto"/>
              </w:rPr>
            </w:pPr>
            <w:r>
              <w:rPr>
                <w:rFonts w:ascii="Arial" w:cs="Arial" w:eastAsia="Arial" w:hAnsi="Arial"/>
                <w:sz w:val="16"/>
                <w:szCs w:val="16"/>
                <w:color w:val="auto"/>
                <w:w w:val="92"/>
              </w:rPr>
              <w:t>—%</w:t>
            </w:r>
          </w:p>
        </w:tc>
      </w:tr>
      <w:tr>
        <w:trPr>
          <w:trHeight w:val="306"/>
        </w:trPr>
        <w:tc>
          <w:tcPr>
            <w:tcW w:w="3100" w:type="dxa"/>
            <w:vAlign w:val="bottom"/>
          </w:tcPr>
          <w:p>
            <w:pPr>
              <w:spacing w:after="0"/>
              <w:rPr>
                <w:sz w:val="24"/>
                <w:szCs w:val="24"/>
                <w:color w:val="auto"/>
              </w:rPr>
            </w:pPr>
          </w:p>
        </w:tc>
        <w:tc>
          <w:tcPr>
            <w:tcW w:w="5140" w:type="dxa"/>
            <w:vAlign w:val="bottom"/>
            <w:gridSpan w:val="3"/>
          </w:tcPr>
          <w:p>
            <w:pPr>
              <w:ind w:left="1560"/>
              <w:spacing w:after="0"/>
              <w:rPr>
                <w:sz w:val="20"/>
                <w:szCs w:val="20"/>
                <w:color w:val="auto"/>
              </w:rPr>
            </w:pPr>
            <w:r>
              <w:rPr>
                <w:rFonts w:ascii="Arial" w:cs="Arial" w:eastAsia="Arial" w:hAnsi="Arial"/>
                <w:sz w:val="16"/>
                <w:szCs w:val="16"/>
                <w:color w:val="auto"/>
              </w:rPr>
              <w:t>F-41</w:t>
            </w:r>
          </w:p>
        </w:tc>
        <w:tc>
          <w:tcPr>
            <w:tcW w:w="1380" w:type="dxa"/>
            <w:vAlign w:val="bottom"/>
          </w:tcPr>
          <w:p>
            <w:pPr>
              <w:spacing w:after="0"/>
              <w:rPr>
                <w:sz w:val="24"/>
                <w:szCs w:val="24"/>
                <w:color w:val="auto"/>
              </w:rPr>
            </w:pPr>
          </w:p>
        </w:tc>
      </w:tr>
    </w:tbl>
    <w:p>
      <w:pPr>
        <w:sectPr>
          <w:pgSz w:w="11900" w:h="16838" w:orient="portrait"/>
          <w:cols w:equalWidth="0" w:num="1">
            <w:col w:w="10440"/>
          </w:cols>
          <w:pgMar w:left="320" w:top="418" w:right="1139" w:bottom="1440" w:gutter="0" w:footer="0" w:header="0"/>
        </w:sectPr>
      </w:pPr>
    </w:p>
    <w:bookmarkStart w:id="293" w:name="page294"/>
    <w:bookmarkEnd w:id="29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Restricted Stock</w:t>
      </w:r>
    </w:p>
    <w:p>
      <w:pPr>
        <w:spacing w:after="0" w:line="99" w:lineRule="exact"/>
        <w:rPr>
          <w:sz w:val="20"/>
          <w:szCs w:val="20"/>
          <w:color w:val="auto"/>
        </w:rPr>
      </w:pPr>
    </w:p>
    <w:p>
      <w:pPr>
        <w:ind w:left="820" w:right="160" w:firstLine="385"/>
        <w:spacing w:after="0" w:line="266" w:lineRule="auto"/>
        <w:rPr>
          <w:sz w:val="20"/>
          <w:szCs w:val="20"/>
          <w:color w:val="auto"/>
        </w:rPr>
      </w:pPr>
      <w:r>
        <w:rPr>
          <w:rFonts w:ascii="Arial" w:cs="Arial" w:eastAsia="Arial" w:hAnsi="Arial"/>
          <w:sz w:val="16"/>
          <w:szCs w:val="16"/>
          <w:color w:val="auto"/>
        </w:rPr>
        <w:t>Shares related to early exercised stock options and restricted stock are subject to the Company’s lapsing repurchase right upon termination at the original purchase price. In order to vest, the holders are required to provide continued service to the Company.</w:t>
      </w:r>
    </w:p>
    <w:p>
      <w:pPr>
        <w:spacing w:after="0" w:line="15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A summary of restricted stock activity is as follows:</w:t>
      </w:r>
    </w:p>
    <w:p>
      <w:pPr>
        <w:spacing w:after="0" w:line="19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8"/>
              </w:rPr>
              <w:t>Value at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480" w:type="dxa"/>
            <w:vAlign w:val="bottom"/>
          </w:tcPr>
          <w:p>
            <w:pPr>
              <w:spacing w:after="0"/>
              <w:rPr>
                <w:sz w:val="11"/>
                <w:szCs w:val="11"/>
                <w:color w:val="auto"/>
              </w:rPr>
            </w:pPr>
          </w:p>
        </w:tc>
        <w:tc>
          <w:tcPr>
            <w:tcW w:w="1020" w:type="dxa"/>
            <w:vAlign w:val="bottom"/>
            <w:gridSpan w:val="2"/>
          </w:tcPr>
          <w:p>
            <w:pPr>
              <w:jc w:val="right"/>
              <w:ind w:right="420"/>
              <w:spacing w:after="0" w:line="130" w:lineRule="exact"/>
              <w:rPr>
                <w:sz w:val="20"/>
                <w:szCs w:val="20"/>
                <w:color w:val="auto"/>
              </w:rPr>
            </w:pPr>
            <w:r>
              <w:rPr>
                <w:rFonts w:ascii="Arial" w:cs="Arial" w:eastAsia="Arial" w:hAnsi="Arial"/>
                <w:sz w:val="13"/>
                <w:szCs w:val="13"/>
                <w:b w:val="1"/>
                <w:bCs w:val="1"/>
                <w:color w:val="auto"/>
                <w:w w:val="89"/>
              </w:rPr>
              <w:t>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4"/>
              </w:rPr>
              <w:t>of Grant</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8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Unvested as of December 31, 2020</w:t>
            </w: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828,825</w:t>
            </w:r>
          </w:p>
        </w:tc>
        <w:tc>
          <w:tcPr>
            <w:tcW w:w="4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0.15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280"/>
              <w:spacing w:after="0"/>
              <w:rPr>
                <w:sz w:val="20"/>
                <w:szCs w:val="20"/>
                <w:color w:val="auto"/>
              </w:rPr>
            </w:pPr>
            <w:r>
              <w:rPr>
                <w:rFonts w:ascii="Arial" w:cs="Arial" w:eastAsia="Arial" w:hAnsi="Arial"/>
                <w:sz w:val="16"/>
                <w:szCs w:val="16"/>
                <w:color w:val="auto"/>
              </w:rPr>
              <w:t>Granted</w:t>
            </w:r>
          </w:p>
        </w:tc>
        <w:tc>
          <w:tcPr>
            <w:tcW w:w="620" w:type="dxa"/>
            <w:vAlign w:val="bottom"/>
          </w:tcPr>
          <w:p>
            <w:pPr>
              <w:jc w:val="right"/>
              <w:spacing w:after="0"/>
              <w:rPr>
                <w:sz w:val="20"/>
                <w:szCs w:val="20"/>
                <w:color w:val="auto"/>
              </w:rPr>
            </w:pPr>
            <w:r>
              <w:rPr>
                <w:rFonts w:ascii="Arial" w:cs="Arial" w:eastAsia="Arial" w:hAnsi="Arial"/>
                <w:sz w:val="16"/>
                <w:szCs w:val="16"/>
                <w:color w:val="auto"/>
              </w:rPr>
              <w:t>2,657</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w w:val="93"/>
              </w:rPr>
              <w:t>(219,695)</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ind w:left="280"/>
              <w:spacing w:after="0"/>
              <w:rPr>
                <w:sz w:val="20"/>
                <w:szCs w:val="20"/>
                <w:color w:val="auto"/>
              </w:rPr>
            </w:pPr>
            <w:r>
              <w:rPr>
                <w:rFonts w:ascii="Arial" w:cs="Arial" w:eastAsia="Arial" w:hAnsi="Arial"/>
                <w:sz w:val="16"/>
                <w:szCs w:val="16"/>
                <w:color w:val="auto"/>
              </w:rPr>
              <w:t>Repurchased</w:t>
            </w:r>
          </w:p>
        </w:tc>
        <w:tc>
          <w:tcPr>
            <w:tcW w:w="1020" w:type="dxa"/>
            <w:vAlign w:val="bottom"/>
            <w:gridSpan w:val="2"/>
          </w:tcPr>
          <w:p>
            <w:pPr>
              <w:jc w:val="right"/>
              <w:ind w:right="360"/>
              <w:spacing w:after="0"/>
              <w:rPr>
                <w:sz w:val="20"/>
                <w:szCs w:val="20"/>
                <w:color w:val="auto"/>
              </w:rPr>
            </w:pPr>
            <w:r>
              <w:rPr>
                <w:rFonts w:ascii="Arial" w:cs="Arial" w:eastAsia="Arial" w:hAnsi="Arial"/>
                <w:sz w:val="16"/>
                <w:szCs w:val="16"/>
                <w:color w:val="auto"/>
              </w:rPr>
              <w:t>(2,188)</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6"/>
                <w:szCs w:val="16"/>
                <w:color w:val="auto"/>
              </w:rPr>
              <w:t>Unvested as of March 31, 2021</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609,599</w:t>
            </w: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Employee Recourse Notes</w:t>
      </w:r>
    </w:p>
    <w:p>
      <w:pPr>
        <w:spacing w:after="0" w:line="99" w:lineRule="exact"/>
        <w:rPr>
          <w:sz w:val="20"/>
          <w:szCs w:val="20"/>
          <w:color w:val="auto"/>
        </w:rPr>
      </w:pPr>
    </w:p>
    <w:p>
      <w:pPr>
        <w:ind w:left="820" w:right="180" w:firstLine="385"/>
        <w:spacing w:after="0" w:line="275" w:lineRule="auto"/>
        <w:rPr>
          <w:sz w:val="20"/>
          <w:szCs w:val="20"/>
          <w:color w:val="auto"/>
        </w:rPr>
      </w:pPr>
      <w:r>
        <w:rPr>
          <w:rFonts w:ascii="Arial" w:cs="Arial" w:eastAsia="Arial" w:hAnsi="Arial"/>
          <w:sz w:val="15"/>
          <w:szCs w:val="15"/>
          <w:color w:val="auto"/>
        </w:rPr>
        <w:t>In 2017 and 2018, the Company entered into full recourse notes with certain employees, including one of its officers, upon the exercise of stock options that are treated as substantive exercises for accounting purposes. The Company has the right to repurchase unvested shares up to ninety days after employment is terminated. As of March 31, 2021, the principal and accrued interest amount of the notes was $87,000. The notes are presented in the condensed statements of convertible preferred stock and stockholders’ deficit.</w:t>
      </w:r>
    </w:p>
    <w:p>
      <w:pPr>
        <w:spacing w:after="0" w:line="24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10. Income Taxes</w:t>
      </w:r>
    </w:p>
    <w:p>
      <w:pPr>
        <w:spacing w:after="0" w:line="103" w:lineRule="exact"/>
        <w:rPr>
          <w:sz w:val="20"/>
          <w:szCs w:val="20"/>
          <w:color w:val="auto"/>
        </w:rPr>
      </w:pPr>
    </w:p>
    <w:p>
      <w:pPr>
        <w:jc w:val="both"/>
        <w:ind w:left="820" w:right="220" w:firstLine="385"/>
        <w:spacing w:after="0" w:line="256" w:lineRule="auto"/>
        <w:rPr>
          <w:sz w:val="20"/>
          <w:szCs w:val="20"/>
          <w:color w:val="auto"/>
        </w:rPr>
      </w:pPr>
      <w:r>
        <w:rPr>
          <w:rFonts w:ascii="Arial" w:cs="Arial" w:eastAsia="Arial" w:hAnsi="Arial"/>
          <w:sz w:val="16"/>
          <w:szCs w:val="16"/>
          <w:color w:val="auto"/>
        </w:rPr>
        <w:t>For the three months ended March 31, 2020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11. Net Loss Per Share</w:t>
      </w:r>
    </w:p>
    <w:p>
      <w:pPr>
        <w:spacing w:after="0" w:line="103" w:lineRule="exact"/>
        <w:rPr>
          <w:sz w:val="20"/>
          <w:szCs w:val="20"/>
          <w:color w:val="auto"/>
        </w:rPr>
      </w:pPr>
    </w:p>
    <w:p>
      <w:pPr>
        <w:ind w:left="820" w:right="60" w:firstLine="385"/>
        <w:spacing w:after="0" w:line="266" w:lineRule="auto"/>
        <w:rPr>
          <w:sz w:val="20"/>
          <w:szCs w:val="20"/>
          <w:color w:val="auto"/>
        </w:rPr>
      </w:pPr>
      <w:r>
        <w:rPr>
          <w:rFonts w:ascii="Arial" w:cs="Arial" w:eastAsia="Arial" w:hAnsi="Arial"/>
          <w:sz w:val="16"/>
          <w:szCs w:val="16"/>
          <w:color w:val="auto"/>
        </w:rPr>
        <w:t>The following potentially dilutive securities were not included in the calculation of diluted net loss per share for the periods presented because the effect would have been anti-dilutive:</w:t>
      </w:r>
    </w:p>
    <w:p>
      <w:pPr>
        <w:spacing w:after="0" w:line="174" w:lineRule="exact"/>
        <w:rPr>
          <w:sz w:val="20"/>
          <w:szCs w:val="20"/>
          <w:color w:val="auto"/>
        </w:rPr>
      </w:pPr>
    </w:p>
    <w:tbl>
      <w:tblPr>
        <w:tblLayout w:type="fixed"/>
        <w:tblInd w:w="1540" w:type="dxa"/>
        <w:tblCellMar>
          <w:top w:w="0" w:type="dxa"/>
          <w:left w:w="0" w:type="dxa"/>
          <w:bottom w:w="0" w:type="dxa"/>
          <w:right w:w="0" w:type="dxa"/>
        </w:tblCellMar>
      </w:tblPr>
      <w:tr>
        <w:trPr>
          <w:trHeight w:val="150"/>
        </w:trPr>
        <w:tc>
          <w:tcPr>
            <w:tcW w:w="6020" w:type="dxa"/>
            <w:vAlign w:val="bottom"/>
          </w:tcPr>
          <w:p>
            <w:pPr>
              <w:spacing w:after="0"/>
              <w:rPr>
                <w:sz w:val="13"/>
                <w:szCs w:val="13"/>
                <w:color w:val="auto"/>
              </w:rPr>
            </w:pPr>
          </w:p>
        </w:tc>
        <w:tc>
          <w:tcPr>
            <w:tcW w:w="2140" w:type="dxa"/>
            <w:vAlign w:val="bottom"/>
            <w:gridSpan w:val="4"/>
          </w:tcPr>
          <w:p>
            <w:pPr>
              <w:ind w:left="180"/>
              <w:spacing w:after="0"/>
              <w:rPr>
                <w:sz w:val="20"/>
                <w:szCs w:val="20"/>
                <w:color w:val="auto"/>
              </w:rPr>
            </w:pPr>
            <w:r>
              <w:rPr>
                <w:rFonts w:ascii="Arial" w:cs="Arial" w:eastAsia="Arial" w:hAnsi="Arial"/>
                <w:sz w:val="13"/>
                <w:szCs w:val="13"/>
                <w:b w:val="1"/>
                <w:bCs w:val="1"/>
                <w:color w:val="auto"/>
              </w:rPr>
              <w:t>Three Months Ended March 31,</w:t>
            </w:r>
          </w:p>
        </w:tc>
      </w:tr>
      <w:tr>
        <w:trPr>
          <w:trHeight w:val="121"/>
        </w:trPr>
        <w:tc>
          <w:tcPr>
            <w:tcW w:w="6020" w:type="dxa"/>
            <w:vAlign w:val="bottom"/>
            <w:tcBorders>
              <w:bottom w:val="single" w:sz="8" w:color="CCEEFF"/>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266"/>
              <w:spacing w:after="0" w:line="122"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top w:val="single" w:sz="8" w:color="auto"/>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284"/>
              <w:spacing w:after="0" w:line="122" w:lineRule="exact"/>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80"/>
        </w:trPr>
        <w:tc>
          <w:tcPr>
            <w:tcW w:w="6020" w:type="dxa"/>
            <w:vAlign w:val="bottom"/>
            <w:shd w:val="clear" w:color="auto" w:fill="CCEEFF"/>
          </w:tcPr>
          <w:p>
            <w:pPr>
              <w:spacing w:after="0" w:line="180" w:lineRule="exact"/>
              <w:rPr>
                <w:sz w:val="20"/>
                <w:szCs w:val="20"/>
                <w:color w:val="auto"/>
              </w:rPr>
            </w:pPr>
            <w:r>
              <w:rPr>
                <w:rFonts w:ascii="Arial" w:cs="Arial" w:eastAsia="Arial" w:hAnsi="Arial"/>
                <w:sz w:val="16"/>
                <w:szCs w:val="16"/>
                <w:color w:val="auto"/>
              </w:rPr>
              <w:t>Convertible preferred stock</w:t>
            </w:r>
          </w:p>
        </w:tc>
        <w:tc>
          <w:tcPr>
            <w:tcW w:w="94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86,937,018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156,613,818</w:t>
            </w:r>
          </w:p>
        </w:tc>
        <w:tc>
          <w:tcPr>
            <w:tcW w:w="40" w:type="dxa"/>
            <w:vAlign w:val="bottom"/>
            <w:shd w:val="clear" w:color="auto" w:fill="CCEEFF"/>
          </w:tcPr>
          <w:p>
            <w:pPr>
              <w:spacing w:after="0"/>
              <w:rPr>
                <w:sz w:val="15"/>
                <w:szCs w:val="15"/>
                <w:color w:val="auto"/>
              </w:rPr>
            </w:pPr>
          </w:p>
        </w:tc>
      </w:tr>
      <w:tr>
        <w:trPr>
          <w:trHeight w:val="189"/>
        </w:trPr>
        <w:tc>
          <w:tcPr>
            <w:tcW w:w="6020" w:type="dxa"/>
            <w:vAlign w:val="bottom"/>
          </w:tcPr>
          <w:p>
            <w:pPr>
              <w:spacing w:after="0"/>
              <w:rPr>
                <w:sz w:val="20"/>
                <w:szCs w:val="20"/>
                <w:color w:val="auto"/>
              </w:rPr>
            </w:pPr>
            <w:r>
              <w:rPr>
                <w:rFonts w:ascii="Arial" w:cs="Arial" w:eastAsia="Arial" w:hAnsi="Arial"/>
                <w:sz w:val="16"/>
                <w:szCs w:val="16"/>
                <w:color w:val="auto"/>
              </w:rPr>
              <w:t>Series B convertible preferred stock issuable in a future closing</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18,518,509</w:t>
            </w:r>
          </w:p>
        </w:tc>
        <w:tc>
          <w:tcPr>
            <w:tcW w:w="1000" w:type="dxa"/>
            <w:vAlign w:val="bottom"/>
            <w:gridSpan w:val="2"/>
          </w:tcPr>
          <w:p>
            <w:pPr>
              <w:ind w:left="720"/>
              <w:spacing w:after="0"/>
              <w:rPr>
                <w:sz w:val="20"/>
                <w:szCs w:val="20"/>
                <w:color w:val="auto"/>
              </w:rPr>
            </w:pPr>
            <w:r>
              <w:rPr>
                <w:rFonts w:ascii="Arial" w:cs="Arial" w:eastAsia="Arial" w:hAnsi="Arial"/>
                <w:sz w:val="16"/>
                <w:szCs w:val="16"/>
                <w:color w:val="auto"/>
              </w:rPr>
              <w:t>—</w:t>
            </w:r>
          </w:p>
        </w:tc>
      </w:tr>
      <w:tr>
        <w:trPr>
          <w:trHeight w:val="189"/>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Outstanding stock options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6,259,625</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10,368,032</w:t>
            </w:r>
          </w:p>
        </w:tc>
      </w:tr>
      <w:tr>
        <w:trPr>
          <w:trHeight w:val="192"/>
        </w:trPr>
        <w:tc>
          <w:tcPr>
            <w:tcW w:w="6020" w:type="dxa"/>
            <w:vAlign w:val="bottom"/>
          </w:tcPr>
          <w:p>
            <w:pPr>
              <w:spacing w:after="0"/>
              <w:rPr>
                <w:sz w:val="20"/>
                <w:szCs w:val="20"/>
                <w:color w:val="auto"/>
              </w:rPr>
            </w:pPr>
            <w:r>
              <w:rPr>
                <w:rFonts w:ascii="Arial" w:cs="Arial" w:eastAsia="Arial" w:hAnsi="Arial"/>
                <w:sz w:val="16"/>
                <w:szCs w:val="16"/>
                <w:color w:val="auto"/>
              </w:rPr>
              <w:t>Restricted stock subject to future vesting</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1,672,830</w:t>
            </w:r>
          </w:p>
        </w:tc>
        <w:tc>
          <w:tcPr>
            <w:tcW w:w="2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609,599</w:t>
            </w:r>
          </w:p>
        </w:tc>
        <w:tc>
          <w:tcPr>
            <w:tcW w:w="40" w:type="dxa"/>
            <w:vAlign w:val="bottom"/>
          </w:tcPr>
          <w:p>
            <w:pPr>
              <w:spacing w:after="0"/>
              <w:rPr>
                <w:sz w:val="16"/>
                <w:szCs w:val="16"/>
                <w:color w:val="auto"/>
              </w:rPr>
            </w:pPr>
          </w:p>
        </w:tc>
      </w:tr>
      <w:tr>
        <w:trPr>
          <w:trHeight w:val="189"/>
        </w:trPr>
        <w:tc>
          <w:tcPr>
            <w:tcW w:w="6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113,387,982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167,591,449</w:t>
            </w:r>
          </w:p>
        </w:tc>
        <w:tc>
          <w:tcPr>
            <w:tcW w:w="40" w:type="dxa"/>
            <w:vAlign w:val="bottom"/>
            <w:shd w:val="clear" w:color="auto" w:fill="CCEEFF"/>
          </w:tcPr>
          <w:p>
            <w:pPr>
              <w:spacing w:after="0"/>
              <w:rPr>
                <w:sz w:val="16"/>
                <w:szCs w:val="16"/>
                <w:color w:val="auto"/>
              </w:rPr>
            </w:pPr>
          </w:p>
        </w:tc>
      </w:tr>
      <w:tr>
        <w:trPr>
          <w:trHeight w:val="20"/>
        </w:trPr>
        <w:tc>
          <w:tcPr>
            <w:tcW w:w="60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8" w:lineRule="exact"/>
        <w:rPr>
          <w:sz w:val="20"/>
          <w:szCs w:val="20"/>
          <w:color w:val="auto"/>
        </w:rPr>
      </w:pPr>
    </w:p>
    <w:p>
      <w:pPr>
        <w:ind w:left="1200" w:right="7560" w:hanging="386"/>
        <w:spacing w:after="0" w:line="457" w:lineRule="auto"/>
        <w:tabs>
          <w:tab w:leader="none" w:pos="1051" w:val="left"/>
        </w:tabs>
        <w:numPr>
          <w:ilvl w:val="0"/>
          <w:numId w:val="15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Related Party Transactions </w:t>
      </w:r>
      <w:r>
        <w:rPr>
          <w:rFonts w:ascii="Arial" w:cs="Arial" w:eastAsia="Arial" w:hAnsi="Arial"/>
          <w:sz w:val="13"/>
          <w:szCs w:val="13"/>
          <w:b w:val="1"/>
          <w:bCs w:val="1"/>
          <w:i w:val="1"/>
          <w:iCs w:val="1"/>
          <w:color w:val="auto"/>
        </w:rPr>
        <w:t>Scientific Founders</w:t>
      </w:r>
    </w:p>
    <w:p>
      <w:pPr>
        <w:spacing w:after="0" w:line="1"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During the three months ended March 31, 2020 and 2021, the Company recognized a total of $62,000 in each period in consulting expense paid to five of its scientific founders.</w:t>
      </w:r>
    </w:p>
    <w:p>
      <w:pPr>
        <w:spacing w:after="0" w:line="99"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0440"/>
          </w:cols>
          <w:pgMar w:left="320" w:top="418" w:right="1139" w:bottom="1440" w:gutter="0" w:footer="0" w:header="0"/>
        </w:sectPr>
      </w:pPr>
    </w:p>
    <w:bookmarkStart w:id="294" w:name="page295"/>
    <w:bookmarkEnd w:id="29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13. Subsequent Events</w:t>
      </w:r>
    </w:p>
    <w:p>
      <w:pPr>
        <w:spacing w:after="0" w:line="103" w:lineRule="exact"/>
        <w:rPr>
          <w:sz w:val="20"/>
          <w:szCs w:val="20"/>
          <w:color w:val="auto"/>
        </w:rPr>
      </w:pPr>
    </w:p>
    <w:p>
      <w:pPr>
        <w:ind w:left="820" w:right="99" w:firstLine="385"/>
        <w:spacing w:after="0" w:line="383" w:lineRule="auto"/>
        <w:rPr>
          <w:sz w:val="20"/>
          <w:szCs w:val="20"/>
          <w:color w:val="auto"/>
        </w:rPr>
      </w:pPr>
      <w:r>
        <w:rPr>
          <w:rFonts w:ascii="Arial" w:cs="Arial" w:eastAsia="Arial" w:hAnsi="Arial"/>
          <w:sz w:val="13"/>
          <w:szCs w:val="13"/>
          <w:color w:val="auto"/>
        </w:rPr>
        <w:t>The Company evaluated subsequent events through June 15, 2021, the date the condensed financial statements were available to be filed, for events requiring recognition or disclosure in the condensed financial statements as of and for the three months ended March 31, 2021.</w:t>
      </w:r>
    </w:p>
    <w:p>
      <w:pPr>
        <w:spacing w:after="0" w:line="30"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0139"/>
          </w:cols>
          <w:pgMar w:left="320" w:top="418" w:right="1440" w:bottom="1440" w:gutter="0" w:footer="0" w:header="0"/>
        </w:sectPr>
      </w:pPr>
    </w:p>
    <w:bookmarkStart w:id="295" w:name="page296"/>
    <w:bookmarkEnd w:id="2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700"/>
        <w:spacing w:after="0"/>
        <w:rPr>
          <w:sz w:val="20"/>
          <w:szCs w:val="20"/>
          <w:color w:val="auto"/>
        </w:rPr>
      </w:pPr>
      <w:r>
        <w:rPr>
          <w:rFonts w:ascii="Arial" w:cs="Arial" w:eastAsia="Arial" w:hAnsi="Arial"/>
          <w:sz w:val="28"/>
          <w:szCs w:val="28"/>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367665</wp:posOffset>
            </wp:positionV>
            <wp:extent cx="2036445" cy="7264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36445" cy="726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060"/>
        <w:spacing w:after="0"/>
        <w:rPr>
          <w:sz w:val="20"/>
          <w:szCs w:val="20"/>
          <w:color w:val="auto"/>
        </w:rPr>
      </w:pPr>
      <w:r>
        <w:rPr>
          <w:rFonts w:ascii="Arial" w:cs="Arial" w:eastAsia="Arial" w:hAnsi="Arial"/>
          <w:sz w:val="19"/>
          <w:szCs w:val="19"/>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20"/>
        <w:spacing w:after="0"/>
        <w:tabs>
          <w:tab w:leader="none" w:pos="5260" w:val="left"/>
          <w:tab w:leader="none" w:pos="8840" w:val="left"/>
        </w:tabs>
        <w:rPr>
          <w:sz w:val="20"/>
          <w:szCs w:val="20"/>
          <w:color w:val="auto"/>
        </w:rPr>
      </w:pPr>
      <w:r>
        <w:rPr>
          <w:rFonts w:ascii="Arial" w:cs="Arial" w:eastAsia="Arial" w:hAnsi="Arial"/>
          <w:sz w:val="28"/>
          <w:szCs w:val="28"/>
          <w:i w:val="1"/>
          <w:iCs w:val="1"/>
          <w:color w:val="auto"/>
        </w:rPr>
        <w:t>Morgan Stanley</w:t>
      </w:r>
      <w:r>
        <w:rPr>
          <w:sz w:val="20"/>
          <w:szCs w:val="20"/>
          <w:color w:val="auto"/>
        </w:rPr>
        <w:tab/>
      </w:r>
      <w:r>
        <w:rPr>
          <w:rFonts w:ascii="Arial" w:cs="Arial" w:eastAsia="Arial" w:hAnsi="Arial"/>
          <w:sz w:val="28"/>
          <w:szCs w:val="28"/>
          <w:i w:val="1"/>
          <w:iCs w:val="1"/>
          <w:color w:val="auto"/>
        </w:rPr>
        <w:t>Cowen</w:t>
      </w:r>
      <w:r>
        <w:rPr>
          <w:sz w:val="20"/>
          <w:szCs w:val="20"/>
          <w:color w:val="auto"/>
        </w:rPr>
        <w:tab/>
      </w:r>
      <w:r>
        <w:rPr>
          <w:rFonts w:ascii="Arial" w:cs="Arial" w:eastAsia="Arial" w:hAnsi="Arial"/>
          <w:sz w:val="26"/>
          <w:szCs w:val="26"/>
          <w:i w:val="1"/>
          <w:iCs w:val="1"/>
          <w:color w:val="auto"/>
        </w:rPr>
        <w:t>Piper Sandler</w:t>
      </w:r>
    </w:p>
    <w:p>
      <w:pPr>
        <w:spacing w:after="0" w:line="91" w:lineRule="exact"/>
        <w:rPr>
          <w:sz w:val="20"/>
          <w:szCs w:val="20"/>
          <w:color w:val="auto"/>
        </w:rPr>
      </w:pPr>
    </w:p>
    <w:p>
      <w:pPr>
        <w:ind w:left="5180"/>
        <w:spacing w:after="0"/>
        <w:rPr>
          <w:sz w:val="20"/>
          <w:szCs w:val="20"/>
          <w:color w:val="auto"/>
        </w:rPr>
      </w:pPr>
      <w:r>
        <w:rPr>
          <w:rFonts w:ascii="Arial" w:cs="Arial" w:eastAsia="Arial" w:hAnsi="Arial"/>
          <w:sz w:val="28"/>
          <w:szCs w:val="28"/>
          <w:i w:val="1"/>
          <w:iCs w:val="1"/>
          <w:color w:val="auto"/>
        </w:rPr>
        <w:t>Chardan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820"/>
        <w:spacing w:after="0"/>
        <w:rPr>
          <w:sz w:val="20"/>
          <w:szCs w:val="20"/>
          <w:color w:val="auto"/>
        </w:rPr>
      </w:pPr>
      <w:r>
        <w:rPr>
          <w:rFonts w:ascii="Arial" w:cs="Arial" w:eastAsia="Arial" w:hAnsi="Arial"/>
          <w:sz w:val="16"/>
          <w:szCs w:val="16"/>
          <w:i w:val="1"/>
          <w:iCs w:val="1"/>
          <w:color w:val="auto"/>
        </w:rPr>
        <w:t>, 2021</w:t>
      </w:r>
    </w:p>
    <w:p>
      <w:pPr>
        <w:sectPr>
          <w:pgSz w:w="11900" w:h="16838" w:orient="portrait"/>
          <w:cols w:equalWidth="0" w:num="1">
            <w:col w:w="10440"/>
          </w:cols>
          <w:pgMar w:left="320" w:top="418" w:right="1139" w:bottom="1440" w:gutter="0" w:footer="0" w:header="0"/>
        </w:sectPr>
      </w:pPr>
    </w:p>
    <w:bookmarkStart w:id="296" w:name="page297"/>
    <w:bookmarkEnd w:id="2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799"/>
        <w:spacing w:after="0"/>
        <w:rPr>
          <w:sz w:val="20"/>
          <w:szCs w:val="20"/>
          <w:color w:val="auto"/>
        </w:rPr>
      </w:pPr>
      <w:r>
        <w:rPr>
          <w:rFonts w:ascii="Arial" w:cs="Arial" w:eastAsia="Arial" w:hAnsi="Arial"/>
          <w:sz w:val="16"/>
          <w:szCs w:val="16"/>
          <w:b w:val="1"/>
          <w:bCs w:val="1"/>
          <w:color w:val="auto"/>
        </w:rPr>
        <w:t>PART II</w:t>
      </w:r>
    </w:p>
    <w:p>
      <w:pPr>
        <w:spacing w:after="0" w:line="193"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INFORMATION NOT REQUIRED IN THE PROSPECTUS</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03" w:lineRule="exact"/>
        <w:rPr>
          <w:sz w:val="20"/>
          <w:szCs w:val="20"/>
          <w:color w:val="auto"/>
        </w:rPr>
      </w:pPr>
    </w:p>
    <w:p>
      <w:pPr>
        <w:ind w:left="820" w:right="260" w:firstLine="385"/>
        <w:spacing w:after="0" w:line="343" w:lineRule="auto"/>
        <w:rPr>
          <w:sz w:val="20"/>
          <w:szCs w:val="20"/>
          <w:color w:val="auto"/>
        </w:rPr>
      </w:pPr>
      <w:r>
        <w:rPr>
          <w:rFonts w:ascii="Arial" w:cs="Arial" w:eastAsia="Arial" w:hAnsi="Arial"/>
          <w:sz w:val="13"/>
          <w:szCs w:val="13"/>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 (SEC) registration fee, the Financial Industry Regulatory Authority, Inc. (FINRA) filing fee and the Nasdaq Stock Market listing fee.</w:t>
      </w:r>
    </w:p>
    <w:p>
      <w:pPr>
        <w:spacing w:after="0" w:line="110"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41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Amount Paid</w:t>
            </w:r>
          </w:p>
        </w:tc>
      </w:tr>
      <w:tr>
        <w:trPr>
          <w:trHeight w:val="130"/>
        </w:trPr>
        <w:tc>
          <w:tcPr>
            <w:tcW w:w="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1"/>
              </w:rPr>
              <w:t>or</w:t>
            </w:r>
          </w:p>
        </w:tc>
      </w:tr>
      <w:tr>
        <w:trPr>
          <w:trHeight w:val="150"/>
        </w:trPr>
        <w:tc>
          <w:tcPr>
            <w:tcW w:w="2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to Be Paid</w:t>
            </w:r>
          </w:p>
        </w:tc>
      </w:tr>
      <w:tr>
        <w:trPr>
          <w:trHeight w:val="180"/>
        </w:trPr>
        <w:tc>
          <w:tcPr>
            <w:tcW w:w="20" w:type="dxa"/>
            <w:vAlign w:val="bottom"/>
          </w:tcPr>
          <w:p>
            <w:pPr>
              <w:spacing w:after="0"/>
              <w:rPr>
                <w:sz w:val="15"/>
                <w:szCs w:val="15"/>
                <w:color w:val="auto"/>
              </w:rPr>
            </w:pPr>
          </w:p>
        </w:tc>
        <w:tc>
          <w:tcPr>
            <w:tcW w:w="5420" w:type="dxa"/>
            <w:vAlign w:val="bottom"/>
            <w:tcBorders>
              <w:top w:val="single" w:sz="8" w:color="CCEEFF"/>
            </w:tcBorders>
            <w:shd w:val="clear" w:color="auto" w:fill="CCEEFF"/>
          </w:tcPr>
          <w:p>
            <w:pPr>
              <w:spacing w:after="0" w:line="180" w:lineRule="exact"/>
              <w:rPr>
                <w:sz w:val="20"/>
                <w:szCs w:val="20"/>
                <w:color w:val="auto"/>
              </w:rPr>
            </w:pPr>
            <w:r>
              <w:rPr>
                <w:rFonts w:ascii="Arial" w:cs="Arial" w:eastAsia="Arial" w:hAnsi="Arial"/>
                <w:sz w:val="16"/>
                <w:szCs w:val="16"/>
                <w:color w:val="auto"/>
              </w:rPr>
              <w:t>SEC registration fee</w:t>
            </w:r>
          </w:p>
        </w:tc>
        <w:tc>
          <w:tcPr>
            <w:tcW w:w="3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6"/>
                <w:szCs w:val="16"/>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FINRA filing fee</w:t>
            </w: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Exchange listing fee</w:t>
            </w: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Legal fees and expenses</w:t>
            </w: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Accounting fees and expenses</w:t>
            </w:r>
          </w:p>
        </w:tc>
        <w:tc>
          <w:tcPr>
            <w:tcW w:w="3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Transfer agent and registrar fees</w:t>
            </w:r>
          </w:p>
        </w:tc>
        <w:tc>
          <w:tcPr>
            <w:tcW w:w="3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Miscellaneous expenses</w:t>
            </w:r>
          </w:p>
        </w:tc>
        <w:tc>
          <w:tcPr>
            <w:tcW w:w="34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Total</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82550</wp:posOffset>
            </wp:positionV>
            <wp:extent cx="666115"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44" w:lineRule="exact"/>
        <w:rPr>
          <w:sz w:val="20"/>
          <w:szCs w:val="20"/>
          <w:color w:val="auto"/>
        </w:rPr>
      </w:pPr>
    </w:p>
    <w:p>
      <w:pPr>
        <w:ind w:left="1200" w:hanging="386"/>
        <w:spacing w:after="0"/>
        <w:tabs>
          <w:tab w:leader="none" w:pos="12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284"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03" w:lineRule="exact"/>
        <w:rPr>
          <w:sz w:val="20"/>
          <w:szCs w:val="20"/>
          <w:color w:val="auto"/>
        </w:rPr>
      </w:pPr>
    </w:p>
    <w:p>
      <w:pPr>
        <w:ind w:left="820" w:right="40" w:firstLine="385"/>
        <w:spacing w:after="0" w:line="310" w:lineRule="auto"/>
        <w:rPr>
          <w:sz w:val="20"/>
          <w:szCs w:val="20"/>
          <w:color w:val="auto"/>
        </w:rPr>
      </w:pPr>
      <w:r>
        <w:rPr>
          <w:rFonts w:ascii="Arial" w:cs="Arial" w:eastAsia="Arial" w:hAnsi="Arial"/>
          <w:sz w:val="13"/>
          <w:szCs w:val="13"/>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Delaware General Corporation Law.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324" w:lineRule="exact"/>
        <w:rPr>
          <w:sz w:val="20"/>
          <w:szCs w:val="20"/>
          <w:color w:val="auto"/>
        </w:rPr>
      </w:pPr>
    </w:p>
    <w:p>
      <w:pPr>
        <w:ind w:left="820" w:right="160" w:firstLine="385"/>
        <w:spacing w:after="0" w:line="307" w:lineRule="auto"/>
        <w:rPr>
          <w:sz w:val="20"/>
          <w:szCs w:val="20"/>
          <w:color w:val="auto"/>
        </w:rPr>
      </w:pPr>
      <w:r>
        <w:rPr>
          <w:rFonts w:ascii="Arial" w:cs="Arial" w:eastAsia="Arial" w:hAnsi="Arial"/>
          <w:sz w:val="13"/>
          <w:szCs w:val="13"/>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820" w:right="60" w:hanging="6"/>
        <w:spacing w:after="0" w:line="252" w:lineRule="auto"/>
        <w:tabs>
          <w:tab w:leader="none" w:pos="104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any transaction from which the director derived an improper personal benefit. The registrant’s certificate of incorporation to be in effect upon the completion of this offering</w:t>
      </w:r>
    </w:p>
    <w:p>
      <w:pPr>
        <w:spacing w:after="0" w:line="10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0440"/>
          </w:cols>
          <w:pgMar w:left="320" w:top="418" w:right="1139" w:bottom="1440" w:gutter="0" w:footer="0" w:header="0"/>
        </w:sectPr>
      </w:pPr>
    </w:p>
    <w:bookmarkStart w:id="297" w:name="page298"/>
    <w:bookmarkEnd w:id="29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40"/>
        <w:spacing w:after="0" w:line="253" w:lineRule="auto"/>
        <w:rPr>
          <w:sz w:val="20"/>
          <w:szCs w:val="20"/>
          <w:color w:val="auto"/>
        </w:rPr>
      </w:pPr>
      <w:r>
        <w:rPr>
          <w:rFonts w:ascii="Arial" w:cs="Arial" w:eastAsia="Arial" w:hAnsi="Arial"/>
          <w:sz w:val="16"/>
          <w:szCs w:val="16"/>
          <w:color w:val="auto"/>
        </w:rPr>
        <w:t>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67"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0" w:lineRule="exact"/>
        <w:rPr>
          <w:sz w:val="20"/>
          <w:szCs w:val="20"/>
          <w:color w:val="auto"/>
        </w:rPr>
      </w:pPr>
    </w:p>
    <w:p>
      <w:pPr>
        <w:ind w:left="820" w:right="140" w:firstLine="385"/>
        <w:spacing w:after="0" w:line="256" w:lineRule="auto"/>
        <w:rPr>
          <w:sz w:val="20"/>
          <w:szCs w:val="20"/>
          <w:color w:val="auto"/>
        </w:rPr>
      </w:pPr>
      <w:r>
        <w:rPr>
          <w:rFonts w:ascii="Arial" w:cs="Arial" w:eastAsia="Arial" w:hAnsi="Arial"/>
          <w:sz w:val="16"/>
          <w:szCs w:val="16"/>
          <w:color w:val="auto"/>
        </w:rPr>
        <w:t>As permitted by the Delaware General Corporation Law, the registrant has entered into separate indemnification agreements with each of the registrant’s directors and executive officers which would require the registrant, among other things, to indemnify them against certain liabilities which may arise by reason of their status as directors or executive officers.</w:t>
      </w:r>
    </w:p>
    <w:p>
      <w:pPr>
        <w:spacing w:after="0" w:line="166" w:lineRule="exact"/>
        <w:rPr>
          <w:sz w:val="20"/>
          <w:szCs w:val="20"/>
          <w:color w:val="auto"/>
        </w:rPr>
      </w:pPr>
    </w:p>
    <w:p>
      <w:pPr>
        <w:ind w:left="820" w:right="20" w:firstLine="385"/>
        <w:spacing w:after="0" w:line="251" w:lineRule="auto"/>
        <w:rPr>
          <w:sz w:val="20"/>
          <w:szCs w:val="20"/>
          <w:color w:val="auto"/>
        </w:rPr>
      </w:pPr>
      <w:r>
        <w:rPr>
          <w:rFonts w:ascii="Arial" w:cs="Arial" w:eastAsia="Arial" w:hAnsi="Arial"/>
          <w:sz w:val="16"/>
          <w:szCs w:val="16"/>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70"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166" w:lineRule="exact"/>
        <w:rPr>
          <w:sz w:val="20"/>
          <w:szCs w:val="20"/>
          <w:color w:val="auto"/>
        </w:rPr>
      </w:pPr>
    </w:p>
    <w:p>
      <w:pPr>
        <w:ind w:left="820" w:right="120" w:firstLine="385"/>
        <w:spacing w:after="0" w:line="251" w:lineRule="auto"/>
        <w:rPr>
          <w:sz w:val="20"/>
          <w:szCs w:val="20"/>
          <w:color w:val="auto"/>
        </w:rPr>
      </w:pPr>
      <w:r>
        <w:rPr>
          <w:rFonts w:ascii="Arial" w:cs="Arial" w:eastAsia="Arial" w:hAnsi="Arial"/>
          <w:sz w:val="16"/>
          <w:szCs w:val="16"/>
          <w:color w:val="auto"/>
        </w:rPr>
        <w:t>The underwriting agreement between the registrant and the underwriters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 The investors’ rights agreement with certain holders of our capital stock also provides for cross-indemnification in connection with the registration of the registrant’s common stock on behalf of such holders.</w:t>
      </w:r>
    </w:p>
    <w:p>
      <w:pPr>
        <w:spacing w:after="0" w:line="26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03" w:lineRule="exact"/>
        <w:rPr>
          <w:sz w:val="20"/>
          <w:szCs w:val="20"/>
          <w:color w:val="auto"/>
        </w:rPr>
      </w:pPr>
    </w:p>
    <w:p>
      <w:pPr>
        <w:ind w:left="820" w:firstLine="385"/>
        <w:spacing w:after="0" w:line="256" w:lineRule="auto"/>
        <w:rPr>
          <w:sz w:val="20"/>
          <w:szCs w:val="20"/>
          <w:color w:val="auto"/>
        </w:rPr>
      </w:pPr>
      <w:r>
        <w:rPr>
          <w:rFonts w:ascii="Arial" w:cs="Arial" w:eastAsia="Arial" w:hAnsi="Arial"/>
          <w:sz w:val="16"/>
          <w:szCs w:val="16"/>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66" w:lineRule="exact"/>
        <w:rPr>
          <w:sz w:val="20"/>
          <w:szCs w:val="20"/>
          <w:color w:val="auto"/>
        </w:rPr>
      </w:pPr>
    </w:p>
    <w:p>
      <w:pPr>
        <w:ind w:left="820" w:right="260" w:firstLine="378"/>
        <w:spacing w:after="0" w:line="266" w:lineRule="auto"/>
        <w:tabs>
          <w:tab w:leader="none" w:pos="14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December 2018, we issued and sold an aggregate of 19,900,000 shares of our Series A convertible preferred stock at a purchase price of $1.00 per share for an aggregate purchase price of $19.9 million.</w:t>
      </w:r>
    </w:p>
    <w:p>
      <w:pPr>
        <w:spacing w:after="0" w:line="158" w:lineRule="exact"/>
        <w:rPr>
          <w:rFonts w:ascii="Arial" w:cs="Arial" w:eastAsia="Arial" w:hAnsi="Arial"/>
          <w:sz w:val="16"/>
          <w:szCs w:val="16"/>
          <w:color w:val="auto"/>
        </w:rPr>
      </w:pPr>
    </w:p>
    <w:p>
      <w:pPr>
        <w:ind w:left="820" w:right="20" w:firstLine="378"/>
        <w:spacing w:after="0" w:line="266" w:lineRule="auto"/>
        <w:tabs>
          <w:tab w:leader="none" w:pos="1427"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August 2019, March 2019 and August 2020, we issued and sold 55,555,527 shares of our Series B convertible preferred stock at a purchase price of $1.656 per share for an aggregate purchase price of $92.0 million.</w:t>
      </w:r>
    </w:p>
    <w:p>
      <w:pPr>
        <w:spacing w:after="0" w:line="158" w:lineRule="exact"/>
        <w:rPr>
          <w:rFonts w:ascii="Arial" w:cs="Arial" w:eastAsia="Arial" w:hAnsi="Arial"/>
          <w:sz w:val="16"/>
          <w:szCs w:val="16"/>
          <w:color w:val="auto"/>
        </w:rPr>
      </w:pPr>
    </w:p>
    <w:p>
      <w:pPr>
        <w:ind w:left="820" w:right="240" w:firstLine="378"/>
        <w:spacing w:after="0" w:line="266" w:lineRule="auto"/>
        <w:tabs>
          <w:tab w:leader="none" w:pos="141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In December 2020 and January 2021, we issued and sold an aggregate of 51,158,291 shares of our Series C convertible preferred stock at a purchase price of $2.072 per share for an aggregate purchase price of $106.0 million.</w:t>
      </w:r>
    </w:p>
    <w:p>
      <w:pPr>
        <w:spacing w:after="0" w:line="9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400"/>
          </w:cols>
          <w:pgMar w:left="320" w:top="418" w:right="1179" w:bottom="1440" w:gutter="0" w:footer="0" w:header="0"/>
        </w:sectPr>
      </w:pPr>
    </w:p>
    <w:bookmarkStart w:id="298" w:name="page299"/>
    <w:bookmarkEnd w:id="29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820" w:right="120" w:firstLine="378"/>
        <w:spacing w:after="0" w:line="256" w:lineRule="auto"/>
        <w:tabs>
          <w:tab w:leader="none" w:pos="142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From January 2018 through May 5, 2021, we granted stock options to purchase an aggregate of 11,298,200 shares of common stock upon the exercise of options under our 2016 Plan at exercise prices per share ranging from $0.11 to $0.94, for an aggregate exercise price of approximately $5.52 million.</w:t>
      </w:r>
    </w:p>
    <w:p>
      <w:pPr>
        <w:spacing w:after="0" w:line="165" w:lineRule="exact"/>
        <w:rPr>
          <w:rFonts w:ascii="Arial" w:cs="Arial" w:eastAsia="Arial" w:hAnsi="Arial"/>
          <w:sz w:val="16"/>
          <w:szCs w:val="16"/>
          <w:color w:val="auto"/>
        </w:rPr>
      </w:pPr>
    </w:p>
    <w:p>
      <w:pPr>
        <w:ind w:left="820" w:right="180" w:firstLine="378"/>
        <w:spacing w:after="0" w:line="256" w:lineRule="auto"/>
        <w:tabs>
          <w:tab w:leader="none" w:pos="1418"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From January 2018 through May 5, 2021, we issued and sold to certain service providers of ours an aggregate of 789,175 shares of common stock upon the exercise of options under our 2016 Plan at exercise prices per share ranging from $0.11 to $0.94, for an aggregate exercise price of approximately $144,921.</w:t>
      </w:r>
    </w:p>
    <w:p>
      <w:pPr>
        <w:spacing w:after="0" w:line="166" w:lineRule="exact"/>
        <w:rPr>
          <w:sz w:val="20"/>
          <w:szCs w:val="20"/>
          <w:color w:val="auto"/>
        </w:rPr>
      </w:pPr>
    </w:p>
    <w:p>
      <w:pPr>
        <w:ind w:left="820" w:right="20" w:firstLine="385"/>
        <w:spacing w:after="0" w:line="323" w:lineRule="auto"/>
        <w:rPr>
          <w:sz w:val="20"/>
          <w:szCs w:val="20"/>
          <w:color w:val="auto"/>
        </w:rPr>
      </w:pPr>
      <w:r>
        <w:rPr>
          <w:rFonts w:ascii="Arial" w:cs="Arial" w:eastAsia="Arial" w:hAnsi="Arial"/>
          <w:sz w:val="13"/>
          <w:szCs w:val="13"/>
          <w:color w:val="auto"/>
        </w:rPr>
        <w:t>The offers, sales and issuances of the securities described in Items 15(a) ,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26" w:lineRule="exact"/>
        <w:rPr>
          <w:sz w:val="20"/>
          <w:szCs w:val="20"/>
          <w:color w:val="auto"/>
        </w:rPr>
      </w:pPr>
    </w:p>
    <w:p>
      <w:pPr>
        <w:ind w:left="820" w:right="40" w:firstLine="385"/>
        <w:spacing w:after="0" w:line="311" w:lineRule="auto"/>
        <w:rPr>
          <w:sz w:val="20"/>
          <w:szCs w:val="20"/>
          <w:color w:val="auto"/>
        </w:rPr>
      </w:pPr>
      <w:r>
        <w:rPr>
          <w:rFonts w:ascii="Arial" w:cs="Arial" w:eastAsia="Arial" w:hAnsi="Arial"/>
          <w:sz w:val="13"/>
          <w:szCs w:val="13"/>
          <w:color w:val="auto"/>
        </w:rPr>
        <w:t>The offers, sales and issuances of the securities described in Items 15(d) and 15(e) were exempt from registration under the Securities Act under either (1) Rule 701 in that the transactions were under compensatory benefit plans and contracts relating to compensation as provided under Rule 701 or</w:t>
      </w:r>
    </w:p>
    <w:p>
      <w:pPr>
        <w:spacing w:after="0" w:line="1" w:lineRule="exact"/>
        <w:rPr>
          <w:sz w:val="20"/>
          <w:szCs w:val="20"/>
          <w:color w:val="auto"/>
        </w:rPr>
      </w:pPr>
    </w:p>
    <w:p>
      <w:pPr>
        <w:ind w:left="820" w:right="40" w:hanging="6"/>
        <w:spacing w:after="0" w:line="248" w:lineRule="auto"/>
        <w:tabs>
          <w:tab w:leader="none" w:pos="104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Section 4(a)(2) of the Securities Act as transactions by an issuer not involving any public offering. The recipients of such securities were the registrant’s employees, consultants or directors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62"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16. Exhibit and Financial Statement Schedules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(a) Exhibits.</w:t>
      </w:r>
    </w:p>
    <w:p>
      <w:pPr>
        <w:spacing w:after="0" w:line="99" w:lineRule="exact"/>
        <w:rPr>
          <w:sz w:val="20"/>
          <w:szCs w:val="20"/>
          <w:color w:val="auto"/>
        </w:rPr>
      </w:pPr>
    </w:p>
    <w:p>
      <w:pPr>
        <w:ind w:left="820" w:firstLine="385"/>
        <w:spacing w:after="0" w:line="266" w:lineRule="auto"/>
        <w:rPr>
          <w:sz w:val="20"/>
          <w:szCs w:val="20"/>
          <w:color w:val="auto"/>
        </w:rPr>
      </w:pPr>
      <w:r>
        <w:rPr>
          <w:rFonts w:ascii="Arial" w:cs="Arial" w:eastAsia="Arial" w:hAnsi="Arial"/>
          <w:sz w:val="16"/>
          <w:szCs w:val="16"/>
          <w:color w:val="auto"/>
        </w:rPr>
        <w:t>See the Exhibit Index immediately preceding the signature page hereto for a list of exhibits filed as part of this registration statement on Form S-1, which Exhibit Index is incorporated herein by reference.</w:t>
      </w:r>
    </w:p>
    <w:p>
      <w:pPr>
        <w:spacing w:after="0" w:line="252" w:lineRule="exact"/>
        <w:rPr>
          <w:sz w:val="20"/>
          <w:szCs w:val="20"/>
          <w:color w:val="auto"/>
        </w:rPr>
      </w:pPr>
    </w:p>
    <w:p>
      <w:pPr>
        <w:ind w:left="1200"/>
        <w:spacing w:after="0"/>
        <w:rPr>
          <w:sz w:val="20"/>
          <w:szCs w:val="20"/>
          <w:color w:val="auto"/>
        </w:rPr>
      </w:pPr>
      <w:r>
        <w:rPr>
          <w:rFonts w:ascii="Arial" w:cs="Arial" w:eastAsia="Arial" w:hAnsi="Arial"/>
          <w:sz w:val="16"/>
          <w:szCs w:val="16"/>
          <w:b w:val="1"/>
          <w:bCs w:val="1"/>
          <w:i w:val="1"/>
          <w:iCs w:val="1"/>
          <w:color w:val="auto"/>
        </w:rPr>
        <w:t>(b) Financial Statement Schedules.</w:t>
      </w:r>
    </w:p>
    <w:p>
      <w:pPr>
        <w:spacing w:after="0" w:line="99" w:lineRule="exact"/>
        <w:rPr>
          <w:sz w:val="20"/>
          <w:szCs w:val="20"/>
          <w:color w:val="auto"/>
        </w:rPr>
      </w:pPr>
    </w:p>
    <w:p>
      <w:pPr>
        <w:ind w:left="820" w:right="220" w:firstLine="385"/>
        <w:spacing w:after="0" w:line="266" w:lineRule="auto"/>
        <w:rPr>
          <w:sz w:val="20"/>
          <w:szCs w:val="20"/>
          <w:color w:val="auto"/>
        </w:rPr>
      </w:pPr>
      <w:r>
        <w:rPr>
          <w:rFonts w:ascii="Arial" w:cs="Arial" w:eastAsia="Arial" w:hAnsi="Arial"/>
          <w:sz w:val="16"/>
          <w:szCs w:val="16"/>
          <w:color w:val="auto"/>
        </w:rPr>
        <w:t>Schedules have been omitted because the information required to be set forth therein is not applicable or is shown in the financial statements or notes thereto.</w:t>
      </w:r>
    </w:p>
    <w:p>
      <w:pPr>
        <w:spacing w:after="0" w:line="2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Item 17. Undertakings</w:t>
      </w:r>
    </w:p>
    <w:p>
      <w:pPr>
        <w:spacing w:after="0" w:line="103" w:lineRule="exact"/>
        <w:rPr>
          <w:sz w:val="20"/>
          <w:szCs w:val="20"/>
          <w:color w:val="auto"/>
        </w:rPr>
      </w:pPr>
    </w:p>
    <w:p>
      <w:pPr>
        <w:ind w:left="820" w:right="40" w:firstLine="385"/>
        <w:spacing w:after="0" w:line="300"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5" w:lineRule="exact"/>
        <w:rPr>
          <w:sz w:val="20"/>
          <w:szCs w:val="20"/>
          <w:color w:val="auto"/>
        </w:rPr>
      </w:pPr>
    </w:p>
    <w:p>
      <w:pPr>
        <w:ind w:left="820" w:right="200" w:firstLine="385"/>
        <w:spacing w:after="0" w:line="267"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420"/>
          </w:cols>
          <w:pgMar w:left="320" w:top="418" w:right="1159" w:bottom="1440" w:gutter="0" w:footer="0" w:header="0"/>
        </w:sectPr>
      </w:pPr>
    </w:p>
    <w:bookmarkStart w:id="299" w:name="page300"/>
    <w:bookmarkEnd w:id="29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undersigned hereby undertakes that:</w:t>
      </w:r>
    </w:p>
    <w:p>
      <w:pPr>
        <w:spacing w:after="0" w:line="99" w:lineRule="exact"/>
        <w:rPr>
          <w:sz w:val="20"/>
          <w:szCs w:val="20"/>
          <w:color w:val="auto"/>
        </w:rPr>
      </w:pPr>
    </w:p>
    <w:p>
      <w:pPr>
        <w:ind w:left="820" w:right="180" w:firstLine="378"/>
        <w:spacing w:after="0" w:line="343" w:lineRule="auto"/>
        <w:tabs>
          <w:tab w:leader="none" w:pos="1427" w:val="left"/>
        </w:tabs>
        <w:numPr>
          <w:ilvl w:val="0"/>
          <w:numId w:val="164"/>
        </w:numPr>
        <w:rPr>
          <w:rFonts w:ascii="Arial" w:cs="Arial" w:eastAsia="Arial" w:hAnsi="Arial"/>
          <w:sz w:val="13"/>
          <w:szCs w:val="13"/>
          <w:color w:val="auto"/>
        </w:rPr>
      </w:pPr>
      <w:r>
        <w:rPr>
          <w:rFonts w:ascii="Arial" w:cs="Arial" w:eastAsia="Arial" w:hAnsi="Arial"/>
          <w:sz w:val="13"/>
          <w:szCs w:val="13"/>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13" w:lineRule="exact"/>
        <w:rPr>
          <w:rFonts w:ascii="Arial" w:cs="Arial" w:eastAsia="Arial" w:hAnsi="Arial"/>
          <w:sz w:val="13"/>
          <w:szCs w:val="13"/>
          <w:color w:val="auto"/>
        </w:rPr>
      </w:pPr>
    </w:p>
    <w:p>
      <w:pPr>
        <w:jc w:val="both"/>
        <w:ind w:left="820" w:firstLine="378"/>
        <w:spacing w:after="0" w:line="256" w:lineRule="auto"/>
        <w:tabs>
          <w:tab w:leader="none" w:pos="142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0320"/>
          </w:cols>
          <w:pgMar w:left="320" w:top="418" w:right="1259" w:bottom="1440" w:gutter="0" w:footer="0" w:header="0"/>
        </w:sectPr>
      </w:pPr>
    </w:p>
    <w:bookmarkStart w:id="300" w:name="page301"/>
    <w:bookmarkEnd w:id="30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tbl>
      <w:tblPr>
        <w:tblLayout w:type="fixed"/>
        <w:tblInd w:w="82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80" w:type="dxa"/>
            <w:vAlign w:val="bottom"/>
            <w:gridSpan w:val="3"/>
          </w:tcPr>
          <w:p>
            <w:pPr>
              <w:ind w:left="3460"/>
              <w:spacing w:after="0"/>
              <w:rPr>
                <w:sz w:val="20"/>
                <w:szCs w:val="20"/>
                <w:color w:val="auto"/>
              </w:rPr>
            </w:pPr>
            <w:r>
              <w:rPr>
                <w:rFonts w:ascii="Arial" w:cs="Arial" w:eastAsia="Arial" w:hAnsi="Arial"/>
                <w:sz w:val="16"/>
                <w:szCs w:val="16"/>
                <w:b w:val="1"/>
                <w:bCs w:val="1"/>
                <w:color w:val="auto"/>
              </w:rPr>
              <w:t>EXHIBIT INDEX</w:t>
            </w:r>
          </w:p>
        </w:tc>
      </w:tr>
      <w:tr>
        <w:trPr>
          <w:trHeight w:val="323"/>
        </w:trPr>
        <w:tc>
          <w:tcPr>
            <w:tcW w:w="4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w:t>
            </w:r>
          </w:p>
        </w:tc>
        <w:tc>
          <w:tcPr>
            <w:tcW w:w="4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50"/>
        </w:trPr>
        <w:tc>
          <w:tcPr>
            <w:tcW w:w="4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4240" w:type="dxa"/>
            <w:vAlign w:val="bottom"/>
          </w:tcPr>
          <w:p>
            <w:pPr>
              <w:spacing w:after="0"/>
              <w:rPr>
                <w:sz w:val="13"/>
                <w:szCs w:val="13"/>
                <w:color w:val="auto"/>
              </w:rPr>
            </w:pPr>
          </w:p>
        </w:tc>
        <w:tc>
          <w:tcPr>
            <w:tcW w:w="444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r>
      <w:tr>
        <w:trPr>
          <w:trHeight w:val="274"/>
        </w:trPr>
        <w:tc>
          <w:tcPr>
            <w:tcW w:w="40" w:type="dxa"/>
            <w:vAlign w:val="bottom"/>
          </w:tcPr>
          <w:p>
            <w:pPr>
              <w:spacing w:after="0"/>
              <w:rPr>
                <w:sz w:val="23"/>
                <w:szCs w:val="23"/>
                <w:color w:val="auto"/>
              </w:rPr>
            </w:pPr>
          </w:p>
        </w:tc>
        <w:tc>
          <w:tcPr>
            <w:tcW w:w="4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4240" w:type="dxa"/>
            <w:vAlign w:val="bottom"/>
          </w:tcPr>
          <w:p>
            <w:pPr>
              <w:ind w:left="240"/>
              <w:spacing w:after="0"/>
              <w:rPr>
                <w:sz w:val="20"/>
                <w:szCs w:val="20"/>
                <w:color w:val="auto"/>
              </w:rPr>
            </w:pPr>
            <w:r>
              <w:rPr>
                <w:rFonts w:ascii="Arial" w:cs="Arial" w:eastAsia="Arial" w:hAnsi="Arial"/>
                <w:sz w:val="16"/>
                <w:szCs w:val="16"/>
                <w:color w:val="auto"/>
              </w:rPr>
              <w:t>Form of Underwriting Agreement.</w:t>
            </w:r>
          </w:p>
        </w:tc>
        <w:tc>
          <w:tcPr>
            <w:tcW w:w="640" w:type="dxa"/>
            <w:vAlign w:val="bottom"/>
            <w:tcBorders>
              <w:top w:val="single" w:sz="8" w:color="auto"/>
            </w:tcBorders>
          </w:tcPr>
          <w:p>
            <w:pPr>
              <w:spacing w:after="0"/>
              <w:rPr>
                <w:sz w:val="23"/>
                <w:szCs w:val="23"/>
                <w:color w:val="auto"/>
              </w:rPr>
            </w:pPr>
          </w:p>
        </w:tc>
        <w:tc>
          <w:tcPr>
            <w:tcW w:w="3800" w:type="dxa"/>
            <w:vAlign w:val="bottom"/>
          </w:tcPr>
          <w:p>
            <w:pPr>
              <w:spacing w:after="0"/>
              <w:rPr>
                <w:sz w:val="23"/>
                <w:szCs w:val="23"/>
                <w:color w:val="auto"/>
              </w:rPr>
            </w:pP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Amended and Restated Certificate of Incorporation of the Registrant, as currently in effect.</w:t>
            </w: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w w:val="93"/>
              </w:rPr>
              <w:t>Form of Amended and Restated Certificate of Incorporation of the Registrant, to be in effect upon the completion of this offering.</w:t>
            </w: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3.3**</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Bylaws of the Registrant, as currently in effect.</w:t>
            </w: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Form of Amended and Restated Bylaws of the Registrant, to be in effect upon the completion of this offering.</w:t>
            </w:r>
          </w:p>
        </w:tc>
      </w:tr>
      <w:tr>
        <w:trPr>
          <w:trHeight w:val="272"/>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23"/>
                <w:szCs w:val="23"/>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w w:val="88"/>
              </w:rPr>
              <w:t>Amended and Restated Investors’ Rights Agreement by and among the Registrant and certain of its stockholders, dated December 17,</w:t>
            </w:r>
          </w:p>
        </w:tc>
      </w:tr>
      <w:tr>
        <w:trPr>
          <w:trHeight w:val="200"/>
        </w:trPr>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40" w:type="dxa"/>
            <w:vAlign w:val="bottom"/>
          </w:tcPr>
          <w:p>
            <w:pPr>
              <w:ind w:left="24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Specimen common stock certificate of the Registrant.</w:t>
            </w:r>
          </w:p>
        </w:tc>
      </w:tr>
      <w:tr>
        <w:trPr>
          <w:trHeight w:val="283"/>
        </w:trPr>
        <w:tc>
          <w:tcPr>
            <w:tcW w:w="480" w:type="dxa"/>
            <w:vAlign w:val="bottom"/>
            <w:gridSpan w:val="2"/>
          </w:tcPr>
          <w:p>
            <w:pPr>
              <w:ind w:left="80"/>
              <w:spacing w:after="0"/>
              <w:rPr>
                <w:sz w:val="20"/>
                <w:szCs w:val="20"/>
                <w:color w:val="auto"/>
              </w:rPr>
            </w:pPr>
            <w:r>
              <w:rPr>
                <w:rFonts w:ascii="Arial" w:cs="Arial" w:eastAsia="Arial" w:hAnsi="Arial"/>
                <w:sz w:val="16"/>
                <w:szCs w:val="16"/>
                <w:color w:val="auto"/>
              </w:rPr>
              <w:t>5.1*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Opinion of Wilson Sonsini Goodrich &amp; Rosati, Professional Corporation.</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Form of Indemnification Agreement between the Registrant and each of its directors and executive officers.</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Amended and Restated 2016 Equity Incentive Plan and forms of agreement thereunder.</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10.3+*</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2021 Equity Incentive Plan and forms of agreements thereunder, to be in effect upon the completion of this offering.</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10.4+*</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w w:val="94"/>
              </w:rPr>
              <w:t>2021 Employee Stock Purchase Plan and forms of agreements thereunder, to be in effect upon the completion of this offering.</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10.4+*</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Employment Letter between the Registrant and Faraz Ali.</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10.5+*</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Employment Letter between the Registrant and Timothy Charles Hoey, Ph.D.</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10.6+*</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Employment Letter between the Registrant and Whittemore (Whit) Tingley, M.D., Ph.D.</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10.7+*</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Executive Incentive Compensation Plan.</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w w:val="98"/>
              </w:rPr>
              <w:t>10.8+*</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Outside Director Compensation Policy.</w:t>
            </w:r>
          </w:p>
        </w:tc>
      </w:tr>
      <w:tr>
        <w:trPr>
          <w:trHeight w:val="283"/>
        </w:trPr>
        <w:tc>
          <w:tcPr>
            <w:tcW w:w="740" w:type="dxa"/>
            <w:vAlign w:val="bottom"/>
            <w:gridSpan w:val="3"/>
          </w:tcPr>
          <w:p>
            <w:pPr>
              <w:spacing w:after="0"/>
              <w:rPr>
                <w:sz w:val="20"/>
                <w:szCs w:val="20"/>
                <w:color w:val="auto"/>
              </w:rPr>
            </w:pPr>
            <w:r>
              <w:rPr>
                <w:rFonts w:ascii="Arial" w:cs="Arial" w:eastAsia="Arial" w:hAnsi="Arial"/>
                <w:sz w:val="16"/>
                <w:szCs w:val="16"/>
                <w:color w:val="auto"/>
              </w:rPr>
              <w:t>10.9#**</w:t>
            </w: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w w:val="87"/>
              </w:rPr>
              <w:t>License Agreement between the Registrant and the Board of Regents of the University of Texas System, dated as of January 10, 2020.</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rPr>
              <w:t>10.10</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Lease between HCP Oyster Point III LLC and Tenaya Therapeutics, Inc. dated as of September 6, 2016.</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rPr>
              <w:t>10.11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Lease between Terreno Park Union City LLC and Tenaya Therapeutics, Inc. dated as of February 12, 2021.</w:t>
            </w:r>
          </w:p>
        </w:tc>
      </w:tr>
      <w:tr>
        <w:trPr>
          <w:trHeight w:val="283"/>
        </w:trPr>
        <w:tc>
          <w:tcPr>
            <w:tcW w:w="740" w:type="dxa"/>
            <w:vAlign w:val="bottom"/>
            <w:gridSpan w:val="3"/>
          </w:tcPr>
          <w:p>
            <w:pPr>
              <w:spacing w:after="0"/>
              <w:rPr>
                <w:sz w:val="20"/>
                <w:szCs w:val="20"/>
                <w:color w:val="auto"/>
              </w:rPr>
            </w:pPr>
            <w:r>
              <w:rPr>
                <w:rFonts w:ascii="Arial" w:cs="Arial" w:eastAsia="Arial" w:hAnsi="Arial"/>
                <w:sz w:val="16"/>
                <w:szCs w:val="16"/>
                <w:color w:val="auto"/>
              </w:rPr>
              <w:t>10.12+*</w:t>
            </w: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Executive Change in Control and Severance Plan.</w:t>
            </w:r>
          </w:p>
        </w:tc>
      </w:tr>
      <w:tr>
        <w:trPr>
          <w:trHeight w:val="295"/>
        </w:trPr>
        <w:tc>
          <w:tcPr>
            <w:tcW w:w="480" w:type="dxa"/>
            <w:vAlign w:val="bottom"/>
            <w:gridSpan w:val="2"/>
          </w:tcPr>
          <w:p>
            <w:pPr>
              <w:spacing w:after="0"/>
              <w:rPr>
                <w:sz w:val="20"/>
                <w:szCs w:val="20"/>
                <w:color w:val="auto"/>
              </w:rPr>
            </w:pPr>
            <w:r>
              <w:rPr>
                <w:rFonts w:ascii="Arial" w:cs="Arial" w:eastAsia="Arial" w:hAnsi="Arial"/>
                <w:sz w:val="16"/>
                <w:szCs w:val="16"/>
                <w:color w:val="auto"/>
              </w:rPr>
              <w:t>23.1*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Consent of Deloitte &amp; Touche LLP, Independent Registered Public Accounting Firm.</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rPr>
              <w:t>23.2*</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Consent of Wilson Sonsini Goodrich &amp; Rosati, Professional Corporation (included in Exhibit 5.1).</w:t>
            </w:r>
          </w:p>
        </w:tc>
      </w:tr>
      <w:tr>
        <w:trPr>
          <w:trHeight w:val="283"/>
        </w:trPr>
        <w:tc>
          <w:tcPr>
            <w:tcW w:w="480" w:type="dxa"/>
            <w:vAlign w:val="bottom"/>
            <w:gridSpan w:val="2"/>
          </w:tcPr>
          <w:p>
            <w:pPr>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24"/>
                <w:szCs w:val="24"/>
                <w:color w:val="auto"/>
              </w:rPr>
            </w:pPr>
          </w:p>
        </w:tc>
        <w:tc>
          <w:tcPr>
            <w:tcW w:w="8680" w:type="dxa"/>
            <w:vAlign w:val="bottom"/>
            <w:gridSpan w:val="3"/>
          </w:tcPr>
          <w:p>
            <w:pPr>
              <w:ind w:left="240"/>
              <w:spacing w:after="0"/>
              <w:rPr>
                <w:sz w:val="20"/>
                <w:szCs w:val="20"/>
                <w:color w:val="auto"/>
              </w:rPr>
            </w:pPr>
            <w:r>
              <w:rPr>
                <w:rFonts w:ascii="Arial" w:cs="Arial" w:eastAsia="Arial" w:hAnsi="Arial"/>
                <w:sz w:val="16"/>
                <w:szCs w:val="16"/>
                <w:color w:val="auto"/>
              </w:rPr>
              <w:t>Power of Attorney (see page II-6 to this Form 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75565</wp:posOffset>
            </wp:positionV>
            <wp:extent cx="66611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6115" cy="7620"/>
                    </a:xfrm>
                    <a:prstGeom prst="rect">
                      <a:avLst/>
                    </a:prstGeom>
                    <a:noFill/>
                  </pic:spPr>
                </pic:pic>
              </a:graphicData>
            </a:graphic>
          </wp:anchor>
        </w:drawing>
      </w:r>
    </w:p>
    <w:p>
      <w:pPr>
        <w:spacing w:after="0" w:line="134" w:lineRule="exact"/>
        <w:rPr>
          <w:sz w:val="20"/>
          <w:szCs w:val="20"/>
          <w:color w:val="auto"/>
        </w:rPr>
      </w:pPr>
    </w:p>
    <w:p>
      <w:pPr>
        <w:ind w:left="820" w:right="7440" w:hanging="6"/>
        <w:spacing w:after="0" w:line="311" w:lineRule="auto"/>
        <w:tabs>
          <w:tab w:leader="none" w:pos="1197"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To be filed by amendment. ** Previously filed.</w:t>
      </w:r>
    </w:p>
    <w:p>
      <w:pPr>
        <w:spacing w:after="0" w:line="1" w:lineRule="exact"/>
        <w:rPr>
          <w:rFonts w:ascii="Arial" w:cs="Arial" w:eastAsia="Arial" w:hAnsi="Arial"/>
          <w:sz w:val="13"/>
          <w:szCs w:val="13"/>
          <w:color w:val="auto"/>
        </w:rPr>
      </w:pPr>
    </w:p>
    <w:p>
      <w:pPr>
        <w:ind w:left="820"/>
        <w:spacing w:after="0"/>
        <w:rPr>
          <w:rFonts w:ascii="Arial" w:cs="Arial" w:eastAsia="Arial" w:hAnsi="Arial"/>
          <w:sz w:val="13"/>
          <w:szCs w:val="13"/>
          <w:color w:val="auto"/>
        </w:rPr>
      </w:pPr>
      <w:r>
        <w:rPr>
          <w:rFonts w:ascii="Arial" w:cs="Arial" w:eastAsia="Arial" w:hAnsi="Arial"/>
          <w:sz w:val="16"/>
          <w:szCs w:val="16"/>
          <w:color w:val="auto"/>
        </w:rPr>
        <w:t>+</w:t>
      </w:r>
      <w:r>
        <w:rPr>
          <w:rFonts w:ascii="Arial" w:cs="Arial" w:eastAsia="Arial" w:hAnsi="Arial"/>
          <w:sz w:val="13"/>
          <w:szCs w:val="13"/>
          <w:color w:val="auto"/>
        </w:rPr>
        <w:t>Indicated management contract or compensatory plan.</w:t>
      </w:r>
    </w:p>
    <w:p>
      <w:pPr>
        <w:spacing w:after="0" w:line="4" w:lineRule="exact"/>
        <w:rPr>
          <w:rFonts w:ascii="Arial" w:cs="Arial" w:eastAsia="Arial" w:hAnsi="Arial"/>
          <w:sz w:val="13"/>
          <w:szCs w:val="13"/>
          <w:color w:val="auto"/>
        </w:rPr>
      </w:pPr>
    </w:p>
    <w:p>
      <w:pPr>
        <w:ind w:left="1200" w:hanging="377"/>
        <w:spacing w:after="0" w:line="284" w:lineRule="auto"/>
        <w:rPr>
          <w:rFonts w:ascii="Arial" w:cs="Arial" w:eastAsia="Arial" w:hAnsi="Arial"/>
          <w:sz w:val="13"/>
          <w:szCs w:val="13"/>
          <w:color w:val="auto"/>
        </w:rPr>
      </w:pPr>
      <w:r>
        <w:rPr>
          <w:rFonts w:ascii="Arial" w:cs="Arial" w:eastAsia="Arial" w:hAnsi="Arial"/>
          <w:sz w:val="16"/>
          <w:szCs w:val="16"/>
          <w:color w:val="auto"/>
        </w:rPr>
        <w:t>#</w:t>
      </w:r>
      <w:r>
        <w:rPr>
          <w:rFonts w:ascii="Arial" w:cs="Arial" w:eastAsia="Arial" w:hAnsi="Arial"/>
          <w:sz w:val="15"/>
          <w:szCs w:val="15"/>
          <w:color w:val="auto"/>
        </w:rPr>
        <w:t>Portions of this exhibit (indicated by asterisks) have been omitted as the registrant has determined that (1) the omitted information is not material and (2) the omitted information would likely cause competitive harm to the registrant if publicly disclosed.</w:t>
      </w:r>
    </w:p>
    <w:p>
      <w:pPr>
        <w:spacing w:after="0" w:line="8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0320"/>
          </w:cols>
          <w:pgMar w:left="320" w:top="418" w:right="1259" w:bottom="1440" w:gutter="0" w:footer="0" w:header="0"/>
        </w:sectPr>
      </w:pPr>
    </w:p>
    <w:bookmarkStart w:id="301" w:name="page302"/>
    <w:bookmarkEnd w:id="3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4"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SIGNATURES</w:t>
      </w:r>
    </w:p>
    <w:p>
      <w:pPr>
        <w:spacing w:after="0" w:line="197" w:lineRule="exact"/>
        <w:rPr>
          <w:sz w:val="20"/>
          <w:szCs w:val="20"/>
          <w:color w:val="auto"/>
        </w:rPr>
      </w:pPr>
    </w:p>
    <w:p>
      <w:pPr>
        <w:ind w:left="1200"/>
        <w:spacing w:after="0"/>
        <w:rPr>
          <w:sz w:val="20"/>
          <w:szCs w:val="20"/>
          <w:color w:val="auto"/>
        </w:rPr>
      </w:pPr>
      <w:r>
        <w:rPr>
          <w:rFonts w:ascii="Arial" w:cs="Arial" w:eastAsia="Arial" w:hAnsi="Arial"/>
          <w:sz w:val="13"/>
          <w:szCs w:val="13"/>
          <w:color w:val="auto"/>
        </w:rPr>
        <w:t>Pursuant to the requirements of the Securities Act of 1933, as amended, the registrant has duly caused this registration statement to be signed on</w:t>
      </w:r>
    </w:p>
    <w:p>
      <w:pPr>
        <w:spacing w:after="0" w:line="51" w:lineRule="exact"/>
        <w:rPr>
          <w:sz w:val="20"/>
          <w:szCs w:val="20"/>
          <w:color w:val="auto"/>
        </w:rPr>
      </w:pPr>
    </w:p>
    <w:tbl>
      <w:tblPr>
        <w:tblLayout w:type="fixed"/>
        <w:tblInd w:w="820" w:type="dxa"/>
        <w:tblCellMar>
          <w:top w:w="0" w:type="dxa"/>
          <w:left w:w="0" w:type="dxa"/>
          <w:bottom w:w="0" w:type="dxa"/>
          <w:right w:w="0" w:type="dxa"/>
        </w:tblCellMar>
      </w:tblPr>
      <w:tr>
        <w:trPr>
          <w:trHeight w:val="200"/>
        </w:trPr>
        <w:tc>
          <w:tcPr>
            <w:tcW w:w="7100" w:type="dxa"/>
            <w:vAlign w:val="bottom"/>
          </w:tcPr>
          <w:p>
            <w:pPr>
              <w:spacing w:after="0"/>
              <w:rPr>
                <w:sz w:val="20"/>
                <w:szCs w:val="20"/>
                <w:color w:val="auto"/>
              </w:rPr>
            </w:pPr>
            <w:r>
              <w:rPr>
                <w:rFonts w:ascii="Arial" w:cs="Arial" w:eastAsia="Arial" w:hAnsi="Arial"/>
                <w:sz w:val="16"/>
                <w:szCs w:val="16"/>
                <w:color w:val="auto"/>
                <w:w w:val="94"/>
              </w:rPr>
              <w:t>its behalf by the undersigned, thereunto duly authorized, in the City of South San Francisco, California, on</w:t>
            </w:r>
          </w:p>
        </w:tc>
        <w:tc>
          <w:tcPr>
            <w:tcW w:w="860" w:type="dxa"/>
            <w:vAlign w:val="bottom"/>
          </w:tcPr>
          <w:p>
            <w:pPr>
              <w:jc w:val="right"/>
              <w:spacing w:after="0"/>
              <w:rPr>
                <w:sz w:val="20"/>
                <w:szCs w:val="20"/>
                <w:color w:val="auto"/>
              </w:rPr>
            </w:pPr>
            <w:r>
              <w:rPr>
                <w:rFonts w:ascii="Arial" w:cs="Arial" w:eastAsia="Arial" w:hAnsi="Arial"/>
                <w:sz w:val="16"/>
                <w:szCs w:val="16"/>
                <w:color w:val="auto"/>
              </w:rPr>
              <w:t>, 2021.</w:t>
            </w:r>
          </w:p>
        </w:tc>
      </w:tr>
    </w:tbl>
    <w:p>
      <w:pPr>
        <w:spacing w:after="0" w:line="185"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TENAYA THERAPEUTICS, INC.</w:t>
      </w:r>
    </w:p>
    <w:p>
      <w:pPr>
        <w:spacing w:after="0" w:line="197" w:lineRule="exact"/>
        <w:rPr>
          <w:sz w:val="20"/>
          <w:szCs w:val="20"/>
          <w:color w:val="auto"/>
        </w:rPr>
      </w:pPr>
    </w:p>
    <w:p>
      <w:pPr>
        <w:ind w:left="66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4391025</wp:posOffset>
            </wp:positionH>
            <wp:positionV relativeFrom="paragraph">
              <wp:posOffset>10795</wp:posOffset>
            </wp:positionV>
            <wp:extent cx="223837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238375" cy="7620"/>
                    </a:xfrm>
                    <a:prstGeom prst="rect">
                      <a:avLst/>
                    </a:prstGeom>
                    <a:noFill/>
                  </pic:spPr>
                </pic:pic>
              </a:graphicData>
            </a:graphic>
          </wp:anchor>
        </w:drawing>
      </w:r>
    </w:p>
    <w:p>
      <w:pPr>
        <w:spacing w:after="0" w:line="8"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Faraz Ali</w:t>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Chief Executive Officer</w:t>
      </w:r>
    </w:p>
    <w:p>
      <w:pPr>
        <w:spacing w:after="0" w:line="178" w:lineRule="exact"/>
        <w:rPr>
          <w:sz w:val="20"/>
          <w:szCs w:val="20"/>
          <w:color w:val="auto"/>
        </w:rPr>
      </w:pPr>
    </w:p>
    <w:p>
      <w:pPr>
        <w:jc w:val="center"/>
        <w:ind w:right="-819"/>
        <w:spacing w:after="0"/>
        <w:rPr>
          <w:sz w:val="20"/>
          <w:szCs w:val="20"/>
          <w:color w:val="auto"/>
        </w:rPr>
      </w:pPr>
      <w:r>
        <w:rPr>
          <w:rFonts w:ascii="Arial" w:cs="Arial" w:eastAsia="Arial" w:hAnsi="Arial"/>
          <w:sz w:val="16"/>
          <w:szCs w:val="16"/>
          <w:b w:val="1"/>
          <w:bCs w:val="1"/>
          <w:color w:val="auto"/>
        </w:rPr>
        <w:t>POWER OF ATTORNEY</w:t>
      </w:r>
    </w:p>
    <w:p>
      <w:pPr>
        <w:spacing w:after="0" w:line="197" w:lineRule="exact"/>
        <w:rPr>
          <w:sz w:val="20"/>
          <w:szCs w:val="20"/>
          <w:color w:val="auto"/>
        </w:rPr>
      </w:pPr>
    </w:p>
    <w:p>
      <w:pPr>
        <w:ind w:left="820" w:firstLine="385"/>
        <w:spacing w:after="0" w:line="267"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Faraz Ali as his or her true and lawful attorney-in-fact and agent, with full power of substitution, for him or her and in his or her name, place and stead, in any and all capacities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may lawfully do or cause to be done by virtue hereof.</w:t>
      </w:r>
    </w:p>
    <w:p>
      <w:pPr>
        <w:spacing w:after="0" w:line="163" w:lineRule="exact"/>
        <w:rPr>
          <w:sz w:val="20"/>
          <w:szCs w:val="20"/>
          <w:color w:val="auto"/>
        </w:rPr>
      </w:pPr>
    </w:p>
    <w:p>
      <w:pPr>
        <w:ind w:left="820" w:right="40" w:firstLine="385"/>
        <w:spacing w:after="0" w:line="266"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and on the dates indicated.</w:t>
      </w:r>
    </w:p>
    <w:p>
      <w:pPr>
        <w:spacing w:after="0" w:line="174"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6"/>
              </w:rPr>
              <w:t>Signature</w:t>
            </w:r>
          </w:p>
        </w:tc>
        <w:tc>
          <w:tcPr>
            <w:tcW w:w="1560" w:type="dxa"/>
            <w:vAlign w:val="bottom"/>
          </w:tcPr>
          <w:p>
            <w:pPr>
              <w:spacing w:after="0"/>
              <w:rPr>
                <w:sz w:val="13"/>
                <w:szCs w:val="13"/>
                <w:color w:val="auto"/>
              </w:rPr>
            </w:pPr>
          </w:p>
        </w:tc>
        <w:tc>
          <w:tcPr>
            <w:tcW w:w="3940" w:type="dxa"/>
            <w:vAlign w:val="bottom"/>
            <w:gridSpan w:val="3"/>
          </w:tcPr>
          <w:p>
            <w:pPr>
              <w:ind w:left="2000"/>
              <w:spacing w:after="0"/>
              <w:rPr>
                <w:sz w:val="20"/>
                <w:szCs w:val="20"/>
                <w:color w:val="auto"/>
              </w:rPr>
            </w:pPr>
            <w:r>
              <w:rPr>
                <w:rFonts w:ascii="Arial" w:cs="Arial" w:eastAsia="Arial" w:hAnsi="Arial"/>
                <w:sz w:val="13"/>
                <w:szCs w:val="13"/>
                <w:b w:val="1"/>
                <w:bCs w:val="1"/>
                <w:color w:val="auto"/>
              </w:rPr>
              <w:t>Title</w:t>
            </w:r>
          </w:p>
        </w:tc>
        <w:tc>
          <w:tcPr>
            <w:tcW w:w="156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Chief Executive Officer and Director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Faraz Ali</w:t>
            </w:r>
          </w:p>
        </w:tc>
        <w:tc>
          <w:tcPr>
            <w:tcW w:w="3940" w:type="dxa"/>
            <w:vAlign w:val="bottom"/>
            <w:gridSpan w:val="3"/>
          </w:tcPr>
          <w:p>
            <w:pPr>
              <w:ind w:left="100"/>
              <w:spacing w:after="0" w:line="180" w:lineRule="exact"/>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i w:val="1"/>
                <w:iCs w:val="1"/>
                <w:color w:val="auto"/>
              </w:rPr>
              <w:t>Principal Financial and Accounting Officer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569"/>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Chief Scientific Officer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Timothy Charles Hoey,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Chief Medical Officer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Whittemore (Whit) Tingley, M.D.,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Eli Casdin</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Jin-Long Chen,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94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c>
          <w:tcPr>
            <w:tcW w:w="156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David Goeddel,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bl>
    <w:p>
      <w:pPr>
        <w:spacing w:after="0" w:line="1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0440"/>
          </w:cols>
          <w:pgMar w:left="320" w:top="418" w:right="1139" w:bottom="1440" w:gutter="0" w:footer="0" w:header="0"/>
        </w:sectPr>
      </w:pPr>
    </w:p>
    <w:bookmarkStart w:id="302" w:name="page303"/>
    <w:bookmarkEnd w:id="3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60" w:lineRule="exact"/>
        <w:rPr>
          <w:sz w:val="20"/>
          <w:szCs w:val="20"/>
          <w:color w:val="auto"/>
        </w:rPr>
      </w:pPr>
    </w:p>
    <w:tbl>
      <w:tblPr>
        <w:tblLayout w:type="fixed"/>
        <w:tblInd w:w="82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6"/>
              </w:rPr>
              <w:t>Signature</w:t>
            </w:r>
          </w:p>
        </w:tc>
        <w:tc>
          <w:tcPr>
            <w:tcW w:w="1560" w:type="dxa"/>
            <w:vAlign w:val="bottom"/>
          </w:tcPr>
          <w:p>
            <w:pPr>
              <w:spacing w:after="0"/>
              <w:rPr>
                <w:sz w:val="13"/>
                <w:szCs w:val="13"/>
                <w:color w:val="auto"/>
              </w:rPr>
            </w:pPr>
          </w:p>
        </w:tc>
        <w:tc>
          <w:tcPr>
            <w:tcW w:w="2260" w:type="dxa"/>
            <w:vAlign w:val="bottom"/>
            <w:gridSpan w:val="2"/>
          </w:tcPr>
          <w:p>
            <w:pPr>
              <w:ind w:left="2000"/>
              <w:spacing w:after="0"/>
              <w:rPr>
                <w:sz w:val="20"/>
                <w:szCs w:val="20"/>
                <w:color w:val="auto"/>
              </w:rPr>
            </w:pPr>
            <w:r>
              <w:rPr>
                <w:rFonts w:ascii="Arial" w:cs="Arial" w:eastAsia="Arial" w:hAnsi="Arial"/>
                <w:sz w:val="13"/>
                <w:szCs w:val="13"/>
                <w:b w:val="1"/>
                <w:bCs w:val="1"/>
                <w:color w:val="auto"/>
                <w:w w:val="89"/>
              </w:rPr>
              <w:t>Title</w:t>
            </w:r>
          </w:p>
        </w:tc>
        <w:tc>
          <w:tcPr>
            <w:tcW w:w="32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Date</w:t>
            </w: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00" w:type="dxa"/>
            <w:vAlign w:val="bottom"/>
          </w:tcPr>
          <w:p>
            <w:pPr>
              <w:ind w:left="100"/>
              <w:spacing w:after="0"/>
              <w:rPr>
                <w:sz w:val="20"/>
                <w:szCs w:val="20"/>
                <w:color w:val="auto"/>
              </w:rPr>
            </w:pPr>
            <w:r>
              <w:rPr>
                <w:rFonts w:ascii="Arial" w:cs="Arial" w:eastAsia="Arial" w:hAnsi="Arial"/>
                <w:sz w:val="16"/>
                <w:szCs w:val="16"/>
                <w:color w:val="auto"/>
              </w:rPr>
              <w:t>Director</w:t>
            </w:r>
          </w:p>
        </w:tc>
        <w:tc>
          <w:tcPr>
            <w:tcW w:w="2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JeenJoo (JJ) Kang, Ph.D.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Deepak Srivastava,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Catherine Stehman-Breen,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Jeffrey T. Walsh</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77"/>
        </w:trPr>
        <w:tc>
          <w:tcPr>
            <w:tcW w:w="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6"/>
                <w:szCs w:val="16"/>
                <w:color w:val="auto"/>
              </w:rPr>
              <w:t>Director</w:t>
            </w:r>
          </w:p>
        </w:tc>
        <w:tc>
          <w:tcPr>
            <w:tcW w:w="3240" w:type="dxa"/>
            <w:vAlign w:val="bottom"/>
            <w:gridSpan w:val="3"/>
          </w:tcPr>
          <w:p>
            <w:pPr>
              <w:jc w:val="right"/>
              <w:spacing w:after="0"/>
              <w:rPr>
                <w:sz w:val="20"/>
                <w:szCs w:val="20"/>
                <w:color w:val="auto"/>
              </w:rPr>
            </w:pPr>
            <w:r>
              <w:rPr>
                <w:rFonts w:ascii="Arial" w:cs="Arial" w:eastAsia="Arial" w:hAnsi="Arial"/>
                <w:sz w:val="16"/>
                <w:szCs w:val="16"/>
                <w:color w:val="auto"/>
              </w:rPr>
              <w:t>, 2021</w:t>
            </w:r>
          </w:p>
        </w:tc>
      </w:tr>
      <w:tr>
        <w:trPr>
          <w:trHeight w:val="193"/>
        </w:trPr>
        <w:tc>
          <w:tcPr>
            <w:tcW w:w="20" w:type="dxa"/>
            <w:vAlign w:val="bottom"/>
          </w:tcPr>
          <w:p>
            <w:pPr>
              <w:spacing w:after="0"/>
              <w:rPr>
                <w:sz w:val="16"/>
                <w:szCs w:val="16"/>
                <w:color w:val="auto"/>
              </w:rPr>
            </w:pPr>
          </w:p>
        </w:tc>
        <w:tc>
          <w:tcPr>
            <w:tcW w:w="3640" w:type="dxa"/>
            <w:vAlign w:val="bottom"/>
            <w:gridSpan w:val="3"/>
          </w:tcPr>
          <w:p>
            <w:pPr>
              <w:spacing w:after="0"/>
              <w:rPr>
                <w:sz w:val="20"/>
                <w:szCs w:val="20"/>
                <w:color w:val="auto"/>
              </w:rPr>
            </w:pPr>
            <w:r>
              <w:rPr>
                <w:rFonts w:ascii="Arial" w:cs="Arial" w:eastAsia="Arial" w:hAnsi="Arial"/>
                <w:sz w:val="16"/>
                <w:szCs w:val="16"/>
                <w:color w:val="auto"/>
              </w:rPr>
              <w:t>R. Sanders (Sandy) Williams, M.D.</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r>
    </w:tbl>
    <w:p>
      <w:pPr>
        <w:spacing w:after="0" w:line="118"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II-7</w:t>
      </w:r>
    </w:p>
    <w:p>
      <w:pPr>
        <w:sectPr>
          <w:pgSz w:w="11900" w:h="16838" w:orient="portrait"/>
          <w:cols w:equalWidth="0" w:num="1">
            <w:col w:w="10139"/>
          </w:cols>
          <w:pgMar w:left="320" w:top="418" w:right="1440" w:bottom="1440" w:gutter="0" w:footer="0" w:header="0"/>
        </w:sectPr>
      </w:pPr>
    </w:p>
    <w:bookmarkStart w:id="303" w:name="page304"/>
    <w:bookmarkEnd w:id="303"/>
    <w:p>
      <w:pPr>
        <w:jc w:val="right"/>
        <w:spacing w:after="0"/>
        <w:rPr>
          <w:sz w:val="20"/>
          <w:szCs w:val="20"/>
          <w:color w:val="auto"/>
        </w:rPr>
      </w:pPr>
      <w:r>
        <w:rPr>
          <w:rFonts w:ascii="Arial" w:cs="Arial" w:eastAsia="Arial" w:hAnsi="Arial"/>
          <w:sz w:val="16"/>
          <w:szCs w:val="16"/>
          <w:b w:val="1"/>
          <w:bCs w:val="1"/>
          <w:color w:val="auto"/>
        </w:rPr>
        <w:t>Exhibit 10.2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TENAYA THERAPEUTICS, INC.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2016 EQUITY INCENTIVE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RIGINAL</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O</w:t>
      </w:r>
      <w:r>
        <w:rPr>
          <w:rFonts w:ascii="Arial" w:cs="Arial" w:eastAsia="Arial" w:hAnsi="Arial"/>
          <w:sz w:val="13"/>
          <w:szCs w:val="13"/>
          <w:color w:val="auto"/>
        </w:rPr>
        <w:t>CTOBER</w:t>
      </w:r>
      <w:r>
        <w:rPr>
          <w:rFonts w:ascii="Arial" w:cs="Arial" w:eastAsia="Arial" w:hAnsi="Arial"/>
          <w:sz w:val="16"/>
          <w:szCs w:val="16"/>
          <w:color w:val="auto"/>
        </w:rPr>
        <w:t xml:space="preserve"> 2, 2016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w:t>
      </w:r>
      <w:r>
        <w:rPr>
          <w:rFonts w:ascii="Arial" w:cs="Arial" w:eastAsia="Arial" w:hAnsi="Arial"/>
          <w:sz w:val="13"/>
          <w:szCs w:val="13"/>
          <w:color w:val="auto"/>
        </w:rPr>
        <w:t>RIGINAL</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PPROVED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O</w:t>
      </w:r>
      <w:r>
        <w:rPr>
          <w:rFonts w:ascii="Arial" w:cs="Arial" w:eastAsia="Arial" w:hAnsi="Arial"/>
          <w:sz w:val="13"/>
          <w:szCs w:val="13"/>
          <w:color w:val="auto"/>
        </w:rPr>
        <w:t>CTOBER</w:t>
      </w:r>
      <w:r>
        <w:rPr>
          <w:rFonts w:ascii="Arial" w:cs="Arial" w:eastAsia="Arial" w:hAnsi="Arial"/>
          <w:sz w:val="16"/>
          <w:szCs w:val="16"/>
          <w:color w:val="auto"/>
        </w:rPr>
        <w:t xml:space="preserve"> 12, 2016</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A</w:t>
      </w:r>
      <w:r>
        <w:rPr>
          <w:rFonts w:ascii="Arial" w:cs="Arial" w:eastAsia="Arial" w:hAnsi="Arial"/>
          <w:sz w:val="13"/>
          <w:szCs w:val="13"/>
          <w:color w:val="auto"/>
        </w:rPr>
        <w:t>UGUST</w:t>
      </w:r>
      <w:r>
        <w:rPr>
          <w:rFonts w:ascii="Arial" w:cs="Arial" w:eastAsia="Arial" w:hAnsi="Arial"/>
          <w:sz w:val="16"/>
          <w:szCs w:val="16"/>
          <w:color w:val="auto"/>
        </w:rPr>
        <w:t xml:space="preserve"> 28, 2019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A</w:t>
      </w:r>
      <w:r>
        <w:rPr>
          <w:rFonts w:ascii="Arial" w:cs="Arial" w:eastAsia="Arial" w:hAnsi="Arial"/>
          <w:sz w:val="13"/>
          <w:szCs w:val="13"/>
          <w:color w:val="auto"/>
        </w:rPr>
        <w:t>UGUST</w:t>
      </w:r>
      <w:r>
        <w:rPr>
          <w:rFonts w:ascii="Arial" w:cs="Arial" w:eastAsia="Arial" w:hAnsi="Arial"/>
          <w:sz w:val="16"/>
          <w:szCs w:val="16"/>
          <w:color w:val="auto"/>
        </w:rPr>
        <w:t xml:space="preserve"> 28, 2019</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D</w:t>
      </w:r>
      <w:r>
        <w:rPr>
          <w:rFonts w:ascii="Arial" w:cs="Arial" w:eastAsia="Arial" w:hAnsi="Arial"/>
          <w:sz w:val="13"/>
          <w:szCs w:val="13"/>
          <w:color w:val="auto"/>
        </w:rPr>
        <w:t>ECEMBER</w:t>
      </w:r>
      <w:r>
        <w:rPr>
          <w:rFonts w:ascii="Arial" w:cs="Arial" w:eastAsia="Arial" w:hAnsi="Arial"/>
          <w:sz w:val="16"/>
          <w:szCs w:val="16"/>
          <w:color w:val="auto"/>
        </w:rPr>
        <w:t xml:space="preserve"> 15, 2020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S</w:t>
      </w:r>
      <w:r>
        <w:rPr>
          <w:rFonts w:ascii="Arial" w:cs="Arial" w:eastAsia="Arial" w:hAnsi="Arial"/>
          <w:sz w:val="13"/>
          <w:szCs w:val="13"/>
          <w:color w:val="auto"/>
        </w:rPr>
        <w:t>TOCKHOLDERS</w:t>
      </w:r>
      <w:r>
        <w:rPr>
          <w:rFonts w:ascii="Arial" w:cs="Arial" w:eastAsia="Arial" w:hAnsi="Arial"/>
          <w:sz w:val="16"/>
          <w:szCs w:val="16"/>
          <w:color w:val="auto"/>
        </w:rPr>
        <w:t>: D</w:t>
      </w:r>
      <w:r>
        <w:rPr>
          <w:rFonts w:ascii="Arial" w:cs="Arial" w:eastAsia="Arial" w:hAnsi="Arial"/>
          <w:sz w:val="13"/>
          <w:szCs w:val="13"/>
          <w:color w:val="auto"/>
        </w:rPr>
        <w:t>ECEMBER</w:t>
      </w:r>
      <w:r>
        <w:rPr>
          <w:rFonts w:ascii="Arial" w:cs="Arial" w:eastAsia="Arial" w:hAnsi="Arial"/>
          <w:sz w:val="16"/>
          <w:szCs w:val="16"/>
          <w:color w:val="auto"/>
        </w:rPr>
        <w:t xml:space="preserve"> 15, 2020</w:t>
      </w:r>
    </w:p>
    <w:p>
      <w:pPr>
        <w:jc w:val="center"/>
        <w:spacing w:after="0"/>
        <w:rPr>
          <w:sz w:val="20"/>
          <w:szCs w:val="20"/>
          <w:color w:val="auto"/>
        </w:rPr>
      </w:pPr>
      <w:r>
        <w:rPr>
          <w:rFonts w:ascii="Arial" w:cs="Arial" w:eastAsia="Arial" w:hAnsi="Arial"/>
          <w:sz w:val="16"/>
          <w:szCs w:val="16"/>
          <w:color w:val="auto"/>
        </w:rPr>
        <w:t>A</w:t>
      </w:r>
      <w:r>
        <w:rPr>
          <w:rFonts w:ascii="Arial" w:cs="Arial" w:eastAsia="Arial" w:hAnsi="Arial"/>
          <w:sz w:val="13"/>
          <w:szCs w:val="13"/>
          <w:color w:val="auto"/>
        </w:rPr>
        <w:t>MENDED AND</w:t>
      </w:r>
      <w:r>
        <w:rPr>
          <w:rFonts w:ascii="Arial" w:cs="Arial" w:eastAsia="Arial" w:hAnsi="Arial"/>
          <w:sz w:val="16"/>
          <w:szCs w:val="16"/>
          <w:color w:val="auto"/>
        </w:rPr>
        <w:t xml:space="preserve"> R</w:t>
      </w:r>
      <w:r>
        <w:rPr>
          <w:rFonts w:ascii="Arial" w:cs="Arial" w:eastAsia="Arial" w:hAnsi="Arial"/>
          <w:sz w:val="13"/>
          <w:szCs w:val="13"/>
          <w:color w:val="auto"/>
        </w:rPr>
        <w:t>ESTATED</w:t>
      </w:r>
      <w:r>
        <w:rPr>
          <w:rFonts w:ascii="Arial" w:cs="Arial" w:eastAsia="Arial" w:hAnsi="Arial"/>
          <w:sz w:val="16"/>
          <w:szCs w:val="16"/>
          <w:color w:val="auto"/>
        </w:rPr>
        <w:t xml:space="preserve"> P</w:t>
      </w:r>
      <w:r>
        <w:rPr>
          <w:rFonts w:ascii="Arial" w:cs="Arial" w:eastAsia="Arial" w:hAnsi="Arial"/>
          <w:sz w:val="13"/>
          <w:szCs w:val="13"/>
          <w:color w:val="auto"/>
        </w:rPr>
        <w:t>LAN</w:t>
      </w:r>
      <w:r>
        <w:rPr>
          <w:rFonts w:ascii="Arial" w:cs="Arial" w:eastAsia="Arial" w:hAnsi="Arial"/>
          <w:sz w:val="16"/>
          <w:szCs w:val="16"/>
          <w:color w:val="auto"/>
        </w:rPr>
        <w:t xml:space="preserve"> A</w:t>
      </w:r>
      <w:r>
        <w:rPr>
          <w:rFonts w:ascii="Arial" w:cs="Arial" w:eastAsia="Arial" w:hAnsi="Arial"/>
          <w:sz w:val="13"/>
          <w:szCs w:val="13"/>
          <w:color w:val="auto"/>
        </w:rPr>
        <w:t>DOPTED BY THE</w:t>
      </w:r>
      <w:r>
        <w:rPr>
          <w:rFonts w:ascii="Arial" w:cs="Arial" w:eastAsia="Arial" w:hAnsi="Arial"/>
          <w:sz w:val="16"/>
          <w:szCs w:val="16"/>
          <w:color w:val="auto"/>
        </w:rPr>
        <w:t xml:space="preserve"> B</w:t>
      </w:r>
      <w:r>
        <w:rPr>
          <w:rFonts w:ascii="Arial" w:cs="Arial" w:eastAsia="Arial" w:hAnsi="Arial"/>
          <w:sz w:val="13"/>
          <w:szCs w:val="13"/>
          <w:color w:val="auto"/>
        </w:rPr>
        <w:t>OARD OF</w:t>
      </w:r>
      <w:r>
        <w:rPr>
          <w:rFonts w:ascii="Arial" w:cs="Arial" w:eastAsia="Arial" w:hAnsi="Arial"/>
          <w:sz w:val="16"/>
          <w:szCs w:val="16"/>
          <w:color w:val="auto"/>
        </w:rPr>
        <w:t xml:space="preserve"> D</w:t>
      </w:r>
      <w:r>
        <w:rPr>
          <w:rFonts w:ascii="Arial" w:cs="Arial" w:eastAsia="Arial" w:hAnsi="Arial"/>
          <w:sz w:val="13"/>
          <w:szCs w:val="13"/>
          <w:color w:val="auto"/>
        </w:rPr>
        <w:t>IRECTORS</w:t>
      </w:r>
      <w:r>
        <w:rPr>
          <w:rFonts w:ascii="Arial" w:cs="Arial" w:eastAsia="Arial" w:hAnsi="Arial"/>
          <w:sz w:val="16"/>
          <w:szCs w:val="16"/>
          <w:color w:val="auto"/>
        </w:rPr>
        <w:t>: F</w:t>
      </w:r>
      <w:r>
        <w:rPr>
          <w:rFonts w:ascii="Arial" w:cs="Arial" w:eastAsia="Arial" w:hAnsi="Arial"/>
          <w:sz w:val="13"/>
          <w:szCs w:val="13"/>
          <w:color w:val="auto"/>
        </w:rPr>
        <w:t>EBRUARY</w:t>
      </w:r>
      <w:r>
        <w:rPr>
          <w:rFonts w:ascii="Arial" w:cs="Arial" w:eastAsia="Arial" w:hAnsi="Arial"/>
          <w:sz w:val="16"/>
          <w:szCs w:val="16"/>
          <w:color w:val="auto"/>
        </w:rPr>
        <w:t xml:space="preserve"> 27. 2021</w:t>
      </w:r>
    </w:p>
    <w:p>
      <w:pPr>
        <w:spacing w:after="0" w:line="182" w:lineRule="exact"/>
        <w:rPr>
          <w:sz w:val="20"/>
          <w:szCs w:val="20"/>
          <w:color w:val="auto"/>
        </w:rPr>
      </w:pPr>
    </w:p>
    <w:p>
      <w:pPr>
        <w:ind w:left="540" w:hanging="162"/>
        <w:spacing w:after="0"/>
        <w:tabs>
          <w:tab w:leader="none" w:pos="54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Purposes of the Plan</w:t>
      </w:r>
      <w:r>
        <w:rPr>
          <w:rFonts w:ascii="Arial" w:cs="Arial" w:eastAsia="Arial" w:hAnsi="Arial"/>
          <w:sz w:val="16"/>
          <w:szCs w:val="16"/>
          <w:color w:val="auto"/>
        </w:rPr>
        <w:t>. The purposes of this Plan are:</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attract and retain the best available personnel for positions of substantial responsibility,</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provide additional incentive to Employees, Directors and Consultants, and</w:t>
      </w:r>
    </w:p>
    <w:p>
      <w:pPr>
        <w:spacing w:after="0" w:line="110" w:lineRule="exact"/>
        <w:rPr>
          <w:rFonts w:ascii="Arial" w:cs="Arial" w:eastAsia="Arial" w:hAnsi="Arial"/>
          <w:sz w:val="16"/>
          <w:szCs w:val="16"/>
          <w:color w:val="auto"/>
        </w:rPr>
      </w:pPr>
    </w:p>
    <w:p>
      <w:pPr>
        <w:ind w:left="1240" w:hanging="386"/>
        <w:spacing w:after="0"/>
        <w:tabs>
          <w:tab w:leader="none" w:pos="124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promote the success of the Company’s business.</w:t>
      </w:r>
    </w:p>
    <w:p>
      <w:pPr>
        <w:spacing w:after="0" w:line="193" w:lineRule="exact"/>
        <w:rPr>
          <w:sz w:val="20"/>
          <w:szCs w:val="20"/>
          <w:color w:val="auto"/>
        </w:rPr>
      </w:pPr>
    </w:p>
    <w:p>
      <w:pPr>
        <w:ind w:right="400" w:firstLine="866"/>
        <w:spacing w:after="0" w:line="266" w:lineRule="auto"/>
        <w:rPr>
          <w:sz w:val="20"/>
          <w:szCs w:val="20"/>
          <w:color w:val="auto"/>
        </w:rPr>
      </w:pPr>
      <w:r>
        <w:rPr>
          <w:rFonts w:ascii="Arial" w:cs="Arial" w:eastAsia="Arial" w:hAnsi="Arial"/>
          <w:sz w:val="16"/>
          <w:szCs w:val="16"/>
          <w:color w:val="auto"/>
        </w:rPr>
        <w:t>The Plan permits the grant of Incentive Stock Options, Nonstatutory Stock Options, Stock Appreciation Rights, Restricted Stock and Restricted Stock Units.</w:t>
      </w:r>
    </w:p>
    <w:p>
      <w:pPr>
        <w:spacing w:after="0" w:line="158" w:lineRule="exact"/>
        <w:rPr>
          <w:sz w:val="20"/>
          <w:szCs w:val="20"/>
          <w:color w:val="auto"/>
        </w:rPr>
      </w:pPr>
    </w:p>
    <w:p>
      <w:pPr>
        <w:ind w:left="540" w:hanging="162"/>
        <w:spacing w:after="0"/>
        <w:tabs>
          <w:tab w:leader="none" w:pos="540"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As used herein, the following definitions will apply:</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16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Administrator</w:t>
      </w:r>
      <w:r>
        <w:rPr>
          <w:rFonts w:ascii="Arial" w:cs="Arial" w:eastAsia="Arial" w:hAnsi="Arial"/>
          <w:sz w:val="13"/>
          <w:szCs w:val="13"/>
          <w:color w:val="auto"/>
        </w:rPr>
        <w:t>” means the Board or any of its Committees as will be administering the Plan, in accordance with Section 4 of the Plan.</w:t>
      </w:r>
    </w:p>
    <w:p>
      <w:pPr>
        <w:spacing w:after="0" w:line="227"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65" w:lineRule="exact"/>
        <w:rPr>
          <w:rFonts w:ascii="Arial" w:cs="Arial" w:eastAsia="Arial" w:hAnsi="Arial"/>
          <w:sz w:val="16"/>
          <w:szCs w:val="16"/>
          <w:color w:val="auto"/>
        </w:rPr>
      </w:pPr>
    </w:p>
    <w:p>
      <w:pPr>
        <w:ind w:right="560" w:firstLine="860"/>
        <w:spacing w:after="0" w:line="266" w:lineRule="auto"/>
        <w:tabs>
          <w:tab w:leader="none" w:pos="1079"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individually or collectively, a grant under the Plan of Options, Stock Appreciation Rights, Restricted Stock, or Restricted Stock Units.</w:t>
      </w:r>
    </w:p>
    <w:p>
      <w:pPr>
        <w:spacing w:after="0" w:line="158" w:lineRule="exact"/>
        <w:rPr>
          <w:rFonts w:ascii="Arial" w:cs="Arial" w:eastAsia="Arial" w:hAnsi="Arial"/>
          <w:sz w:val="16"/>
          <w:szCs w:val="16"/>
          <w:color w:val="auto"/>
        </w:rPr>
      </w:pPr>
    </w:p>
    <w:p>
      <w:pPr>
        <w:ind w:right="40" w:firstLine="860"/>
        <w:spacing w:after="0" w:line="266" w:lineRule="auto"/>
        <w:tabs>
          <w:tab w:leader="none" w:pos="1088"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93" w:lineRule="exact"/>
        <w:rPr>
          <w:rFonts w:ascii="Arial" w:cs="Arial" w:eastAsia="Arial" w:hAnsi="Arial"/>
          <w:sz w:val="16"/>
          <w:szCs w:val="16"/>
          <w:color w:val="auto"/>
        </w:rPr>
      </w:pPr>
    </w:p>
    <w:p>
      <w:pPr>
        <w:ind w:left="1060" w:hanging="200"/>
        <w:spacing w:after="0"/>
        <w:tabs>
          <w:tab w:leader="none" w:pos="106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the occurrence of any of the following events:</w:t>
      </w:r>
    </w:p>
    <w:p>
      <w:pPr>
        <w:spacing w:after="0" w:line="193" w:lineRule="exact"/>
        <w:rPr>
          <w:rFonts w:ascii="Arial" w:cs="Arial" w:eastAsia="Arial" w:hAnsi="Arial"/>
          <w:sz w:val="16"/>
          <w:szCs w:val="16"/>
          <w:color w:val="auto"/>
        </w:rPr>
      </w:pPr>
    </w:p>
    <w:p>
      <w:pPr>
        <w:ind w:left="1440" w:hanging="196"/>
        <w:spacing w:after="0"/>
        <w:tabs>
          <w:tab w:leader="none" w:pos="1440" w:val="left"/>
        </w:tabs>
        <w:numPr>
          <w:ilvl w:val="2"/>
          <w:numId w:val="167"/>
        </w:numPr>
        <w:rPr>
          <w:rFonts w:ascii="Arial" w:cs="Arial" w:eastAsia="Arial" w:hAnsi="Arial"/>
          <w:sz w:val="16"/>
          <w:szCs w:val="16"/>
          <w:color w:val="auto"/>
        </w:rPr>
      </w:pPr>
      <w:r>
        <w:rPr>
          <w:rFonts w:ascii="Arial" w:cs="Arial" w:eastAsia="Arial" w:hAnsi="Arial"/>
          <w:sz w:val="16"/>
          <w:szCs w:val="16"/>
          <w:u w:val="single" w:color="auto"/>
          <w:color w:val="auto"/>
        </w:rPr>
        <w:t>Change in Ownership of the Company</w:t>
      </w:r>
      <w:r>
        <w:rPr>
          <w:rFonts w:ascii="Arial" w:cs="Arial" w:eastAsia="Arial" w:hAnsi="Arial"/>
          <w:sz w:val="16"/>
          <w:szCs w:val="16"/>
          <w:color w:val="auto"/>
        </w:rPr>
        <w:t>. A change in the ownership of</w:t>
      </w:r>
    </w:p>
    <w:p>
      <w:pPr>
        <w:sectPr>
          <w:pgSz w:w="11900" w:h="16838" w:orient="portrait"/>
          <w:cols w:equalWidth="0" w:num="1">
            <w:col w:w="9620"/>
          </w:cols>
          <w:pgMar w:left="1140" w:top="123" w:right="1139" w:bottom="1440" w:gutter="0" w:footer="0" w:header="0"/>
        </w:sectPr>
      </w:pPr>
    </w:p>
    <w:bookmarkStart w:id="304" w:name="page305"/>
    <w:bookmarkEnd w:id="304"/>
    <w:p>
      <w:pPr>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67" w:lineRule="exact"/>
        <w:rPr>
          <w:sz w:val="20"/>
          <w:szCs w:val="20"/>
          <w:color w:val="auto"/>
        </w:rPr>
      </w:pPr>
    </w:p>
    <w:p>
      <w:pPr>
        <w:ind w:right="20" w:firstLine="1244"/>
        <w:spacing w:after="0" w:line="272" w:lineRule="auto"/>
        <w:tabs>
          <w:tab w:leader="none" w:pos="1482"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Change in Effective Control of the Company</w:t>
      </w:r>
      <w:r>
        <w:rPr>
          <w:rFonts w:ascii="Arial" w:cs="Arial" w:eastAsia="Arial" w:hAnsi="Arial"/>
          <w:sz w:val="15"/>
          <w:szCs w:val="15"/>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54" w:lineRule="exact"/>
        <w:rPr>
          <w:rFonts w:ascii="Arial" w:cs="Arial" w:eastAsia="Arial" w:hAnsi="Arial"/>
          <w:sz w:val="15"/>
          <w:szCs w:val="15"/>
          <w:color w:val="auto"/>
        </w:rPr>
      </w:pPr>
    </w:p>
    <w:p>
      <w:pPr>
        <w:ind w:firstLine="1244"/>
        <w:spacing w:after="0" w:line="250" w:lineRule="auto"/>
        <w:tabs>
          <w:tab w:leader="none" w:pos="1525"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Change in Ownership of a Substantial Portion of the Company’s Assets</w:t>
      </w:r>
      <w:r>
        <w:rPr>
          <w:rFonts w:ascii="Arial" w:cs="Arial" w:eastAsia="Arial" w:hAnsi="Arial"/>
          <w:sz w:val="16"/>
          <w:szCs w:val="16"/>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71" w:lineRule="exact"/>
        <w:rPr>
          <w:sz w:val="20"/>
          <w:szCs w:val="20"/>
          <w:color w:val="auto"/>
        </w:rPr>
      </w:pPr>
    </w:p>
    <w:p>
      <w:pPr>
        <w:ind w:right="200" w:firstLine="1251"/>
        <w:spacing w:after="0" w:line="300" w:lineRule="auto"/>
        <w:rPr>
          <w:sz w:val="20"/>
          <w:szCs w:val="20"/>
          <w:color w:val="auto"/>
        </w:rPr>
      </w:pPr>
      <w:r>
        <w:rPr>
          <w:rFonts w:ascii="Arial" w:cs="Arial" w:eastAsia="Arial" w:hAnsi="Arial"/>
          <w:sz w:val="15"/>
          <w:szCs w:val="15"/>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35" w:lineRule="exact"/>
        <w:rPr>
          <w:sz w:val="20"/>
          <w:szCs w:val="20"/>
          <w:color w:val="auto"/>
        </w:rPr>
      </w:pPr>
    </w:p>
    <w:p>
      <w:pPr>
        <w:ind w:right="100" w:firstLine="1251"/>
        <w:spacing w:after="0" w:line="343" w:lineRule="auto"/>
        <w:rPr>
          <w:sz w:val="20"/>
          <w:szCs w:val="20"/>
          <w:color w:val="auto"/>
        </w:rPr>
      </w:pPr>
      <w:r>
        <w:rPr>
          <w:rFonts w:ascii="Arial" w:cs="Arial" w:eastAsia="Arial" w:hAnsi="Arial"/>
          <w:sz w:val="13"/>
          <w:szCs w:val="13"/>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14" w:lineRule="exact"/>
        <w:rPr>
          <w:sz w:val="20"/>
          <w:szCs w:val="20"/>
          <w:color w:val="auto"/>
        </w:rPr>
      </w:pPr>
    </w:p>
    <w:p>
      <w:pPr>
        <w:ind w:right="160" w:firstLine="1251"/>
        <w:spacing w:after="0" w:line="256" w:lineRule="auto"/>
        <w:rPr>
          <w:sz w:val="20"/>
          <w:szCs w:val="20"/>
          <w:color w:val="auto"/>
        </w:rPr>
      </w:pPr>
      <w:r>
        <w:rPr>
          <w:rFonts w:ascii="Arial" w:cs="Arial" w:eastAsia="Arial" w:hAnsi="Arial"/>
          <w:sz w:val="16"/>
          <w:szCs w:val="16"/>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66" w:lineRule="exact"/>
        <w:rPr>
          <w:sz w:val="20"/>
          <w:szCs w:val="20"/>
          <w:color w:val="auto"/>
        </w:rPr>
      </w:pPr>
    </w:p>
    <w:p>
      <w:pPr>
        <w:ind w:right="240" w:firstLine="860"/>
        <w:spacing w:after="0" w:line="266" w:lineRule="auto"/>
        <w:tabs>
          <w:tab w:leader="none" w:pos="108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Any reference to a section of the Code herein will be a reference to any successor or amended section of the Code.</w:t>
      </w:r>
    </w:p>
    <w:p>
      <w:pPr>
        <w:sectPr>
          <w:pgSz w:w="11900" w:h="16838" w:orient="portrait"/>
          <w:cols w:equalWidth="0" w:num="1">
            <w:col w:w="9600"/>
          </w:cols>
          <w:pgMar w:left="1140" w:top="256" w:right="1159" w:bottom="1440" w:gutter="0" w:footer="0" w:header="0"/>
        </w:sectPr>
      </w:pPr>
    </w:p>
    <w:bookmarkStart w:id="305" w:name="page306"/>
    <w:bookmarkEnd w:id="305"/>
    <w:p>
      <w:pPr>
        <w:ind w:left="-300" w:right="260" w:firstLine="860"/>
        <w:spacing w:after="0" w:line="266" w:lineRule="auto"/>
        <w:tabs>
          <w:tab w:leader="none" w:pos="7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or of other individuals satisfying Applicable Laws appointed by the Board, or by the compensation committee of the Board, in accordance with Section 4 hereof.</w:t>
      </w:r>
    </w:p>
    <w:p>
      <w:pPr>
        <w:spacing w:after="0" w:line="158" w:lineRule="exact"/>
        <w:rPr>
          <w:rFonts w:ascii="Arial" w:cs="Arial" w:eastAsia="Arial" w:hAnsi="Arial"/>
          <w:sz w:val="16"/>
          <w:szCs w:val="16"/>
          <w:color w:val="auto"/>
        </w:rPr>
      </w:pPr>
    </w:p>
    <w:p>
      <w:pPr>
        <w:ind w:left="740" w:hanging="180"/>
        <w:spacing w:after="0"/>
        <w:tabs>
          <w:tab w:leader="none" w:pos="7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w:t>
      </w:r>
    </w:p>
    <w:p>
      <w:pPr>
        <w:spacing w:after="0" w:line="193" w:lineRule="exact"/>
        <w:rPr>
          <w:rFonts w:ascii="Arial" w:cs="Arial" w:eastAsia="Arial" w:hAnsi="Arial"/>
          <w:sz w:val="16"/>
          <w:szCs w:val="16"/>
          <w:color w:val="auto"/>
        </w:rPr>
      </w:pPr>
    </w:p>
    <w:p>
      <w:pPr>
        <w:ind w:left="740" w:hanging="180"/>
        <w:spacing w:after="0"/>
        <w:tabs>
          <w:tab w:leader="none" w:pos="7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Tenaya Therapeutics, Inc., a Delaware corporation, or any successor thereto.</w:t>
      </w:r>
    </w:p>
    <w:p>
      <w:pPr>
        <w:spacing w:after="0" w:line="193" w:lineRule="exact"/>
        <w:rPr>
          <w:rFonts w:ascii="Arial" w:cs="Arial" w:eastAsia="Arial" w:hAnsi="Arial"/>
          <w:sz w:val="16"/>
          <w:szCs w:val="16"/>
          <w:color w:val="auto"/>
        </w:rPr>
      </w:pPr>
    </w:p>
    <w:p>
      <w:pPr>
        <w:jc w:val="both"/>
        <w:ind w:left="-300" w:right="160" w:firstLine="860"/>
        <w:spacing w:after="0" w:line="256" w:lineRule="auto"/>
        <w:tabs>
          <w:tab w:leader="none" w:pos="7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w:t>
      </w:r>
    </w:p>
    <w:p>
      <w:pPr>
        <w:spacing w:after="0" w:line="165" w:lineRule="exact"/>
        <w:rPr>
          <w:rFonts w:ascii="Arial" w:cs="Arial" w:eastAsia="Arial" w:hAnsi="Arial"/>
          <w:sz w:val="16"/>
          <w:szCs w:val="16"/>
          <w:color w:val="auto"/>
        </w:rPr>
      </w:pPr>
    </w:p>
    <w:p>
      <w:pPr>
        <w:ind w:left="740" w:hanging="180"/>
        <w:spacing w:after="0"/>
        <w:tabs>
          <w:tab w:leader="none" w:pos="7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193" w:lineRule="exact"/>
        <w:rPr>
          <w:rFonts w:ascii="Arial" w:cs="Arial" w:eastAsia="Arial" w:hAnsi="Arial"/>
          <w:sz w:val="16"/>
          <w:szCs w:val="16"/>
          <w:color w:val="auto"/>
        </w:rPr>
      </w:pPr>
    </w:p>
    <w:p>
      <w:pPr>
        <w:jc w:val="both"/>
        <w:ind w:left="-300" w:right="100" w:firstLine="860"/>
        <w:spacing w:after="0" w:line="256" w:lineRule="auto"/>
        <w:tabs>
          <w:tab w:leader="none" w:pos="832"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65" w:lineRule="exact"/>
        <w:rPr>
          <w:rFonts w:ascii="Arial" w:cs="Arial" w:eastAsia="Arial" w:hAnsi="Arial"/>
          <w:sz w:val="16"/>
          <w:szCs w:val="16"/>
          <w:color w:val="auto"/>
        </w:rPr>
      </w:pPr>
    </w:p>
    <w:p>
      <w:pPr>
        <w:ind w:left="-300" w:right="60" w:firstLine="860"/>
        <w:spacing w:after="0" w:line="383" w:lineRule="auto"/>
        <w:tabs>
          <w:tab w:leader="none" w:pos="788" w:val="left"/>
        </w:tabs>
        <w:numPr>
          <w:ilvl w:val="0"/>
          <w:numId w:val="17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Employee</w:t>
      </w:r>
      <w:r>
        <w:rPr>
          <w:rFonts w:ascii="Arial" w:cs="Arial" w:eastAsia="Arial" w:hAnsi="Arial"/>
          <w:sz w:val="13"/>
          <w:szCs w:val="13"/>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8" w:lineRule="exact"/>
        <w:rPr>
          <w:rFonts w:ascii="Arial" w:cs="Arial" w:eastAsia="Arial" w:hAnsi="Arial"/>
          <w:sz w:val="13"/>
          <w:szCs w:val="13"/>
          <w:color w:val="auto"/>
        </w:rPr>
      </w:pPr>
    </w:p>
    <w:p>
      <w:pPr>
        <w:ind w:left="780" w:hanging="220"/>
        <w:spacing w:after="0"/>
        <w:tabs>
          <w:tab w:leader="none" w:pos="7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3" w:lineRule="exact"/>
        <w:rPr>
          <w:rFonts w:ascii="Arial" w:cs="Arial" w:eastAsia="Arial" w:hAnsi="Arial"/>
          <w:sz w:val="16"/>
          <w:szCs w:val="16"/>
          <w:color w:val="auto"/>
        </w:rPr>
      </w:pPr>
    </w:p>
    <w:p>
      <w:pPr>
        <w:jc w:val="both"/>
        <w:ind w:left="-300" w:firstLine="860"/>
        <w:spacing w:after="0" w:line="251" w:lineRule="auto"/>
        <w:tabs>
          <w:tab w:leader="none" w:pos="7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Program</w:t>
      </w:r>
      <w:r>
        <w:rPr>
          <w:rFonts w:ascii="Arial" w:cs="Arial" w:eastAsia="Arial" w:hAnsi="Arial"/>
          <w:sz w:val="16"/>
          <w:szCs w:val="16"/>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69" w:lineRule="exact"/>
        <w:rPr>
          <w:rFonts w:ascii="Arial" w:cs="Arial" w:eastAsia="Arial" w:hAnsi="Arial"/>
          <w:sz w:val="16"/>
          <w:szCs w:val="16"/>
          <w:color w:val="auto"/>
        </w:rPr>
      </w:pPr>
    </w:p>
    <w:p>
      <w:pPr>
        <w:ind w:left="780" w:hanging="220"/>
        <w:spacing w:after="0"/>
        <w:tabs>
          <w:tab w:leader="none" w:pos="7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as of any date, the value of Common Stock determined as follows:</w:t>
      </w:r>
    </w:p>
    <w:p>
      <w:pPr>
        <w:spacing w:after="0" w:line="193" w:lineRule="exact"/>
        <w:rPr>
          <w:rFonts w:ascii="Arial" w:cs="Arial" w:eastAsia="Arial" w:hAnsi="Arial"/>
          <w:sz w:val="16"/>
          <w:szCs w:val="16"/>
          <w:color w:val="auto"/>
        </w:rPr>
      </w:pPr>
    </w:p>
    <w:p>
      <w:pPr>
        <w:ind w:left="-300" w:right="120" w:firstLine="1244"/>
        <w:spacing w:after="0" w:line="275" w:lineRule="auto"/>
        <w:tabs>
          <w:tab w:leader="none" w:pos="1138" w:val="left"/>
        </w:tabs>
        <w:numPr>
          <w:ilvl w:val="1"/>
          <w:numId w:val="170"/>
        </w:numPr>
        <w:rPr>
          <w:rFonts w:ascii="Arial" w:cs="Arial" w:eastAsia="Arial" w:hAnsi="Arial"/>
          <w:sz w:val="15"/>
          <w:szCs w:val="15"/>
          <w:color w:val="auto"/>
        </w:rPr>
      </w:pPr>
      <w:r>
        <w:rPr>
          <w:rFonts w:ascii="Arial" w:cs="Arial" w:eastAsia="Arial" w:hAnsi="Arial"/>
          <w:sz w:val="15"/>
          <w:szCs w:val="15"/>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xml:space="preserve"> or such other source as the Administrator deems reliable;</w:t>
      </w:r>
    </w:p>
    <w:p>
      <w:pPr>
        <w:sectPr>
          <w:pgSz w:w="11900" w:h="16838" w:orient="portrait"/>
          <w:cols w:equalWidth="0" w:num="1">
            <w:col w:w="9280"/>
          </w:cols>
          <w:pgMar w:left="1440" w:top="256" w:right="1179" w:bottom="1440" w:gutter="0" w:footer="0" w:header="0"/>
        </w:sectPr>
      </w:pPr>
    </w:p>
    <w:bookmarkStart w:id="306" w:name="page307"/>
    <w:bookmarkEnd w:id="306"/>
    <w:p>
      <w:pPr>
        <w:ind w:right="60" w:firstLine="1244"/>
        <w:spacing w:after="0" w:line="253" w:lineRule="auto"/>
        <w:tabs>
          <w:tab w:leader="none" w:pos="1482" w:val="left"/>
        </w:tabs>
        <w:numPr>
          <w:ilvl w:val="1"/>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167" w:lineRule="exact"/>
        <w:rPr>
          <w:rFonts w:ascii="Arial" w:cs="Arial" w:eastAsia="Arial" w:hAnsi="Arial"/>
          <w:sz w:val="16"/>
          <w:szCs w:val="16"/>
          <w:color w:val="auto"/>
        </w:rPr>
      </w:pPr>
    </w:p>
    <w:p>
      <w:pPr>
        <w:ind w:left="1520" w:hanging="276"/>
        <w:spacing w:after="0"/>
        <w:tabs>
          <w:tab w:leader="none" w:pos="1520" w:val="left"/>
        </w:tabs>
        <w:numPr>
          <w:ilvl w:val="1"/>
          <w:numId w:val="171"/>
        </w:numPr>
        <w:rPr>
          <w:rFonts w:ascii="Arial" w:cs="Arial" w:eastAsia="Arial" w:hAnsi="Arial"/>
          <w:sz w:val="13"/>
          <w:szCs w:val="13"/>
          <w:color w:val="auto"/>
        </w:rPr>
      </w:pPr>
      <w:r>
        <w:rPr>
          <w:rFonts w:ascii="Arial" w:cs="Arial" w:eastAsia="Arial" w:hAnsi="Arial"/>
          <w:sz w:val="13"/>
          <w:szCs w:val="13"/>
          <w:color w:val="auto"/>
        </w:rPr>
        <w:t>In the absence of an established market for the Common Stock, the Fair Market Value will be determined in good faith by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Administrator.</w:t>
      </w:r>
    </w:p>
    <w:p>
      <w:pPr>
        <w:spacing w:after="0" w:line="181" w:lineRule="exact"/>
        <w:rPr>
          <w:rFonts w:ascii="Arial" w:cs="Arial" w:eastAsia="Arial" w:hAnsi="Arial"/>
          <w:sz w:val="13"/>
          <w:szCs w:val="13"/>
          <w:color w:val="auto"/>
        </w:rPr>
      </w:pPr>
    </w:p>
    <w:p>
      <w:pPr>
        <w:ind w:right="140" w:firstLine="860"/>
        <w:spacing w:after="0" w:line="266" w:lineRule="auto"/>
        <w:tabs>
          <w:tab w:leader="none" w:pos="106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that by its terms qualifies and is otherwise intended to qualify as an incentive stock option within the meaning of Code Section 422 and the regulations promulgated thereunder.</w:t>
      </w:r>
    </w:p>
    <w:p>
      <w:pPr>
        <w:spacing w:after="0" w:line="158" w:lineRule="exact"/>
        <w:rPr>
          <w:rFonts w:ascii="Arial" w:cs="Arial" w:eastAsia="Arial" w:hAnsi="Arial"/>
          <w:sz w:val="16"/>
          <w:szCs w:val="16"/>
          <w:color w:val="auto"/>
        </w:rPr>
      </w:pPr>
    </w:p>
    <w:p>
      <w:pPr>
        <w:ind w:left="1060" w:hanging="200"/>
        <w:spacing w:after="0"/>
        <w:tabs>
          <w:tab w:leader="none" w:pos="1060" w:val="left"/>
        </w:tabs>
        <w:numPr>
          <w:ilvl w:val="0"/>
          <w:numId w:val="1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Nonstatutory Stock Option</w:t>
      </w:r>
      <w:r>
        <w:rPr>
          <w:rFonts w:ascii="Arial" w:cs="Arial" w:eastAsia="Arial" w:hAnsi="Arial"/>
          <w:sz w:val="15"/>
          <w:szCs w:val="15"/>
          <w:color w:val="auto"/>
        </w:rPr>
        <w:t>” means an Option that by its terms does not qualify or is not intended to qualify as an Incentive Stock</w:t>
      </w:r>
    </w:p>
    <w:p>
      <w:pPr>
        <w:spacing w:after="0" w:line="2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Option.</w:t>
      </w:r>
    </w:p>
    <w:p>
      <w:pPr>
        <w:spacing w:after="0" w:line="181" w:lineRule="exact"/>
        <w:rPr>
          <w:rFonts w:ascii="Arial" w:cs="Arial" w:eastAsia="Arial" w:hAnsi="Arial"/>
          <w:sz w:val="15"/>
          <w:szCs w:val="15"/>
          <w:color w:val="auto"/>
        </w:rPr>
      </w:pPr>
    </w:p>
    <w:p>
      <w:pPr>
        <w:ind w:left="1040" w:hanging="180"/>
        <w:spacing w:after="0"/>
        <w:tabs>
          <w:tab w:leader="none" w:pos="10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 stock option granted pursuant to the Plan.</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the holder of an outstanding Award.</w:t>
      </w:r>
    </w:p>
    <w:p>
      <w:pPr>
        <w:spacing w:after="0" w:line="193" w:lineRule="exact"/>
        <w:rPr>
          <w:rFonts w:ascii="Arial" w:cs="Arial" w:eastAsia="Arial" w:hAnsi="Arial"/>
          <w:sz w:val="16"/>
          <w:szCs w:val="16"/>
          <w:color w:val="auto"/>
        </w:rPr>
      </w:pPr>
    </w:p>
    <w:p>
      <w:pPr>
        <w:ind w:firstLine="860"/>
        <w:spacing w:after="0" w:line="256" w:lineRule="auto"/>
        <w:tabs>
          <w:tab w:leader="none" w:pos="112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Period of Restriction</w:t>
      </w:r>
      <w:r>
        <w:rPr>
          <w:rFonts w:ascii="Arial" w:cs="Arial" w:eastAsia="Arial" w:hAnsi="Arial"/>
          <w:sz w:val="16"/>
          <w:szCs w:val="16"/>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65" w:lineRule="exact"/>
        <w:rPr>
          <w:rFonts w:ascii="Arial" w:cs="Arial" w:eastAsia="Arial" w:hAnsi="Arial"/>
          <w:sz w:val="16"/>
          <w:szCs w:val="16"/>
          <w:color w:val="auto"/>
        </w:rPr>
      </w:pPr>
    </w:p>
    <w:p>
      <w:pPr>
        <w:ind w:left="1080" w:hanging="220"/>
        <w:spacing w:after="0"/>
        <w:tabs>
          <w:tab w:leader="none" w:pos="10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2016 Equity Incentive Plan.</w:t>
      </w:r>
    </w:p>
    <w:p>
      <w:pPr>
        <w:spacing w:after="0" w:line="193" w:lineRule="exact"/>
        <w:rPr>
          <w:rFonts w:ascii="Arial" w:cs="Arial" w:eastAsia="Arial" w:hAnsi="Arial"/>
          <w:sz w:val="16"/>
          <w:szCs w:val="16"/>
          <w:color w:val="auto"/>
        </w:rPr>
      </w:pPr>
    </w:p>
    <w:p>
      <w:pPr>
        <w:ind w:right="20" w:firstLine="860"/>
        <w:spacing w:after="0" w:line="266" w:lineRule="auto"/>
        <w:tabs>
          <w:tab w:leader="none" w:pos="108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Stock</w:t>
      </w:r>
      <w:r>
        <w:rPr>
          <w:rFonts w:ascii="Arial" w:cs="Arial" w:eastAsia="Arial" w:hAnsi="Arial"/>
          <w:sz w:val="16"/>
          <w:szCs w:val="16"/>
          <w:color w:val="auto"/>
        </w:rPr>
        <w:t>” means Shares issued pursuant to an Award of Restricted Stock under Section 8 of the Plan, or issued pursuant to the early exercise of an Option.</w:t>
      </w:r>
    </w:p>
    <w:p>
      <w:pPr>
        <w:spacing w:after="0" w:line="158" w:lineRule="exact"/>
        <w:rPr>
          <w:rFonts w:ascii="Arial" w:cs="Arial" w:eastAsia="Arial" w:hAnsi="Arial"/>
          <w:sz w:val="16"/>
          <w:szCs w:val="16"/>
          <w:color w:val="auto"/>
        </w:rPr>
      </w:pPr>
    </w:p>
    <w:p>
      <w:pPr>
        <w:ind w:right="420" w:firstLine="860"/>
        <w:spacing w:after="0" w:line="300" w:lineRule="auto"/>
        <w:tabs>
          <w:tab w:leader="none" w:pos="1079" w:val="left"/>
        </w:tabs>
        <w:numPr>
          <w:ilvl w:val="0"/>
          <w:numId w:val="1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Restricted Stock Unit</w:t>
      </w:r>
      <w:r>
        <w:rPr>
          <w:rFonts w:ascii="Arial" w:cs="Arial" w:eastAsia="Arial" w:hAnsi="Arial"/>
          <w:sz w:val="15"/>
          <w:szCs w:val="15"/>
          <w:color w:val="auto"/>
        </w:rPr>
        <w:t>” means a bookkeeping entry representing an amount equal to the Fair Market Value of one Share, granted pursuant to Section 9. Each Restricted Stock Unit represents an unfunded and unsecured obligation of the Company.</w:t>
      </w:r>
    </w:p>
    <w:p>
      <w:pPr>
        <w:spacing w:after="0" w:line="135" w:lineRule="exact"/>
        <w:rPr>
          <w:sz w:val="20"/>
          <w:szCs w:val="20"/>
          <w:color w:val="auto"/>
        </w:rPr>
      </w:pPr>
    </w:p>
    <w:p>
      <w:pPr>
        <w:ind w:left="1140" w:hanging="280"/>
        <w:spacing w:after="0"/>
        <w:tabs>
          <w:tab w:leader="none" w:pos="114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Service Provider</w:t>
      </w:r>
      <w:r>
        <w:rPr>
          <w:rFonts w:ascii="Arial" w:cs="Arial" w:eastAsia="Arial" w:hAnsi="Arial"/>
          <w:sz w:val="15"/>
          <w:szCs w:val="15"/>
          <w:color w:val="auto"/>
        </w:rPr>
        <w:t>” means an Employee, Director or Consultant.</w:t>
      </w:r>
    </w:p>
    <w:p>
      <w:pPr>
        <w:spacing w:after="0" w:line="204" w:lineRule="exact"/>
        <w:rPr>
          <w:rFonts w:ascii="Arial" w:cs="Arial" w:eastAsia="Arial" w:hAnsi="Arial"/>
          <w:sz w:val="15"/>
          <w:szCs w:val="15"/>
          <w:color w:val="auto"/>
        </w:rPr>
      </w:pPr>
    </w:p>
    <w:p>
      <w:pPr>
        <w:ind w:left="1160" w:hanging="300"/>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w:t>
      </w:r>
      <w:r>
        <w:rPr>
          <w:rFonts w:ascii="Arial" w:cs="Arial" w:eastAsia="Arial" w:hAnsi="Arial"/>
          <w:sz w:val="16"/>
          <w:szCs w:val="16"/>
          <w:color w:val="auto"/>
        </w:rPr>
        <w:t>” means a share of the Common Stock, as adjusted in accordance with Section 13 of the Plan.</w:t>
      </w:r>
    </w:p>
    <w:p>
      <w:pPr>
        <w:spacing w:after="0" w:line="193" w:lineRule="exact"/>
        <w:rPr>
          <w:rFonts w:ascii="Arial" w:cs="Arial" w:eastAsia="Arial" w:hAnsi="Arial"/>
          <w:sz w:val="16"/>
          <w:szCs w:val="16"/>
          <w:color w:val="auto"/>
        </w:rPr>
      </w:pPr>
    </w:p>
    <w:p>
      <w:pPr>
        <w:ind w:right="120" w:firstLine="860"/>
        <w:spacing w:after="0" w:line="266" w:lineRule="auto"/>
        <w:tabs>
          <w:tab w:leader="none" w:pos="114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means an Award, granted alone or in connection with an Option, that pursuant to Section 7 is designated as a Stock Appreciation Right.</w:t>
      </w:r>
    </w:p>
    <w:p>
      <w:pPr>
        <w:spacing w:after="0" w:line="158" w:lineRule="exact"/>
        <w:rPr>
          <w:rFonts w:ascii="Arial" w:cs="Arial" w:eastAsia="Arial" w:hAnsi="Arial"/>
          <w:sz w:val="16"/>
          <w:szCs w:val="16"/>
          <w:color w:val="auto"/>
        </w:rPr>
      </w:pPr>
    </w:p>
    <w:p>
      <w:pPr>
        <w:ind w:left="1160" w:hanging="300"/>
        <w:spacing w:after="0"/>
        <w:tabs>
          <w:tab w:leader="none" w:pos="11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 “subsidiary corporation,” whether now or hereafter existing, as defined in Code Section 424(f).</w:t>
      </w:r>
    </w:p>
    <w:p>
      <w:pPr>
        <w:sectPr>
          <w:pgSz w:w="11900" w:h="16838" w:orient="portrait"/>
          <w:cols w:equalWidth="0" w:num="1">
            <w:col w:w="9600"/>
          </w:cols>
          <w:pgMar w:left="1140" w:top="256" w:right="1159" w:bottom="1440" w:gutter="0" w:footer="0" w:header="0"/>
        </w:sectPr>
      </w:pPr>
    </w:p>
    <w:bookmarkStart w:id="307" w:name="page308"/>
    <w:bookmarkEnd w:id="307"/>
    <w:p>
      <w:pPr>
        <w:ind w:left="540" w:hanging="162"/>
        <w:spacing w:after="0"/>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Stock Subject to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20" w:firstLine="860"/>
        <w:spacing w:after="0" w:line="383" w:lineRule="auto"/>
        <w:tabs>
          <w:tab w:leader="none" w:pos="1079"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Stock Subject to the Plan</w:t>
      </w:r>
      <w:r>
        <w:rPr>
          <w:rFonts w:ascii="Arial" w:cs="Arial" w:eastAsia="Arial" w:hAnsi="Arial"/>
          <w:sz w:val="13"/>
          <w:szCs w:val="13"/>
          <w:color w:val="auto"/>
        </w:rPr>
        <w:t>. Subject to the provisions of Section 13 of the Plan, the maximum aggregate number of Shares that may be subject to Awards and sold under the Plan is 18,428,250 Shares. The Shares may be authorized but unissued, or reacquired Common Stock.</w:t>
      </w:r>
    </w:p>
    <w:p>
      <w:pPr>
        <w:spacing w:after="0" w:line="88" w:lineRule="exact"/>
        <w:rPr>
          <w:rFonts w:ascii="Arial" w:cs="Arial" w:eastAsia="Arial" w:hAnsi="Arial"/>
          <w:sz w:val="13"/>
          <w:szCs w:val="13"/>
          <w:color w:val="auto"/>
        </w:rPr>
      </w:pPr>
    </w:p>
    <w:p>
      <w:pPr>
        <w:ind w:right="40" w:firstLine="860"/>
        <w:spacing w:after="0" w:line="309" w:lineRule="auto"/>
        <w:tabs>
          <w:tab w:leader="none" w:pos="1088" w:val="left"/>
        </w:tabs>
        <w:numPr>
          <w:ilvl w:val="1"/>
          <w:numId w:val="174"/>
        </w:numPr>
        <w:rPr>
          <w:rFonts w:ascii="Arial" w:cs="Arial" w:eastAsia="Arial" w:hAnsi="Arial"/>
          <w:sz w:val="13"/>
          <w:szCs w:val="13"/>
          <w:color w:val="auto"/>
        </w:rPr>
      </w:pPr>
      <w:r>
        <w:rPr>
          <w:rFonts w:ascii="Arial" w:cs="Arial" w:eastAsia="Arial" w:hAnsi="Arial"/>
          <w:sz w:val="13"/>
          <w:szCs w:val="13"/>
          <w:u w:val="single" w:color="auto"/>
          <w:color w:val="auto"/>
        </w:rPr>
        <w:t>Lapsed Awards</w:t>
      </w:r>
      <w:r>
        <w:rPr>
          <w:rFonts w:ascii="Arial" w:cs="Arial" w:eastAsia="Arial" w:hAnsi="Arial"/>
          <w:sz w:val="13"/>
          <w:szCs w:val="13"/>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327" w:lineRule="exact"/>
        <w:rPr>
          <w:rFonts w:ascii="Arial" w:cs="Arial" w:eastAsia="Arial" w:hAnsi="Arial"/>
          <w:sz w:val="13"/>
          <w:szCs w:val="13"/>
          <w:color w:val="auto"/>
        </w:rPr>
      </w:pPr>
    </w:p>
    <w:p>
      <w:pPr>
        <w:ind w:firstLine="860"/>
        <w:spacing w:after="0" w:line="266" w:lineRule="auto"/>
        <w:tabs>
          <w:tab w:leader="none" w:pos="1079"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Share Reserve</w:t>
      </w:r>
      <w:r>
        <w:rPr>
          <w:rFonts w:ascii="Arial" w:cs="Arial" w:eastAsia="Arial" w:hAnsi="Arial"/>
          <w:sz w:val="16"/>
          <w:szCs w:val="16"/>
          <w:color w:val="auto"/>
        </w:rPr>
        <w:t>. The Company, during the term of this Plan, will at all times reserve and keep available such number of Shares as will be sufficient to satisfy the requirements of the Plan.</w:t>
      </w:r>
    </w:p>
    <w:p>
      <w:pPr>
        <w:spacing w:after="0" w:line="158" w:lineRule="exact"/>
        <w:rPr>
          <w:rFonts w:ascii="Arial" w:cs="Arial" w:eastAsia="Arial" w:hAnsi="Arial"/>
          <w:sz w:val="16"/>
          <w:szCs w:val="16"/>
          <w:color w:val="auto"/>
        </w:rPr>
      </w:pPr>
    </w:p>
    <w:p>
      <w:pPr>
        <w:ind w:left="540" w:hanging="162"/>
        <w:spacing w:after="0"/>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Administration of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Procedure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440" w:hanging="196"/>
        <w:spacing w:after="0"/>
        <w:tabs>
          <w:tab w:leader="none" w:pos="1440" w:val="left"/>
        </w:tabs>
        <w:numPr>
          <w:ilvl w:val="2"/>
          <w:numId w:val="174"/>
        </w:numPr>
        <w:rPr>
          <w:rFonts w:ascii="Arial" w:cs="Arial" w:eastAsia="Arial" w:hAnsi="Arial"/>
          <w:sz w:val="13"/>
          <w:szCs w:val="13"/>
          <w:color w:val="auto"/>
        </w:rPr>
      </w:pPr>
      <w:r>
        <w:rPr>
          <w:rFonts w:ascii="Arial" w:cs="Arial" w:eastAsia="Arial" w:hAnsi="Arial"/>
          <w:sz w:val="13"/>
          <w:szCs w:val="13"/>
          <w:u w:val="single" w:color="auto"/>
          <w:color w:val="auto"/>
        </w:rPr>
        <w:t>Multiple Administrative Bodies</w:t>
      </w:r>
      <w:r>
        <w:rPr>
          <w:rFonts w:ascii="Arial" w:cs="Arial" w:eastAsia="Arial" w:hAnsi="Arial"/>
          <w:sz w:val="13"/>
          <w:szCs w:val="13"/>
          <w:color w:val="auto"/>
        </w:rPr>
        <w:t>. Different Committees with respect to different groups of Service Providers may administer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w:t>
      </w:r>
    </w:p>
    <w:p>
      <w:pPr>
        <w:spacing w:after="0" w:line="181" w:lineRule="exact"/>
        <w:rPr>
          <w:rFonts w:ascii="Arial" w:cs="Arial" w:eastAsia="Arial" w:hAnsi="Arial"/>
          <w:sz w:val="13"/>
          <w:szCs w:val="13"/>
          <w:color w:val="auto"/>
        </w:rPr>
      </w:pPr>
    </w:p>
    <w:p>
      <w:pPr>
        <w:ind w:right="120" w:firstLine="1244"/>
        <w:spacing w:after="0" w:line="266" w:lineRule="auto"/>
        <w:tabs>
          <w:tab w:leader="none" w:pos="1482" w:val="left"/>
        </w:tabs>
        <w:numPr>
          <w:ilvl w:val="2"/>
          <w:numId w:val="174"/>
        </w:numPr>
        <w:rPr>
          <w:rFonts w:ascii="Arial" w:cs="Arial" w:eastAsia="Arial" w:hAnsi="Arial"/>
          <w:sz w:val="16"/>
          <w:szCs w:val="16"/>
          <w:color w:val="auto"/>
        </w:rPr>
      </w:pPr>
      <w:r>
        <w:rPr>
          <w:rFonts w:ascii="Arial" w:cs="Arial" w:eastAsia="Arial" w:hAnsi="Arial"/>
          <w:sz w:val="16"/>
          <w:szCs w:val="16"/>
          <w:u w:val="single" w:color="auto"/>
          <w:color w:val="auto"/>
        </w:rPr>
        <w:t>Other Administration</w:t>
      </w:r>
      <w:r>
        <w:rPr>
          <w:rFonts w:ascii="Arial" w:cs="Arial" w:eastAsia="Arial" w:hAnsi="Arial"/>
          <w:sz w:val="16"/>
          <w:szCs w:val="16"/>
          <w:color w:val="auto"/>
        </w:rPr>
        <w:t>. Other than as provided above, the Plan will be administered by (A) the Board or (B) a Committee, which Committee will be constituted to satisfy Applicable Laws.</w:t>
      </w:r>
    </w:p>
    <w:p>
      <w:pPr>
        <w:sectPr>
          <w:pgSz w:w="11900" w:h="16838" w:orient="portrait"/>
          <w:cols w:equalWidth="0" w:num="1">
            <w:col w:w="9620"/>
          </w:cols>
          <w:pgMar w:left="1140" w:top="256" w:right="1139" w:bottom="1440" w:gutter="0" w:footer="0" w:header="0"/>
        </w:sectPr>
      </w:pPr>
    </w:p>
    <w:bookmarkStart w:id="308" w:name="page309"/>
    <w:bookmarkEnd w:id="308"/>
    <w:p>
      <w:pPr>
        <w:ind w:left="-300" w:right="480" w:firstLine="860"/>
        <w:spacing w:after="0" w:line="266" w:lineRule="auto"/>
        <w:tabs>
          <w:tab w:leader="none" w:pos="788"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Powers of the Administrator</w:t>
      </w:r>
      <w:r>
        <w:rPr>
          <w:rFonts w:ascii="Arial" w:cs="Arial" w:eastAsia="Arial" w:hAnsi="Arial"/>
          <w:sz w:val="16"/>
          <w:szCs w:val="16"/>
          <w:color w:val="auto"/>
        </w:rPr>
        <w:t>. Subject to the provisions of the Plan, and in the case of a Committee, subject to the specific duties delegated by the Board to such Committee, the Administrator will have the authority, in its discretion:</w:t>
      </w:r>
    </w:p>
    <w:p>
      <w:pPr>
        <w:spacing w:after="0" w:line="158" w:lineRule="exact"/>
        <w:rPr>
          <w:rFonts w:ascii="Arial" w:cs="Arial" w:eastAsia="Arial" w:hAnsi="Arial"/>
          <w:sz w:val="16"/>
          <w:szCs w:val="16"/>
          <w:color w:val="auto"/>
        </w:rPr>
      </w:pPr>
    </w:p>
    <w:p>
      <w:pPr>
        <w:ind w:left="1140" w:hanging="196"/>
        <w:spacing w:after="0"/>
        <w:tabs>
          <w:tab w:leader="none" w:pos="11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determine the Fair Market Value;</w:t>
      </w:r>
    </w:p>
    <w:p>
      <w:pPr>
        <w:spacing w:after="0" w:line="193" w:lineRule="exact"/>
        <w:rPr>
          <w:rFonts w:ascii="Arial" w:cs="Arial" w:eastAsia="Arial" w:hAnsi="Arial"/>
          <w:sz w:val="16"/>
          <w:szCs w:val="16"/>
          <w:color w:val="auto"/>
        </w:rPr>
      </w:pPr>
    </w:p>
    <w:p>
      <w:pPr>
        <w:ind w:left="1180" w:hanging="236"/>
        <w:spacing w:after="0"/>
        <w:tabs>
          <w:tab w:leader="none" w:pos="11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select the Service Providers to whom Awards may be granted hereunder;</w:t>
      </w:r>
    </w:p>
    <w:p>
      <w:pPr>
        <w:spacing w:after="0" w:line="193" w:lineRule="exact"/>
        <w:rPr>
          <w:rFonts w:ascii="Arial" w:cs="Arial" w:eastAsia="Arial" w:hAnsi="Arial"/>
          <w:sz w:val="16"/>
          <w:szCs w:val="16"/>
          <w:color w:val="auto"/>
        </w:rPr>
      </w:pPr>
    </w:p>
    <w:p>
      <w:pPr>
        <w:ind w:left="1220" w:hanging="276"/>
        <w:spacing w:after="0"/>
        <w:tabs>
          <w:tab w:leader="none" w:pos="12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determine the number of Shares to be covered by each Award granted hereunder;</w:t>
      </w:r>
    </w:p>
    <w:p>
      <w:pPr>
        <w:spacing w:after="0" w:line="193" w:lineRule="exact"/>
        <w:rPr>
          <w:rFonts w:ascii="Arial" w:cs="Arial" w:eastAsia="Arial" w:hAnsi="Arial"/>
          <w:sz w:val="16"/>
          <w:szCs w:val="16"/>
          <w:color w:val="auto"/>
        </w:rPr>
      </w:pPr>
    </w:p>
    <w:p>
      <w:pPr>
        <w:ind w:left="1220" w:hanging="276"/>
        <w:spacing w:after="0"/>
        <w:tabs>
          <w:tab w:leader="none" w:pos="12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approve forms of Award Agreements for use under the Plan;</w:t>
      </w:r>
    </w:p>
    <w:p>
      <w:pPr>
        <w:spacing w:after="0" w:line="193" w:lineRule="exact"/>
        <w:rPr>
          <w:rFonts w:ascii="Arial" w:cs="Arial" w:eastAsia="Arial" w:hAnsi="Arial"/>
          <w:sz w:val="16"/>
          <w:szCs w:val="16"/>
          <w:color w:val="auto"/>
        </w:rPr>
      </w:pPr>
    </w:p>
    <w:p>
      <w:pPr>
        <w:ind w:left="-300" w:firstLine="1244"/>
        <w:spacing w:after="0" w:line="275" w:lineRule="auto"/>
        <w:tabs>
          <w:tab w:leader="none" w:pos="1173"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52" w:lineRule="exact"/>
        <w:rPr>
          <w:rFonts w:ascii="Arial" w:cs="Arial" w:eastAsia="Arial" w:hAnsi="Arial"/>
          <w:sz w:val="15"/>
          <w:szCs w:val="15"/>
          <w:color w:val="auto"/>
        </w:rPr>
      </w:pPr>
    </w:p>
    <w:p>
      <w:pPr>
        <w:ind w:left="1220" w:hanging="276"/>
        <w:spacing w:after="0"/>
        <w:tabs>
          <w:tab w:leader="none" w:pos="122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institute and determine the terms and conditions of an Exchange Program;</w:t>
      </w:r>
    </w:p>
    <w:p>
      <w:pPr>
        <w:spacing w:after="0" w:line="193" w:lineRule="exact"/>
        <w:rPr>
          <w:rFonts w:ascii="Arial" w:cs="Arial" w:eastAsia="Arial" w:hAnsi="Arial"/>
          <w:sz w:val="16"/>
          <w:szCs w:val="16"/>
          <w:color w:val="auto"/>
        </w:rPr>
      </w:pPr>
    </w:p>
    <w:p>
      <w:pPr>
        <w:ind w:left="1260" w:hanging="316"/>
        <w:spacing w:after="0"/>
        <w:tabs>
          <w:tab w:leader="none" w:pos="12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193" w:lineRule="exact"/>
        <w:rPr>
          <w:rFonts w:ascii="Arial" w:cs="Arial" w:eastAsia="Arial" w:hAnsi="Arial"/>
          <w:sz w:val="16"/>
          <w:szCs w:val="16"/>
          <w:color w:val="auto"/>
        </w:rPr>
      </w:pPr>
    </w:p>
    <w:p>
      <w:pPr>
        <w:ind w:left="-300" w:right="60" w:firstLine="1244"/>
        <w:spacing w:after="0" w:line="383" w:lineRule="auto"/>
        <w:tabs>
          <w:tab w:leader="none" w:pos="1304" w:val="left"/>
        </w:tabs>
        <w:numPr>
          <w:ilvl w:val="1"/>
          <w:numId w:val="175"/>
        </w:numPr>
        <w:rPr>
          <w:rFonts w:ascii="Arial" w:cs="Arial" w:eastAsia="Arial" w:hAnsi="Arial"/>
          <w:sz w:val="13"/>
          <w:szCs w:val="13"/>
          <w:color w:val="auto"/>
        </w:rPr>
      </w:pPr>
      <w:r>
        <w:rPr>
          <w:rFonts w:ascii="Arial" w:cs="Arial" w:eastAsia="Arial" w:hAnsi="Arial"/>
          <w:sz w:val="13"/>
          <w:szCs w:val="13"/>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88" w:lineRule="exact"/>
        <w:rPr>
          <w:rFonts w:ascii="Arial" w:cs="Arial" w:eastAsia="Arial" w:hAnsi="Arial"/>
          <w:sz w:val="13"/>
          <w:szCs w:val="13"/>
          <w:color w:val="auto"/>
        </w:rPr>
      </w:pPr>
    </w:p>
    <w:p>
      <w:pPr>
        <w:ind w:left="-300" w:right="40" w:firstLine="1244"/>
        <w:spacing w:after="0" w:line="300" w:lineRule="auto"/>
        <w:tabs>
          <w:tab w:leader="none" w:pos="1217" w:val="left"/>
        </w:tabs>
        <w:numPr>
          <w:ilvl w:val="1"/>
          <w:numId w:val="175"/>
        </w:numPr>
        <w:rPr>
          <w:rFonts w:ascii="Arial" w:cs="Arial" w:eastAsia="Arial" w:hAnsi="Arial"/>
          <w:sz w:val="15"/>
          <w:szCs w:val="15"/>
          <w:color w:val="auto"/>
        </w:rPr>
      </w:pPr>
      <w:r>
        <w:rPr>
          <w:rFonts w:ascii="Arial" w:cs="Arial" w:eastAsia="Arial" w:hAnsi="Arial"/>
          <w:sz w:val="15"/>
          <w:szCs w:val="15"/>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34" w:lineRule="exact"/>
        <w:rPr>
          <w:rFonts w:ascii="Arial" w:cs="Arial" w:eastAsia="Arial" w:hAnsi="Arial"/>
          <w:sz w:val="15"/>
          <w:szCs w:val="15"/>
          <w:color w:val="auto"/>
        </w:rPr>
      </w:pPr>
    </w:p>
    <w:p>
      <w:pPr>
        <w:ind w:left="1160" w:hanging="216"/>
        <w:spacing w:after="0"/>
        <w:tabs>
          <w:tab w:leader="none" w:pos="11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allow Participants to satisfy withholding tax obligations in a manner prescribed in Section 14;</w:t>
      </w:r>
    </w:p>
    <w:p>
      <w:pPr>
        <w:spacing w:after="0" w:line="193" w:lineRule="exact"/>
        <w:rPr>
          <w:rFonts w:ascii="Arial" w:cs="Arial" w:eastAsia="Arial" w:hAnsi="Arial"/>
          <w:sz w:val="16"/>
          <w:szCs w:val="16"/>
          <w:color w:val="auto"/>
        </w:rPr>
      </w:pPr>
    </w:p>
    <w:p>
      <w:pPr>
        <w:ind w:left="-300" w:right="40" w:firstLine="1244"/>
        <w:spacing w:after="0" w:line="266" w:lineRule="auto"/>
        <w:tabs>
          <w:tab w:leader="none" w:pos="121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Award previously granted by the Administrator;</w:t>
      </w:r>
    </w:p>
    <w:p>
      <w:pPr>
        <w:spacing w:after="0" w:line="158" w:lineRule="exact"/>
        <w:rPr>
          <w:rFonts w:ascii="Arial" w:cs="Arial" w:eastAsia="Arial" w:hAnsi="Arial"/>
          <w:sz w:val="16"/>
          <w:szCs w:val="16"/>
          <w:color w:val="auto"/>
        </w:rPr>
      </w:pPr>
    </w:p>
    <w:p>
      <w:pPr>
        <w:ind w:left="-300" w:right="120" w:firstLine="1244"/>
        <w:spacing w:after="0" w:line="266" w:lineRule="auto"/>
        <w:tabs>
          <w:tab w:leader="none" w:pos="126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allow a Participant to defer the receipt of the payment of cash or the delivery of Shares that otherwise would be due to such Participant under an Award; and</w:t>
      </w:r>
    </w:p>
    <w:p>
      <w:pPr>
        <w:spacing w:after="0" w:line="158" w:lineRule="exact"/>
        <w:rPr>
          <w:rFonts w:ascii="Arial" w:cs="Arial" w:eastAsia="Arial" w:hAnsi="Arial"/>
          <w:sz w:val="16"/>
          <w:szCs w:val="16"/>
          <w:color w:val="auto"/>
        </w:rPr>
      </w:pPr>
    </w:p>
    <w:p>
      <w:pPr>
        <w:ind w:left="1300" w:hanging="356"/>
        <w:spacing w:after="0"/>
        <w:tabs>
          <w:tab w:leader="none" w:pos="13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w:t>
      </w:r>
    </w:p>
    <w:p>
      <w:pPr>
        <w:sectPr>
          <w:pgSz w:w="11900" w:h="16838" w:orient="portrait"/>
          <w:cols w:equalWidth="0" w:num="1">
            <w:col w:w="9280"/>
          </w:cols>
          <w:pgMar w:left="1440" w:top="256" w:right="1179" w:bottom="1440" w:gutter="0" w:footer="0" w:header="0"/>
        </w:sectPr>
      </w:pPr>
    </w:p>
    <w:bookmarkStart w:id="309" w:name="page310"/>
    <w:bookmarkEnd w:id="309"/>
    <w:p>
      <w:pPr>
        <w:ind w:left="-300" w:right="180" w:firstLine="860"/>
        <w:spacing w:after="0" w:line="266" w:lineRule="auto"/>
        <w:tabs>
          <w:tab w:leader="none" w:pos="779" w:val="left"/>
        </w:tabs>
        <w:numPr>
          <w:ilvl w:val="1"/>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Effect of Administrator’s Decision</w:t>
      </w:r>
      <w:r>
        <w:rPr>
          <w:rFonts w:ascii="Arial" w:cs="Arial" w:eastAsia="Arial" w:hAnsi="Arial"/>
          <w:sz w:val="16"/>
          <w:szCs w:val="16"/>
          <w:color w:val="auto"/>
        </w:rPr>
        <w:t>. The Administrator’s decisions, determinations and interpretations will be final and binding on all Participants and any other holders of Awards.</w:t>
      </w:r>
    </w:p>
    <w:p>
      <w:pPr>
        <w:spacing w:after="0" w:line="158" w:lineRule="exact"/>
        <w:rPr>
          <w:rFonts w:ascii="Arial" w:cs="Arial" w:eastAsia="Arial" w:hAnsi="Arial"/>
          <w:sz w:val="16"/>
          <w:szCs w:val="16"/>
          <w:color w:val="auto"/>
        </w:rPr>
      </w:pPr>
    </w:p>
    <w:p>
      <w:pPr>
        <w:ind w:left="-300" w:right="320" w:firstLine="378"/>
        <w:spacing w:after="0" w:line="266" w:lineRule="auto"/>
        <w:tabs>
          <w:tab w:leader="none" w:pos="24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Nonstatutory Stock Options, Stock Appreciation Rights, Restricted Stock, and Restricted Stock Units may be granted to Service Providers. Incentive Stock Options may be granted only to Employees.</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380" w:firstLine="860"/>
        <w:spacing w:after="0" w:line="266" w:lineRule="auto"/>
        <w:tabs>
          <w:tab w:leader="none" w:pos="779"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Subject to the terms and provisions of the Plan, the Administrator, at any time and from time to time, may grant Options in such amounts as the Administrator, in its sole discretion, will determine.</w:t>
      </w:r>
    </w:p>
    <w:p>
      <w:pPr>
        <w:spacing w:after="0" w:line="158" w:lineRule="exact"/>
        <w:rPr>
          <w:rFonts w:ascii="Arial" w:cs="Arial" w:eastAsia="Arial" w:hAnsi="Arial"/>
          <w:sz w:val="16"/>
          <w:szCs w:val="16"/>
          <w:color w:val="auto"/>
        </w:rPr>
      </w:pPr>
    </w:p>
    <w:p>
      <w:pPr>
        <w:ind w:left="-300" w:firstLine="860"/>
        <w:spacing w:after="0" w:line="256" w:lineRule="auto"/>
        <w:tabs>
          <w:tab w:leader="none" w:pos="788"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Option Agreement</w:t>
      </w:r>
      <w:r>
        <w:rPr>
          <w:rFonts w:ascii="Arial" w:cs="Arial" w:eastAsia="Arial" w:hAnsi="Arial"/>
          <w:sz w:val="16"/>
          <w:szCs w:val="16"/>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65" w:lineRule="exact"/>
        <w:rPr>
          <w:rFonts w:ascii="Arial" w:cs="Arial" w:eastAsia="Arial" w:hAnsi="Arial"/>
          <w:sz w:val="16"/>
          <w:szCs w:val="16"/>
          <w:color w:val="auto"/>
        </w:rPr>
      </w:pPr>
    </w:p>
    <w:p>
      <w:pPr>
        <w:ind w:left="-300" w:right="60" w:firstLine="860"/>
        <w:spacing w:after="0" w:line="268" w:lineRule="auto"/>
        <w:tabs>
          <w:tab w:leader="none" w:pos="779" w:val="left"/>
        </w:tabs>
        <w:numPr>
          <w:ilvl w:val="1"/>
          <w:numId w:val="177"/>
        </w:numPr>
        <w:rPr>
          <w:rFonts w:ascii="Arial" w:cs="Arial" w:eastAsia="Arial" w:hAnsi="Arial"/>
          <w:sz w:val="15"/>
          <w:szCs w:val="15"/>
          <w:color w:val="auto"/>
        </w:rPr>
      </w:pPr>
      <w:r>
        <w:rPr>
          <w:rFonts w:ascii="Arial" w:cs="Arial" w:eastAsia="Arial" w:hAnsi="Arial"/>
          <w:sz w:val="15"/>
          <w:szCs w:val="15"/>
          <w:u w:val="single" w:color="auto"/>
          <w:color w:val="auto"/>
        </w:rPr>
        <w:t>Limitations</w:t>
      </w:r>
      <w:r>
        <w:rPr>
          <w:rFonts w:ascii="Arial" w:cs="Arial" w:eastAsia="Arial" w:hAnsi="Arial"/>
          <w:sz w:val="15"/>
          <w:szCs w:val="15"/>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60" w:lineRule="exact"/>
        <w:rPr>
          <w:rFonts w:ascii="Arial" w:cs="Arial" w:eastAsia="Arial" w:hAnsi="Arial"/>
          <w:sz w:val="15"/>
          <w:szCs w:val="15"/>
          <w:color w:val="auto"/>
        </w:rPr>
      </w:pPr>
    </w:p>
    <w:p>
      <w:pPr>
        <w:ind w:left="-300" w:right="20" w:firstLine="860"/>
        <w:spacing w:after="0" w:line="251" w:lineRule="auto"/>
        <w:tabs>
          <w:tab w:leader="none" w:pos="788"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69" w:lineRule="exact"/>
        <w:rPr>
          <w:rFonts w:ascii="Arial" w:cs="Arial" w:eastAsia="Arial" w:hAnsi="Arial"/>
          <w:sz w:val="16"/>
          <w:szCs w:val="16"/>
          <w:color w:val="auto"/>
        </w:rPr>
      </w:pPr>
    </w:p>
    <w:p>
      <w:pPr>
        <w:ind w:left="780" w:hanging="220"/>
        <w:spacing w:after="0"/>
        <w:tabs>
          <w:tab w:leader="none" w:pos="780" w:val="left"/>
        </w:tabs>
        <w:numPr>
          <w:ilvl w:val="1"/>
          <w:numId w:val="177"/>
        </w:numPr>
        <w:rPr>
          <w:rFonts w:ascii="Arial" w:cs="Arial" w:eastAsia="Arial" w:hAnsi="Arial"/>
          <w:sz w:val="16"/>
          <w:szCs w:val="16"/>
          <w:color w:val="auto"/>
        </w:rPr>
      </w:pPr>
      <w:r>
        <w:rPr>
          <w:rFonts w:ascii="Arial" w:cs="Arial" w:eastAsia="Arial" w:hAnsi="Arial"/>
          <w:sz w:val="16"/>
          <w:szCs w:val="16"/>
          <w:u w:val="single" w:color="auto"/>
          <w:color w:val="auto"/>
        </w:rPr>
        <w:t>Option Exercise Price and Consideration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0" w:firstLine="1244"/>
        <w:spacing w:after="0" w:line="268" w:lineRule="auto"/>
        <w:tabs>
          <w:tab w:leader="none" w:pos="1138" w:val="left"/>
        </w:tabs>
        <w:numPr>
          <w:ilvl w:val="2"/>
          <w:numId w:val="177"/>
        </w:numPr>
        <w:rPr>
          <w:rFonts w:ascii="Arial" w:cs="Arial" w:eastAsia="Arial" w:hAnsi="Arial"/>
          <w:sz w:val="15"/>
          <w:szCs w:val="15"/>
          <w:color w:val="auto"/>
        </w:rPr>
      </w:pPr>
      <w:r>
        <w:rPr>
          <w:rFonts w:ascii="Arial" w:cs="Arial" w:eastAsia="Arial" w:hAnsi="Arial"/>
          <w:sz w:val="15"/>
          <w:szCs w:val="15"/>
          <w:u w:val="single" w:color="auto"/>
          <w:color w:val="auto"/>
        </w:rPr>
        <w:t>Exercise Price</w:t>
      </w:r>
      <w:r>
        <w:rPr>
          <w:rFonts w:ascii="Arial" w:cs="Arial" w:eastAsia="Arial" w:hAnsi="Arial"/>
          <w:sz w:val="15"/>
          <w:szCs w:val="15"/>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ectPr>
          <w:pgSz w:w="11900" w:h="16838" w:orient="portrait"/>
          <w:cols w:equalWidth="0" w:num="1">
            <w:col w:w="9320"/>
          </w:cols>
          <w:pgMar w:left="1440" w:top="256" w:right="1139" w:bottom="1440" w:gutter="0" w:footer="0" w:header="0"/>
        </w:sectPr>
      </w:pPr>
    </w:p>
    <w:bookmarkStart w:id="310" w:name="page311"/>
    <w:bookmarkEnd w:id="310"/>
    <w:p>
      <w:pPr>
        <w:ind w:right="380" w:firstLine="1244"/>
        <w:spacing w:after="0" w:line="300" w:lineRule="auto"/>
        <w:tabs>
          <w:tab w:leader="none" w:pos="1482" w:val="left"/>
        </w:tabs>
        <w:numPr>
          <w:ilvl w:val="1"/>
          <w:numId w:val="17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Waiting Period and Exercise Dates</w:t>
      </w:r>
      <w:r>
        <w:rPr>
          <w:rFonts w:ascii="Arial" w:cs="Arial" w:eastAsia="Arial" w:hAnsi="Arial"/>
          <w:sz w:val="15"/>
          <w:szCs w:val="15"/>
          <w:color w:val="auto"/>
        </w:rPr>
        <w:t>. At the time an Option is granted, the Administrator will fix the period within which the Option may be exercised and will determine any conditions that must be satisfied before the Option may be exercised.</w:t>
      </w:r>
    </w:p>
    <w:p>
      <w:pPr>
        <w:spacing w:after="0" w:line="134" w:lineRule="exact"/>
        <w:rPr>
          <w:rFonts w:ascii="Arial" w:cs="Arial" w:eastAsia="Arial" w:hAnsi="Arial"/>
          <w:sz w:val="15"/>
          <w:szCs w:val="15"/>
          <w:color w:val="auto"/>
        </w:rPr>
      </w:pPr>
    </w:p>
    <w:p>
      <w:pPr>
        <w:ind w:right="20" w:firstLine="1244"/>
        <w:spacing w:after="0" w:line="266" w:lineRule="auto"/>
        <w:tabs>
          <w:tab w:leader="none" w:pos="1525" w:val="left"/>
        </w:tabs>
        <w:numPr>
          <w:ilvl w:val="1"/>
          <w:numId w:val="178"/>
        </w:numPr>
        <w:rPr>
          <w:rFonts w:ascii="Arial" w:cs="Arial" w:eastAsia="Arial" w:hAnsi="Arial"/>
          <w:sz w:val="15"/>
          <w:szCs w:val="15"/>
          <w:color w:val="auto"/>
        </w:rPr>
      </w:pPr>
      <w:r>
        <w:rPr>
          <w:rFonts w:ascii="Arial" w:cs="Arial" w:eastAsia="Arial" w:hAnsi="Arial"/>
          <w:sz w:val="15"/>
          <w:szCs w:val="15"/>
          <w:u w:val="single" w:color="auto"/>
          <w:color w:val="auto"/>
        </w:rPr>
        <w:t>Form of Consideration</w:t>
      </w:r>
      <w:r>
        <w:rPr>
          <w:rFonts w:ascii="Arial" w:cs="Arial" w:eastAsia="Arial" w:hAnsi="Arial"/>
          <w:sz w:val="15"/>
          <w:szCs w:val="15"/>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63" w:lineRule="exact"/>
        <w:rPr>
          <w:rFonts w:ascii="Arial" w:cs="Arial" w:eastAsia="Arial" w:hAnsi="Arial"/>
          <w:sz w:val="15"/>
          <w:szCs w:val="15"/>
          <w:color w:val="auto"/>
        </w:rPr>
      </w:pPr>
    </w:p>
    <w:p>
      <w:pPr>
        <w:ind w:left="1060" w:hanging="200"/>
        <w:spacing w:after="0"/>
        <w:tabs>
          <w:tab w:leader="none" w:pos="1060"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100" w:firstLine="1244"/>
        <w:spacing w:after="0" w:line="256" w:lineRule="auto"/>
        <w:tabs>
          <w:tab w:leader="none" w:pos="1438" w:val="left"/>
        </w:tabs>
        <w:numPr>
          <w:ilvl w:val="1"/>
          <w:numId w:val="179"/>
        </w:numPr>
        <w:rPr>
          <w:rFonts w:ascii="Arial" w:cs="Arial" w:eastAsia="Arial" w:hAnsi="Arial"/>
          <w:sz w:val="16"/>
          <w:szCs w:val="16"/>
          <w:color w:val="auto"/>
        </w:rPr>
      </w:pPr>
      <w:r>
        <w:rPr>
          <w:rFonts w:ascii="Arial" w:cs="Arial" w:eastAsia="Arial" w:hAnsi="Arial"/>
          <w:sz w:val="16"/>
          <w:szCs w:val="16"/>
          <w:u w:val="single" w:color="auto"/>
          <w:color w:val="auto"/>
        </w:rPr>
        <w:t>Procedure for Exercise; Rights as a Stockholder</w:t>
      </w:r>
      <w:r>
        <w:rPr>
          <w:rFonts w:ascii="Arial" w:cs="Arial" w:eastAsia="Arial" w:hAnsi="Arial"/>
          <w:sz w:val="16"/>
          <w:szCs w:val="16"/>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66" w:lineRule="exact"/>
        <w:rPr>
          <w:sz w:val="20"/>
          <w:szCs w:val="20"/>
          <w:color w:val="auto"/>
        </w:rPr>
      </w:pPr>
    </w:p>
    <w:p>
      <w:pPr>
        <w:ind w:firstLine="1732"/>
        <w:spacing w:after="0" w:line="267" w:lineRule="auto"/>
        <w:rPr>
          <w:sz w:val="20"/>
          <w:szCs w:val="20"/>
          <w:color w:val="auto"/>
        </w:rPr>
      </w:pPr>
      <w:r>
        <w:rPr>
          <w:rFonts w:ascii="Arial" w:cs="Arial" w:eastAsia="Arial" w:hAnsi="Arial"/>
          <w:sz w:val="15"/>
          <w:szCs w:val="15"/>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59" w:lineRule="exact"/>
        <w:rPr>
          <w:sz w:val="20"/>
          <w:szCs w:val="20"/>
          <w:color w:val="auto"/>
        </w:rPr>
      </w:pPr>
    </w:p>
    <w:p>
      <w:pPr>
        <w:ind w:right="220" w:firstLine="1732"/>
        <w:spacing w:after="0" w:line="266" w:lineRule="auto"/>
        <w:rPr>
          <w:sz w:val="20"/>
          <w:szCs w:val="20"/>
          <w:color w:val="auto"/>
        </w:rPr>
      </w:pPr>
      <w:r>
        <w:rPr>
          <w:rFonts w:ascii="Arial" w:cs="Arial" w:eastAsia="Arial" w:hAnsi="Arial"/>
          <w:sz w:val="16"/>
          <w:szCs w:val="16"/>
          <w:color w:val="auto"/>
        </w:rPr>
        <w:t>Exercising an Option in any manner will decrease the number of Shares thereafter available, both for purposes of the Plan and for sale under the Option, by the number of Shares as to which the Option is exercised.</w:t>
      </w:r>
    </w:p>
    <w:p>
      <w:pPr>
        <w:sectPr>
          <w:pgSz w:w="11900" w:h="16838" w:orient="portrait"/>
          <w:cols w:equalWidth="0" w:num="1">
            <w:col w:w="9600"/>
          </w:cols>
          <w:pgMar w:left="1140" w:top="256" w:right="1159" w:bottom="1440" w:gutter="0" w:footer="0" w:header="0"/>
        </w:sectPr>
      </w:pPr>
    </w:p>
    <w:bookmarkStart w:id="311" w:name="page312"/>
    <w:bookmarkEnd w:id="311"/>
    <w:p>
      <w:pPr>
        <w:ind w:left="-300" w:firstLine="1244"/>
        <w:spacing w:after="0" w:line="268" w:lineRule="auto"/>
        <w:tabs>
          <w:tab w:leader="none" w:pos="1182" w:val="left"/>
        </w:tabs>
        <w:numPr>
          <w:ilvl w:val="2"/>
          <w:numId w:val="180"/>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Termination of Relationship as a Service Provider</w:t>
      </w:r>
      <w:r>
        <w:rPr>
          <w:rFonts w:ascii="Arial" w:cs="Arial" w:eastAsia="Arial" w:hAnsi="Arial"/>
          <w:sz w:val="15"/>
          <w:szCs w:val="15"/>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60" w:lineRule="exact"/>
        <w:rPr>
          <w:rFonts w:ascii="Arial" w:cs="Arial" w:eastAsia="Arial" w:hAnsi="Arial"/>
          <w:sz w:val="15"/>
          <w:szCs w:val="15"/>
          <w:color w:val="auto"/>
        </w:rPr>
      </w:pPr>
    </w:p>
    <w:p>
      <w:pPr>
        <w:ind w:left="-300" w:right="20" w:firstLine="1244"/>
        <w:spacing w:after="0" w:line="319" w:lineRule="auto"/>
        <w:tabs>
          <w:tab w:leader="none" w:pos="1225" w:val="left"/>
        </w:tabs>
        <w:numPr>
          <w:ilvl w:val="2"/>
          <w:numId w:val="180"/>
        </w:numPr>
        <w:rPr>
          <w:rFonts w:ascii="Arial" w:cs="Arial" w:eastAsia="Arial" w:hAnsi="Arial"/>
          <w:sz w:val="13"/>
          <w:szCs w:val="13"/>
          <w:color w:val="auto"/>
        </w:rPr>
      </w:pPr>
      <w:r>
        <w:rPr>
          <w:rFonts w:ascii="Arial" w:cs="Arial" w:eastAsia="Arial" w:hAnsi="Arial"/>
          <w:sz w:val="13"/>
          <w:szCs w:val="13"/>
          <w:u w:val="single" w:color="auto"/>
          <w:color w:val="auto"/>
        </w:rPr>
        <w:t>Disability of Participant</w:t>
      </w:r>
      <w:r>
        <w:rPr>
          <w:rFonts w:ascii="Arial" w:cs="Arial" w:eastAsia="Arial" w:hAnsi="Arial"/>
          <w:sz w:val="13"/>
          <w:szCs w:val="13"/>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28" w:lineRule="exact"/>
        <w:rPr>
          <w:rFonts w:ascii="Arial" w:cs="Arial" w:eastAsia="Arial" w:hAnsi="Arial"/>
          <w:sz w:val="13"/>
          <w:szCs w:val="13"/>
          <w:color w:val="auto"/>
        </w:rPr>
      </w:pPr>
    </w:p>
    <w:p>
      <w:pPr>
        <w:ind w:left="-300" w:firstLine="1244"/>
        <w:spacing w:after="0" w:line="267" w:lineRule="auto"/>
        <w:tabs>
          <w:tab w:leader="none" w:pos="1217" w:val="left"/>
        </w:tabs>
        <w:numPr>
          <w:ilvl w:val="2"/>
          <w:numId w:val="180"/>
        </w:numPr>
        <w:rPr>
          <w:rFonts w:ascii="Arial" w:cs="Arial" w:eastAsia="Arial" w:hAnsi="Arial"/>
          <w:sz w:val="15"/>
          <w:szCs w:val="15"/>
          <w:color w:val="auto"/>
        </w:rPr>
      </w:pPr>
      <w:r>
        <w:rPr>
          <w:rFonts w:ascii="Arial" w:cs="Arial" w:eastAsia="Arial" w:hAnsi="Arial"/>
          <w:sz w:val="15"/>
          <w:szCs w:val="15"/>
          <w:u w:val="single" w:color="auto"/>
          <w:color w:val="auto"/>
        </w:rPr>
        <w:t>Death of Participant</w:t>
      </w:r>
      <w:r>
        <w:rPr>
          <w:rFonts w:ascii="Arial" w:cs="Arial" w:eastAsia="Arial" w:hAnsi="Arial"/>
          <w:sz w:val="15"/>
          <w:szCs w:val="15"/>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59" w:lineRule="exact"/>
        <w:rPr>
          <w:rFonts w:ascii="Arial" w:cs="Arial" w:eastAsia="Arial" w:hAnsi="Arial"/>
          <w:sz w:val="15"/>
          <w:szCs w:val="15"/>
          <w:color w:val="auto"/>
        </w:rPr>
      </w:pPr>
    </w:p>
    <w:p>
      <w:pPr>
        <w:ind w:left="240" w:hanging="162"/>
        <w:spacing w:after="0"/>
        <w:tabs>
          <w:tab w:leader="none" w:pos="24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Stock Appreciation Rights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300" w:firstLine="860"/>
        <w:spacing w:after="0" w:line="266" w:lineRule="auto"/>
        <w:tabs>
          <w:tab w:leader="none" w:pos="779"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Grant of Stock Appreciation Rights</w:t>
      </w:r>
      <w:r>
        <w:rPr>
          <w:rFonts w:ascii="Arial" w:cs="Arial" w:eastAsia="Arial" w:hAnsi="Arial"/>
          <w:sz w:val="16"/>
          <w:szCs w:val="16"/>
          <w:color w:val="auto"/>
        </w:rPr>
        <w:t>. Subject to the terms and conditions of the Plan, a Stock Appreciation Right may be granted to Service Providers at any time and from time to time as will be determined by the Administrator, in its sole discretion.</w:t>
      </w:r>
    </w:p>
    <w:p>
      <w:pPr>
        <w:spacing w:after="0" w:line="158" w:lineRule="exact"/>
        <w:rPr>
          <w:rFonts w:ascii="Arial" w:cs="Arial" w:eastAsia="Arial" w:hAnsi="Arial"/>
          <w:sz w:val="16"/>
          <w:szCs w:val="16"/>
          <w:color w:val="auto"/>
        </w:rPr>
      </w:pPr>
    </w:p>
    <w:p>
      <w:pPr>
        <w:ind w:left="-300" w:right="80" w:firstLine="860"/>
        <w:spacing w:after="0" w:line="266" w:lineRule="auto"/>
        <w:tabs>
          <w:tab w:leader="none" w:pos="788" w:val="left"/>
        </w:tabs>
        <w:numPr>
          <w:ilvl w:val="1"/>
          <w:numId w:val="181"/>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Shares subject to any Award of Stock Appreciation Rights.</w:t>
      </w:r>
    </w:p>
    <w:p>
      <w:pPr>
        <w:sectPr>
          <w:pgSz w:w="11900" w:h="16838" w:orient="portrait"/>
          <w:cols w:equalWidth="0" w:num="1">
            <w:col w:w="9280"/>
          </w:cols>
          <w:pgMar w:left="1440" w:top="256" w:right="1179" w:bottom="1440" w:gutter="0" w:footer="0" w:header="0"/>
        </w:sectPr>
      </w:pPr>
    </w:p>
    <w:bookmarkStart w:id="312" w:name="page313"/>
    <w:bookmarkEnd w:id="312"/>
    <w:p>
      <w:pPr>
        <w:ind w:right="40" w:firstLine="860"/>
        <w:spacing w:after="0" w:line="275" w:lineRule="auto"/>
        <w:tabs>
          <w:tab w:leader="none" w:pos="1079" w:val="left"/>
        </w:tabs>
        <w:numPr>
          <w:ilvl w:val="0"/>
          <w:numId w:val="182"/>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Price and Other Terms</w:t>
      </w:r>
      <w:r>
        <w:rPr>
          <w:rFonts w:ascii="Arial" w:cs="Arial" w:eastAsia="Arial" w:hAnsi="Arial"/>
          <w:sz w:val="15"/>
          <w:szCs w:val="15"/>
          <w:color w:val="auto"/>
        </w:rPr>
        <w:t>. The per Share exercise price for the Shares that will determine the amount of the payment to be 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52" w:lineRule="exact"/>
        <w:rPr>
          <w:rFonts w:ascii="Arial" w:cs="Arial" w:eastAsia="Arial" w:hAnsi="Arial"/>
          <w:sz w:val="15"/>
          <w:szCs w:val="15"/>
          <w:color w:val="auto"/>
        </w:rPr>
      </w:pPr>
    </w:p>
    <w:p>
      <w:pPr>
        <w:ind w:firstLine="860"/>
        <w:spacing w:after="0" w:line="256" w:lineRule="auto"/>
        <w:tabs>
          <w:tab w:leader="none" w:pos="1088"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Stock Appreciation Right Agreement</w:t>
      </w:r>
      <w:r>
        <w:rPr>
          <w:rFonts w:ascii="Arial" w:cs="Arial" w:eastAsia="Arial" w:hAnsi="Arial"/>
          <w:sz w:val="16"/>
          <w:szCs w:val="16"/>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65" w:lineRule="exact"/>
        <w:rPr>
          <w:rFonts w:ascii="Arial" w:cs="Arial" w:eastAsia="Arial" w:hAnsi="Arial"/>
          <w:sz w:val="16"/>
          <w:szCs w:val="16"/>
          <w:color w:val="auto"/>
        </w:rPr>
      </w:pPr>
    </w:p>
    <w:p>
      <w:pPr>
        <w:jc w:val="both"/>
        <w:ind w:right="140" w:firstLine="860"/>
        <w:spacing w:after="0" w:line="256" w:lineRule="auto"/>
        <w:tabs>
          <w:tab w:leader="none" w:pos="1079"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Expiration of Stock Appreciation Rights</w:t>
      </w:r>
      <w:r>
        <w:rPr>
          <w:rFonts w:ascii="Arial" w:cs="Arial" w:eastAsia="Arial" w:hAnsi="Arial"/>
          <w:sz w:val="16"/>
          <w:szCs w:val="16"/>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65" w:lineRule="exact"/>
        <w:rPr>
          <w:rFonts w:ascii="Arial" w:cs="Arial" w:eastAsia="Arial" w:hAnsi="Arial"/>
          <w:sz w:val="16"/>
          <w:szCs w:val="16"/>
          <w:color w:val="auto"/>
        </w:rPr>
      </w:pPr>
    </w:p>
    <w:p>
      <w:pPr>
        <w:ind w:right="220" w:firstLine="860"/>
        <w:spacing w:after="0" w:line="266" w:lineRule="auto"/>
        <w:tabs>
          <w:tab w:leader="none" w:pos="1062"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Payment of Stock Appreciation Right Amount</w:t>
      </w:r>
      <w:r>
        <w:rPr>
          <w:rFonts w:ascii="Arial" w:cs="Arial" w:eastAsia="Arial" w:hAnsi="Arial"/>
          <w:sz w:val="16"/>
          <w:szCs w:val="16"/>
          <w:color w:val="auto"/>
        </w:rPr>
        <w:t>. Upon exercise of a Stock Appreciation Right, a Participant will be entitled to receive payment from the Company in an amount determined by multiplying:</w:t>
      </w:r>
    </w:p>
    <w:p>
      <w:pPr>
        <w:spacing w:after="0" w:line="158" w:lineRule="exact"/>
        <w:rPr>
          <w:rFonts w:ascii="Arial" w:cs="Arial" w:eastAsia="Arial" w:hAnsi="Arial"/>
          <w:sz w:val="16"/>
          <w:szCs w:val="16"/>
          <w:color w:val="auto"/>
        </w:rPr>
      </w:pPr>
    </w:p>
    <w:p>
      <w:pPr>
        <w:ind w:left="1440" w:hanging="196"/>
        <w:spacing w:after="0"/>
        <w:tabs>
          <w:tab w:leader="none" w:pos="144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difference between the Fair Market Value of a Share on the date of exercise over the exercise price; times</w:t>
      </w:r>
    </w:p>
    <w:p>
      <w:pPr>
        <w:spacing w:after="0" w:line="193" w:lineRule="exact"/>
        <w:rPr>
          <w:rFonts w:ascii="Arial" w:cs="Arial" w:eastAsia="Arial" w:hAnsi="Arial"/>
          <w:sz w:val="16"/>
          <w:szCs w:val="16"/>
          <w:color w:val="auto"/>
        </w:rPr>
      </w:pPr>
    </w:p>
    <w:p>
      <w:pPr>
        <w:ind w:left="1480" w:hanging="236"/>
        <w:spacing w:after="0"/>
        <w:tabs>
          <w:tab w:leader="none" w:pos="148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The number of Shares with respect to which the Stock Appreciation Right is exercised.</w:t>
      </w:r>
    </w:p>
    <w:p>
      <w:pPr>
        <w:spacing w:after="0" w:line="193"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540" w:hanging="162"/>
        <w:spacing w:after="0"/>
        <w:tabs>
          <w:tab w:leader="none" w:pos="540"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Restricted Stock</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0" w:firstLine="860"/>
        <w:spacing w:after="0" w:line="300" w:lineRule="auto"/>
        <w:tabs>
          <w:tab w:leader="none" w:pos="1079"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Grant of Restricted Stock</w:t>
      </w:r>
      <w:r>
        <w:rPr>
          <w:rFonts w:ascii="Arial" w:cs="Arial" w:eastAsia="Arial" w:hAnsi="Arial"/>
          <w:sz w:val="15"/>
          <w:szCs w:val="15"/>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34" w:lineRule="exact"/>
        <w:rPr>
          <w:rFonts w:ascii="Arial" w:cs="Arial" w:eastAsia="Arial" w:hAnsi="Arial"/>
          <w:sz w:val="15"/>
          <w:szCs w:val="15"/>
          <w:color w:val="auto"/>
        </w:rPr>
      </w:pPr>
    </w:p>
    <w:p>
      <w:pPr>
        <w:ind w:firstLine="860"/>
        <w:spacing w:after="0" w:line="343" w:lineRule="auto"/>
        <w:tabs>
          <w:tab w:leader="none" w:pos="1088" w:val="left"/>
        </w:tabs>
        <w:numPr>
          <w:ilvl w:val="1"/>
          <w:numId w:val="183"/>
        </w:numPr>
        <w:rPr>
          <w:rFonts w:ascii="Arial" w:cs="Arial" w:eastAsia="Arial" w:hAnsi="Arial"/>
          <w:sz w:val="13"/>
          <w:szCs w:val="13"/>
          <w:color w:val="auto"/>
        </w:rPr>
      </w:pPr>
      <w:r>
        <w:rPr>
          <w:rFonts w:ascii="Arial" w:cs="Arial" w:eastAsia="Arial" w:hAnsi="Arial"/>
          <w:sz w:val="13"/>
          <w:szCs w:val="13"/>
          <w:u w:val="single" w:color="auto"/>
          <w:color w:val="auto"/>
        </w:rPr>
        <w:t>Restricted Stock Agreement</w:t>
      </w:r>
      <w:r>
        <w:rPr>
          <w:rFonts w:ascii="Arial" w:cs="Arial" w:eastAsia="Arial" w:hAnsi="Arial"/>
          <w:sz w:val="13"/>
          <w:szCs w:val="13"/>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13" w:lineRule="exact"/>
        <w:rPr>
          <w:rFonts w:ascii="Arial" w:cs="Arial" w:eastAsia="Arial" w:hAnsi="Arial"/>
          <w:sz w:val="13"/>
          <w:szCs w:val="13"/>
          <w:color w:val="auto"/>
        </w:rPr>
      </w:pPr>
    </w:p>
    <w:p>
      <w:pPr>
        <w:ind w:right="220" w:firstLine="860"/>
        <w:spacing w:after="0" w:line="300" w:lineRule="auto"/>
        <w:tabs>
          <w:tab w:leader="none" w:pos="1079" w:val="left"/>
        </w:tabs>
        <w:numPr>
          <w:ilvl w:val="1"/>
          <w:numId w:val="183"/>
        </w:numPr>
        <w:rPr>
          <w:rFonts w:ascii="Arial" w:cs="Arial" w:eastAsia="Arial" w:hAnsi="Arial"/>
          <w:sz w:val="15"/>
          <w:szCs w:val="15"/>
          <w:color w:val="auto"/>
        </w:rPr>
      </w:pPr>
      <w:r>
        <w:rPr>
          <w:rFonts w:ascii="Arial" w:cs="Arial" w:eastAsia="Arial" w:hAnsi="Arial"/>
          <w:sz w:val="15"/>
          <w:szCs w:val="15"/>
          <w:u w:val="single" w:color="auto"/>
          <w:color w:val="auto"/>
        </w:rPr>
        <w:t>Transferability</w:t>
      </w:r>
      <w:r>
        <w:rPr>
          <w:rFonts w:ascii="Arial" w:cs="Arial" w:eastAsia="Arial" w:hAnsi="Arial"/>
          <w:sz w:val="15"/>
          <w:szCs w:val="15"/>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34" w:lineRule="exact"/>
        <w:rPr>
          <w:rFonts w:ascii="Arial" w:cs="Arial" w:eastAsia="Arial" w:hAnsi="Arial"/>
          <w:sz w:val="15"/>
          <w:szCs w:val="15"/>
          <w:color w:val="auto"/>
        </w:rPr>
      </w:pPr>
    </w:p>
    <w:p>
      <w:pPr>
        <w:ind w:right="20" w:firstLine="860"/>
        <w:spacing w:after="0" w:line="266" w:lineRule="auto"/>
        <w:tabs>
          <w:tab w:leader="none" w:pos="1088" w:val="left"/>
        </w:tabs>
        <w:numPr>
          <w:ilvl w:val="1"/>
          <w:numId w:val="183"/>
        </w:numPr>
        <w:rPr>
          <w:rFonts w:ascii="Arial" w:cs="Arial" w:eastAsia="Arial" w:hAnsi="Arial"/>
          <w:sz w:val="16"/>
          <w:szCs w:val="16"/>
          <w:color w:val="auto"/>
        </w:rPr>
      </w:pPr>
      <w:r>
        <w:rPr>
          <w:rFonts w:ascii="Arial" w:cs="Arial" w:eastAsia="Arial" w:hAnsi="Arial"/>
          <w:sz w:val="16"/>
          <w:szCs w:val="16"/>
          <w:u w:val="single" w:color="auto"/>
          <w:color w:val="auto"/>
        </w:rPr>
        <w:t>Other Restrictions</w:t>
      </w:r>
      <w:r>
        <w:rPr>
          <w:rFonts w:ascii="Arial" w:cs="Arial" w:eastAsia="Arial" w:hAnsi="Arial"/>
          <w:sz w:val="16"/>
          <w:szCs w:val="16"/>
          <w:color w:val="auto"/>
        </w:rPr>
        <w:t>. The Administrator, in its sole discretion, may impose such other restrictions on Shares of Restricted Stock as it may deem advisable or appropriate.</w:t>
      </w:r>
    </w:p>
    <w:p>
      <w:pPr>
        <w:sectPr>
          <w:pgSz w:w="11900" w:h="16838" w:orient="portrait"/>
          <w:cols w:equalWidth="0" w:num="1">
            <w:col w:w="9600"/>
          </w:cols>
          <w:pgMar w:left="1140" w:top="256" w:right="1159" w:bottom="1440" w:gutter="0" w:footer="0" w:header="0"/>
        </w:sectPr>
      </w:pPr>
    </w:p>
    <w:bookmarkStart w:id="313" w:name="page314"/>
    <w:bookmarkEnd w:id="313"/>
    <w:p>
      <w:pPr>
        <w:jc w:val="both"/>
        <w:ind w:left="-300" w:right="120" w:firstLine="860"/>
        <w:spacing w:after="0" w:line="343" w:lineRule="auto"/>
        <w:tabs>
          <w:tab w:leader="none" w:pos="779" w:val="left"/>
        </w:tabs>
        <w:numPr>
          <w:ilvl w:val="1"/>
          <w:numId w:val="184"/>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Removal of Restrictions</w:t>
      </w:r>
      <w:r>
        <w:rPr>
          <w:rFonts w:ascii="Arial" w:cs="Arial" w:eastAsia="Arial" w:hAnsi="Arial"/>
          <w:sz w:val="13"/>
          <w:szCs w:val="13"/>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13" w:lineRule="exact"/>
        <w:rPr>
          <w:rFonts w:ascii="Arial" w:cs="Arial" w:eastAsia="Arial" w:hAnsi="Arial"/>
          <w:sz w:val="13"/>
          <w:szCs w:val="13"/>
          <w:color w:val="auto"/>
        </w:rPr>
      </w:pPr>
    </w:p>
    <w:p>
      <w:pPr>
        <w:ind w:left="-300" w:right="100" w:firstLine="860"/>
        <w:spacing w:after="0" w:line="266" w:lineRule="auto"/>
        <w:tabs>
          <w:tab w:leader="none" w:pos="762"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rFonts w:ascii="Arial" w:cs="Arial" w:eastAsia="Arial" w:hAnsi="Arial"/>
          <w:sz w:val="16"/>
          <w:szCs w:val="16"/>
          <w:color w:val="auto"/>
        </w:rPr>
      </w:pPr>
    </w:p>
    <w:p>
      <w:pPr>
        <w:ind w:left="-300" w:right="340" w:firstLine="860"/>
        <w:spacing w:after="0" w:line="253" w:lineRule="auto"/>
        <w:tabs>
          <w:tab w:leader="none" w:pos="788"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Dividends and Other Distributions</w:t>
      </w:r>
      <w:r>
        <w:rPr>
          <w:rFonts w:ascii="Arial" w:cs="Arial" w:eastAsia="Arial" w:hAnsi="Arial"/>
          <w:sz w:val="16"/>
          <w:szCs w:val="16"/>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67" w:lineRule="exact"/>
        <w:rPr>
          <w:rFonts w:ascii="Arial" w:cs="Arial" w:eastAsia="Arial" w:hAnsi="Arial"/>
          <w:sz w:val="16"/>
          <w:szCs w:val="16"/>
          <w:color w:val="auto"/>
        </w:rPr>
      </w:pPr>
    </w:p>
    <w:p>
      <w:pPr>
        <w:ind w:left="-300" w:firstLine="860"/>
        <w:spacing w:after="0" w:line="266" w:lineRule="auto"/>
        <w:tabs>
          <w:tab w:leader="none" w:pos="788" w:val="left"/>
        </w:tabs>
        <w:numPr>
          <w:ilvl w:val="1"/>
          <w:numId w:val="184"/>
        </w:numPr>
        <w:rPr>
          <w:rFonts w:ascii="Arial" w:cs="Arial" w:eastAsia="Arial" w:hAnsi="Arial"/>
          <w:sz w:val="16"/>
          <w:szCs w:val="16"/>
          <w:color w:val="auto"/>
        </w:rPr>
      </w:pPr>
      <w:r>
        <w:rPr>
          <w:rFonts w:ascii="Arial" w:cs="Arial" w:eastAsia="Arial" w:hAnsi="Arial"/>
          <w:sz w:val="16"/>
          <w:szCs w:val="16"/>
          <w:u w:val="single" w:color="auto"/>
          <w:color w:val="auto"/>
        </w:rPr>
        <w:t>Return of Restricted Stock to Company</w:t>
      </w:r>
      <w:r>
        <w:rPr>
          <w:rFonts w:ascii="Arial" w:cs="Arial" w:eastAsia="Arial" w:hAnsi="Arial"/>
          <w:sz w:val="16"/>
          <w:szCs w:val="16"/>
          <w:color w:val="auto"/>
        </w:rPr>
        <w:t>. On the date set forth in the Award Agreement, the Restricted Stock for which restrictions have not lapsed will revert to the Company and again will become available for grant under the Plan.</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Restricted Stock Units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60" w:firstLine="860"/>
        <w:spacing w:after="0" w:line="256" w:lineRule="auto"/>
        <w:tabs>
          <w:tab w:leader="none" w:pos="779"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65" w:lineRule="exact"/>
        <w:rPr>
          <w:rFonts w:ascii="Arial" w:cs="Arial" w:eastAsia="Arial" w:hAnsi="Arial"/>
          <w:sz w:val="16"/>
          <w:szCs w:val="16"/>
          <w:color w:val="auto"/>
        </w:rPr>
      </w:pPr>
    </w:p>
    <w:p>
      <w:pPr>
        <w:ind w:left="-300" w:right="60" w:firstLine="860"/>
        <w:spacing w:after="0" w:line="253" w:lineRule="auto"/>
        <w:tabs>
          <w:tab w:leader="none" w:pos="788"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Vesting Criteria and Other Terms</w:t>
      </w:r>
      <w:r>
        <w:rPr>
          <w:rFonts w:ascii="Arial" w:cs="Arial" w:eastAsia="Arial" w:hAnsi="Arial"/>
          <w:sz w:val="16"/>
          <w:szCs w:val="16"/>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67" w:lineRule="exact"/>
        <w:rPr>
          <w:rFonts w:ascii="Arial" w:cs="Arial" w:eastAsia="Arial" w:hAnsi="Arial"/>
          <w:sz w:val="16"/>
          <w:szCs w:val="16"/>
          <w:color w:val="auto"/>
        </w:rPr>
      </w:pPr>
    </w:p>
    <w:p>
      <w:pPr>
        <w:jc w:val="both"/>
        <w:ind w:left="-300" w:right="320" w:firstLine="860"/>
        <w:spacing w:after="0" w:line="256" w:lineRule="auto"/>
        <w:tabs>
          <w:tab w:leader="none" w:pos="779"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Earning Restricted Stock Units</w:t>
      </w:r>
      <w:r>
        <w:rPr>
          <w:rFonts w:ascii="Arial" w:cs="Arial" w:eastAsia="Arial" w:hAnsi="Arial"/>
          <w:sz w:val="16"/>
          <w:szCs w:val="16"/>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65" w:lineRule="exact"/>
        <w:rPr>
          <w:rFonts w:ascii="Arial" w:cs="Arial" w:eastAsia="Arial" w:hAnsi="Arial"/>
          <w:sz w:val="16"/>
          <w:szCs w:val="16"/>
          <w:color w:val="auto"/>
        </w:rPr>
      </w:pPr>
    </w:p>
    <w:p>
      <w:pPr>
        <w:ind w:left="-300" w:right="300" w:firstLine="860"/>
        <w:spacing w:after="0" w:line="256" w:lineRule="auto"/>
        <w:tabs>
          <w:tab w:leader="none" w:pos="788" w:val="left"/>
        </w:tabs>
        <w:numPr>
          <w:ilvl w:val="1"/>
          <w:numId w:val="185"/>
        </w:numPr>
        <w:rPr>
          <w:rFonts w:ascii="Arial" w:cs="Arial" w:eastAsia="Arial" w:hAnsi="Arial"/>
          <w:sz w:val="16"/>
          <w:szCs w:val="16"/>
          <w:color w:val="auto"/>
        </w:rPr>
      </w:pPr>
      <w:r>
        <w:rPr>
          <w:rFonts w:ascii="Arial" w:cs="Arial" w:eastAsia="Arial" w:hAnsi="Arial"/>
          <w:sz w:val="16"/>
          <w:szCs w:val="16"/>
          <w:u w:val="single" w:color="auto"/>
          <w:color w:val="auto"/>
        </w:rPr>
        <w:t>Form and Timing of Payment</w:t>
      </w:r>
      <w:r>
        <w:rPr>
          <w:rFonts w:ascii="Arial" w:cs="Arial" w:eastAsia="Arial" w:hAnsi="Arial"/>
          <w:sz w:val="16"/>
          <w:szCs w:val="16"/>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65" w:lineRule="exact"/>
        <w:rPr>
          <w:rFonts w:ascii="Arial" w:cs="Arial" w:eastAsia="Arial" w:hAnsi="Arial"/>
          <w:sz w:val="16"/>
          <w:szCs w:val="16"/>
          <w:color w:val="auto"/>
        </w:rPr>
      </w:pPr>
    </w:p>
    <w:p>
      <w:pPr>
        <w:ind w:left="780" w:hanging="220"/>
        <w:spacing w:after="0"/>
        <w:tabs>
          <w:tab w:leader="none" w:pos="780" w:val="left"/>
        </w:tabs>
        <w:numPr>
          <w:ilvl w:val="1"/>
          <w:numId w:val="185"/>
        </w:numPr>
        <w:rPr>
          <w:rFonts w:ascii="Arial" w:cs="Arial" w:eastAsia="Arial" w:hAnsi="Arial"/>
          <w:sz w:val="13"/>
          <w:szCs w:val="13"/>
          <w:color w:val="auto"/>
        </w:rPr>
      </w:pPr>
      <w:r>
        <w:rPr>
          <w:rFonts w:ascii="Arial" w:cs="Arial" w:eastAsia="Arial" w:hAnsi="Arial"/>
          <w:sz w:val="13"/>
          <w:szCs w:val="13"/>
          <w:u w:val="single" w:color="auto"/>
          <w:color w:val="auto"/>
        </w:rPr>
        <w:t>Cancellation</w:t>
      </w:r>
      <w:r>
        <w:rPr>
          <w:rFonts w:ascii="Arial" w:cs="Arial" w:eastAsia="Arial" w:hAnsi="Arial"/>
          <w:sz w:val="13"/>
          <w:szCs w:val="13"/>
          <w:color w:val="auto"/>
        </w:rPr>
        <w:t>. On the date set forth in the Award Agreement, all unearned Restricted Stock Units will be forfeited to the Company.</w:t>
      </w:r>
    </w:p>
    <w:p>
      <w:pPr>
        <w:sectPr>
          <w:pgSz w:w="11900" w:h="16838" w:orient="portrait"/>
          <w:cols w:equalWidth="0" w:num="1">
            <w:col w:w="9280"/>
          </w:cols>
          <w:pgMar w:left="1440" w:top="256" w:right="1179" w:bottom="1440" w:gutter="0" w:footer="0" w:header="0"/>
        </w:sectPr>
      </w:pPr>
    </w:p>
    <w:bookmarkStart w:id="314" w:name="page315"/>
    <w:bookmarkEnd w:id="314"/>
    <w:p>
      <w:pPr>
        <w:ind w:left="-300" w:firstLine="378"/>
        <w:spacing w:after="0" w:line="249" w:lineRule="auto"/>
        <w:tabs>
          <w:tab w:leader="none" w:pos="32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72" w:lineRule="exact"/>
        <w:rPr>
          <w:rFonts w:ascii="Arial" w:cs="Arial" w:eastAsia="Arial" w:hAnsi="Arial"/>
          <w:sz w:val="16"/>
          <w:szCs w:val="16"/>
          <w:color w:val="auto"/>
        </w:rPr>
      </w:pPr>
    </w:p>
    <w:p>
      <w:pPr>
        <w:ind w:left="-300" w:right="100" w:firstLine="378"/>
        <w:spacing w:after="0" w:line="249" w:lineRule="auto"/>
        <w:tabs>
          <w:tab w:leader="none" w:pos="314"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Leaves of Absence/Transfer Between Locations</w:t>
      </w:r>
      <w:r>
        <w:rPr>
          <w:rFonts w:ascii="Arial" w:cs="Arial" w:eastAsia="Arial" w:hAnsi="Arial"/>
          <w:sz w:val="16"/>
          <w:szCs w:val="16"/>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3"/>
          <w:szCs w:val="13"/>
          <w:color w:val="auto"/>
        </w:rPr>
        <w:t>st</w:t>
      </w:r>
      <w:r>
        <w:rPr>
          <w:rFonts w:ascii="Arial" w:cs="Arial" w:eastAsia="Arial" w:hAnsi="Arial"/>
          <w:sz w:val="16"/>
          <w:szCs w:val="16"/>
          <w:color w:val="auto"/>
        </w:rPr>
        <w:t>) day of such leave, any Incentive Stock Option held by the Participant will cease to be treated as an Incentive Stock Option and will be treated for tax purposes as a Nonstatutory Stock Option.</w:t>
      </w:r>
    </w:p>
    <w:p>
      <w:pPr>
        <w:spacing w:after="0" w:line="172" w:lineRule="exact"/>
        <w:rPr>
          <w:rFonts w:ascii="Arial" w:cs="Arial" w:eastAsia="Arial" w:hAnsi="Arial"/>
          <w:sz w:val="16"/>
          <w:szCs w:val="16"/>
          <w:color w:val="auto"/>
        </w:rPr>
      </w:pPr>
    </w:p>
    <w:p>
      <w:pPr>
        <w:ind w:left="320" w:hanging="242"/>
        <w:spacing w:after="0"/>
        <w:tabs>
          <w:tab w:leader="none" w:pos="32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Limited Transferability of Awards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80" w:firstLine="860"/>
        <w:spacing w:after="0" w:line="275" w:lineRule="auto"/>
        <w:tabs>
          <w:tab w:leader="none" w:pos="779" w:val="left"/>
        </w:tabs>
        <w:numPr>
          <w:ilvl w:val="1"/>
          <w:numId w:val="186"/>
        </w:numPr>
        <w:rPr>
          <w:rFonts w:ascii="Arial" w:cs="Arial" w:eastAsia="Arial" w:hAnsi="Arial"/>
          <w:sz w:val="15"/>
          <w:szCs w:val="15"/>
          <w:color w:val="auto"/>
        </w:rPr>
      </w:pPr>
      <w:r>
        <w:rPr>
          <w:rFonts w:ascii="Arial" w:cs="Arial" w:eastAsia="Arial" w:hAnsi="Arial"/>
          <w:sz w:val="15"/>
          <w:szCs w:val="15"/>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52" w:lineRule="exact"/>
        <w:rPr>
          <w:rFonts w:ascii="Arial" w:cs="Arial" w:eastAsia="Arial" w:hAnsi="Arial"/>
          <w:sz w:val="15"/>
          <w:szCs w:val="15"/>
          <w:color w:val="auto"/>
        </w:rPr>
      </w:pPr>
    </w:p>
    <w:p>
      <w:pPr>
        <w:ind w:left="-300" w:right="20" w:firstLine="860"/>
        <w:spacing w:after="0" w:line="267" w:lineRule="auto"/>
        <w:tabs>
          <w:tab w:leader="none" w:pos="788" w:val="left"/>
        </w:tabs>
        <w:numPr>
          <w:ilvl w:val="1"/>
          <w:numId w:val="186"/>
        </w:numPr>
        <w:rPr>
          <w:rFonts w:ascii="Arial" w:cs="Arial" w:eastAsia="Arial" w:hAnsi="Arial"/>
          <w:sz w:val="15"/>
          <w:szCs w:val="15"/>
          <w:color w:val="auto"/>
        </w:rPr>
      </w:pPr>
      <w:r>
        <w:rPr>
          <w:rFonts w:ascii="Arial" w:cs="Arial" w:eastAsia="Arial" w:hAnsi="Arial"/>
          <w:sz w:val="15"/>
          <w:szCs w:val="15"/>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ectPr>
          <w:pgSz w:w="11900" w:h="16838" w:orient="portrait"/>
          <w:cols w:equalWidth="0" w:num="1">
            <w:col w:w="9300"/>
          </w:cols>
          <w:pgMar w:left="1440" w:top="256" w:right="1159" w:bottom="1440" w:gutter="0" w:footer="0" w:header="0"/>
        </w:sectPr>
      </w:pPr>
    </w:p>
    <w:bookmarkStart w:id="315" w:name="page316"/>
    <w:bookmarkEnd w:id="315"/>
    <w:p>
      <w:pPr>
        <w:ind w:left="620" w:hanging="242"/>
        <w:spacing w:after="0"/>
        <w:tabs>
          <w:tab w:leader="none" w:pos="620"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Adjustments; Dissolution or Liquidation; Merger or Change in Control</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firstLine="860"/>
        <w:spacing w:after="0" w:line="316" w:lineRule="auto"/>
        <w:tabs>
          <w:tab w:leader="none" w:pos="1079" w:val="left"/>
        </w:tabs>
        <w:numPr>
          <w:ilvl w:val="1"/>
          <w:numId w:val="187"/>
        </w:numPr>
        <w:rPr>
          <w:rFonts w:ascii="Arial" w:cs="Arial" w:eastAsia="Arial" w:hAnsi="Arial"/>
          <w:sz w:val="13"/>
          <w:szCs w:val="13"/>
          <w:color w:val="auto"/>
        </w:rPr>
      </w:pPr>
      <w:r>
        <w:rPr>
          <w:rFonts w:ascii="Arial" w:cs="Arial" w:eastAsia="Arial" w:hAnsi="Arial"/>
          <w:sz w:val="13"/>
          <w:szCs w:val="13"/>
          <w:u w:val="single" w:color="auto"/>
          <w:color w:val="auto"/>
        </w:rPr>
        <w:t>Adjustments</w:t>
      </w:r>
      <w:r>
        <w:rPr>
          <w:rFonts w:ascii="Arial" w:cs="Arial" w:eastAsia="Arial" w:hAnsi="Arial"/>
          <w:sz w:val="13"/>
          <w:szCs w:val="13"/>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31" w:lineRule="exact"/>
        <w:rPr>
          <w:rFonts w:ascii="Arial" w:cs="Arial" w:eastAsia="Arial" w:hAnsi="Arial"/>
          <w:sz w:val="13"/>
          <w:szCs w:val="13"/>
          <w:color w:val="auto"/>
        </w:rPr>
      </w:pPr>
    </w:p>
    <w:p>
      <w:pPr>
        <w:ind w:right="120" w:firstLine="860"/>
        <w:spacing w:after="0" w:line="256" w:lineRule="auto"/>
        <w:tabs>
          <w:tab w:leader="none" w:pos="1088"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65" w:lineRule="exact"/>
        <w:rPr>
          <w:rFonts w:ascii="Arial" w:cs="Arial" w:eastAsia="Arial" w:hAnsi="Arial"/>
          <w:sz w:val="16"/>
          <w:szCs w:val="16"/>
          <w:color w:val="auto"/>
        </w:rPr>
      </w:pPr>
    </w:p>
    <w:p>
      <w:pPr>
        <w:ind w:right="20" w:firstLine="860"/>
        <w:spacing w:after="0" w:line="309" w:lineRule="auto"/>
        <w:tabs>
          <w:tab w:leader="none" w:pos="1079" w:val="left"/>
        </w:tabs>
        <w:numPr>
          <w:ilvl w:val="1"/>
          <w:numId w:val="187"/>
        </w:numPr>
        <w:rPr>
          <w:rFonts w:ascii="Arial" w:cs="Arial" w:eastAsia="Arial" w:hAnsi="Arial"/>
          <w:sz w:val="13"/>
          <w:szCs w:val="13"/>
          <w:color w:val="auto"/>
        </w:rPr>
      </w:pPr>
      <w:r>
        <w:rPr>
          <w:rFonts w:ascii="Arial" w:cs="Arial" w:eastAsia="Arial" w:hAnsi="Arial"/>
          <w:sz w:val="13"/>
          <w:szCs w:val="13"/>
          <w:u w:val="single" w:color="auto"/>
          <w:color w:val="auto"/>
        </w:rPr>
        <w:t>Merger or Change in Control</w:t>
      </w:r>
      <w:r>
        <w:rPr>
          <w:rFonts w:ascii="Arial" w:cs="Arial" w:eastAsia="Arial" w:hAnsi="Arial"/>
          <w:sz w:val="13"/>
          <w:szCs w:val="13"/>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327" w:lineRule="exact"/>
        <w:rPr>
          <w:sz w:val="20"/>
          <w:szCs w:val="20"/>
          <w:color w:val="auto"/>
        </w:rPr>
      </w:pPr>
    </w:p>
    <w:p>
      <w:pPr>
        <w:ind w:right="120" w:firstLine="866"/>
        <w:spacing w:after="0" w:line="253"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w:t>
      </w:r>
    </w:p>
    <w:p>
      <w:pPr>
        <w:sectPr>
          <w:pgSz w:w="11900" w:h="16838" w:orient="portrait"/>
          <w:cols w:equalWidth="0" w:num="1">
            <w:col w:w="9580"/>
          </w:cols>
          <w:pgMar w:left="1140" w:top="256" w:right="1179" w:bottom="1440" w:gutter="0" w:footer="0" w:header="0"/>
        </w:sectPr>
      </w:pPr>
    </w:p>
    <w:bookmarkStart w:id="316" w:name="page317"/>
    <w:bookmarkEnd w:id="316"/>
    <w:p>
      <w:pPr>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ind w:right="40" w:firstLine="866"/>
        <w:spacing w:after="0" w:line="267" w:lineRule="auto"/>
        <w:rPr>
          <w:sz w:val="20"/>
          <w:szCs w:val="20"/>
          <w:color w:val="auto"/>
        </w:rPr>
      </w:pPr>
      <w:r>
        <w:rPr>
          <w:rFonts w:ascii="Arial" w:cs="Arial" w:eastAsia="Arial" w:hAnsi="Arial"/>
          <w:sz w:val="15"/>
          <w:szCs w:val="15"/>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59" w:lineRule="exact"/>
        <w:rPr>
          <w:sz w:val="20"/>
          <w:szCs w:val="20"/>
          <w:color w:val="auto"/>
        </w:rPr>
      </w:pPr>
    </w:p>
    <w:p>
      <w:pPr>
        <w:ind w:right="160" w:firstLine="866"/>
        <w:spacing w:after="0" w:line="275" w:lineRule="auto"/>
        <w:rPr>
          <w:sz w:val="20"/>
          <w:szCs w:val="20"/>
          <w:color w:val="auto"/>
        </w:rPr>
      </w:pPr>
      <w:r>
        <w:rPr>
          <w:rFonts w:ascii="Arial" w:cs="Arial" w:eastAsia="Arial" w:hAnsi="Arial"/>
          <w:sz w:val="15"/>
          <w:szCs w:val="15"/>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53" w:lineRule="exact"/>
        <w:rPr>
          <w:sz w:val="20"/>
          <w:szCs w:val="20"/>
          <w:color w:val="auto"/>
        </w:rPr>
      </w:pPr>
    </w:p>
    <w:p>
      <w:pPr>
        <w:jc w:val="both"/>
        <w:ind w:right="100" w:firstLine="866"/>
        <w:spacing w:after="0" w:line="329" w:lineRule="auto"/>
        <w:rPr>
          <w:sz w:val="20"/>
          <w:szCs w:val="20"/>
          <w:color w:val="auto"/>
        </w:rPr>
      </w:pPr>
      <w:r>
        <w:rPr>
          <w:rFonts w:ascii="Arial" w:cs="Arial" w:eastAsia="Arial" w:hAnsi="Arial"/>
          <w:sz w:val="13"/>
          <w:szCs w:val="13"/>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23" w:lineRule="exact"/>
        <w:rPr>
          <w:sz w:val="20"/>
          <w:szCs w:val="20"/>
          <w:color w:val="auto"/>
        </w:rPr>
      </w:pPr>
    </w:p>
    <w:p>
      <w:pPr>
        <w:ind w:left="620" w:hanging="242"/>
        <w:spacing w:after="0"/>
        <w:tabs>
          <w:tab w:leader="none" w:pos="62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80" w:firstLine="860"/>
        <w:spacing w:after="0" w:line="343" w:lineRule="auto"/>
        <w:tabs>
          <w:tab w:leader="none" w:pos="1079" w:val="left"/>
        </w:tabs>
        <w:numPr>
          <w:ilvl w:val="1"/>
          <w:numId w:val="188"/>
        </w:numPr>
        <w:rPr>
          <w:rFonts w:ascii="Arial" w:cs="Arial" w:eastAsia="Arial" w:hAnsi="Arial"/>
          <w:sz w:val="13"/>
          <w:szCs w:val="13"/>
          <w:color w:val="auto"/>
        </w:rPr>
      </w:pPr>
      <w:r>
        <w:rPr>
          <w:rFonts w:ascii="Arial" w:cs="Arial" w:eastAsia="Arial" w:hAnsi="Arial"/>
          <w:sz w:val="13"/>
          <w:szCs w:val="13"/>
          <w:u w:val="single" w:color="auto"/>
          <w:color w:val="auto"/>
        </w:rPr>
        <w:t>Withholding Requirements</w:t>
      </w:r>
      <w:r>
        <w:rPr>
          <w:rFonts w:ascii="Arial" w:cs="Arial" w:eastAsia="Arial" w:hAnsi="Arial"/>
          <w:sz w:val="13"/>
          <w:szCs w:val="13"/>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ectPr>
          <w:pgSz w:w="11900" w:h="16838" w:orient="portrait"/>
          <w:cols w:equalWidth="0" w:num="1">
            <w:col w:w="9580"/>
          </w:cols>
          <w:pgMar w:left="1140" w:top="256" w:right="1179" w:bottom="1440" w:gutter="0" w:footer="0" w:header="0"/>
        </w:sectPr>
      </w:pPr>
    </w:p>
    <w:bookmarkStart w:id="317" w:name="page318"/>
    <w:bookmarkEnd w:id="317"/>
    <w:p>
      <w:pPr>
        <w:ind w:left="6" w:right="80" w:firstLine="860"/>
        <w:spacing w:after="0" w:line="308" w:lineRule="auto"/>
        <w:tabs>
          <w:tab w:leader="none" w:pos="1094" w:val="left"/>
        </w:tabs>
        <w:numPr>
          <w:ilvl w:val="2"/>
          <w:numId w:val="189"/>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Withholding Arrangements</w:t>
      </w:r>
      <w:r>
        <w:rPr>
          <w:rFonts w:ascii="Arial" w:cs="Arial" w:eastAsia="Arial" w:hAnsi="Arial"/>
          <w:sz w:val="13"/>
          <w:szCs w:val="13"/>
          <w:color w:val="auto"/>
        </w:rPr>
        <w:t>. The Administrator, in its sole discretion and pursuant to such procedures as it may specify from time to 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w:t>
      </w:r>
    </w:p>
    <w:p>
      <w:pPr>
        <w:spacing w:after="0" w:line="1" w:lineRule="exact"/>
        <w:rPr>
          <w:rFonts w:ascii="Arial" w:cs="Arial" w:eastAsia="Arial" w:hAnsi="Arial"/>
          <w:sz w:val="13"/>
          <w:szCs w:val="13"/>
          <w:color w:val="auto"/>
        </w:rPr>
      </w:pPr>
    </w:p>
    <w:p>
      <w:pPr>
        <w:ind w:left="6" w:right="20" w:hanging="6"/>
        <w:spacing w:after="0" w:line="246" w:lineRule="auto"/>
        <w:tabs>
          <w:tab w:leader="none" w:pos="28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77" w:lineRule="exact"/>
        <w:rPr>
          <w:rFonts w:ascii="Arial" w:cs="Arial" w:eastAsia="Arial" w:hAnsi="Arial"/>
          <w:sz w:val="16"/>
          <w:szCs w:val="16"/>
          <w:color w:val="auto"/>
        </w:rPr>
      </w:pPr>
    </w:p>
    <w:p>
      <w:pPr>
        <w:ind w:left="6" w:right="120" w:firstLine="378"/>
        <w:spacing w:after="0" w:line="281" w:lineRule="auto"/>
        <w:tabs>
          <w:tab w:leader="none" w:pos="626"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No Effect on Employment or Service</w:t>
      </w:r>
      <w:r>
        <w:rPr>
          <w:rFonts w:ascii="Arial" w:cs="Arial" w:eastAsia="Arial" w:hAnsi="Arial"/>
          <w:sz w:val="15"/>
          <w:szCs w:val="15"/>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48" w:lineRule="exact"/>
        <w:rPr>
          <w:rFonts w:ascii="Arial" w:cs="Arial" w:eastAsia="Arial" w:hAnsi="Arial"/>
          <w:sz w:val="15"/>
          <w:szCs w:val="15"/>
          <w:color w:val="auto"/>
        </w:rPr>
      </w:pPr>
    </w:p>
    <w:p>
      <w:pPr>
        <w:ind w:left="6" w:right="160" w:firstLine="378"/>
        <w:spacing w:after="0" w:line="256" w:lineRule="auto"/>
        <w:tabs>
          <w:tab w:leader="none" w:pos="626"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Date of Grant</w:t>
      </w:r>
      <w:r>
        <w:rPr>
          <w:rFonts w:ascii="Arial" w:cs="Arial" w:eastAsia="Arial" w:hAnsi="Arial"/>
          <w:sz w:val="16"/>
          <w:szCs w:val="16"/>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65" w:lineRule="exact"/>
        <w:rPr>
          <w:rFonts w:ascii="Arial" w:cs="Arial" w:eastAsia="Arial" w:hAnsi="Arial"/>
          <w:sz w:val="16"/>
          <w:szCs w:val="16"/>
          <w:color w:val="auto"/>
        </w:rPr>
      </w:pPr>
    </w:p>
    <w:p>
      <w:pPr>
        <w:ind w:left="6" w:firstLine="378"/>
        <w:spacing w:after="0" w:line="281" w:lineRule="auto"/>
        <w:tabs>
          <w:tab w:leader="none" w:pos="626" w:val="left"/>
        </w:tabs>
        <w:numPr>
          <w:ilvl w:val="1"/>
          <w:numId w:val="190"/>
        </w:numPr>
        <w:rPr>
          <w:rFonts w:ascii="Arial" w:cs="Arial" w:eastAsia="Arial" w:hAnsi="Arial"/>
          <w:sz w:val="15"/>
          <w:szCs w:val="15"/>
          <w:color w:val="auto"/>
        </w:rPr>
      </w:pPr>
      <w:r>
        <w:rPr>
          <w:rFonts w:ascii="Arial" w:cs="Arial" w:eastAsia="Arial" w:hAnsi="Arial"/>
          <w:sz w:val="15"/>
          <w:szCs w:val="15"/>
          <w:u w:val="single" w:color="auto"/>
          <w:color w:val="auto"/>
        </w:rPr>
        <w:t>Term of Plan</w:t>
      </w:r>
      <w:r>
        <w:rPr>
          <w:rFonts w:ascii="Arial" w:cs="Arial" w:eastAsia="Arial" w:hAnsi="Arial"/>
          <w:sz w:val="15"/>
          <w:szCs w:val="15"/>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48" w:lineRule="exact"/>
        <w:rPr>
          <w:rFonts w:ascii="Arial" w:cs="Arial" w:eastAsia="Arial" w:hAnsi="Arial"/>
          <w:sz w:val="15"/>
          <w:szCs w:val="15"/>
          <w:color w:val="auto"/>
        </w:rPr>
      </w:pPr>
    </w:p>
    <w:p>
      <w:pPr>
        <w:ind w:left="626" w:hanging="242"/>
        <w:spacing w:after="0"/>
        <w:tabs>
          <w:tab w:leader="none" w:pos="626"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1086" w:hanging="220"/>
        <w:spacing w:after="0"/>
        <w:tabs>
          <w:tab w:leader="none" w:pos="1086" w:val="left"/>
        </w:tabs>
        <w:numPr>
          <w:ilvl w:val="2"/>
          <w:numId w:val="190"/>
        </w:numPr>
        <w:rPr>
          <w:rFonts w:ascii="Arial" w:cs="Arial" w:eastAsia="Arial" w:hAnsi="Arial"/>
          <w:sz w:val="16"/>
          <w:szCs w:val="16"/>
          <w:color w:val="auto"/>
        </w:rPr>
      </w:pPr>
      <w:r>
        <w:rPr>
          <w:rFonts w:ascii="Arial" w:cs="Arial" w:eastAsia="Arial" w:hAnsi="Arial"/>
          <w:sz w:val="16"/>
          <w:szCs w:val="16"/>
          <w:u w:val="single" w:color="auto"/>
          <w:color w:val="auto"/>
        </w:rPr>
        <w:t>Amendment and Termination</w:t>
      </w:r>
      <w:r>
        <w:rPr>
          <w:rFonts w:ascii="Arial" w:cs="Arial" w:eastAsia="Arial" w:hAnsi="Arial"/>
          <w:sz w:val="16"/>
          <w:szCs w:val="16"/>
          <w:color w:val="auto"/>
        </w:rPr>
        <w:t>. The Board may at any time amend, alter, suspend or terminate the Plan.</w:t>
      </w:r>
    </w:p>
    <w:p>
      <w:pPr>
        <w:spacing w:after="0" w:line="193" w:lineRule="exact"/>
        <w:rPr>
          <w:rFonts w:ascii="Arial" w:cs="Arial" w:eastAsia="Arial" w:hAnsi="Arial"/>
          <w:sz w:val="16"/>
          <w:szCs w:val="16"/>
          <w:color w:val="auto"/>
        </w:rPr>
      </w:pPr>
    </w:p>
    <w:p>
      <w:pPr>
        <w:ind w:left="6" w:right="60" w:firstLine="860"/>
        <w:spacing w:after="0" w:line="266" w:lineRule="auto"/>
        <w:tabs>
          <w:tab w:leader="none" w:pos="1094" w:val="left"/>
        </w:tabs>
        <w:numPr>
          <w:ilvl w:val="2"/>
          <w:numId w:val="190"/>
        </w:numPr>
        <w:rPr>
          <w:rFonts w:ascii="Arial" w:cs="Arial" w:eastAsia="Arial" w:hAnsi="Arial"/>
          <w:sz w:val="16"/>
          <w:szCs w:val="16"/>
          <w:color w:val="auto"/>
        </w:rPr>
      </w:pPr>
      <w:r>
        <w:rPr>
          <w:rFonts w:ascii="Arial" w:cs="Arial" w:eastAsia="Arial" w:hAnsi="Arial"/>
          <w:sz w:val="16"/>
          <w:szCs w:val="16"/>
          <w:u w:val="single" w:color="auto"/>
          <w:color w:val="auto"/>
        </w:rPr>
        <w:t>Stockholder Approval</w:t>
      </w:r>
      <w:r>
        <w:rPr>
          <w:rFonts w:ascii="Arial" w:cs="Arial" w:eastAsia="Arial" w:hAnsi="Arial"/>
          <w:sz w:val="16"/>
          <w:szCs w:val="16"/>
          <w:color w:val="auto"/>
        </w:rPr>
        <w:t>. The Company will obtain stockholder approval of any Plan amendment to the extent necessary and desirable to comply with Applicable Laws.</w:t>
      </w:r>
    </w:p>
    <w:p>
      <w:pPr>
        <w:spacing w:after="0" w:line="158" w:lineRule="exact"/>
        <w:rPr>
          <w:rFonts w:ascii="Arial" w:cs="Arial" w:eastAsia="Arial" w:hAnsi="Arial"/>
          <w:sz w:val="16"/>
          <w:szCs w:val="16"/>
          <w:color w:val="auto"/>
        </w:rPr>
      </w:pPr>
    </w:p>
    <w:p>
      <w:pPr>
        <w:ind w:left="6" w:right="260" w:firstLine="860"/>
        <w:spacing w:after="0" w:line="253" w:lineRule="auto"/>
        <w:tabs>
          <w:tab w:leader="none" w:pos="1085" w:val="left"/>
        </w:tabs>
        <w:numPr>
          <w:ilvl w:val="2"/>
          <w:numId w:val="190"/>
        </w:numPr>
        <w:rPr>
          <w:rFonts w:ascii="Arial" w:cs="Arial" w:eastAsia="Arial" w:hAnsi="Arial"/>
          <w:sz w:val="16"/>
          <w:szCs w:val="16"/>
          <w:color w:val="auto"/>
        </w:rPr>
      </w:pPr>
      <w:r>
        <w:rPr>
          <w:rFonts w:ascii="Arial" w:cs="Arial" w:eastAsia="Arial" w:hAnsi="Arial"/>
          <w:sz w:val="16"/>
          <w:szCs w:val="16"/>
          <w:u w:val="single" w:color="auto"/>
          <w:color w:val="auto"/>
        </w:rPr>
        <w:t>Effect of Amendment or Termination</w:t>
      </w:r>
      <w:r>
        <w:rPr>
          <w:rFonts w:ascii="Arial" w:cs="Arial" w:eastAsia="Arial" w:hAnsi="Arial"/>
          <w:sz w:val="16"/>
          <w:szCs w:val="16"/>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ectPr>
          <w:pgSz w:w="11900" w:h="16838" w:orient="portrait"/>
          <w:cols w:equalWidth="0" w:num="1">
            <w:col w:w="9626"/>
          </w:cols>
          <w:pgMar w:left="1134" w:top="257" w:right="1139" w:bottom="1440" w:gutter="0" w:footer="0" w:header="0"/>
        </w:sectPr>
      </w:pPr>
    </w:p>
    <w:bookmarkStart w:id="318" w:name="page319"/>
    <w:bookmarkEnd w:id="318"/>
    <w:p>
      <w:pPr>
        <w:ind w:left="626" w:hanging="242"/>
        <w:spacing w:after="0"/>
        <w:tabs>
          <w:tab w:leader="none" w:pos="626" w:val="left"/>
        </w:tabs>
        <w:numPr>
          <w:ilvl w:val="1"/>
          <w:numId w:val="1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Conditions Upon Issuance of Shares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6" w:right="160" w:firstLine="860"/>
        <w:spacing w:after="0" w:line="256" w:lineRule="auto"/>
        <w:tabs>
          <w:tab w:leader="none" w:pos="1085" w:val="left"/>
        </w:tabs>
        <w:numPr>
          <w:ilvl w:val="2"/>
          <w:numId w:val="191"/>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65" w:lineRule="exact"/>
        <w:rPr>
          <w:rFonts w:ascii="Arial" w:cs="Arial" w:eastAsia="Arial" w:hAnsi="Arial"/>
          <w:sz w:val="16"/>
          <w:szCs w:val="16"/>
          <w:color w:val="auto"/>
        </w:rPr>
      </w:pPr>
    </w:p>
    <w:p>
      <w:pPr>
        <w:ind w:left="6" w:firstLine="860"/>
        <w:spacing w:after="0" w:line="281" w:lineRule="auto"/>
        <w:tabs>
          <w:tab w:leader="none" w:pos="1094" w:val="left"/>
        </w:tabs>
        <w:numPr>
          <w:ilvl w:val="2"/>
          <w:numId w:val="191"/>
        </w:numPr>
        <w:rPr>
          <w:rFonts w:ascii="Arial" w:cs="Arial" w:eastAsia="Arial" w:hAnsi="Arial"/>
          <w:sz w:val="15"/>
          <w:szCs w:val="15"/>
          <w:color w:val="auto"/>
        </w:rPr>
      </w:pPr>
      <w:r>
        <w:rPr>
          <w:rFonts w:ascii="Arial" w:cs="Arial" w:eastAsia="Arial" w:hAnsi="Arial"/>
          <w:sz w:val="15"/>
          <w:szCs w:val="15"/>
          <w:u w:val="single" w:color="auto"/>
          <w:color w:val="auto"/>
        </w:rPr>
        <w:t>Investment Representations</w:t>
      </w:r>
      <w:r>
        <w:rPr>
          <w:rFonts w:ascii="Arial" w:cs="Arial" w:eastAsia="Arial" w:hAnsi="Arial"/>
          <w:sz w:val="15"/>
          <w:szCs w:val="15"/>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48" w:lineRule="exact"/>
        <w:rPr>
          <w:rFonts w:ascii="Arial" w:cs="Arial" w:eastAsia="Arial" w:hAnsi="Arial"/>
          <w:sz w:val="15"/>
          <w:szCs w:val="15"/>
          <w:color w:val="auto"/>
        </w:rPr>
      </w:pPr>
    </w:p>
    <w:p>
      <w:pPr>
        <w:jc w:val="both"/>
        <w:ind w:left="6" w:right="100" w:firstLine="378"/>
        <w:spacing w:after="0" w:line="281" w:lineRule="auto"/>
        <w:tabs>
          <w:tab w:leader="none" w:pos="626"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Inability to Obtain Authority</w:t>
      </w:r>
      <w:r>
        <w:rPr>
          <w:rFonts w:ascii="Arial" w:cs="Arial" w:eastAsia="Arial" w:hAnsi="Arial"/>
          <w:sz w:val="15"/>
          <w:szCs w:val="15"/>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48" w:lineRule="exact"/>
        <w:rPr>
          <w:rFonts w:ascii="Arial" w:cs="Arial" w:eastAsia="Arial" w:hAnsi="Arial"/>
          <w:sz w:val="15"/>
          <w:szCs w:val="15"/>
          <w:color w:val="auto"/>
        </w:rPr>
      </w:pPr>
    </w:p>
    <w:p>
      <w:pPr>
        <w:ind w:left="6" w:right="140" w:firstLine="378"/>
        <w:spacing w:after="0" w:line="383" w:lineRule="auto"/>
        <w:tabs>
          <w:tab w:leader="none" w:pos="626" w:val="left"/>
        </w:tabs>
        <w:numPr>
          <w:ilvl w:val="1"/>
          <w:numId w:val="191"/>
        </w:numPr>
        <w:rPr>
          <w:rFonts w:ascii="Arial" w:cs="Arial" w:eastAsia="Arial" w:hAnsi="Arial"/>
          <w:sz w:val="13"/>
          <w:szCs w:val="13"/>
          <w:color w:val="auto"/>
        </w:rPr>
      </w:pPr>
      <w:r>
        <w:rPr>
          <w:rFonts w:ascii="Arial" w:cs="Arial" w:eastAsia="Arial" w:hAnsi="Arial"/>
          <w:sz w:val="13"/>
          <w:szCs w:val="13"/>
          <w:u w:val="single" w:color="auto"/>
          <w:color w:val="auto"/>
        </w:rPr>
        <w:t>Stockholder Approval</w:t>
      </w:r>
      <w:r>
        <w:rPr>
          <w:rFonts w:ascii="Arial" w:cs="Arial" w:eastAsia="Arial" w:hAnsi="Arial"/>
          <w:sz w:val="13"/>
          <w:szCs w:val="13"/>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88" w:lineRule="exact"/>
        <w:rPr>
          <w:rFonts w:ascii="Arial" w:cs="Arial" w:eastAsia="Arial" w:hAnsi="Arial"/>
          <w:sz w:val="13"/>
          <w:szCs w:val="13"/>
          <w:color w:val="auto"/>
        </w:rPr>
      </w:pPr>
    </w:p>
    <w:p>
      <w:pPr>
        <w:ind w:left="626" w:hanging="242"/>
        <w:spacing w:after="0"/>
        <w:tabs>
          <w:tab w:leader="none" w:pos="626" w:val="left"/>
        </w:tabs>
        <w:numPr>
          <w:ilvl w:val="1"/>
          <w:numId w:val="191"/>
        </w:numPr>
        <w:rPr>
          <w:rFonts w:ascii="Arial" w:cs="Arial" w:eastAsia="Arial" w:hAnsi="Arial"/>
          <w:sz w:val="13"/>
          <w:szCs w:val="13"/>
          <w:color w:val="auto"/>
        </w:rPr>
      </w:pPr>
      <w:r>
        <w:rPr>
          <w:rFonts w:ascii="Arial" w:cs="Arial" w:eastAsia="Arial" w:hAnsi="Arial"/>
          <w:sz w:val="13"/>
          <w:szCs w:val="13"/>
          <w:u w:val="single" w:color="auto"/>
          <w:color w:val="auto"/>
        </w:rPr>
        <w:t>Information to Participants</w:t>
      </w:r>
      <w:r>
        <w:rPr>
          <w:rFonts w:ascii="Arial" w:cs="Arial" w:eastAsia="Arial" w:hAnsi="Arial"/>
          <w:sz w:val="13"/>
          <w:szCs w:val="13"/>
          <w:color w:val="auto"/>
        </w:rPr>
        <w:t>. Beginning on the earlier of (i) the date that the aggregate number of Participants under this Plan is five hundred</w:t>
      </w:r>
    </w:p>
    <w:p>
      <w:pPr>
        <w:spacing w:after="0" w:line="50" w:lineRule="exact"/>
        <w:rPr>
          <w:rFonts w:ascii="Arial" w:cs="Arial" w:eastAsia="Arial" w:hAnsi="Arial"/>
          <w:sz w:val="13"/>
          <w:szCs w:val="13"/>
          <w:color w:val="auto"/>
        </w:rPr>
      </w:pPr>
    </w:p>
    <w:p>
      <w:pPr>
        <w:ind w:left="6" w:hanging="6"/>
        <w:spacing w:after="0" w:line="302" w:lineRule="auto"/>
        <w:tabs>
          <w:tab w:leader="none" w:pos="386" w:val="left"/>
        </w:tabs>
        <w:numPr>
          <w:ilvl w:val="0"/>
          <w:numId w:val="192"/>
        </w:numPr>
        <w:rPr>
          <w:rFonts w:ascii="Arial" w:cs="Arial" w:eastAsia="Arial" w:hAnsi="Arial"/>
          <w:sz w:val="13"/>
          <w:szCs w:val="13"/>
          <w:color w:val="auto"/>
        </w:rPr>
      </w:pPr>
      <w:r>
        <w:rPr>
          <w:rFonts w:ascii="Arial" w:cs="Arial" w:eastAsia="Arial" w:hAnsi="Arial"/>
          <w:sz w:val="13"/>
          <w:szCs w:val="13"/>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2" w:lineRule="exact"/>
        <w:rPr>
          <w:rFonts w:ascii="Arial" w:cs="Arial" w:eastAsia="Arial" w:hAnsi="Arial"/>
          <w:sz w:val="13"/>
          <w:szCs w:val="13"/>
          <w:color w:val="auto"/>
        </w:rPr>
      </w:pPr>
    </w:p>
    <w:p>
      <w:pPr>
        <w:ind w:left="6" w:right="40" w:hanging="6"/>
        <w:spacing w:after="0" w:line="247" w:lineRule="auto"/>
        <w:tabs>
          <w:tab w:leader="none" w:pos="22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ectPr>
          <w:pgSz w:w="11900" w:h="16838" w:orient="portrait"/>
          <w:cols w:equalWidth="0" w:num="1">
            <w:col w:w="9606"/>
          </w:cols>
          <w:pgMar w:left="1134" w:top="256" w:right="1159" w:bottom="1440" w:gutter="0" w:footer="0" w:header="0"/>
        </w:sectPr>
      </w:pPr>
    </w:p>
    <w:bookmarkStart w:id="319" w:name="page320"/>
    <w:bookmarkEnd w:id="319"/>
    <w:p>
      <w:pPr>
        <w:jc w:val="center"/>
        <w:ind w:right="-2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TENAYA THERAPEUTICS, INC.</w:t>
      </w:r>
    </w:p>
    <w:p>
      <w:pPr>
        <w:spacing w:after="0" w:line="193"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225"/>
        <w:spacing w:after="0"/>
        <w:rPr>
          <w:sz w:val="20"/>
          <w:szCs w:val="20"/>
          <w:color w:val="auto"/>
        </w:rPr>
      </w:pPr>
      <w:r>
        <w:rPr>
          <w:rFonts w:ascii="Arial" w:cs="Arial" w:eastAsia="Arial" w:hAnsi="Arial"/>
          <w:sz w:val="16"/>
          <w:szCs w:val="16"/>
          <w:b w:val="1"/>
          <w:bCs w:val="1"/>
          <w:color w:val="auto"/>
        </w:rPr>
        <w:t>STOCK OPTION AGREEMENT</w:t>
      </w:r>
    </w:p>
    <w:p>
      <w:pPr>
        <w:spacing w:after="0" w:line="197" w:lineRule="exact"/>
        <w:rPr>
          <w:sz w:val="20"/>
          <w:szCs w:val="20"/>
          <w:color w:val="auto"/>
        </w:rPr>
      </w:pPr>
    </w:p>
    <w:p>
      <w:pPr>
        <w:ind w:left="6" w:right="40" w:firstLine="385"/>
        <w:spacing w:after="0" w:line="266" w:lineRule="auto"/>
        <w:rPr>
          <w:sz w:val="20"/>
          <w:szCs w:val="20"/>
          <w:color w:val="auto"/>
        </w:rPr>
      </w:pPr>
      <w:r>
        <w:rPr>
          <w:rFonts w:ascii="Arial" w:cs="Arial" w:eastAsia="Arial" w:hAnsi="Arial"/>
          <w:sz w:val="16"/>
          <w:szCs w:val="16"/>
          <w:color w:val="auto"/>
        </w:rPr>
        <w:t>Unless otherwise defined herein, the terms defined in the 2016 Equity Incentive Plan (the “Plan”) shall have the same defined meanings in this Stock Option Agreement (the “Option Agreement”).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Option Grant Number: ________</w:t>
      </w:r>
    </w:p>
    <w:p>
      <w:pPr>
        <w:spacing w:after="0" w:line="323" w:lineRule="exact"/>
        <w:rPr>
          <w:sz w:val="20"/>
          <w:szCs w:val="20"/>
          <w:color w:val="auto"/>
        </w:rPr>
      </w:pPr>
    </w:p>
    <w:p>
      <w:pPr>
        <w:ind w:left="386" w:right="6300" w:hanging="386"/>
        <w:spacing w:after="0" w:line="395" w:lineRule="auto"/>
        <w:tabs>
          <w:tab w:leader="none" w:pos="379"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NOTICE OF STOCK OPTION GRANT </w:t>
      </w:r>
      <w:r>
        <w:rPr>
          <w:rFonts w:ascii="Arial" w:cs="Arial" w:eastAsia="Arial" w:hAnsi="Arial"/>
          <w:sz w:val="16"/>
          <w:szCs w:val="16"/>
          <w:b w:val="1"/>
          <w:bCs w:val="1"/>
          <w:color w:val="auto"/>
        </w:rPr>
        <w:t>Name:</w:t>
      </w:r>
    </w:p>
    <w:p>
      <w:pPr>
        <w:spacing w:after="0" w:line="54" w:lineRule="exact"/>
        <w:rPr>
          <w:rFonts w:ascii="Arial" w:cs="Arial" w:eastAsia="Arial" w:hAnsi="Arial"/>
          <w:sz w:val="16"/>
          <w:szCs w:val="16"/>
          <w:b w:val="1"/>
          <w:bCs w:val="1"/>
          <w:color w:val="auto"/>
        </w:rPr>
      </w:pPr>
    </w:p>
    <w:p>
      <w:pPr>
        <w:ind w:left="386"/>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Address: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3"/>
          <w:szCs w:val="13"/>
          <w:color w:val="auto"/>
        </w:rPr>
        <w:t>The undersigned Participant has been granted an Option to purchase Common Stock of the Company, subject to the terms and conditions of the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Plan and this Option Agreement, as follows:</w:t>
      </w:r>
    </w:p>
    <w:p>
      <w:pPr>
        <w:spacing w:after="0" w:line="205" w:lineRule="exact"/>
        <w:rPr>
          <w:sz w:val="20"/>
          <w:szCs w:val="20"/>
          <w:color w:val="auto"/>
        </w:rPr>
      </w:pPr>
    </w:p>
    <w:tbl>
      <w:tblPr>
        <w:tblLayout w:type="fixed"/>
        <w:tblInd w:w="1546" w:type="dxa"/>
        <w:tblCellMar>
          <w:top w:w="0" w:type="dxa"/>
          <w:left w:w="0" w:type="dxa"/>
          <w:bottom w:w="0" w:type="dxa"/>
          <w:right w:w="0" w:type="dxa"/>
        </w:tblCellMar>
      </w:tblPr>
      <w:tr>
        <w:trPr>
          <w:trHeight w:val="200"/>
        </w:trPr>
        <w:tc>
          <w:tcPr>
            <w:tcW w:w="3420" w:type="dxa"/>
            <w:vAlign w:val="bottom"/>
          </w:tcPr>
          <w:p>
            <w:pPr>
              <w:spacing w:after="0"/>
              <w:rPr>
                <w:sz w:val="20"/>
                <w:szCs w:val="20"/>
                <w:color w:val="auto"/>
              </w:rPr>
            </w:pPr>
            <w:r>
              <w:rPr>
                <w:rFonts w:ascii="Arial" w:cs="Arial" w:eastAsia="Arial" w:hAnsi="Arial"/>
                <w:sz w:val="16"/>
                <w:szCs w:val="16"/>
                <w:color w:val="auto"/>
              </w:rPr>
              <w:t>Date of Grant:</w:t>
            </w: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r>
      <w:tr>
        <w:trPr>
          <w:trHeight w:val="358"/>
        </w:trPr>
        <w:tc>
          <w:tcPr>
            <w:tcW w:w="3420" w:type="dxa"/>
            <w:vAlign w:val="bottom"/>
          </w:tcPr>
          <w:p>
            <w:pPr>
              <w:spacing w:after="0"/>
              <w:rPr>
                <w:sz w:val="20"/>
                <w:szCs w:val="20"/>
                <w:color w:val="auto"/>
              </w:rPr>
            </w:pPr>
            <w:r>
              <w:rPr>
                <w:rFonts w:ascii="Arial" w:cs="Arial" w:eastAsia="Arial" w:hAnsi="Arial"/>
                <w:sz w:val="16"/>
                <w:szCs w:val="16"/>
                <w:color w:val="auto"/>
              </w:rPr>
              <w:t>Vesting Commencement Date:</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57"/>
        </w:trPr>
        <w:tc>
          <w:tcPr>
            <w:tcW w:w="3420" w:type="dxa"/>
            <w:vAlign w:val="bottom"/>
          </w:tcPr>
          <w:p>
            <w:pPr>
              <w:spacing w:after="0"/>
              <w:rPr>
                <w:sz w:val="20"/>
                <w:szCs w:val="20"/>
                <w:color w:val="auto"/>
              </w:rPr>
            </w:pPr>
            <w:r>
              <w:rPr>
                <w:rFonts w:ascii="Arial" w:cs="Arial" w:eastAsia="Arial" w:hAnsi="Arial"/>
                <w:sz w:val="16"/>
                <w:szCs w:val="16"/>
                <w:color w:val="auto"/>
              </w:rPr>
              <w:t>Exercise Price per Share:</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spacing w:after="0"/>
              <w:rPr>
                <w:sz w:val="24"/>
                <w:szCs w:val="24"/>
                <w:color w:val="auto"/>
              </w:rPr>
            </w:pPr>
          </w:p>
        </w:tc>
      </w:tr>
      <w:tr>
        <w:trPr>
          <w:trHeight w:val="358"/>
        </w:trPr>
        <w:tc>
          <w:tcPr>
            <w:tcW w:w="3420" w:type="dxa"/>
            <w:vAlign w:val="bottom"/>
          </w:tcPr>
          <w:p>
            <w:pPr>
              <w:spacing w:after="0"/>
              <w:rPr>
                <w:sz w:val="20"/>
                <w:szCs w:val="20"/>
                <w:color w:val="auto"/>
              </w:rPr>
            </w:pPr>
            <w:r>
              <w:rPr>
                <w:rFonts w:ascii="Arial" w:cs="Arial" w:eastAsia="Arial" w:hAnsi="Arial"/>
                <w:sz w:val="16"/>
                <w:szCs w:val="16"/>
                <w:color w:val="auto"/>
              </w:rPr>
              <w:t>Total Number of Shares Granted:</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r>
        <w:trPr>
          <w:trHeight w:val="357"/>
        </w:trPr>
        <w:tc>
          <w:tcPr>
            <w:tcW w:w="3420" w:type="dxa"/>
            <w:vAlign w:val="bottom"/>
          </w:tcPr>
          <w:p>
            <w:pPr>
              <w:spacing w:after="0"/>
              <w:rPr>
                <w:sz w:val="20"/>
                <w:szCs w:val="20"/>
                <w:color w:val="auto"/>
              </w:rPr>
            </w:pPr>
            <w:r>
              <w:rPr>
                <w:rFonts w:ascii="Arial" w:cs="Arial" w:eastAsia="Arial" w:hAnsi="Arial"/>
                <w:sz w:val="16"/>
                <w:szCs w:val="16"/>
                <w:color w:val="auto"/>
              </w:rPr>
              <w:t>Total Exercise Price:</w:t>
            </w:r>
          </w:p>
        </w:tc>
        <w:tc>
          <w:tcPr>
            <w:tcW w:w="4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2680" w:type="dxa"/>
            <w:vAlign w:val="bottom"/>
            <w:tcBorders>
              <w:bottom w:val="single" w:sz="8" w:color="auto"/>
            </w:tcBorders>
          </w:tcPr>
          <w:p>
            <w:pPr>
              <w:spacing w:after="0"/>
              <w:rPr>
                <w:sz w:val="24"/>
                <w:szCs w:val="24"/>
                <w:color w:val="auto"/>
              </w:rPr>
            </w:pPr>
          </w:p>
        </w:tc>
      </w:tr>
      <w:tr>
        <w:trPr>
          <w:trHeight w:val="322"/>
        </w:trPr>
        <w:tc>
          <w:tcPr>
            <w:tcW w:w="3420" w:type="dxa"/>
            <w:vAlign w:val="bottom"/>
          </w:tcPr>
          <w:p>
            <w:pPr>
              <w:spacing w:after="0"/>
              <w:rPr>
                <w:sz w:val="20"/>
                <w:szCs w:val="20"/>
                <w:color w:val="auto"/>
              </w:rPr>
            </w:pPr>
            <w:r>
              <w:rPr>
                <w:rFonts w:ascii="Arial" w:cs="Arial" w:eastAsia="Arial" w:hAnsi="Arial"/>
                <w:sz w:val="16"/>
                <w:szCs w:val="16"/>
                <w:color w:val="auto"/>
              </w:rPr>
              <w:t>Type of Option:</w:t>
            </w: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Pr>
          <w:p>
            <w:pPr>
              <w:ind w:left="40"/>
              <w:spacing w:after="0"/>
              <w:rPr>
                <w:sz w:val="20"/>
                <w:szCs w:val="20"/>
                <w:color w:val="auto"/>
              </w:rPr>
            </w:pPr>
            <w:r>
              <w:rPr>
                <w:rFonts w:ascii="Arial" w:cs="Arial" w:eastAsia="Arial" w:hAnsi="Arial"/>
                <w:sz w:val="16"/>
                <w:szCs w:val="16"/>
                <w:color w:val="auto"/>
              </w:rPr>
              <w:t>Incentive Stock Option</w:t>
            </w:r>
          </w:p>
        </w:tc>
      </w:tr>
      <w:tr>
        <w:trPr>
          <w:trHeight w:val="357"/>
        </w:trPr>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Pr>
          <w:p>
            <w:pPr>
              <w:ind w:left="40"/>
              <w:spacing w:after="0"/>
              <w:rPr>
                <w:sz w:val="20"/>
                <w:szCs w:val="20"/>
                <w:color w:val="auto"/>
              </w:rPr>
            </w:pPr>
            <w:r>
              <w:rPr>
                <w:rFonts w:ascii="Arial" w:cs="Arial" w:eastAsia="Arial" w:hAnsi="Arial"/>
                <w:sz w:val="16"/>
                <w:szCs w:val="16"/>
                <w:color w:val="auto"/>
              </w:rPr>
              <w:t>Nonstatutory Stock Option</w:t>
            </w:r>
          </w:p>
        </w:tc>
      </w:tr>
      <w:tr>
        <w:trPr>
          <w:trHeight w:val="392"/>
        </w:trPr>
        <w:tc>
          <w:tcPr>
            <w:tcW w:w="3420" w:type="dxa"/>
            <w:vAlign w:val="bottom"/>
          </w:tcPr>
          <w:p>
            <w:pPr>
              <w:spacing w:after="0"/>
              <w:rPr>
                <w:sz w:val="20"/>
                <w:szCs w:val="20"/>
                <w:color w:val="auto"/>
              </w:rPr>
            </w:pPr>
            <w:r>
              <w:rPr>
                <w:rFonts w:ascii="Arial" w:cs="Arial" w:eastAsia="Arial" w:hAnsi="Arial"/>
                <w:sz w:val="16"/>
                <w:szCs w:val="16"/>
                <w:color w:val="auto"/>
              </w:rPr>
              <w:t>Term/Expiration Date:</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pacing w:after="0" w:line="176" w:lineRule="exact"/>
        <w:rPr>
          <w:sz w:val="20"/>
          <w:szCs w:val="20"/>
          <w:color w:val="auto"/>
        </w:rPr>
      </w:pPr>
    </w:p>
    <w:p>
      <w:pPr>
        <w:ind w:left="386"/>
        <w:spacing w:after="0"/>
        <w:rPr>
          <w:sz w:val="20"/>
          <w:szCs w:val="20"/>
          <w:color w:val="auto"/>
        </w:rPr>
      </w:pPr>
      <w:r>
        <w:rPr>
          <w:rFonts w:ascii="Arial" w:cs="Arial" w:eastAsia="Arial" w:hAnsi="Arial"/>
          <w:sz w:val="16"/>
          <w:szCs w:val="16"/>
          <w:u w:val="single" w:color="auto"/>
          <w:color w:val="auto"/>
        </w:rPr>
        <w:t>Vesting Schedule</w:t>
      </w:r>
      <w:r>
        <w:rPr>
          <w:rFonts w:ascii="Arial" w:cs="Arial" w:eastAsia="Arial" w:hAnsi="Arial"/>
          <w:sz w:val="16"/>
          <w:szCs w:val="16"/>
          <w:color w:val="auto"/>
        </w:rPr>
        <w:t>:</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This Option shall be exercisable, in whole or in part, according to the following vesting schedule:</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[See Carta]</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u w:val="single" w:color="auto"/>
          <w:color w:val="auto"/>
        </w:rPr>
        <w:t>Termination Period</w:t>
      </w:r>
      <w:r>
        <w:rPr>
          <w:rFonts w:ascii="Arial" w:cs="Arial" w:eastAsia="Arial" w:hAnsi="Arial"/>
          <w:sz w:val="16"/>
          <w:szCs w:val="16"/>
          <w:color w:val="auto"/>
        </w:rPr>
        <w:t>:</w:t>
      </w:r>
    </w:p>
    <w:p>
      <w:pPr>
        <w:spacing w:after="0" w:line="193" w:lineRule="exact"/>
        <w:rPr>
          <w:sz w:val="20"/>
          <w:szCs w:val="20"/>
          <w:color w:val="auto"/>
        </w:rPr>
      </w:pPr>
    </w:p>
    <w:p>
      <w:pPr>
        <w:ind w:left="6" w:right="420" w:firstLine="385"/>
        <w:spacing w:after="0" w:line="266" w:lineRule="auto"/>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due to Participant’s death or Disability, in which case this</w:t>
      </w:r>
    </w:p>
    <w:p>
      <w:pPr>
        <w:sectPr>
          <w:pgSz w:w="11900" w:h="16838" w:orient="portrait"/>
          <w:cols w:equalWidth="0" w:num="1">
            <w:col w:w="9406"/>
          </w:cols>
          <w:pgMar w:left="1134" w:top="252" w:right="1359" w:bottom="1440" w:gutter="0" w:footer="0" w:header="0"/>
        </w:sectPr>
      </w:pPr>
    </w:p>
    <w:bookmarkStart w:id="320" w:name="page321"/>
    <w:bookmarkEnd w:id="320"/>
    <w:p>
      <w:pPr>
        <w:ind w:left="6"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291" w:lineRule="exact"/>
        <w:rPr>
          <w:sz w:val="20"/>
          <w:szCs w:val="20"/>
          <w:color w:val="auto"/>
        </w:rPr>
      </w:pPr>
    </w:p>
    <w:p>
      <w:pPr>
        <w:ind w:left="386" w:hanging="386"/>
        <w:spacing w:after="0"/>
        <w:tabs>
          <w:tab w:leader="none" w:pos="386" w:val="left"/>
        </w:tabs>
        <w:numPr>
          <w:ilvl w:val="0"/>
          <w:numId w:val="19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w:t>
      </w:r>
    </w:p>
    <w:p>
      <w:pPr>
        <w:spacing w:after="0" w:line="102" w:lineRule="exact"/>
        <w:rPr>
          <w:rFonts w:ascii="Arial" w:cs="Arial" w:eastAsia="Arial" w:hAnsi="Arial"/>
          <w:sz w:val="16"/>
          <w:szCs w:val="16"/>
          <w:b w:val="1"/>
          <w:bCs w:val="1"/>
          <w:color w:val="auto"/>
        </w:rPr>
      </w:pPr>
    </w:p>
    <w:p>
      <w:pPr>
        <w:ind w:left="6" w:right="20" w:firstLine="378"/>
        <w:spacing w:after="0" w:line="251" w:lineRule="auto"/>
        <w:tabs>
          <w:tab w:leader="none" w:pos="548"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of the Company hereby grants to the Participant named in the Notice of Stock Option Grant in Part I of this Option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70" w:lineRule="exact"/>
        <w:rPr>
          <w:sz w:val="20"/>
          <w:szCs w:val="20"/>
          <w:color w:val="auto"/>
        </w:rPr>
      </w:pPr>
    </w:p>
    <w:p>
      <w:pPr>
        <w:ind w:left="6" w:firstLine="385"/>
        <w:spacing w:after="0" w:line="270" w:lineRule="auto"/>
        <w:rPr>
          <w:sz w:val="20"/>
          <w:szCs w:val="20"/>
          <w:color w:val="auto"/>
        </w:rPr>
      </w:pPr>
      <w:r>
        <w:rPr>
          <w:rFonts w:ascii="Arial" w:cs="Arial" w:eastAsia="Arial" w:hAnsi="Arial"/>
          <w:sz w:val="15"/>
          <w:szCs w:val="15"/>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56" w:lineRule="exact"/>
        <w:rPr>
          <w:sz w:val="20"/>
          <w:szCs w:val="20"/>
          <w:color w:val="auto"/>
        </w:rPr>
      </w:pPr>
    </w:p>
    <w:p>
      <w:pPr>
        <w:ind w:left="546" w:hanging="162"/>
        <w:spacing w:after="0"/>
        <w:tabs>
          <w:tab w:leader="none" w:pos="54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p>
    <w:p>
      <w:pPr>
        <w:spacing w:after="0" w:line="193" w:lineRule="exact"/>
        <w:rPr>
          <w:rFonts w:ascii="Arial" w:cs="Arial" w:eastAsia="Arial" w:hAnsi="Arial"/>
          <w:sz w:val="16"/>
          <w:szCs w:val="16"/>
          <w:color w:val="auto"/>
        </w:rPr>
      </w:pPr>
    </w:p>
    <w:p>
      <w:pPr>
        <w:ind w:left="6" w:right="280" w:firstLine="860"/>
        <w:spacing w:after="0" w:line="266" w:lineRule="auto"/>
        <w:tabs>
          <w:tab w:leader="none" w:pos="1085"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This Option shall be exercisable during its term in accordance with the Vesting Schedule set out in the Notice of Stock Option Grant and with the applicable provisions of the Plan and this Option Agreement</w:t>
      </w:r>
    </w:p>
    <w:p>
      <w:pPr>
        <w:spacing w:after="0" w:line="158" w:lineRule="exact"/>
        <w:rPr>
          <w:rFonts w:ascii="Arial" w:cs="Arial" w:eastAsia="Arial" w:hAnsi="Arial"/>
          <w:sz w:val="16"/>
          <w:szCs w:val="16"/>
          <w:color w:val="auto"/>
        </w:rPr>
      </w:pPr>
    </w:p>
    <w:p>
      <w:pPr>
        <w:ind w:left="6" w:right="20" w:firstLine="860"/>
        <w:spacing w:after="0" w:line="319" w:lineRule="auto"/>
        <w:tabs>
          <w:tab w:leader="none" w:pos="1094" w:val="left"/>
        </w:tabs>
        <w:numPr>
          <w:ilvl w:val="1"/>
          <w:numId w:val="196"/>
        </w:numPr>
        <w:rPr>
          <w:rFonts w:ascii="Arial" w:cs="Arial" w:eastAsia="Arial" w:hAnsi="Arial"/>
          <w:sz w:val="13"/>
          <w:szCs w:val="13"/>
          <w:color w:val="auto"/>
        </w:rPr>
      </w:pPr>
      <w:r>
        <w:rPr>
          <w:rFonts w:ascii="Arial" w:cs="Arial" w:eastAsia="Arial" w:hAnsi="Arial"/>
          <w:sz w:val="13"/>
          <w:szCs w:val="13"/>
          <w:u w:val="single" w:color="auto"/>
          <w:color w:val="auto"/>
        </w:rPr>
        <w:t>Method of Exercise</w:t>
      </w:r>
      <w:r>
        <w:rPr>
          <w:rFonts w:ascii="Arial" w:cs="Arial" w:eastAsia="Arial" w:hAnsi="Arial"/>
          <w:sz w:val="13"/>
          <w:szCs w:val="13"/>
          <w:color w:val="auto"/>
        </w:rPr>
        <w:t xml:space="preserve">. This Option shall be exercisable by delivery of an exercise notice in the form attached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28" w:lineRule="exact"/>
        <w:rPr>
          <w:sz w:val="20"/>
          <w:szCs w:val="20"/>
          <w:color w:val="auto"/>
        </w:rPr>
      </w:pPr>
    </w:p>
    <w:p>
      <w:pPr>
        <w:ind w:left="6" w:right="100" w:firstLine="385"/>
        <w:spacing w:after="0" w:line="256" w:lineRule="auto"/>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66" w:lineRule="exact"/>
        <w:rPr>
          <w:sz w:val="20"/>
          <w:szCs w:val="20"/>
          <w:color w:val="auto"/>
        </w:rPr>
      </w:pPr>
    </w:p>
    <w:p>
      <w:pPr>
        <w:ind w:left="6" w:right="240" w:firstLine="378"/>
        <w:spacing w:after="0" w:line="281" w:lineRule="auto"/>
        <w:tabs>
          <w:tab w:leader="none" w:pos="548"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ectPr>
          <w:pgSz w:w="11900" w:h="16838" w:orient="portrait"/>
          <w:cols w:equalWidth="0" w:num="1">
            <w:col w:w="9586"/>
          </w:cols>
          <w:pgMar w:left="1134" w:top="256" w:right="1179" w:bottom="1440" w:gutter="0" w:footer="0" w:header="0"/>
        </w:sectPr>
      </w:pPr>
    </w:p>
    <w:bookmarkStart w:id="321" w:name="page322"/>
    <w:bookmarkEnd w:id="321"/>
    <w:p>
      <w:pPr>
        <w:ind w:firstLine="378"/>
        <w:spacing w:after="0" w:line="267" w:lineRule="auto"/>
        <w:tabs>
          <w:tab w:leader="none" w:pos="542" w:val="left"/>
        </w:tabs>
        <w:numPr>
          <w:ilvl w:val="0"/>
          <w:numId w:val="19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Lock-Up Period</w:t>
      </w:r>
      <w:r>
        <w:rPr>
          <w:rFonts w:ascii="Arial" w:cs="Arial" w:eastAsia="Arial" w:hAnsi="Arial"/>
          <w:sz w:val="15"/>
          <w:szCs w:val="15"/>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w:t>
      </w:r>
    </w:p>
    <w:p>
      <w:pPr>
        <w:spacing w:after="0" w:line="159" w:lineRule="exact"/>
        <w:rPr>
          <w:sz w:val="20"/>
          <w:szCs w:val="20"/>
          <w:color w:val="auto"/>
        </w:rPr>
      </w:pPr>
    </w:p>
    <w:p>
      <w:pPr>
        <w:ind w:right="60" w:firstLine="385"/>
        <w:spacing w:after="0" w:line="266" w:lineRule="auto"/>
        <w:rPr>
          <w:sz w:val="20"/>
          <w:szCs w:val="20"/>
          <w:color w:val="auto"/>
        </w:rPr>
      </w:pPr>
      <w:r>
        <w:rPr>
          <w:rFonts w:ascii="Arial" w:cs="Arial" w:eastAsia="Arial" w:hAnsi="Arial"/>
          <w:sz w:val="15"/>
          <w:szCs w:val="15"/>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63" w:lineRule="exact"/>
        <w:rPr>
          <w:sz w:val="20"/>
          <w:szCs w:val="20"/>
          <w:color w:val="auto"/>
        </w:rPr>
      </w:pPr>
    </w:p>
    <w:p>
      <w:pPr>
        <w:ind w:right="180" w:firstLine="378"/>
        <w:spacing w:after="0" w:line="266" w:lineRule="auto"/>
        <w:tabs>
          <w:tab w:leader="none" w:pos="542"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shall be by any of the following, or a combination thereof, at the election of the Participant:</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cash;</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check;</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199"/>
        </w:numPr>
        <w:rPr>
          <w:rFonts w:ascii="Arial" w:cs="Arial" w:eastAsia="Arial" w:hAnsi="Arial"/>
          <w:sz w:val="13"/>
          <w:szCs w:val="13"/>
          <w:color w:val="auto"/>
        </w:rPr>
      </w:pPr>
      <w:r>
        <w:rPr>
          <w:rFonts w:ascii="Arial" w:cs="Arial" w:eastAsia="Arial" w:hAnsi="Arial"/>
          <w:sz w:val="13"/>
          <w:szCs w:val="13"/>
          <w:color w:val="auto"/>
        </w:rPr>
        <w:t>consideration received by the Company under a formal cashless exercise program adopted by the Company in connection with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 or</w:t>
      </w:r>
    </w:p>
    <w:p>
      <w:pPr>
        <w:spacing w:after="0" w:line="181"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199"/>
        </w:numPr>
        <w:rPr>
          <w:rFonts w:ascii="Arial" w:cs="Arial" w:eastAsia="Arial" w:hAnsi="Arial"/>
          <w:sz w:val="16"/>
          <w:szCs w:val="16"/>
          <w:color w:val="auto"/>
        </w:rPr>
      </w:pPr>
      <w:r>
        <w:rPr>
          <w:rFonts w:ascii="Arial" w:cs="Arial" w:eastAsia="Arial" w:hAnsi="Arial"/>
          <w:sz w:val="16"/>
          <w:szCs w:val="16"/>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ectPr>
          <w:pgSz w:w="11900" w:h="16838" w:orient="portrait"/>
          <w:cols w:equalWidth="0" w:num="1">
            <w:col w:w="9620"/>
          </w:cols>
          <w:pgMar w:left="1140" w:top="256" w:right="1139" w:bottom="1440" w:gutter="0" w:footer="0" w:header="0"/>
        </w:sectPr>
      </w:pPr>
    </w:p>
    <w:bookmarkStart w:id="322" w:name="page323"/>
    <w:bookmarkEnd w:id="322"/>
    <w:p>
      <w:pPr>
        <w:ind w:left="-300" w:right="100" w:firstLine="378"/>
        <w:spacing w:after="0" w:line="256" w:lineRule="auto"/>
        <w:tabs>
          <w:tab w:leader="none" w:pos="242"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Restrictions on Exercise</w:t>
      </w:r>
      <w:r>
        <w:rPr>
          <w:rFonts w:ascii="Arial" w:cs="Arial" w:eastAsia="Arial" w:hAnsi="Arial"/>
          <w:sz w:val="16"/>
          <w:szCs w:val="16"/>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65" w:lineRule="exact"/>
        <w:rPr>
          <w:rFonts w:ascii="Arial" w:cs="Arial" w:eastAsia="Arial" w:hAnsi="Arial"/>
          <w:sz w:val="16"/>
          <w:szCs w:val="16"/>
          <w:color w:val="auto"/>
        </w:rPr>
      </w:pPr>
    </w:p>
    <w:p>
      <w:pPr>
        <w:ind w:left="240" w:hanging="162"/>
        <w:spacing w:after="0"/>
        <w:tabs>
          <w:tab w:leader="none" w:pos="24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20" w:firstLine="860"/>
        <w:spacing w:after="0" w:line="256" w:lineRule="auto"/>
        <w:tabs>
          <w:tab w:leader="none" w:pos="779" w:val="left"/>
        </w:tabs>
        <w:numPr>
          <w:ilvl w:val="1"/>
          <w:numId w:val="200"/>
        </w:numPr>
        <w:rPr>
          <w:rFonts w:ascii="Arial" w:cs="Arial" w:eastAsia="Arial" w:hAnsi="Arial"/>
          <w:sz w:val="16"/>
          <w:szCs w:val="16"/>
          <w:color w:val="auto"/>
        </w:rPr>
      </w:pPr>
      <w:r>
        <w:rPr>
          <w:rFonts w:ascii="Arial" w:cs="Arial" w:eastAsia="Arial" w:hAnsi="Arial"/>
          <w:sz w:val="16"/>
          <w:szCs w:val="16"/>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65" w:lineRule="exact"/>
        <w:rPr>
          <w:rFonts w:ascii="Arial" w:cs="Arial" w:eastAsia="Arial" w:hAnsi="Arial"/>
          <w:sz w:val="16"/>
          <w:szCs w:val="16"/>
          <w:color w:val="auto"/>
        </w:rPr>
      </w:pPr>
    </w:p>
    <w:p>
      <w:pPr>
        <w:ind w:left="-300" w:firstLine="860"/>
        <w:spacing w:after="0" w:line="315" w:lineRule="auto"/>
        <w:tabs>
          <w:tab w:leader="none" w:pos="788" w:val="left"/>
        </w:tabs>
        <w:numPr>
          <w:ilvl w:val="1"/>
          <w:numId w:val="200"/>
        </w:numPr>
        <w:rPr>
          <w:rFonts w:ascii="Arial" w:cs="Arial" w:eastAsia="Arial" w:hAnsi="Arial"/>
          <w:sz w:val="13"/>
          <w:szCs w:val="13"/>
          <w:color w:val="auto"/>
        </w:rPr>
      </w:pPr>
      <w:r>
        <w:rPr>
          <w:rFonts w:ascii="Arial" w:cs="Arial" w:eastAsia="Arial" w:hAnsi="Arial"/>
          <w:sz w:val="13"/>
          <w:szCs w:val="13"/>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324" w:lineRule="exact"/>
        <w:rPr>
          <w:rFonts w:ascii="Arial" w:cs="Arial" w:eastAsia="Arial" w:hAnsi="Arial"/>
          <w:sz w:val="13"/>
          <w:szCs w:val="13"/>
          <w:color w:val="auto"/>
        </w:rPr>
      </w:pPr>
    </w:p>
    <w:p>
      <w:pPr>
        <w:ind w:left="-300" w:right="200" w:firstLine="378"/>
        <w:spacing w:after="0" w:line="266" w:lineRule="auto"/>
        <w:tabs>
          <w:tab w:leader="none" w:pos="242"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This Option may be exercised only within the term set out in the Notice of Stock Option Grant, and may be exercised during such term only in accordance with the Plan and the terms of this Option Agreement.</w:t>
      </w:r>
    </w:p>
    <w:p>
      <w:pPr>
        <w:spacing w:after="0" w:line="158" w:lineRule="exact"/>
        <w:rPr>
          <w:rFonts w:ascii="Arial" w:cs="Arial" w:eastAsia="Arial" w:hAnsi="Arial"/>
          <w:sz w:val="16"/>
          <w:szCs w:val="16"/>
          <w:color w:val="auto"/>
        </w:rPr>
      </w:pPr>
    </w:p>
    <w:p>
      <w:pPr>
        <w:ind w:left="240" w:hanging="162"/>
        <w:spacing w:after="0"/>
        <w:tabs>
          <w:tab w:leader="none" w:pos="240"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Tax Obligations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140" w:firstLine="860"/>
        <w:spacing w:after="0" w:line="253" w:lineRule="auto"/>
        <w:tabs>
          <w:tab w:leader="none" w:pos="779"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67" w:lineRule="exact"/>
        <w:rPr>
          <w:rFonts w:ascii="Arial" w:cs="Arial" w:eastAsia="Arial" w:hAnsi="Arial"/>
          <w:sz w:val="16"/>
          <w:szCs w:val="16"/>
          <w:color w:val="auto"/>
        </w:rPr>
      </w:pPr>
    </w:p>
    <w:p>
      <w:pPr>
        <w:ind w:left="-300" w:right="60" w:firstLine="860"/>
        <w:spacing w:after="0" w:line="275" w:lineRule="auto"/>
        <w:tabs>
          <w:tab w:leader="none" w:pos="788" w:val="left"/>
        </w:tabs>
        <w:numPr>
          <w:ilvl w:val="1"/>
          <w:numId w:val="200"/>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ectPr>
          <w:pgSz w:w="11900" w:h="16838" w:orient="portrait"/>
          <w:cols w:equalWidth="0" w:num="1">
            <w:col w:w="9320"/>
          </w:cols>
          <w:pgMar w:left="1440" w:top="256" w:right="1139" w:bottom="1440" w:gutter="0" w:footer="0" w:header="0"/>
        </w:sectPr>
      </w:pPr>
    </w:p>
    <w:bookmarkStart w:id="323" w:name="page324"/>
    <w:bookmarkEnd w:id="323"/>
    <w:p>
      <w:pPr>
        <w:ind w:left="-300" w:right="60" w:firstLine="860"/>
        <w:spacing w:after="0" w:line="312" w:lineRule="auto"/>
        <w:tabs>
          <w:tab w:leader="none" w:pos="779" w:val="left"/>
        </w:tabs>
        <w:numPr>
          <w:ilvl w:val="1"/>
          <w:numId w:val="201"/>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Code Section 409A.</w:t>
      </w:r>
      <w:r>
        <w:rPr>
          <w:rFonts w:ascii="Arial" w:cs="Arial" w:eastAsia="Arial" w:hAnsi="Arial"/>
          <w:sz w:val="13"/>
          <w:szCs w:val="13"/>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37" w:lineRule="exact"/>
        <w:rPr>
          <w:rFonts w:ascii="Arial" w:cs="Arial" w:eastAsia="Arial" w:hAnsi="Arial"/>
          <w:sz w:val="13"/>
          <w:szCs w:val="13"/>
          <w:color w:val="auto"/>
        </w:rPr>
      </w:pPr>
    </w:p>
    <w:p>
      <w:pPr>
        <w:ind w:left="-300" w:right="80" w:firstLine="378"/>
        <w:spacing w:after="0" w:line="251" w:lineRule="auto"/>
        <w:tabs>
          <w:tab w:leader="none" w:pos="320"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169" w:lineRule="exact"/>
        <w:rPr>
          <w:rFonts w:ascii="Arial" w:cs="Arial" w:eastAsia="Arial" w:hAnsi="Arial"/>
          <w:sz w:val="16"/>
          <w:szCs w:val="16"/>
          <w:color w:val="auto"/>
        </w:rPr>
      </w:pPr>
    </w:p>
    <w:p>
      <w:pPr>
        <w:ind w:left="-300" w:firstLine="378"/>
        <w:spacing w:after="0" w:line="267" w:lineRule="auto"/>
        <w:tabs>
          <w:tab w:leader="none" w:pos="314" w:val="left"/>
        </w:tabs>
        <w:numPr>
          <w:ilvl w:val="0"/>
          <w:numId w:val="202"/>
        </w:numPr>
        <w:rPr>
          <w:rFonts w:ascii="Arial" w:cs="Arial" w:eastAsia="Arial" w:hAnsi="Arial"/>
          <w:sz w:val="15"/>
          <w:szCs w:val="15"/>
          <w:color w:val="auto"/>
        </w:rPr>
      </w:pPr>
      <w:r>
        <w:rPr>
          <w:rFonts w:ascii="Arial" w:cs="Arial" w:eastAsia="Arial" w:hAnsi="Arial"/>
          <w:sz w:val="15"/>
          <w:szCs w:val="15"/>
          <w:u w:val="single" w:color="auto"/>
          <w:color w:val="auto"/>
        </w:rPr>
        <w:t>No Guarantee of Continued Service</w:t>
      </w:r>
      <w:r>
        <w:rPr>
          <w:rFonts w:ascii="Arial" w:cs="Arial" w:eastAsia="Arial" w:hAnsi="Arial"/>
          <w:sz w:val="15"/>
          <w:szCs w:val="15"/>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ectPr>
          <w:pgSz w:w="11900" w:h="16838" w:orient="portrait"/>
          <w:cols w:equalWidth="0" w:num="1">
            <w:col w:w="9240"/>
          </w:cols>
          <w:pgMar w:left="1440" w:top="256" w:right="1219" w:bottom="1440" w:gutter="0" w:footer="0" w:header="0"/>
        </w:sectPr>
      </w:pPr>
    </w:p>
    <w:bookmarkStart w:id="324" w:name="page325"/>
    <w:bookmarkEnd w:id="324"/>
    <w:p>
      <w:pPr>
        <w:ind w:right="40" w:firstLine="385"/>
        <w:spacing w:after="0" w:line="32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2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00" w:type="dxa"/>
            <w:vAlign w:val="bottom"/>
          </w:tcPr>
          <w:p>
            <w:pPr>
              <w:spacing w:after="0"/>
              <w:rPr>
                <w:sz w:val="17"/>
                <w:szCs w:val="17"/>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Signature</w:t>
            </w: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66"/>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Print Name</w:t>
            </w: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tcPr>
          <w:p>
            <w:pPr>
              <w:ind w:left="8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66"/>
        </w:trPr>
        <w:tc>
          <w:tcPr>
            <w:tcW w:w="20" w:type="dxa"/>
            <w:vAlign w:val="bottom"/>
            <w:vMerge w:val="restart"/>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500" w:type="dxa"/>
            <w:vAlign w:val="bottom"/>
          </w:tcPr>
          <w:p>
            <w:pPr>
              <w:spacing w:after="0"/>
              <w:rPr>
                <w:sz w:val="20"/>
                <w:szCs w:val="20"/>
                <w:color w:val="auto"/>
              </w:rPr>
            </w:pPr>
            <w:r>
              <w:rPr>
                <w:rFonts w:ascii="Arial" w:cs="Arial" w:eastAsia="Arial" w:hAnsi="Arial"/>
                <w:sz w:val="16"/>
                <w:szCs w:val="16"/>
                <w:color w:val="auto"/>
              </w:rPr>
              <w:t>Residence Address</w:t>
            </w:r>
          </w:p>
        </w:tc>
        <w:tc>
          <w:tcPr>
            <w:tcW w:w="5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7" w:right="1139"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EXERCISE NOTICE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Attention: President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gridSpan w:val="4"/>
          </w:tcPr>
          <w:p>
            <w:pPr>
              <w:ind w:left="380"/>
              <w:spacing w:after="0"/>
              <w:rPr>
                <w:sz w:val="20"/>
                <w:szCs w:val="20"/>
                <w:color w:val="auto"/>
              </w:rPr>
            </w:pPr>
            <w:r>
              <w:rPr>
                <w:rFonts w:ascii="Arial" w:cs="Arial" w:eastAsia="Arial" w:hAnsi="Arial"/>
                <w:sz w:val="16"/>
                <w:szCs w:val="16"/>
                <w:color w:val="auto"/>
                <w:w w:val="90"/>
              </w:rPr>
              <w:t>1. Exercise of Option. Effective as of today,</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4720" w:type="dxa"/>
            <w:vAlign w:val="bottom"/>
            <w:gridSpan w:val="5"/>
          </w:tcPr>
          <w:p>
            <w:pPr>
              <w:spacing w:after="0"/>
              <w:rPr>
                <w:sz w:val="20"/>
                <w:szCs w:val="20"/>
                <w:color w:val="auto"/>
              </w:rPr>
            </w:pPr>
            <w:r>
              <w:rPr>
                <w:rFonts w:ascii="Arial" w:cs="Arial" w:eastAsia="Arial" w:hAnsi="Arial"/>
                <w:sz w:val="16"/>
                <w:szCs w:val="16"/>
                <w:color w:val="auto"/>
                <w:w w:val="94"/>
              </w:rPr>
              <w:t>, the undersigned (“Participant”) hereby elects to exercise Participant’s</w:t>
            </w: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9"/>
        </w:trPr>
        <w:tc>
          <w:tcPr>
            <w:tcW w:w="2140" w:type="dxa"/>
            <w:vAlign w:val="bottom"/>
            <w:gridSpan w:val="3"/>
          </w:tcPr>
          <w:p>
            <w:pPr>
              <w:spacing w:after="0" w:line="168" w:lineRule="exact"/>
              <w:rPr>
                <w:sz w:val="20"/>
                <w:szCs w:val="20"/>
                <w:color w:val="auto"/>
              </w:rPr>
            </w:pPr>
            <w:r>
              <w:rPr>
                <w:rFonts w:ascii="Arial" w:cs="Arial" w:eastAsia="Arial" w:hAnsi="Arial"/>
                <w:sz w:val="16"/>
                <w:szCs w:val="16"/>
                <w:color w:val="auto"/>
                <w:w w:val="91"/>
              </w:rPr>
              <w:t>option (the “Option”) to purchase</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140" w:type="dxa"/>
            <w:vAlign w:val="bottom"/>
            <w:gridSpan w:val="8"/>
          </w:tcPr>
          <w:p>
            <w:pPr>
              <w:ind w:left="40"/>
              <w:spacing w:after="0" w:line="168" w:lineRule="exact"/>
              <w:rPr>
                <w:sz w:val="20"/>
                <w:szCs w:val="20"/>
                <w:color w:val="auto"/>
              </w:rPr>
            </w:pPr>
            <w:r>
              <w:rPr>
                <w:rFonts w:ascii="Arial" w:cs="Arial" w:eastAsia="Arial" w:hAnsi="Arial"/>
                <w:sz w:val="16"/>
                <w:szCs w:val="16"/>
                <w:color w:val="auto"/>
                <w:w w:val="89"/>
              </w:rPr>
              <w:t>shares of the Common Stock (the “Shares”) of Tenaya Therapeutics, Inc. (the “Company”) under</w:t>
            </w:r>
          </w:p>
        </w:tc>
      </w:tr>
      <w:tr>
        <w:trPr>
          <w:trHeight w:val="169"/>
        </w:trPr>
        <w:tc>
          <w:tcPr>
            <w:tcW w:w="6260" w:type="dxa"/>
            <w:vAlign w:val="bottom"/>
            <w:gridSpan w:val="9"/>
          </w:tcPr>
          <w:p>
            <w:pPr>
              <w:spacing w:after="0" w:line="168" w:lineRule="exact"/>
              <w:rPr>
                <w:sz w:val="20"/>
                <w:szCs w:val="20"/>
                <w:color w:val="auto"/>
              </w:rPr>
            </w:pPr>
            <w:r>
              <w:rPr>
                <w:rFonts w:ascii="Arial" w:cs="Arial" w:eastAsia="Arial" w:hAnsi="Arial"/>
                <w:sz w:val="16"/>
                <w:szCs w:val="16"/>
                <w:color w:val="auto"/>
                <w:w w:val="89"/>
              </w:rPr>
              <w:t>and pursuant to the 2016 Equity Incentive Plan (the “Plan”) and the Stock Option Agreement dated</w:t>
            </w:r>
          </w:p>
        </w:tc>
        <w:tc>
          <w:tcPr>
            <w:tcW w:w="1180" w:type="dxa"/>
            <w:vAlign w:val="bottom"/>
            <w:gridSpan w:val="2"/>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1620" w:type="dxa"/>
            <w:vAlign w:val="bottom"/>
          </w:tcPr>
          <w:p>
            <w:pPr>
              <w:ind w:left="40"/>
              <w:spacing w:after="0" w:line="168" w:lineRule="exact"/>
              <w:rPr>
                <w:sz w:val="20"/>
                <w:szCs w:val="20"/>
                <w:color w:val="auto"/>
              </w:rPr>
            </w:pPr>
            <w:r>
              <w:rPr>
                <w:rFonts w:ascii="Arial" w:cs="Arial" w:eastAsia="Arial" w:hAnsi="Arial"/>
                <w:sz w:val="16"/>
                <w:szCs w:val="16"/>
                <w:color w:val="auto"/>
              </w:rPr>
              <w:t>(the “Option</w:t>
            </w:r>
          </w:p>
        </w:tc>
      </w:tr>
      <w:tr>
        <w:trPr>
          <w:trHeight w:val="203"/>
        </w:trPr>
        <w:tc>
          <w:tcPr>
            <w:tcW w:w="3180" w:type="dxa"/>
            <w:vAlign w:val="bottom"/>
            <w:gridSpan w:val="4"/>
          </w:tcPr>
          <w:p>
            <w:pPr>
              <w:spacing w:after="0"/>
              <w:rPr>
                <w:sz w:val="20"/>
                <w:szCs w:val="20"/>
                <w:color w:val="auto"/>
              </w:rPr>
            </w:pPr>
            <w:r>
              <w:rPr>
                <w:rFonts w:ascii="Arial" w:cs="Arial" w:eastAsia="Arial" w:hAnsi="Arial"/>
                <w:sz w:val="16"/>
                <w:szCs w:val="16"/>
                <w:color w:val="auto"/>
              </w:rPr>
              <w:t>Agreement”).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r>
    </w:tbl>
    <w:p>
      <w:pPr>
        <w:spacing w:after="0" w:line="177" w:lineRule="exact"/>
        <w:rPr>
          <w:sz w:val="20"/>
          <w:szCs w:val="20"/>
          <w:color w:val="auto"/>
        </w:rPr>
      </w:pPr>
    </w:p>
    <w:p>
      <w:pPr>
        <w:ind w:right="120" w:firstLine="378"/>
        <w:spacing w:after="0" w:line="266" w:lineRule="auto"/>
        <w:tabs>
          <w:tab w:leader="none" w:pos="542"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6"/>
          <w:szCs w:val="16"/>
          <w:color w:val="auto"/>
        </w:rPr>
      </w:pPr>
    </w:p>
    <w:p>
      <w:pPr>
        <w:ind w:right="60" w:firstLine="378"/>
        <w:spacing w:after="0" w:line="266" w:lineRule="auto"/>
        <w:tabs>
          <w:tab w:leader="none" w:pos="542"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6"/>
          <w:szCs w:val="16"/>
          <w:color w:val="auto"/>
        </w:rPr>
      </w:pPr>
    </w:p>
    <w:p>
      <w:pPr>
        <w:ind w:firstLine="378"/>
        <w:spacing w:after="0" w:line="251" w:lineRule="auto"/>
        <w:tabs>
          <w:tab w:leader="none" w:pos="542"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69" w:lineRule="exact"/>
        <w:rPr>
          <w:rFonts w:ascii="Arial" w:cs="Arial" w:eastAsia="Arial" w:hAnsi="Arial"/>
          <w:sz w:val="16"/>
          <w:szCs w:val="16"/>
          <w:color w:val="auto"/>
        </w:rPr>
      </w:pPr>
    </w:p>
    <w:p>
      <w:pPr>
        <w:ind w:right="100" w:firstLine="378"/>
        <w:spacing w:after="0" w:line="281" w:lineRule="auto"/>
        <w:tabs>
          <w:tab w:leader="none" w:pos="542"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Company’s Right of First Refusal</w:t>
      </w:r>
      <w:r>
        <w:rPr>
          <w:rFonts w:ascii="Arial" w:cs="Arial" w:eastAsia="Arial" w:hAnsi="Arial"/>
          <w:sz w:val="15"/>
          <w:szCs w:val="15"/>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48" w:lineRule="exact"/>
        <w:rPr>
          <w:rFonts w:ascii="Arial" w:cs="Arial" w:eastAsia="Arial" w:hAnsi="Arial"/>
          <w:sz w:val="15"/>
          <w:szCs w:val="15"/>
          <w:color w:val="auto"/>
        </w:rPr>
      </w:pPr>
    </w:p>
    <w:p>
      <w:pPr>
        <w:ind w:right="60" w:firstLine="860"/>
        <w:spacing w:after="0" w:line="251" w:lineRule="auto"/>
        <w:tabs>
          <w:tab w:leader="none" w:pos="1079"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9600"/>
          </w:cols>
          <w:pgMar w:left="1140" w:top="252" w:right="1159" w:bottom="1440" w:gutter="0" w:footer="0" w:header="0"/>
        </w:sectPr>
      </w:pPr>
    </w:p>
    <w:bookmarkStart w:id="326" w:name="page327"/>
    <w:bookmarkEnd w:id="326"/>
    <w:p>
      <w:pPr>
        <w:ind w:left="6" w:firstLine="860"/>
        <w:spacing w:after="0" w:line="281" w:lineRule="auto"/>
        <w:tabs>
          <w:tab w:leader="none" w:pos="1094" w:val="left"/>
        </w:tabs>
        <w:numPr>
          <w:ilvl w:val="1"/>
          <w:numId w:val="20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of Right of First Refusal</w:t>
      </w:r>
      <w:r>
        <w:rPr>
          <w:rFonts w:ascii="Arial" w:cs="Arial" w:eastAsia="Arial" w:hAnsi="Arial"/>
          <w:sz w:val="15"/>
          <w:szCs w:val="15"/>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48" w:lineRule="exact"/>
        <w:rPr>
          <w:rFonts w:ascii="Arial" w:cs="Arial" w:eastAsia="Arial" w:hAnsi="Arial"/>
          <w:sz w:val="15"/>
          <w:szCs w:val="15"/>
          <w:color w:val="auto"/>
        </w:rPr>
      </w:pPr>
    </w:p>
    <w:p>
      <w:pPr>
        <w:ind w:left="6" w:firstLine="860"/>
        <w:spacing w:after="0" w:line="256" w:lineRule="auto"/>
        <w:tabs>
          <w:tab w:leader="none" w:pos="1085"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65" w:lineRule="exact"/>
        <w:rPr>
          <w:rFonts w:ascii="Arial" w:cs="Arial" w:eastAsia="Arial" w:hAnsi="Arial"/>
          <w:sz w:val="16"/>
          <w:szCs w:val="16"/>
          <w:color w:val="auto"/>
        </w:rPr>
      </w:pPr>
    </w:p>
    <w:p>
      <w:pPr>
        <w:ind w:left="6" w:right="320" w:firstLine="860"/>
        <w:spacing w:after="0" w:line="343" w:lineRule="auto"/>
        <w:tabs>
          <w:tab w:leader="none" w:pos="1094" w:val="left"/>
        </w:tabs>
        <w:numPr>
          <w:ilvl w:val="1"/>
          <w:numId w:val="204"/>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13" w:lineRule="exact"/>
        <w:rPr>
          <w:rFonts w:ascii="Arial" w:cs="Arial" w:eastAsia="Arial" w:hAnsi="Arial"/>
          <w:sz w:val="13"/>
          <w:szCs w:val="13"/>
          <w:color w:val="auto"/>
        </w:rPr>
      </w:pPr>
    </w:p>
    <w:p>
      <w:pPr>
        <w:ind w:left="6" w:right="140" w:firstLine="860"/>
        <w:spacing w:after="0" w:line="308" w:lineRule="auto"/>
        <w:tabs>
          <w:tab w:leader="none" w:pos="1085" w:val="left"/>
        </w:tabs>
        <w:numPr>
          <w:ilvl w:val="1"/>
          <w:numId w:val="204"/>
        </w:numPr>
        <w:rPr>
          <w:rFonts w:ascii="Arial" w:cs="Arial" w:eastAsia="Arial" w:hAnsi="Arial"/>
          <w:sz w:val="13"/>
          <w:szCs w:val="13"/>
          <w:color w:val="auto"/>
        </w:rPr>
      </w:pP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sale or other transfer is consummated within one hundred and twenty</w:t>
      </w:r>
    </w:p>
    <w:p>
      <w:pPr>
        <w:spacing w:after="0" w:line="1" w:lineRule="exact"/>
        <w:rPr>
          <w:rFonts w:ascii="Arial" w:cs="Arial" w:eastAsia="Arial" w:hAnsi="Arial"/>
          <w:sz w:val="13"/>
          <w:szCs w:val="13"/>
          <w:color w:val="auto"/>
        </w:rPr>
      </w:pPr>
    </w:p>
    <w:p>
      <w:pPr>
        <w:ind w:left="6" w:right="120" w:hanging="6"/>
        <w:spacing w:after="0" w:line="247" w:lineRule="auto"/>
        <w:tabs>
          <w:tab w:leader="none" w:pos="386"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3" w:lineRule="exact"/>
        <w:rPr>
          <w:rFonts w:ascii="Arial" w:cs="Arial" w:eastAsia="Arial" w:hAnsi="Arial"/>
          <w:sz w:val="16"/>
          <w:szCs w:val="16"/>
          <w:color w:val="auto"/>
        </w:rPr>
      </w:pPr>
    </w:p>
    <w:p>
      <w:pPr>
        <w:ind w:left="6" w:firstLine="860"/>
        <w:spacing w:after="0" w:line="250" w:lineRule="auto"/>
        <w:tabs>
          <w:tab w:leader="none" w:pos="1068"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70" w:lineRule="exact"/>
        <w:rPr>
          <w:rFonts w:ascii="Arial" w:cs="Arial" w:eastAsia="Arial" w:hAnsi="Arial"/>
          <w:sz w:val="16"/>
          <w:szCs w:val="16"/>
          <w:color w:val="auto"/>
        </w:rPr>
      </w:pPr>
    </w:p>
    <w:p>
      <w:pPr>
        <w:ind w:left="6" w:firstLine="860"/>
        <w:spacing w:after="0" w:line="256" w:lineRule="auto"/>
        <w:tabs>
          <w:tab w:leader="none" w:pos="1094"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ectPr>
          <w:pgSz w:w="11900" w:h="16838" w:orient="portrait"/>
          <w:cols w:equalWidth="0" w:num="1">
            <w:col w:w="9546"/>
          </w:cols>
          <w:pgMar w:left="1134" w:top="256" w:right="1219" w:bottom="1440" w:gutter="0" w:footer="0" w:header="0"/>
        </w:sectPr>
      </w:pPr>
    </w:p>
    <w:bookmarkStart w:id="327" w:name="page328"/>
    <w:bookmarkEnd w:id="327"/>
    <w:p>
      <w:pPr>
        <w:ind w:left="-300" w:right="180" w:firstLine="378"/>
        <w:spacing w:after="0" w:line="281" w:lineRule="auto"/>
        <w:tabs>
          <w:tab w:leader="none" w:pos="242"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Tax Consultation</w:t>
      </w:r>
      <w:r>
        <w:rPr>
          <w:rFonts w:ascii="Arial" w:cs="Arial" w:eastAsia="Arial" w:hAnsi="Arial"/>
          <w:sz w:val="15"/>
          <w:szCs w:val="15"/>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48" w:lineRule="exact"/>
        <w:rPr>
          <w:rFonts w:ascii="Arial" w:cs="Arial" w:eastAsia="Arial" w:hAnsi="Arial"/>
          <w:sz w:val="15"/>
          <w:szCs w:val="15"/>
          <w:color w:val="auto"/>
        </w:rPr>
      </w:pPr>
    </w:p>
    <w:p>
      <w:pPr>
        <w:ind w:left="240" w:hanging="162"/>
        <w:spacing w:after="0"/>
        <w:tabs>
          <w:tab w:leader="none" w:pos="240"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Restrictive Legends and Stop-Transfer Orders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120" w:firstLine="860"/>
        <w:spacing w:after="0" w:line="256" w:lineRule="auto"/>
        <w:tabs>
          <w:tab w:leader="none" w:pos="779"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1" w:lineRule="exact"/>
        <w:rPr>
          <w:sz w:val="20"/>
          <w:szCs w:val="20"/>
          <w:color w:val="auto"/>
        </w:rPr>
      </w:pPr>
    </w:p>
    <w:p>
      <w:pPr>
        <w:ind w:left="560"/>
        <w:spacing w:after="0" w:line="329" w:lineRule="auto"/>
        <w:rPr>
          <w:sz w:val="20"/>
          <w:szCs w:val="20"/>
          <w:color w:val="auto"/>
        </w:rPr>
      </w:pPr>
      <w:r>
        <w:rPr>
          <w:rFonts w:ascii="Arial" w:cs="Arial" w:eastAsia="Arial" w:hAnsi="Arial"/>
          <w:sz w:val="13"/>
          <w:szCs w:val="13"/>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29" w:lineRule="exact"/>
        <w:rPr>
          <w:sz w:val="20"/>
          <w:szCs w:val="20"/>
          <w:color w:val="auto"/>
        </w:rPr>
      </w:pPr>
    </w:p>
    <w:p>
      <w:pPr>
        <w:ind w:left="560" w:right="220"/>
        <w:spacing w:after="0" w:line="251" w:lineRule="auto"/>
        <w:rPr>
          <w:sz w:val="20"/>
          <w:szCs w:val="20"/>
          <w:color w:val="auto"/>
        </w:rPr>
      </w:pPr>
      <w:r>
        <w:rPr>
          <w:rFonts w:ascii="Arial" w:cs="Arial" w:eastAsia="Arial" w:hAnsi="Arial"/>
          <w:sz w:val="16"/>
          <w:szCs w:val="16"/>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560"/>
        <w:spacing w:after="0" w:line="251" w:lineRule="auto"/>
        <w:rPr>
          <w:sz w:val="20"/>
          <w:szCs w:val="20"/>
          <w:color w:val="auto"/>
        </w:rPr>
      </w:pPr>
      <w:r>
        <w:rPr>
          <w:rFonts w:ascii="Arial" w:cs="Arial" w:eastAsia="Arial" w:hAnsi="Arial"/>
          <w:sz w:val="16"/>
          <w:szCs w:val="16"/>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0" w:lineRule="exact"/>
        <w:rPr>
          <w:sz w:val="20"/>
          <w:szCs w:val="20"/>
          <w:color w:val="auto"/>
        </w:rPr>
      </w:pPr>
    </w:p>
    <w:p>
      <w:pPr>
        <w:ind w:left="-300" w:right="60" w:firstLine="860"/>
        <w:spacing w:after="0" w:line="256" w:lineRule="auto"/>
        <w:tabs>
          <w:tab w:leader="none" w:pos="788"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Stop-Transfer Notices</w:t>
      </w:r>
      <w:r>
        <w:rPr>
          <w:rFonts w:ascii="Arial" w:cs="Arial" w:eastAsia="Arial" w:hAnsi="Arial"/>
          <w:sz w:val="16"/>
          <w:szCs w:val="16"/>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5" w:lineRule="exact"/>
        <w:rPr>
          <w:rFonts w:ascii="Arial" w:cs="Arial" w:eastAsia="Arial" w:hAnsi="Arial"/>
          <w:sz w:val="16"/>
          <w:szCs w:val="16"/>
          <w:color w:val="auto"/>
        </w:rPr>
      </w:pPr>
    </w:p>
    <w:p>
      <w:pPr>
        <w:ind w:left="-300" w:right="460" w:firstLine="860"/>
        <w:spacing w:after="0" w:line="281" w:lineRule="auto"/>
        <w:tabs>
          <w:tab w:leader="none" w:pos="779" w:val="left"/>
        </w:tabs>
        <w:numPr>
          <w:ilvl w:val="0"/>
          <w:numId w:val="207"/>
        </w:numPr>
        <w:rPr>
          <w:rFonts w:ascii="Arial" w:cs="Arial" w:eastAsia="Arial" w:hAnsi="Arial"/>
          <w:sz w:val="15"/>
          <w:szCs w:val="15"/>
          <w:color w:val="auto"/>
        </w:rPr>
      </w:pP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ectPr>
          <w:pgSz w:w="11900" w:h="16838" w:orient="portrait"/>
          <w:cols w:equalWidth="0" w:num="1">
            <w:col w:w="9300"/>
          </w:cols>
          <w:pgMar w:left="1440" w:top="256" w:right="1159" w:bottom="1440" w:gutter="0" w:footer="0" w:header="0"/>
        </w:sectPr>
      </w:pPr>
    </w:p>
    <w:bookmarkStart w:id="328" w:name="page329"/>
    <w:bookmarkEnd w:id="328"/>
    <w:p>
      <w:pPr>
        <w:jc w:val="both"/>
        <w:ind w:firstLine="378"/>
        <w:spacing w:after="0" w:line="281" w:lineRule="auto"/>
        <w:tabs>
          <w:tab w:leader="none" w:pos="542"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Successors and Assigns</w:t>
      </w:r>
      <w:r>
        <w:rPr>
          <w:rFonts w:ascii="Arial" w:cs="Arial" w:eastAsia="Arial" w:hAnsi="Arial"/>
          <w:sz w:val="15"/>
          <w:szCs w:val="15"/>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48" w:lineRule="exact"/>
        <w:rPr>
          <w:rFonts w:ascii="Arial" w:cs="Arial" w:eastAsia="Arial" w:hAnsi="Arial"/>
          <w:sz w:val="15"/>
          <w:szCs w:val="15"/>
          <w:color w:val="auto"/>
        </w:rPr>
      </w:pPr>
    </w:p>
    <w:p>
      <w:pPr>
        <w:ind w:right="20" w:firstLine="378"/>
        <w:spacing w:after="0" w:line="256" w:lineRule="auto"/>
        <w:tabs>
          <w:tab w:leader="none" w:pos="542"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65" w:lineRule="exact"/>
        <w:rPr>
          <w:rFonts w:ascii="Arial" w:cs="Arial" w:eastAsia="Arial" w:hAnsi="Arial"/>
          <w:sz w:val="16"/>
          <w:szCs w:val="16"/>
          <w:color w:val="auto"/>
        </w:rPr>
      </w:pPr>
    </w:p>
    <w:p>
      <w:pPr>
        <w:ind w:right="80" w:firstLine="378"/>
        <w:spacing w:after="0" w:line="256" w:lineRule="auto"/>
        <w:tabs>
          <w:tab w:leader="none" w:pos="62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65" w:lineRule="exact"/>
        <w:rPr>
          <w:rFonts w:ascii="Arial" w:cs="Arial" w:eastAsia="Arial" w:hAnsi="Arial"/>
          <w:sz w:val="16"/>
          <w:szCs w:val="16"/>
          <w:color w:val="auto"/>
        </w:rPr>
      </w:pPr>
    </w:p>
    <w:p>
      <w:pPr>
        <w:ind w:right="140" w:firstLine="378"/>
        <w:spacing w:after="0" w:line="275" w:lineRule="auto"/>
        <w:tabs>
          <w:tab w:leader="none" w:pos="614"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40" w:type="dxa"/>
            <w:vAlign w:val="bottom"/>
            <w:gridSpan w:val="2"/>
          </w:tcPr>
          <w:p>
            <w:pPr>
              <w:ind w:left="680"/>
              <w:spacing w:after="0"/>
              <w:rPr>
                <w:sz w:val="20"/>
                <w:szCs w:val="20"/>
                <w:color w:val="auto"/>
              </w:rPr>
            </w:pPr>
            <w:r>
              <w:rPr>
                <w:rFonts w:ascii="Arial" w:cs="Arial" w:eastAsia="Arial" w:hAnsi="Arial"/>
                <w:sz w:val="16"/>
                <w:szCs w:val="16"/>
                <w:color w:val="auto"/>
              </w:rPr>
              <w:t>Submitted by:</w:t>
            </w:r>
          </w:p>
        </w:tc>
        <w:tc>
          <w:tcPr>
            <w:tcW w:w="4980" w:type="dxa"/>
            <w:vAlign w:val="bottom"/>
            <w:gridSpan w:val="2"/>
          </w:tcPr>
          <w:p>
            <w:pPr>
              <w:ind w:left="1020"/>
              <w:spacing w:after="0"/>
              <w:rPr>
                <w:sz w:val="20"/>
                <w:szCs w:val="20"/>
                <w:color w:val="auto"/>
              </w:rPr>
            </w:pPr>
            <w:r>
              <w:rPr>
                <w:rFonts w:ascii="Arial" w:cs="Arial" w:eastAsia="Arial" w:hAnsi="Arial"/>
                <w:sz w:val="16"/>
                <w:szCs w:val="16"/>
                <w:color w:val="auto"/>
              </w:rPr>
              <w:t>Accepted by:</w:t>
            </w:r>
          </w:p>
        </w:tc>
      </w:tr>
      <w:tr>
        <w:trPr>
          <w:trHeight w:val="377"/>
        </w:trPr>
        <w:tc>
          <w:tcPr>
            <w:tcW w:w="4640" w:type="dxa"/>
            <w:vAlign w:val="bottom"/>
            <w:gridSpan w:val="2"/>
          </w:tcPr>
          <w:p>
            <w:pPr>
              <w:ind w:left="680"/>
              <w:spacing w:after="0"/>
              <w:rPr>
                <w:sz w:val="20"/>
                <w:szCs w:val="20"/>
                <w:color w:val="auto"/>
              </w:rPr>
            </w:pPr>
            <w:r>
              <w:rPr>
                <w:rFonts w:ascii="Arial" w:cs="Arial" w:eastAsia="Arial" w:hAnsi="Arial"/>
                <w:sz w:val="16"/>
                <w:szCs w:val="16"/>
                <w:color w:val="auto"/>
              </w:rPr>
              <w:t>PARTICIPANT</w:t>
            </w:r>
          </w:p>
        </w:tc>
        <w:tc>
          <w:tcPr>
            <w:tcW w:w="4980" w:type="dxa"/>
            <w:vAlign w:val="bottom"/>
            <w:gridSpan w:val="2"/>
          </w:tcPr>
          <w:p>
            <w:pPr>
              <w:ind w:left="1020"/>
              <w:spacing w:after="0"/>
              <w:rPr>
                <w:sz w:val="20"/>
                <w:szCs w:val="20"/>
                <w:color w:val="auto"/>
              </w:rPr>
            </w:pPr>
            <w:r>
              <w:rPr>
                <w:rFonts w:ascii="Arial" w:cs="Arial" w:eastAsia="Arial" w:hAnsi="Arial"/>
                <w:sz w:val="16"/>
                <w:szCs w:val="16"/>
                <w:color w:val="auto"/>
              </w:rPr>
              <w:t>TENAYA THERAPEUTICS, INC.</w:t>
            </w:r>
          </w:p>
        </w:tc>
      </w:tr>
      <w:tr>
        <w:trPr>
          <w:trHeight w:val="378"/>
        </w:trPr>
        <w:tc>
          <w:tcPr>
            <w:tcW w:w="4640" w:type="dxa"/>
            <w:vAlign w:val="bottom"/>
            <w:gridSpan w:val="2"/>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191"/>
        </w:trPr>
        <w:tc>
          <w:tcPr>
            <w:tcW w:w="700" w:type="dxa"/>
            <w:vAlign w:val="bottom"/>
          </w:tcPr>
          <w:p>
            <w:pPr>
              <w:spacing w:after="0"/>
              <w:rPr>
                <w:sz w:val="20"/>
                <w:szCs w:val="20"/>
                <w:color w:val="auto"/>
              </w:rPr>
            </w:pPr>
            <w:r>
              <w:rPr>
                <w:rFonts w:ascii="Arial" w:cs="Arial" w:eastAsia="Arial" w:hAnsi="Arial"/>
                <w:sz w:val="16"/>
                <w:szCs w:val="16"/>
                <w:color w:val="auto"/>
                <w:w w:val="99"/>
              </w:rPr>
              <w:t>Signature</w:t>
            </w:r>
          </w:p>
        </w:tc>
        <w:tc>
          <w:tcPr>
            <w:tcW w:w="3940" w:type="dxa"/>
            <w:vAlign w:val="bottom"/>
            <w:tcBorders>
              <w:top w:val="single" w:sz="8" w:color="auto"/>
            </w:tcBorders>
          </w:tcPr>
          <w:p>
            <w:pPr>
              <w:spacing w:after="0"/>
              <w:rPr>
                <w:sz w:val="16"/>
                <w:szCs w:val="16"/>
                <w:color w:val="auto"/>
              </w:rPr>
            </w:pPr>
          </w:p>
        </w:tc>
        <w:tc>
          <w:tcPr>
            <w:tcW w:w="1020" w:type="dxa"/>
            <w:vAlign w:val="bottom"/>
          </w:tcPr>
          <w:p>
            <w:pPr>
              <w:ind w:left="540"/>
              <w:spacing w:after="0"/>
              <w:rPr>
                <w:sz w:val="20"/>
                <w:szCs w:val="20"/>
                <w:color w:val="auto"/>
              </w:rPr>
            </w:pPr>
            <w:r>
              <w:rPr>
                <w:rFonts w:ascii="Arial" w:cs="Arial" w:eastAsia="Arial" w:hAnsi="Arial"/>
                <w:sz w:val="16"/>
                <w:szCs w:val="16"/>
                <w:color w:val="auto"/>
              </w:rPr>
              <w:t>By</w:t>
            </w:r>
          </w:p>
        </w:tc>
        <w:tc>
          <w:tcPr>
            <w:tcW w:w="3960" w:type="dxa"/>
            <w:vAlign w:val="bottom"/>
            <w:tcBorders>
              <w:top w:val="single" w:sz="8" w:color="auto"/>
            </w:tcBorders>
          </w:tcPr>
          <w:p>
            <w:pPr>
              <w:spacing w:after="0"/>
              <w:rPr>
                <w:sz w:val="16"/>
                <w:szCs w:val="16"/>
                <w:color w:val="auto"/>
              </w:rPr>
            </w:pPr>
          </w:p>
        </w:tc>
      </w:tr>
      <w:tr>
        <w:trPr>
          <w:trHeight w:val="378"/>
        </w:trPr>
        <w:tc>
          <w:tcPr>
            <w:tcW w:w="70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r>
      <w:tr>
        <w:trPr>
          <w:trHeight w:val="192"/>
        </w:trPr>
        <w:tc>
          <w:tcPr>
            <w:tcW w:w="700" w:type="dxa"/>
            <w:vAlign w:val="bottom"/>
          </w:tcPr>
          <w:p>
            <w:pPr>
              <w:spacing w:after="0"/>
              <w:rPr>
                <w:sz w:val="20"/>
                <w:szCs w:val="20"/>
                <w:color w:val="auto"/>
              </w:rPr>
            </w:pPr>
            <w:r>
              <w:rPr>
                <w:rFonts w:ascii="Arial" w:cs="Arial" w:eastAsia="Arial" w:hAnsi="Arial"/>
                <w:sz w:val="16"/>
                <w:szCs w:val="16"/>
                <w:color w:val="auto"/>
                <w:w w:val="84"/>
              </w:rPr>
              <w:t>Print Name</w:t>
            </w:r>
          </w:p>
        </w:tc>
        <w:tc>
          <w:tcPr>
            <w:tcW w:w="3940" w:type="dxa"/>
            <w:vAlign w:val="bottom"/>
          </w:tcPr>
          <w:p>
            <w:pPr>
              <w:spacing w:after="0"/>
              <w:rPr>
                <w:sz w:val="16"/>
                <w:szCs w:val="16"/>
                <w:color w:val="auto"/>
              </w:rPr>
            </w:pPr>
          </w:p>
        </w:tc>
        <w:tc>
          <w:tcPr>
            <w:tcW w:w="4980" w:type="dxa"/>
            <w:vAlign w:val="bottom"/>
            <w:gridSpan w:val="2"/>
          </w:tcPr>
          <w:p>
            <w:pPr>
              <w:ind w:left="540"/>
              <w:spacing w:after="0"/>
              <w:rPr>
                <w:sz w:val="20"/>
                <w:szCs w:val="20"/>
                <w:color w:val="auto"/>
              </w:rPr>
            </w:pPr>
            <w:r>
              <w:rPr>
                <w:rFonts w:ascii="Arial" w:cs="Arial" w:eastAsia="Arial" w:hAnsi="Arial"/>
                <w:sz w:val="16"/>
                <w:szCs w:val="16"/>
                <w:color w:val="auto"/>
              </w:rPr>
              <w:t>Print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3593465</wp:posOffset>
            </wp:positionH>
            <wp:positionV relativeFrom="paragraph">
              <wp:posOffset>240030</wp:posOffset>
            </wp:positionV>
            <wp:extent cx="251523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15235" cy="7620"/>
                    </a:xfrm>
                    <a:prstGeom prst="rect">
                      <a:avLst/>
                    </a:prstGeom>
                    <a:noFill/>
                  </pic:spPr>
                </pic:pic>
              </a:graphicData>
            </a:graphic>
          </wp:anchor>
        </w:drawing>
      </w:r>
    </w:p>
    <w:p>
      <w:pPr>
        <w:spacing w:after="0" w:line="369" w:lineRule="exact"/>
        <w:rPr>
          <w:sz w:val="20"/>
          <w:szCs w:val="20"/>
          <w:color w:val="auto"/>
        </w:rPr>
      </w:pPr>
    </w:p>
    <w:p>
      <w:pPr>
        <w:ind w:left="5180"/>
        <w:spacing w:after="0"/>
        <w:rPr>
          <w:sz w:val="20"/>
          <w:szCs w:val="20"/>
          <w:color w:val="auto"/>
        </w:rPr>
      </w:pPr>
      <w:r>
        <w:rPr>
          <w:rFonts w:ascii="Arial" w:cs="Arial" w:eastAsia="Arial" w:hAnsi="Arial"/>
          <w:sz w:val="16"/>
          <w:szCs w:val="16"/>
          <w:color w:val="auto"/>
        </w:rPr>
        <w:t>Title</w:t>
      </w:r>
    </w:p>
    <w:p>
      <w:pPr>
        <w:spacing w:after="0" w:line="28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Address:</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Address:</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171 Oyster Point Boulevard, 5th Floor</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wp:posOffset>
            </wp:positionH>
            <wp:positionV relativeFrom="paragraph">
              <wp:posOffset>-115570</wp:posOffset>
            </wp:positionV>
            <wp:extent cx="250063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500630" cy="7620"/>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250825</wp:posOffset>
            </wp:positionV>
            <wp:extent cx="250063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B</w:t>
            </w:r>
          </w:p>
        </w:tc>
        <w:tc>
          <w:tcPr>
            <w:tcW w:w="1360" w:type="dxa"/>
            <w:vAlign w:val="bottom"/>
          </w:tcPr>
          <w:p>
            <w:pPr>
              <w:spacing w:after="0"/>
              <w:rPr>
                <w:sz w:val="16"/>
                <w:szCs w:val="16"/>
                <w:color w:val="auto"/>
              </w:rPr>
            </w:pPr>
          </w:p>
        </w:tc>
      </w:tr>
      <w:tr>
        <w:trPr>
          <w:trHeight w:val="391"/>
        </w:trPr>
        <w:tc>
          <w:tcPr>
            <w:tcW w:w="1160" w:type="dxa"/>
            <w:vAlign w:val="bottom"/>
          </w:tcPr>
          <w:p>
            <w:pPr>
              <w:spacing w:after="0"/>
              <w:rPr>
                <w:sz w:val="24"/>
                <w:szCs w:val="24"/>
                <w:color w:val="auto"/>
              </w:rPr>
            </w:pPr>
          </w:p>
        </w:tc>
        <w:tc>
          <w:tcPr>
            <w:tcW w:w="5420" w:type="dxa"/>
            <w:vAlign w:val="bottom"/>
            <w:gridSpan w:val="3"/>
          </w:tcPr>
          <w:p>
            <w:pPr>
              <w:jc w:val="center"/>
              <w:ind w:left="1801"/>
              <w:spacing w:after="0"/>
              <w:rPr>
                <w:sz w:val="20"/>
                <w:szCs w:val="20"/>
                <w:color w:val="auto"/>
              </w:rPr>
            </w:pPr>
            <w:r>
              <w:rPr>
                <w:rFonts w:ascii="Arial" w:cs="Arial" w:eastAsia="Arial" w:hAnsi="Arial"/>
                <w:sz w:val="16"/>
                <w:szCs w:val="16"/>
                <w:b w:val="1"/>
                <w:bCs w:val="1"/>
                <w:color w:val="auto"/>
                <w:w w:val="99"/>
              </w:rPr>
              <w:t>INVESTMENT REPRESENTATION STATEMENT</w:t>
            </w:r>
          </w:p>
        </w:tc>
      </w:tr>
      <w:tr>
        <w:trPr>
          <w:trHeight w:val="401"/>
        </w:trPr>
        <w:tc>
          <w:tcPr>
            <w:tcW w:w="1160" w:type="dxa"/>
            <w:vAlign w:val="bottom"/>
          </w:tcPr>
          <w:p>
            <w:pPr>
              <w:spacing w:after="0"/>
              <w:rPr>
                <w:sz w:val="20"/>
                <w:szCs w:val="20"/>
                <w:color w:val="auto"/>
              </w:rPr>
            </w:pPr>
            <w:r>
              <w:rPr>
                <w:rFonts w:ascii="Arial" w:cs="Arial" w:eastAsia="Arial" w:hAnsi="Arial"/>
                <w:sz w:val="16"/>
                <w:szCs w:val="16"/>
                <w:color w:val="auto"/>
              </w:rPr>
              <w:t>PARTICIPANT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COMPANY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TENAYA THERAPEUTICS, INC.</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SECURITY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COMMON STOCK</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AMOUNT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5"/>
          <w:szCs w:val="15"/>
          <w:color w:val="auto"/>
        </w:rPr>
        <w:t>In connection with the purchase of the above-listed Securities, the undersigned Participant represents to the Company the following:</w:t>
      </w:r>
    </w:p>
    <w:p>
      <w:pPr>
        <w:spacing w:after="0" w:line="205" w:lineRule="exact"/>
        <w:rPr>
          <w:sz w:val="20"/>
          <w:szCs w:val="20"/>
          <w:color w:val="auto"/>
        </w:rPr>
      </w:pPr>
    </w:p>
    <w:p>
      <w:pPr>
        <w:jc w:val="both"/>
        <w:ind w:right="180" w:firstLine="378"/>
        <w:spacing w:after="0" w:line="253" w:lineRule="auto"/>
        <w:tabs>
          <w:tab w:leader="none" w:pos="598" w:val="left"/>
        </w:tabs>
        <w:numPr>
          <w:ilvl w:val="0"/>
          <w:numId w:val="209"/>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67" w:lineRule="exact"/>
        <w:rPr>
          <w:rFonts w:ascii="Arial" w:cs="Arial" w:eastAsia="Arial" w:hAnsi="Arial"/>
          <w:sz w:val="16"/>
          <w:szCs w:val="16"/>
          <w:color w:val="auto"/>
        </w:rPr>
      </w:pPr>
    </w:p>
    <w:p>
      <w:pPr>
        <w:ind w:firstLine="378"/>
        <w:spacing w:after="0" w:line="312" w:lineRule="auto"/>
        <w:tabs>
          <w:tab w:leader="none" w:pos="607" w:val="left"/>
        </w:tabs>
        <w:numPr>
          <w:ilvl w:val="0"/>
          <w:numId w:val="209"/>
        </w:numPr>
        <w:rPr>
          <w:rFonts w:ascii="Arial" w:cs="Arial" w:eastAsia="Arial" w:hAnsi="Arial"/>
          <w:sz w:val="13"/>
          <w:szCs w:val="13"/>
          <w:color w:val="auto"/>
        </w:rPr>
      </w:pPr>
      <w:r>
        <w:rPr>
          <w:rFonts w:ascii="Arial" w:cs="Arial" w:eastAsia="Arial" w:hAnsi="Arial"/>
          <w:sz w:val="13"/>
          <w:szCs w:val="13"/>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37" w:lineRule="exact"/>
        <w:rPr>
          <w:rFonts w:ascii="Arial" w:cs="Arial" w:eastAsia="Arial" w:hAnsi="Arial"/>
          <w:sz w:val="13"/>
          <w:szCs w:val="13"/>
          <w:color w:val="auto"/>
        </w:rPr>
      </w:pPr>
    </w:p>
    <w:p>
      <w:pPr>
        <w:jc w:val="both"/>
        <w:ind w:right="60" w:firstLine="378"/>
        <w:spacing w:after="0" w:line="272" w:lineRule="auto"/>
        <w:tabs>
          <w:tab w:leader="none" w:pos="598" w:val="left"/>
        </w:tabs>
        <w:numPr>
          <w:ilvl w:val="0"/>
          <w:numId w:val="209"/>
        </w:numPr>
        <w:rPr>
          <w:rFonts w:ascii="Arial" w:cs="Arial" w:eastAsia="Arial" w:hAnsi="Arial"/>
          <w:sz w:val="15"/>
          <w:szCs w:val="15"/>
          <w:color w:val="auto"/>
        </w:rPr>
      </w:pPr>
      <w:r>
        <w:rPr>
          <w:rFonts w:ascii="Arial" w:cs="Arial" w:eastAsia="Arial" w:hAnsi="Arial"/>
          <w:sz w:val="15"/>
          <w:szCs w:val="15"/>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9600"/>
          </w:cols>
          <w:pgMar w:left="1140" w:top="238" w:right="1159" w:bottom="1440" w:gutter="0" w:footer="0" w:header="0"/>
        </w:sectPr>
      </w:pPr>
    </w:p>
    <w:bookmarkStart w:id="330" w:name="page331"/>
    <w:bookmarkEnd w:id="330"/>
    <w:p>
      <w:pPr>
        <w:ind w:left="6" w:right="32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6" w:right="20" w:hanging="6"/>
        <w:spacing w:after="0" w:line="249" w:lineRule="auto"/>
        <w:tabs>
          <w:tab w:leader="none" w:pos="22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1" w:lineRule="exact"/>
        <w:rPr>
          <w:sz w:val="20"/>
          <w:szCs w:val="20"/>
          <w:color w:val="auto"/>
        </w:rPr>
      </w:pPr>
    </w:p>
    <w:p>
      <w:pPr>
        <w:ind w:left="6" w:right="160" w:firstLine="866"/>
        <w:spacing w:after="0" w:line="25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70" w:lineRule="exact"/>
        <w:rPr>
          <w:sz w:val="20"/>
          <w:szCs w:val="20"/>
          <w:color w:val="auto"/>
        </w:rPr>
      </w:pPr>
    </w:p>
    <w:p>
      <w:pPr>
        <w:ind w:left="6" w:firstLine="378"/>
        <w:spacing w:after="0" w:line="249" w:lineRule="auto"/>
        <w:tabs>
          <w:tab w:leader="none" w:pos="613" w:val="left"/>
        </w:tabs>
        <w:numPr>
          <w:ilvl w:val="0"/>
          <w:numId w:val="211"/>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PARTICIPANT</w:t>
      </w:r>
    </w:p>
    <w:p>
      <w:pPr>
        <w:spacing w:after="0" w:line="394"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ectPr>
          <w:pgSz w:w="11900" w:h="16838" w:orient="portrait"/>
          <w:cols w:equalWidth="0" w:num="1">
            <w:col w:w="9606"/>
          </w:cols>
          <w:pgMar w:left="1134" w:top="257" w:right="1159" w:bottom="1440" w:gutter="0" w:footer="0" w:header="0"/>
        </w:sectPr>
      </w:pPr>
    </w:p>
    <w:bookmarkStart w:id="331" w:name="page332"/>
    <w:bookmarkEnd w:id="331"/>
    <w:p>
      <w:pPr>
        <w:jc w:val="center"/>
        <w:ind w:right="-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TENAYA THERAPEUTICS, INC.</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color w:val="auto"/>
        </w:rPr>
        <w:t>STOCK OPTION AGREEMENT — EARLY EXERCISE</w:t>
      </w:r>
    </w:p>
    <w:p>
      <w:pPr>
        <w:spacing w:after="0" w:line="197" w:lineRule="exact"/>
        <w:rPr>
          <w:sz w:val="20"/>
          <w:szCs w:val="20"/>
          <w:color w:val="auto"/>
        </w:rPr>
      </w:pPr>
    </w:p>
    <w:p>
      <w:pPr>
        <w:ind w:left="6" w:right="240" w:firstLine="385"/>
        <w:spacing w:after="0" w:line="266" w:lineRule="auto"/>
        <w:rPr>
          <w:sz w:val="20"/>
          <w:szCs w:val="20"/>
          <w:color w:val="auto"/>
        </w:rPr>
      </w:pPr>
      <w:r>
        <w:rPr>
          <w:rFonts w:ascii="Arial" w:cs="Arial" w:eastAsia="Arial" w:hAnsi="Arial"/>
          <w:sz w:val="16"/>
          <w:szCs w:val="16"/>
          <w:color w:val="auto"/>
        </w:rPr>
        <w:t>Unless otherwise defined herein, the terms defined in the 2016 Equity Incentive Plan (the “Plan”) shall have the same defined meanings in this Stock Option Agreement – Early Exercise (the “Option Agreement”).</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Option 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-8255</wp:posOffset>
            </wp:positionV>
            <wp:extent cx="49911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line="303" w:lineRule="exact"/>
        <w:rPr>
          <w:sz w:val="20"/>
          <w:szCs w:val="20"/>
          <w:color w:val="auto"/>
        </w:rPr>
      </w:pPr>
    </w:p>
    <w:p>
      <w:pPr>
        <w:ind w:left="386" w:right="6500" w:hanging="386"/>
        <w:spacing w:after="0" w:line="492" w:lineRule="auto"/>
        <w:tabs>
          <w:tab w:leader="none" w:pos="379"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NOTICE OF STOCK OPTION GRANT </w:t>
      </w:r>
      <w:r>
        <w:rPr>
          <w:rFonts w:ascii="Arial" w:cs="Arial" w:eastAsia="Arial" w:hAnsi="Arial"/>
          <w:sz w:val="16"/>
          <w:szCs w:val="16"/>
          <w:b w:val="1"/>
          <w:bCs w:val="1"/>
          <w:color w:val="auto"/>
        </w:rPr>
        <w:t>Name:</w:t>
      </w:r>
    </w:p>
    <w:p>
      <w:pPr>
        <w:ind w:left="386"/>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Address: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3"/>
          <w:szCs w:val="13"/>
          <w:color w:val="auto"/>
        </w:rPr>
        <w:t>The undersigned Participant has been granted an Option to purchase Common Stock of the Company, subject to the terms and conditions of the</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Plan and this Option Agreement, as follows:</w:t>
      </w:r>
    </w:p>
    <w:p>
      <w:pPr>
        <w:spacing w:after="0" w:line="187" w:lineRule="exact"/>
        <w:rPr>
          <w:sz w:val="20"/>
          <w:szCs w:val="20"/>
          <w:color w:val="auto"/>
        </w:rPr>
      </w:pPr>
    </w:p>
    <w:tbl>
      <w:tblPr>
        <w:tblLayout w:type="fixed"/>
        <w:tblInd w:w="386" w:type="dxa"/>
        <w:tblCellMar>
          <w:top w:w="0" w:type="dxa"/>
          <w:left w:w="0" w:type="dxa"/>
          <w:bottom w:w="0" w:type="dxa"/>
          <w:right w:w="0" w:type="dxa"/>
        </w:tblCellMar>
      </w:tblPr>
      <w:tr>
        <w:trPr>
          <w:trHeight w:val="184"/>
        </w:trPr>
        <w:tc>
          <w:tcPr>
            <w:tcW w:w="2580" w:type="dxa"/>
            <w:vAlign w:val="bottom"/>
            <w:gridSpan w:val="2"/>
          </w:tcPr>
          <w:p>
            <w:pPr>
              <w:spacing w:after="0"/>
              <w:rPr>
                <w:sz w:val="20"/>
                <w:szCs w:val="20"/>
                <w:color w:val="auto"/>
              </w:rPr>
            </w:pPr>
            <w:r>
              <w:rPr>
                <w:rFonts w:ascii="Arial" w:cs="Arial" w:eastAsia="Arial" w:hAnsi="Arial"/>
                <w:sz w:val="16"/>
                <w:szCs w:val="16"/>
                <w:color w:val="auto"/>
              </w:rPr>
              <w:t>Date of Grant:</w:t>
            </w: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Vesting Commencement Date:</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Exercise Price per Share:</w:t>
            </w: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2080" w:type="dxa"/>
            <w:vAlign w:val="bottom"/>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Total Number of Shares Granted:</w:t>
            </w: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Total Exercise Price:</w:t>
            </w:r>
          </w:p>
        </w:tc>
        <w:tc>
          <w:tcPr>
            <w:tcW w:w="460" w:type="dxa"/>
            <w:vAlign w:val="bottom"/>
            <w:gridSpan w:val="2"/>
          </w:tcPr>
          <w:p>
            <w:pPr>
              <w:jc w:val="right"/>
              <w:ind w:right="380"/>
              <w:spacing w:after="0"/>
              <w:rPr>
                <w:sz w:val="20"/>
                <w:szCs w:val="20"/>
                <w:color w:val="auto"/>
              </w:rPr>
            </w:pPr>
            <w:r>
              <w:rPr>
                <w:rFonts w:ascii="Arial" w:cs="Arial" w:eastAsia="Arial" w:hAnsi="Arial"/>
                <w:sz w:val="15"/>
                <w:szCs w:val="15"/>
                <w:color w:val="auto"/>
                <w:w w:val="71"/>
              </w:rPr>
              <w:t>$</w:t>
            </w:r>
          </w:p>
        </w:tc>
        <w:tc>
          <w:tcPr>
            <w:tcW w:w="2080" w:type="dxa"/>
            <w:vAlign w:val="bottom"/>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Type of Option:</w:t>
            </w: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Incentive Stock Option</w:t>
            </w:r>
          </w:p>
        </w:tc>
      </w:tr>
      <w:tr>
        <w:trPr>
          <w:trHeight w:val="357"/>
        </w:trPr>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Pr>
          <w:p>
            <w:pPr>
              <w:ind w:left="40"/>
              <w:spacing w:after="0"/>
              <w:rPr>
                <w:sz w:val="20"/>
                <w:szCs w:val="20"/>
                <w:color w:val="auto"/>
              </w:rPr>
            </w:pPr>
            <w:r>
              <w:rPr>
                <w:rFonts w:ascii="Arial" w:cs="Arial" w:eastAsia="Arial" w:hAnsi="Arial"/>
                <w:sz w:val="16"/>
                <w:szCs w:val="16"/>
                <w:color w:val="auto"/>
              </w:rPr>
              <w:t>Nonstatutory Stock Option</w:t>
            </w: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Term/Expiration Date:</w:t>
            </w: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r>
      <w:tr>
        <w:trPr>
          <w:trHeight w:val="357"/>
        </w:trPr>
        <w:tc>
          <w:tcPr>
            <w:tcW w:w="2580" w:type="dxa"/>
            <w:vAlign w:val="bottom"/>
            <w:gridSpan w:val="2"/>
          </w:tcPr>
          <w:p>
            <w:pPr>
              <w:spacing w:after="0"/>
              <w:rPr>
                <w:sz w:val="20"/>
                <w:szCs w:val="20"/>
                <w:color w:val="auto"/>
              </w:rPr>
            </w:pPr>
            <w:r>
              <w:rPr>
                <w:rFonts w:ascii="Arial" w:cs="Arial" w:eastAsia="Arial" w:hAnsi="Arial"/>
                <w:sz w:val="16"/>
                <w:szCs w:val="16"/>
                <w:color w:val="auto"/>
              </w:rPr>
              <w:t>Vesting Schedule:</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200"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This Option shall be exercisable, in whole or in part, according to the following vesting schedule:</w:t>
      </w:r>
    </w:p>
    <w:p>
      <w:pPr>
        <w:spacing w:after="0" w:line="193" w:lineRule="exact"/>
        <w:rPr>
          <w:sz w:val="20"/>
          <w:szCs w:val="20"/>
          <w:color w:val="auto"/>
        </w:rPr>
      </w:pPr>
    </w:p>
    <w:p>
      <w:pPr>
        <w:ind w:left="6" w:firstLine="385"/>
        <w:spacing w:after="0" w:line="253" w:lineRule="auto"/>
        <w:rPr>
          <w:sz w:val="20"/>
          <w:szCs w:val="20"/>
          <w:color w:val="auto"/>
        </w:rPr>
      </w:pPr>
      <w:r>
        <w:rPr>
          <w:rFonts w:ascii="Arial" w:cs="Arial" w:eastAsia="Arial" w:hAnsi="Arial"/>
          <w:sz w:val="16"/>
          <w:szCs w:val="16"/>
          <w:color w:val="auto"/>
        </w:rPr>
        <w:t>[Twenty-five percent (25%) of the Shares subject to the Option shall vest on the one (1) year anniversary of the Vesting Commencement Date, and one forty-eighth (1/48</w:t>
      </w:r>
      <w:r>
        <w:rPr>
          <w:rFonts w:ascii="Arial" w:cs="Arial" w:eastAsia="Arial" w:hAnsi="Arial"/>
          <w:sz w:val="13"/>
          <w:szCs w:val="13"/>
          <w:color w:val="auto"/>
        </w:rPr>
        <w:t>th</w:t>
      </w:r>
      <w:r>
        <w:rPr>
          <w:rFonts w:ascii="Arial" w:cs="Arial" w:eastAsia="Arial" w:hAnsi="Arial"/>
          <w:sz w:val="16"/>
          <w:szCs w:val="16"/>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9606"/>
          </w:cols>
          <w:pgMar w:left="1134" w:top="252" w:right="1159" w:bottom="1440" w:gutter="0" w:footer="0" w:header="0"/>
        </w:sectPr>
      </w:pPr>
    </w:p>
    <w:bookmarkStart w:id="332" w:name="page333"/>
    <w:bookmarkEnd w:id="332"/>
    <w:p>
      <w:pPr>
        <w:ind w:left="38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Termination Period</w:t>
      </w:r>
      <w:r>
        <w:rPr>
          <w:rFonts w:ascii="Arial" w:cs="Arial" w:eastAsia="Arial" w:hAnsi="Arial"/>
          <w:sz w:val="16"/>
          <w:szCs w:val="16"/>
          <w:color w:val="auto"/>
        </w:rPr>
        <w:t>:</w:t>
      </w:r>
    </w:p>
    <w:p>
      <w:pPr>
        <w:spacing w:after="0" w:line="193" w:lineRule="exact"/>
        <w:rPr>
          <w:sz w:val="20"/>
          <w:szCs w:val="20"/>
          <w:color w:val="auto"/>
        </w:rPr>
      </w:pPr>
    </w:p>
    <w:p>
      <w:pPr>
        <w:ind w:left="6" w:right="120" w:firstLine="385"/>
        <w:spacing w:after="0" w:line="253" w:lineRule="auto"/>
        <w:rPr>
          <w:sz w:val="20"/>
          <w:szCs w:val="20"/>
          <w:color w:val="auto"/>
        </w:rPr>
      </w:pPr>
      <w:r>
        <w:rPr>
          <w:rFonts w:ascii="Arial" w:cs="Arial" w:eastAsia="Arial" w:hAnsi="Arial"/>
          <w:sz w:val="16"/>
          <w:szCs w:val="16"/>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293" w:lineRule="exact"/>
        <w:rPr>
          <w:sz w:val="20"/>
          <w:szCs w:val="20"/>
          <w:color w:val="auto"/>
        </w:rPr>
      </w:pPr>
    </w:p>
    <w:p>
      <w:pPr>
        <w:ind w:left="386" w:hanging="386"/>
        <w:spacing w:after="0"/>
        <w:tabs>
          <w:tab w:leader="none" w:pos="386"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w:t>
      </w:r>
    </w:p>
    <w:p>
      <w:pPr>
        <w:spacing w:after="0" w:line="102" w:lineRule="exact"/>
        <w:rPr>
          <w:rFonts w:ascii="Arial" w:cs="Arial" w:eastAsia="Arial" w:hAnsi="Arial"/>
          <w:sz w:val="16"/>
          <w:szCs w:val="16"/>
          <w:b w:val="1"/>
          <w:bCs w:val="1"/>
          <w:color w:val="auto"/>
        </w:rPr>
      </w:pPr>
    </w:p>
    <w:p>
      <w:pPr>
        <w:jc w:val="both"/>
        <w:ind w:left="6" w:firstLine="378"/>
        <w:spacing w:after="0" w:line="251" w:lineRule="auto"/>
        <w:tabs>
          <w:tab w:leader="none" w:pos="548" w:val="left"/>
        </w:tabs>
        <w:numPr>
          <w:ilvl w:val="1"/>
          <w:numId w:val="213"/>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70" w:lineRule="exact"/>
        <w:rPr>
          <w:sz w:val="20"/>
          <w:szCs w:val="20"/>
          <w:color w:val="auto"/>
        </w:rPr>
      </w:pPr>
    </w:p>
    <w:p>
      <w:pPr>
        <w:ind w:left="6" w:right="20" w:firstLine="385"/>
        <w:spacing w:after="0" w:line="270" w:lineRule="auto"/>
        <w:rPr>
          <w:sz w:val="20"/>
          <w:szCs w:val="20"/>
          <w:color w:val="auto"/>
        </w:rPr>
      </w:pPr>
      <w:r>
        <w:rPr>
          <w:rFonts w:ascii="Arial" w:cs="Arial" w:eastAsia="Arial" w:hAnsi="Arial"/>
          <w:sz w:val="15"/>
          <w:szCs w:val="15"/>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56" w:lineRule="exact"/>
        <w:rPr>
          <w:sz w:val="20"/>
          <w:szCs w:val="20"/>
          <w:color w:val="auto"/>
        </w:rPr>
      </w:pPr>
    </w:p>
    <w:p>
      <w:pPr>
        <w:ind w:left="546" w:hanging="162"/>
        <w:spacing w:after="0"/>
        <w:tabs>
          <w:tab w:leader="none" w:pos="546"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Exercise of Option</w:t>
      </w:r>
      <w:r>
        <w:rPr>
          <w:rFonts w:ascii="Arial" w:cs="Arial" w:eastAsia="Arial" w:hAnsi="Arial"/>
          <w:sz w:val="15"/>
          <w:szCs w:val="15"/>
          <w:color w:val="auto"/>
        </w:rPr>
        <w:t>. This Option shall be exercisable during its term in accordance with the provisions of Section 6 of the Plan as follows:</w:t>
      </w:r>
    </w:p>
    <w:p>
      <w:pPr>
        <w:spacing w:after="0" w:line="204" w:lineRule="exact"/>
        <w:rPr>
          <w:rFonts w:ascii="Arial" w:cs="Arial" w:eastAsia="Arial" w:hAnsi="Arial"/>
          <w:sz w:val="15"/>
          <w:szCs w:val="15"/>
          <w:color w:val="auto"/>
        </w:rPr>
      </w:pPr>
    </w:p>
    <w:p>
      <w:pPr>
        <w:ind w:left="1086" w:hanging="220"/>
        <w:spacing w:after="0"/>
        <w:tabs>
          <w:tab w:leader="none" w:pos="1086"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jc w:val="both"/>
        <w:ind w:left="6" w:right="20" w:firstLine="1244"/>
        <w:spacing w:after="0" w:line="253" w:lineRule="auto"/>
        <w:tabs>
          <w:tab w:leader="none" w:pos="1444" w:val="left"/>
        </w:tabs>
        <w:numPr>
          <w:ilvl w:val="2"/>
          <w:numId w:val="214"/>
        </w:numPr>
        <w:rPr>
          <w:rFonts w:ascii="Arial" w:cs="Arial" w:eastAsia="Arial" w:hAnsi="Arial"/>
          <w:sz w:val="16"/>
          <w:szCs w:val="16"/>
          <w:color w:val="auto"/>
        </w:rPr>
      </w:pPr>
      <w:r>
        <w:rPr>
          <w:rFonts w:ascii="Arial" w:cs="Arial" w:eastAsia="Arial" w:hAnsi="Arial"/>
          <w:sz w:val="16"/>
          <w:szCs w:val="16"/>
          <w:color w:val="auto"/>
        </w:rPr>
        <w:t xml:space="preserve">Subject to subsections 2(a)(ii) and 2(a)(iii) below, this Option shall be exercisable cumulatively according to the vesting schedule set forth in the Notice of Stock Option Grant. Alternatively, at the election of Participant, this Option may be exercised in whole or in part at any time as to Shares that have not yet vested. Vested Shares shall not be subject to the Company’s repurchase right (as set forth in the Restricted Stock Purchase Agreement, attached hereto as </w:t>
      </w:r>
      <w:r>
        <w:rPr>
          <w:rFonts w:ascii="Arial" w:cs="Arial" w:eastAsia="Arial" w:hAnsi="Arial"/>
          <w:sz w:val="16"/>
          <w:szCs w:val="16"/>
          <w:u w:val="single" w:color="auto"/>
          <w:color w:val="auto"/>
        </w:rPr>
        <w:t>Exhibit C-1</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486" w:hanging="236"/>
        <w:spacing w:after="0"/>
        <w:tabs>
          <w:tab w:leader="none" w:pos="1486" w:val="left"/>
        </w:tabs>
        <w:numPr>
          <w:ilvl w:val="2"/>
          <w:numId w:val="214"/>
        </w:numPr>
        <w:rPr>
          <w:rFonts w:ascii="Arial" w:cs="Arial" w:eastAsia="Arial" w:hAnsi="Arial"/>
          <w:sz w:val="13"/>
          <w:szCs w:val="13"/>
          <w:color w:val="auto"/>
        </w:rPr>
      </w:pPr>
      <w:r>
        <w:rPr>
          <w:rFonts w:ascii="Arial" w:cs="Arial" w:eastAsia="Arial" w:hAnsi="Arial"/>
          <w:sz w:val="13"/>
          <w:szCs w:val="13"/>
          <w:color w:val="auto"/>
        </w:rPr>
        <w:t>As a condition to exercising this Option for unvested Shares, Participant shall execute the Restricted Stock Purchase Agreement.</w:t>
      </w:r>
    </w:p>
    <w:p>
      <w:pPr>
        <w:spacing w:after="0" w:line="227" w:lineRule="exact"/>
        <w:rPr>
          <w:rFonts w:ascii="Arial" w:cs="Arial" w:eastAsia="Arial" w:hAnsi="Arial"/>
          <w:sz w:val="13"/>
          <w:szCs w:val="13"/>
          <w:color w:val="auto"/>
        </w:rPr>
      </w:pPr>
    </w:p>
    <w:p>
      <w:pPr>
        <w:ind w:left="1526" w:hanging="276"/>
        <w:spacing w:after="0"/>
        <w:tabs>
          <w:tab w:leader="none" w:pos="1526" w:val="left"/>
        </w:tabs>
        <w:numPr>
          <w:ilvl w:val="2"/>
          <w:numId w:val="214"/>
        </w:numPr>
        <w:rPr>
          <w:rFonts w:ascii="Arial" w:cs="Arial" w:eastAsia="Arial" w:hAnsi="Arial"/>
          <w:sz w:val="16"/>
          <w:szCs w:val="16"/>
          <w:color w:val="auto"/>
        </w:rPr>
      </w:pPr>
      <w:r>
        <w:rPr>
          <w:rFonts w:ascii="Arial" w:cs="Arial" w:eastAsia="Arial" w:hAnsi="Arial"/>
          <w:sz w:val="16"/>
          <w:szCs w:val="16"/>
          <w:color w:val="auto"/>
        </w:rPr>
        <w:t>This Option may not be exercised for a fraction of a Share.</w:t>
      </w:r>
    </w:p>
    <w:p>
      <w:pPr>
        <w:spacing w:after="0" w:line="193" w:lineRule="exact"/>
        <w:rPr>
          <w:rFonts w:ascii="Arial" w:cs="Arial" w:eastAsia="Arial" w:hAnsi="Arial"/>
          <w:sz w:val="16"/>
          <w:szCs w:val="16"/>
          <w:color w:val="auto"/>
        </w:rPr>
      </w:pPr>
    </w:p>
    <w:p>
      <w:pPr>
        <w:ind w:left="6" w:right="40" w:firstLine="860"/>
        <w:spacing w:after="0" w:line="266" w:lineRule="auto"/>
        <w:tabs>
          <w:tab w:leader="none" w:pos="1094" w:val="left"/>
        </w:tabs>
        <w:numPr>
          <w:ilvl w:val="1"/>
          <w:numId w:val="214"/>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“Exercise Notice”) or in a manner and pursuant to such</w:t>
      </w:r>
    </w:p>
    <w:p>
      <w:pPr>
        <w:sectPr>
          <w:pgSz w:w="11900" w:h="16838" w:orient="portrait"/>
          <w:cols w:equalWidth="0" w:num="1">
            <w:col w:w="9606"/>
          </w:cols>
          <w:pgMar w:left="1134" w:top="256" w:right="1159" w:bottom="1440" w:gutter="0" w:footer="0" w:header="0"/>
        </w:sectPr>
      </w:pPr>
    </w:p>
    <w:bookmarkStart w:id="333" w:name="page334"/>
    <w:bookmarkEnd w:id="333"/>
    <w:p>
      <w:pPr>
        <w:ind w:right="14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70" w:lineRule="exact"/>
        <w:rPr>
          <w:sz w:val="20"/>
          <w:szCs w:val="20"/>
          <w:color w:val="auto"/>
        </w:rPr>
      </w:pPr>
    </w:p>
    <w:p>
      <w:pPr>
        <w:ind w:right="140" w:firstLine="385"/>
        <w:spacing w:after="0" w:line="256" w:lineRule="auto"/>
        <w:rPr>
          <w:sz w:val="20"/>
          <w:szCs w:val="20"/>
          <w:color w:val="auto"/>
        </w:rPr>
      </w:pPr>
      <w:r>
        <w:rPr>
          <w:rFonts w:ascii="Arial" w:cs="Arial" w:eastAsia="Arial" w:hAnsi="Arial"/>
          <w:sz w:val="16"/>
          <w:szCs w:val="16"/>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66" w:lineRule="exact"/>
        <w:rPr>
          <w:sz w:val="20"/>
          <w:szCs w:val="20"/>
          <w:color w:val="auto"/>
        </w:rPr>
      </w:pPr>
    </w:p>
    <w:p>
      <w:pPr>
        <w:ind w:right="280" w:firstLine="378"/>
        <w:spacing w:after="0" w:line="281" w:lineRule="auto"/>
        <w:tabs>
          <w:tab w:leader="none" w:pos="542"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Participant’s Representations</w:t>
      </w:r>
      <w:r>
        <w:rPr>
          <w:rFonts w:ascii="Arial" w:cs="Arial" w:eastAsia="Arial" w:hAnsi="Arial"/>
          <w:sz w:val="15"/>
          <w:szCs w:val="15"/>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48" w:lineRule="exact"/>
        <w:rPr>
          <w:rFonts w:ascii="Arial" w:cs="Arial" w:eastAsia="Arial" w:hAnsi="Arial"/>
          <w:sz w:val="15"/>
          <w:szCs w:val="15"/>
          <w:color w:val="auto"/>
        </w:rPr>
      </w:pPr>
    </w:p>
    <w:p>
      <w:pPr>
        <w:ind w:firstLine="378"/>
        <w:spacing w:after="0" w:line="305" w:lineRule="auto"/>
        <w:tabs>
          <w:tab w:leader="none" w:pos="542" w:val="left"/>
        </w:tabs>
        <w:numPr>
          <w:ilvl w:val="0"/>
          <w:numId w:val="215"/>
        </w:numPr>
        <w:rPr>
          <w:rFonts w:ascii="Arial" w:cs="Arial" w:eastAsia="Arial" w:hAnsi="Arial"/>
          <w:sz w:val="13"/>
          <w:szCs w:val="13"/>
          <w:color w:val="auto"/>
        </w:rPr>
      </w:pPr>
      <w:r>
        <w:rPr>
          <w:rFonts w:ascii="Arial" w:cs="Arial" w:eastAsia="Arial" w:hAnsi="Arial"/>
          <w:sz w:val="13"/>
          <w:szCs w:val="13"/>
          <w:u w:val="single" w:color="auto"/>
          <w:color w:val="auto"/>
        </w:rPr>
        <w:t>Lock-Up Period</w:t>
      </w:r>
      <w:r>
        <w:rPr>
          <w:rFonts w:ascii="Arial" w:cs="Arial" w:eastAsia="Arial" w:hAnsi="Arial"/>
          <w:sz w:val="13"/>
          <w:szCs w:val="13"/>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w:t>
      </w:r>
    </w:p>
    <w:p>
      <w:pPr>
        <w:spacing w:after="0"/>
        <w:rPr>
          <w:rFonts w:ascii="Arial" w:cs="Arial" w:eastAsia="Arial" w:hAnsi="Arial"/>
          <w:sz w:val="13"/>
          <w:szCs w:val="13"/>
          <w:color w:val="auto"/>
        </w:rPr>
      </w:pPr>
      <w:r>
        <w:rPr>
          <w:rFonts w:ascii="Arial" w:cs="Arial" w:eastAsia="Arial" w:hAnsi="Arial"/>
          <w:sz w:val="16"/>
          <w:szCs w:val="16"/>
          <w:color w:val="auto"/>
        </w:rPr>
        <w:t>Rule 2711(f)(4) or NYSE Rule 472(f)(4), or any successor provisions or amendments thereto).</w:t>
      </w:r>
    </w:p>
    <w:p>
      <w:pPr>
        <w:spacing w:after="0" w:line="182" w:lineRule="exact"/>
        <w:rPr>
          <w:sz w:val="20"/>
          <w:szCs w:val="20"/>
          <w:color w:val="auto"/>
        </w:rPr>
      </w:pPr>
    </w:p>
    <w:p>
      <w:pPr>
        <w:ind w:right="60" w:firstLine="385"/>
        <w:spacing w:after="0" w:line="266" w:lineRule="auto"/>
        <w:rPr>
          <w:sz w:val="20"/>
          <w:szCs w:val="20"/>
          <w:color w:val="auto"/>
        </w:rPr>
      </w:pPr>
      <w:r>
        <w:rPr>
          <w:rFonts w:ascii="Arial" w:cs="Arial" w:eastAsia="Arial" w:hAnsi="Arial"/>
          <w:sz w:val="15"/>
          <w:szCs w:val="15"/>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ectPr>
          <w:pgSz w:w="11900" w:h="16838" w:orient="portrait"/>
          <w:cols w:equalWidth="0" w:num="1">
            <w:col w:w="9620"/>
          </w:cols>
          <w:pgMar w:left="1140" w:top="256" w:right="1139" w:bottom="1440" w:gutter="0" w:footer="0" w:header="0"/>
        </w:sectPr>
      </w:pPr>
    </w:p>
    <w:bookmarkStart w:id="334" w:name="page335"/>
    <w:bookmarkEnd w:id="334"/>
    <w:p>
      <w:pPr>
        <w:ind w:right="180" w:firstLine="378"/>
        <w:spacing w:after="0" w:line="266" w:lineRule="auto"/>
        <w:tabs>
          <w:tab w:leader="none" w:pos="54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Method of Payment</w:t>
      </w:r>
      <w:r>
        <w:rPr>
          <w:rFonts w:ascii="Arial" w:cs="Arial" w:eastAsia="Arial" w:hAnsi="Arial"/>
          <w:sz w:val="16"/>
          <w:szCs w:val="16"/>
          <w:color w:val="auto"/>
        </w:rPr>
        <w:t>. Payment of the aggregate Exercise Price shall be by any of the following, or a combination thereof, at the election of the Participant:</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cash;</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check;</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216"/>
        </w:numPr>
        <w:rPr>
          <w:rFonts w:ascii="Arial" w:cs="Arial" w:eastAsia="Arial" w:hAnsi="Arial"/>
          <w:sz w:val="13"/>
          <w:szCs w:val="13"/>
          <w:color w:val="auto"/>
        </w:rPr>
      </w:pPr>
      <w:r>
        <w:rPr>
          <w:rFonts w:ascii="Arial" w:cs="Arial" w:eastAsia="Arial" w:hAnsi="Arial"/>
          <w:sz w:val="13"/>
          <w:szCs w:val="13"/>
          <w:color w:val="auto"/>
        </w:rPr>
        <w:t>consideration received by the Company under a formal cashless exercise program adopted by the Company in connection with the</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Plan; or</w:t>
      </w:r>
    </w:p>
    <w:p>
      <w:pPr>
        <w:spacing w:after="0" w:line="181" w:lineRule="exact"/>
        <w:rPr>
          <w:rFonts w:ascii="Arial" w:cs="Arial" w:eastAsia="Arial" w:hAnsi="Arial"/>
          <w:sz w:val="13"/>
          <w:szCs w:val="13"/>
          <w:color w:val="auto"/>
        </w:rPr>
      </w:pPr>
    </w:p>
    <w:p>
      <w:pPr>
        <w:ind w:right="80" w:firstLine="860"/>
        <w:spacing w:after="0" w:line="256" w:lineRule="auto"/>
        <w:tabs>
          <w:tab w:leader="none" w:pos="108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65" w:lineRule="exact"/>
        <w:rPr>
          <w:rFonts w:ascii="Arial" w:cs="Arial" w:eastAsia="Arial" w:hAnsi="Arial"/>
          <w:sz w:val="16"/>
          <w:szCs w:val="16"/>
          <w:color w:val="auto"/>
        </w:rPr>
      </w:pPr>
    </w:p>
    <w:p>
      <w:pPr>
        <w:ind w:right="100" w:firstLine="378"/>
        <w:spacing w:after="0" w:line="256" w:lineRule="auto"/>
        <w:tabs>
          <w:tab w:leader="none" w:pos="54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Restrictions on Exercise</w:t>
      </w:r>
      <w:r>
        <w:rPr>
          <w:rFonts w:ascii="Arial" w:cs="Arial" w:eastAsia="Arial" w:hAnsi="Arial"/>
          <w:sz w:val="16"/>
          <w:szCs w:val="16"/>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65" w:lineRule="exact"/>
        <w:rPr>
          <w:rFonts w:ascii="Arial" w:cs="Arial" w:eastAsia="Arial" w:hAnsi="Arial"/>
          <w:sz w:val="16"/>
          <w:szCs w:val="16"/>
          <w:color w:val="auto"/>
        </w:rPr>
      </w:pPr>
    </w:p>
    <w:p>
      <w:pPr>
        <w:ind w:left="540" w:hanging="162"/>
        <w:spacing w:after="0"/>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 w:firstLine="860"/>
        <w:spacing w:after="0" w:line="256" w:lineRule="auto"/>
        <w:tabs>
          <w:tab w:leader="none" w:pos="1079" w:val="left"/>
        </w:tabs>
        <w:numPr>
          <w:ilvl w:val="1"/>
          <w:numId w:val="216"/>
        </w:numPr>
        <w:rPr>
          <w:rFonts w:ascii="Arial" w:cs="Arial" w:eastAsia="Arial" w:hAnsi="Arial"/>
          <w:sz w:val="16"/>
          <w:szCs w:val="16"/>
          <w:color w:val="auto"/>
        </w:rPr>
      </w:pPr>
      <w:r>
        <w:rPr>
          <w:rFonts w:ascii="Arial" w:cs="Arial" w:eastAsia="Arial" w:hAnsi="Arial"/>
          <w:sz w:val="16"/>
          <w:szCs w:val="16"/>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65" w:lineRule="exact"/>
        <w:rPr>
          <w:rFonts w:ascii="Arial" w:cs="Arial" w:eastAsia="Arial" w:hAnsi="Arial"/>
          <w:sz w:val="16"/>
          <w:szCs w:val="16"/>
          <w:color w:val="auto"/>
        </w:rPr>
      </w:pPr>
    </w:p>
    <w:p>
      <w:pPr>
        <w:ind w:firstLine="860"/>
        <w:spacing w:after="0" w:line="305" w:lineRule="auto"/>
        <w:tabs>
          <w:tab w:leader="none" w:pos="1088" w:val="left"/>
        </w:tabs>
        <w:numPr>
          <w:ilvl w:val="1"/>
          <w:numId w:val="216"/>
        </w:numPr>
        <w:rPr>
          <w:rFonts w:ascii="Arial" w:cs="Arial" w:eastAsia="Arial" w:hAnsi="Arial"/>
          <w:sz w:val="13"/>
          <w:szCs w:val="13"/>
          <w:color w:val="auto"/>
        </w:rPr>
      </w:pPr>
      <w:r>
        <w:rPr>
          <w:rFonts w:ascii="Arial" w:cs="Arial" w:eastAsia="Arial" w:hAnsi="Arial"/>
          <w:sz w:val="13"/>
          <w:szCs w:val="13"/>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Rule 16a-1(b) of the Exchange Act, respectively), other than as permitted in clauses (i) and (ii) of this paragraph.</w:t>
      </w:r>
    </w:p>
    <w:p>
      <w:pPr>
        <w:spacing w:after="0" w:line="181" w:lineRule="exact"/>
        <w:rPr>
          <w:rFonts w:ascii="Arial" w:cs="Arial" w:eastAsia="Arial" w:hAnsi="Arial"/>
          <w:sz w:val="13"/>
          <w:szCs w:val="13"/>
          <w:color w:val="auto"/>
        </w:rPr>
      </w:pPr>
    </w:p>
    <w:p>
      <w:pPr>
        <w:ind w:right="200" w:firstLine="378"/>
        <w:spacing w:after="0" w:line="266" w:lineRule="auto"/>
        <w:tabs>
          <w:tab w:leader="none" w:pos="542"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Term of Option</w:t>
      </w:r>
      <w:r>
        <w:rPr>
          <w:rFonts w:ascii="Arial" w:cs="Arial" w:eastAsia="Arial" w:hAnsi="Arial"/>
          <w:sz w:val="16"/>
          <w:szCs w:val="16"/>
          <w:color w:val="auto"/>
        </w:rPr>
        <w:t>. This Option may be exercised only within the term set out in the Notice of Stock Option Grant, and may be exercised during such term only in accordance with the Plan and the terms of this Option Agreement.</w:t>
      </w:r>
    </w:p>
    <w:p>
      <w:pPr>
        <w:sectPr>
          <w:pgSz w:w="11900" w:h="16838" w:orient="portrait"/>
          <w:cols w:equalWidth="0" w:num="1">
            <w:col w:w="9620"/>
          </w:cols>
          <w:pgMar w:left="1140" w:top="256" w:right="1139" w:bottom="1440" w:gutter="0" w:footer="0" w:header="0"/>
        </w:sectPr>
      </w:pPr>
    </w:p>
    <w:bookmarkStart w:id="335" w:name="page336"/>
    <w:bookmarkEnd w:id="335"/>
    <w:p>
      <w:pPr>
        <w:ind w:left="240" w:hanging="162"/>
        <w:spacing w:after="0"/>
        <w:tabs>
          <w:tab w:leader="none" w:pos="24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Tax Obligations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left="-300" w:right="80" w:firstLine="860"/>
        <w:spacing w:after="0" w:line="253" w:lineRule="auto"/>
        <w:tabs>
          <w:tab w:leader="none" w:pos="779" w:val="left"/>
        </w:tabs>
        <w:numPr>
          <w:ilvl w:val="1"/>
          <w:numId w:val="217"/>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67" w:lineRule="exact"/>
        <w:rPr>
          <w:rFonts w:ascii="Arial" w:cs="Arial" w:eastAsia="Arial" w:hAnsi="Arial"/>
          <w:sz w:val="16"/>
          <w:szCs w:val="16"/>
          <w:color w:val="auto"/>
        </w:rPr>
      </w:pPr>
    </w:p>
    <w:p>
      <w:pPr>
        <w:ind w:left="-300" w:firstLine="860"/>
        <w:spacing w:after="0" w:line="275" w:lineRule="auto"/>
        <w:tabs>
          <w:tab w:leader="none" w:pos="788" w:val="left"/>
        </w:tabs>
        <w:numPr>
          <w:ilvl w:val="1"/>
          <w:numId w:val="217"/>
        </w:numPr>
        <w:rPr>
          <w:rFonts w:ascii="Arial" w:cs="Arial" w:eastAsia="Arial" w:hAnsi="Arial"/>
          <w:sz w:val="15"/>
          <w:szCs w:val="15"/>
          <w:color w:val="auto"/>
        </w:rPr>
      </w:pPr>
      <w:r>
        <w:rPr>
          <w:rFonts w:ascii="Arial" w:cs="Arial" w:eastAsia="Arial" w:hAnsi="Arial"/>
          <w:sz w:val="15"/>
          <w:szCs w:val="15"/>
          <w:u w:val="single" w:color="auto"/>
          <w:color w:val="auto"/>
        </w:rPr>
        <w:t>Notice of Disqualifying Disposition of ISO Shares</w:t>
      </w:r>
      <w:r>
        <w:rPr>
          <w:rFonts w:ascii="Arial" w:cs="Arial" w:eastAsia="Arial" w:hAnsi="Arial"/>
          <w:sz w:val="15"/>
          <w:szCs w:val="15"/>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52" w:lineRule="exact"/>
        <w:rPr>
          <w:rFonts w:ascii="Arial" w:cs="Arial" w:eastAsia="Arial" w:hAnsi="Arial"/>
          <w:sz w:val="15"/>
          <w:szCs w:val="15"/>
          <w:color w:val="auto"/>
        </w:rPr>
      </w:pPr>
    </w:p>
    <w:p>
      <w:pPr>
        <w:ind w:left="-300" w:right="80" w:firstLine="860"/>
        <w:spacing w:after="0" w:line="312" w:lineRule="auto"/>
        <w:tabs>
          <w:tab w:leader="none" w:pos="779" w:val="left"/>
        </w:tabs>
        <w:numPr>
          <w:ilvl w:val="1"/>
          <w:numId w:val="217"/>
        </w:numPr>
        <w:rPr>
          <w:rFonts w:ascii="Arial" w:cs="Arial" w:eastAsia="Arial" w:hAnsi="Arial"/>
          <w:sz w:val="13"/>
          <w:szCs w:val="13"/>
          <w:color w:val="auto"/>
        </w:rPr>
      </w:pPr>
      <w:r>
        <w:rPr>
          <w:rFonts w:ascii="Arial" w:cs="Arial" w:eastAsia="Arial" w:hAnsi="Arial"/>
          <w:sz w:val="13"/>
          <w:szCs w:val="13"/>
          <w:u w:val="single" w:color="auto"/>
          <w:color w:val="auto"/>
        </w:rPr>
        <w:t>Code Section 409A</w:t>
      </w:r>
      <w:r>
        <w:rPr>
          <w:rFonts w:ascii="Arial" w:cs="Arial" w:eastAsia="Arial" w:hAnsi="Arial"/>
          <w:sz w:val="13"/>
          <w:szCs w:val="13"/>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37" w:lineRule="exact"/>
        <w:rPr>
          <w:rFonts w:ascii="Arial" w:cs="Arial" w:eastAsia="Arial" w:hAnsi="Arial"/>
          <w:sz w:val="13"/>
          <w:szCs w:val="13"/>
          <w:color w:val="auto"/>
        </w:rPr>
      </w:pPr>
    </w:p>
    <w:p>
      <w:pPr>
        <w:ind w:left="-300" w:right="100" w:firstLine="378"/>
        <w:spacing w:after="0" w:line="251" w:lineRule="auto"/>
        <w:tabs>
          <w:tab w:leader="none" w:pos="320"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Entire Agreement; Governing Law</w:t>
      </w:r>
      <w:r>
        <w:rPr>
          <w:rFonts w:ascii="Arial" w:cs="Arial" w:eastAsia="Arial" w:hAnsi="Arial"/>
          <w:sz w:val="16"/>
          <w:szCs w:val="16"/>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Delaware.</w:t>
      </w:r>
    </w:p>
    <w:p>
      <w:pPr>
        <w:spacing w:after="0" w:line="169" w:lineRule="exact"/>
        <w:rPr>
          <w:rFonts w:ascii="Arial" w:cs="Arial" w:eastAsia="Arial" w:hAnsi="Arial"/>
          <w:sz w:val="16"/>
          <w:szCs w:val="16"/>
          <w:color w:val="auto"/>
        </w:rPr>
      </w:pPr>
    </w:p>
    <w:p>
      <w:pPr>
        <w:ind w:left="-300" w:right="20" w:firstLine="378"/>
        <w:spacing w:after="0" w:line="249" w:lineRule="auto"/>
        <w:tabs>
          <w:tab w:leader="none" w:pos="314"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No Guarantee of Continued Service</w:t>
      </w:r>
      <w:r>
        <w:rPr>
          <w:rFonts w:ascii="Arial" w:cs="Arial" w:eastAsia="Arial" w:hAnsi="Arial"/>
          <w:sz w:val="16"/>
          <w:szCs w:val="16"/>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w:t>
      </w:r>
    </w:p>
    <w:p>
      <w:pPr>
        <w:sectPr>
          <w:pgSz w:w="11900" w:h="16838" w:orient="portrait"/>
          <w:cols w:equalWidth="0" w:num="1">
            <w:col w:w="9260"/>
          </w:cols>
          <w:pgMar w:left="1440" w:top="256" w:right="1199" w:bottom="1440" w:gutter="0" w:footer="0" w:header="0"/>
        </w:sectPr>
      </w:pPr>
    </w:p>
    <w:bookmarkStart w:id="336" w:name="page337"/>
    <w:bookmarkEnd w:id="336"/>
    <w:p>
      <w:pPr>
        <w:ind w:right="12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66" w:lineRule="exact"/>
        <w:rPr>
          <w:sz w:val="20"/>
          <w:szCs w:val="20"/>
          <w:color w:val="auto"/>
        </w:rPr>
      </w:pPr>
    </w:p>
    <w:p>
      <w:pPr>
        <w:ind w:right="40" w:firstLine="385"/>
        <w:spacing w:after="0" w:line="323" w:lineRule="auto"/>
        <w:rPr>
          <w:sz w:val="20"/>
          <w:szCs w:val="20"/>
          <w:color w:val="auto"/>
        </w:rPr>
      </w:pPr>
      <w:r>
        <w:rPr>
          <w:rFonts w:ascii="Arial" w:cs="Arial" w:eastAsia="Arial" w:hAnsi="Arial"/>
          <w:sz w:val="13"/>
          <w:szCs w:val="13"/>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180" w:type="dxa"/>
            <w:vAlign w:val="bottom"/>
            <w:gridSpan w:val="2"/>
          </w:tcPr>
          <w:p>
            <w:pPr>
              <w:ind w:left="76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Print Name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Residence Address</w:t>
            </w:r>
          </w:p>
        </w:tc>
        <w:tc>
          <w:tcPr>
            <w:tcW w:w="7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7" w:right="113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2016 Equity Incentive Plan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EXERCISE NOTICE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80" w:type="dxa"/>
            <w:vAlign w:val="bottom"/>
            <w:gridSpan w:val="4"/>
          </w:tcPr>
          <w:p>
            <w:pPr>
              <w:spacing w:after="0"/>
              <w:rPr>
                <w:sz w:val="20"/>
                <w:szCs w:val="20"/>
                <w:color w:val="auto"/>
              </w:rPr>
            </w:pPr>
            <w:r>
              <w:rPr>
                <w:rFonts w:ascii="Arial" w:cs="Arial" w:eastAsia="Arial" w:hAnsi="Arial"/>
                <w:sz w:val="16"/>
                <w:szCs w:val="16"/>
                <w:color w:val="auto"/>
              </w:rPr>
              <w:t>Attention: Secretary</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343"/>
        </w:trPr>
        <w:tc>
          <w:tcPr>
            <w:tcW w:w="3180" w:type="dxa"/>
            <w:vAlign w:val="bottom"/>
            <w:gridSpan w:val="4"/>
          </w:tcPr>
          <w:p>
            <w:pPr>
              <w:ind w:left="380"/>
              <w:spacing w:after="0"/>
              <w:rPr>
                <w:sz w:val="20"/>
                <w:szCs w:val="20"/>
                <w:color w:val="auto"/>
              </w:rPr>
            </w:pPr>
            <w:r>
              <w:rPr>
                <w:rFonts w:ascii="Arial" w:cs="Arial" w:eastAsia="Arial" w:hAnsi="Arial"/>
                <w:sz w:val="16"/>
                <w:szCs w:val="16"/>
                <w:color w:val="auto"/>
                <w:w w:val="90"/>
              </w:rPr>
              <w:t>1. Exercise of Option. Effective as of today,</w:t>
            </w:r>
          </w:p>
        </w:tc>
        <w:tc>
          <w:tcPr>
            <w:tcW w:w="11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4720" w:type="dxa"/>
            <w:vAlign w:val="bottom"/>
            <w:gridSpan w:val="5"/>
          </w:tcPr>
          <w:p>
            <w:pPr>
              <w:spacing w:after="0"/>
              <w:rPr>
                <w:sz w:val="20"/>
                <w:szCs w:val="20"/>
                <w:color w:val="auto"/>
              </w:rPr>
            </w:pPr>
            <w:r>
              <w:rPr>
                <w:rFonts w:ascii="Arial" w:cs="Arial" w:eastAsia="Arial" w:hAnsi="Arial"/>
                <w:sz w:val="16"/>
                <w:szCs w:val="16"/>
                <w:color w:val="auto"/>
                <w:w w:val="94"/>
              </w:rPr>
              <w:t>, the undersigned (“Participant”) hereby elects to exercise Participant’s</w:t>
            </w:r>
          </w:p>
        </w:tc>
      </w:tr>
      <w:tr>
        <w:trPr>
          <w:trHeight w:val="20"/>
        </w:trPr>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9"/>
        </w:trPr>
        <w:tc>
          <w:tcPr>
            <w:tcW w:w="2140" w:type="dxa"/>
            <w:vAlign w:val="bottom"/>
            <w:gridSpan w:val="3"/>
          </w:tcPr>
          <w:p>
            <w:pPr>
              <w:spacing w:after="0" w:line="168" w:lineRule="exact"/>
              <w:rPr>
                <w:sz w:val="20"/>
                <w:szCs w:val="20"/>
                <w:color w:val="auto"/>
              </w:rPr>
            </w:pPr>
            <w:r>
              <w:rPr>
                <w:rFonts w:ascii="Arial" w:cs="Arial" w:eastAsia="Arial" w:hAnsi="Arial"/>
                <w:sz w:val="16"/>
                <w:szCs w:val="16"/>
                <w:color w:val="auto"/>
                <w:w w:val="91"/>
              </w:rPr>
              <w:t>option (the “Option”) to purchase</w:t>
            </w: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140" w:type="dxa"/>
            <w:vAlign w:val="bottom"/>
            <w:gridSpan w:val="8"/>
          </w:tcPr>
          <w:p>
            <w:pPr>
              <w:ind w:left="40"/>
              <w:spacing w:after="0" w:line="168" w:lineRule="exact"/>
              <w:rPr>
                <w:sz w:val="20"/>
                <w:szCs w:val="20"/>
                <w:color w:val="auto"/>
              </w:rPr>
            </w:pPr>
            <w:r>
              <w:rPr>
                <w:rFonts w:ascii="Arial" w:cs="Arial" w:eastAsia="Arial" w:hAnsi="Arial"/>
                <w:sz w:val="16"/>
                <w:szCs w:val="16"/>
                <w:color w:val="auto"/>
                <w:w w:val="89"/>
              </w:rPr>
              <w:t>shares of the Common Stock (the “Shares”) of Tenaya Therapeutics, Inc. (the “Company”) under</w:t>
            </w:r>
          </w:p>
        </w:tc>
      </w:tr>
      <w:tr>
        <w:trPr>
          <w:trHeight w:val="169"/>
        </w:trPr>
        <w:tc>
          <w:tcPr>
            <w:tcW w:w="7340" w:type="dxa"/>
            <w:vAlign w:val="bottom"/>
            <w:gridSpan w:val="9"/>
          </w:tcPr>
          <w:p>
            <w:pPr>
              <w:spacing w:after="0" w:line="168" w:lineRule="exact"/>
              <w:rPr>
                <w:sz w:val="20"/>
                <w:szCs w:val="20"/>
                <w:color w:val="auto"/>
              </w:rPr>
            </w:pPr>
            <w:r>
              <w:rPr>
                <w:rFonts w:ascii="Arial" w:cs="Arial" w:eastAsia="Arial" w:hAnsi="Arial"/>
                <w:sz w:val="16"/>
                <w:szCs w:val="16"/>
                <w:color w:val="auto"/>
                <w:w w:val="89"/>
              </w:rPr>
              <w:t>and pursuant to the 2016 Equity Incentive Plan (the “Plan”) and the Stock Option Agreement – Early Exercise dated</w:t>
            </w:r>
          </w:p>
        </w:tc>
        <w:tc>
          <w:tcPr>
            <w:tcW w:w="1180" w:type="dxa"/>
            <w:vAlign w:val="bottom"/>
            <w:gridSpan w:val="2"/>
          </w:tcPr>
          <w:p>
            <w:pPr>
              <w:jc w:val="right"/>
              <w:ind w:right="40"/>
              <w:spacing w:after="0" w:line="168" w:lineRule="exact"/>
              <w:rPr>
                <w:sz w:val="20"/>
                <w:szCs w:val="20"/>
                <w:color w:val="auto"/>
              </w:rPr>
            </w:pPr>
            <w:r>
              <w:rPr>
                <w:rFonts w:ascii="Arial" w:cs="Arial" w:eastAsia="Arial" w:hAnsi="Arial"/>
                <w:sz w:val="16"/>
                <w:szCs w:val="16"/>
                <w:color w:val="auto"/>
              </w:rPr>
              <w:t>,</w:t>
            </w:r>
          </w:p>
        </w:tc>
        <w:tc>
          <w:tcPr>
            <w:tcW w:w="480" w:type="dxa"/>
            <w:vAlign w:val="bottom"/>
          </w:tcPr>
          <w:p>
            <w:pPr>
              <w:spacing w:after="0"/>
              <w:rPr>
                <w:sz w:val="14"/>
                <w:szCs w:val="14"/>
                <w:color w:val="auto"/>
              </w:rPr>
            </w:pPr>
          </w:p>
        </w:tc>
        <w:tc>
          <w:tcPr>
            <w:tcW w:w="540" w:type="dxa"/>
            <w:vAlign w:val="bottom"/>
          </w:tcPr>
          <w:p>
            <w:pPr>
              <w:ind w:left="40"/>
              <w:spacing w:after="0" w:line="168" w:lineRule="exact"/>
              <w:rPr>
                <w:sz w:val="20"/>
                <w:szCs w:val="20"/>
                <w:color w:val="auto"/>
              </w:rPr>
            </w:pPr>
            <w:r>
              <w:rPr>
                <w:rFonts w:ascii="Arial" w:cs="Arial" w:eastAsia="Arial" w:hAnsi="Arial"/>
                <w:sz w:val="16"/>
                <w:szCs w:val="16"/>
                <w:color w:val="auto"/>
              </w:rPr>
              <w:t>(the</w:t>
            </w:r>
          </w:p>
        </w:tc>
      </w:tr>
      <w:tr>
        <w:trPr>
          <w:trHeight w:val="203"/>
        </w:trPr>
        <w:tc>
          <w:tcPr>
            <w:tcW w:w="3180" w:type="dxa"/>
            <w:vAlign w:val="bottom"/>
            <w:gridSpan w:val="4"/>
          </w:tcPr>
          <w:p>
            <w:pPr>
              <w:spacing w:after="0"/>
              <w:rPr>
                <w:sz w:val="20"/>
                <w:szCs w:val="20"/>
                <w:color w:val="auto"/>
              </w:rPr>
            </w:pPr>
            <w:r>
              <w:rPr>
                <w:rFonts w:ascii="Arial" w:cs="Arial" w:eastAsia="Arial" w:hAnsi="Arial"/>
                <w:sz w:val="16"/>
                <w:szCs w:val="16"/>
                <w:color w:val="auto"/>
              </w:rPr>
              <w:t>“Option Agreement”).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r>
    </w:tbl>
    <w:p>
      <w:pPr>
        <w:spacing w:after="0" w:line="177" w:lineRule="exact"/>
        <w:rPr>
          <w:sz w:val="20"/>
          <w:szCs w:val="20"/>
          <w:color w:val="auto"/>
        </w:rPr>
      </w:pPr>
    </w:p>
    <w:p>
      <w:pPr>
        <w:ind w:right="120" w:firstLine="378"/>
        <w:spacing w:after="0" w:line="266" w:lineRule="auto"/>
        <w:tabs>
          <w:tab w:leader="none" w:pos="542"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Delivery of Payment</w:t>
      </w:r>
      <w:r>
        <w:rPr>
          <w:rFonts w:ascii="Arial" w:cs="Arial" w:eastAsia="Arial" w:hAnsi="Arial"/>
          <w:sz w:val="16"/>
          <w:szCs w:val="16"/>
          <w:color w:val="auto"/>
        </w:rPr>
        <w:t>. Participant herewith delivers to the Company the full purchase price of the Shares, as set forth in the Option Agreement, and any and all withholding taxes due in connection with the exercise of the Option.</w:t>
      </w:r>
    </w:p>
    <w:p>
      <w:pPr>
        <w:spacing w:after="0" w:line="158" w:lineRule="exact"/>
        <w:rPr>
          <w:rFonts w:ascii="Arial" w:cs="Arial" w:eastAsia="Arial" w:hAnsi="Arial"/>
          <w:sz w:val="16"/>
          <w:szCs w:val="16"/>
          <w:color w:val="auto"/>
        </w:rPr>
      </w:pPr>
    </w:p>
    <w:p>
      <w:pPr>
        <w:ind w:right="60" w:firstLine="378"/>
        <w:spacing w:after="0" w:line="266" w:lineRule="auto"/>
        <w:tabs>
          <w:tab w:leader="none" w:pos="542"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Representations of Participant</w:t>
      </w:r>
      <w:r>
        <w:rPr>
          <w:rFonts w:ascii="Arial" w:cs="Arial" w:eastAsia="Arial" w:hAnsi="Arial"/>
          <w:sz w:val="16"/>
          <w:szCs w:val="16"/>
          <w:color w:val="auto"/>
        </w:rPr>
        <w:t>. Participant acknowledges that Participant has received, read and understood the Plan and the Option Agreement and agrees to abide by and be bound by their terms and conditions.</w:t>
      </w:r>
    </w:p>
    <w:p>
      <w:pPr>
        <w:spacing w:after="0" w:line="158" w:lineRule="exact"/>
        <w:rPr>
          <w:rFonts w:ascii="Arial" w:cs="Arial" w:eastAsia="Arial" w:hAnsi="Arial"/>
          <w:sz w:val="16"/>
          <w:szCs w:val="16"/>
          <w:color w:val="auto"/>
        </w:rPr>
      </w:pPr>
    </w:p>
    <w:p>
      <w:pPr>
        <w:ind w:firstLine="378"/>
        <w:spacing w:after="0" w:line="251" w:lineRule="auto"/>
        <w:tabs>
          <w:tab w:leader="none" w:pos="542"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69" w:lineRule="exact"/>
        <w:rPr>
          <w:rFonts w:ascii="Arial" w:cs="Arial" w:eastAsia="Arial" w:hAnsi="Arial"/>
          <w:sz w:val="16"/>
          <w:szCs w:val="16"/>
          <w:color w:val="auto"/>
        </w:rPr>
      </w:pPr>
    </w:p>
    <w:p>
      <w:pPr>
        <w:ind w:right="100" w:firstLine="378"/>
        <w:spacing w:after="0" w:line="281" w:lineRule="auto"/>
        <w:tabs>
          <w:tab w:leader="none" w:pos="542" w:val="left"/>
        </w:tabs>
        <w:numPr>
          <w:ilvl w:val="0"/>
          <w:numId w:val="218"/>
        </w:numPr>
        <w:rPr>
          <w:rFonts w:ascii="Arial" w:cs="Arial" w:eastAsia="Arial" w:hAnsi="Arial"/>
          <w:sz w:val="15"/>
          <w:szCs w:val="15"/>
          <w:color w:val="auto"/>
        </w:rPr>
      </w:pPr>
      <w:r>
        <w:rPr>
          <w:rFonts w:ascii="Arial" w:cs="Arial" w:eastAsia="Arial" w:hAnsi="Arial"/>
          <w:sz w:val="15"/>
          <w:szCs w:val="15"/>
          <w:u w:val="single" w:color="auto"/>
          <w:color w:val="auto"/>
        </w:rPr>
        <w:t>Company’s Right of First Refusal</w:t>
      </w:r>
      <w:r>
        <w:rPr>
          <w:rFonts w:ascii="Arial" w:cs="Arial" w:eastAsia="Arial" w:hAnsi="Arial"/>
          <w:sz w:val="15"/>
          <w:szCs w:val="15"/>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48" w:lineRule="exact"/>
        <w:rPr>
          <w:rFonts w:ascii="Arial" w:cs="Arial" w:eastAsia="Arial" w:hAnsi="Arial"/>
          <w:sz w:val="15"/>
          <w:szCs w:val="15"/>
          <w:color w:val="auto"/>
        </w:rPr>
      </w:pPr>
    </w:p>
    <w:p>
      <w:pPr>
        <w:ind w:right="60" w:firstLine="860"/>
        <w:spacing w:after="0" w:line="251" w:lineRule="auto"/>
        <w:tabs>
          <w:tab w:leader="none" w:pos="1079"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Notice of Proposed Transfer</w:t>
      </w:r>
      <w:r>
        <w:rPr>
          <w:rFonts w:ascii="Arial" w:cs="Arial" w:eastAsia="Arial" w:hAnsi="Arial"/>
          <w:sz w:val="16"/>
          <w:szCs w:val="16"/>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9600"/>
          </w:cols>
          <w:pgMar w:left="1140" w:top="252" w:right="1159" w:bottom="1440" w:gutter="0" w:footer="0" w:header="0"/>
        </w:sectPr>
      </w:pPr>
    </w:p>
    <w:bookmarkStart w:id="338" w:name="page339"/>
    <w:bookmarkEnd w:id="338"/>
    <w:p>
      <w:pPr>
        <w:ind w:left="6" w:firstLine="860"/>
        <w:spacing w:after="0" w:line="281" w:lineRule="auto"/>
        <w:tabs>
          <w:tab w:leader="none" w:pos="1094" w:val="left"/>
        </w:tabs>
        <w:numPr>
          <w:ilvl w:val="2"/>
          <w:numId w:val="21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Exercise of Right of First Refusal</w:t>
      </w:r>
      <w:r>
        <w:rPr>
          <w:rFonts w:ascii="Arial" w:cs="Arial" w:eastAsia="Arial" w:hAnsi="Arial"/>
          <w:sz w:val="15"/>
          <w:szCs w:val="15"/>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48" w:lineRule="exact"/>
        <w:rPr>
          <w:rFonts w:ascii="Arial" w:cs="Arial" w:eastAsia="Arial" w:hAnsi="Arial"/>
          <w:sz w:val="15"/>
          <w:szCs w:val="15"/>
          <w:color w:val="auto"/>
        </w:rPr>
      </w:pPr>
    </w:p>
    <w:p>
      <w:pPr>
        <w:ind w:left="6" w:firstLine="860"/>
        <w:spacing w:after="0" w:line="256" w:lineRule="auto"/>
        <w:tabs>
          <w:tab w:leader="none" w:pos="1085" w:val="left"/>
        </w:tabs>
        <w:numPr>
          <w:ilvl w:val="2"/>
          <w:numId w:val="219"/>
        </w:numPr>
        <w:rPr>
          <w:rFonts w:ascii="Arial" w:cs="Arial" w:eastAsia="Arial" w:hAnsi="Arial"/>
          <w:sz w:val="16"/>
          <w:szCs w:val="16"/>
          <w:color w:val="auto"/>
        </w:rPr>
      </w:pP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65" w:lineRule="exact"/>
        <w:rPr>
          <w:rFonts w:ascii="Arial" w:cs="Arial" w:eastAsia="Arial" w:hAnsi="Arial"/>
          <w:sz w:val="16"/>
          <w:szCs w:val="16"/>
          <w:color w:val="auto"/>
        </w:rPr>
      </w:pPr>
    </w:p>
    <w:p>
      <w:pPr>
        <w:ind w:left="6" w:right="320" w:firstLine="860"/>
        <w:spacing w:after="0" w:line="343" w:lineRule="auto"/>
        <w:tabs>
          <w:tab w:leader="none" w:pos="1094" w:val="left"/>
        </w:tabs>
        <w:numPr>
          <w:ilvl w:val="2"/>
          <w:numId w:val="219"/>
        </w:numPr>
        <w:rPr>
          <w:rFonts w:ascii="Arial" w:cs="Arial" w:eastAsia="Arial" w:hAnsi="Arial"/>
          <w:sz w:val="13"/>
          <w:szCs w:val="13"/>
          <w:color w:val="auto"/>
        </w:rPr>
      </w:pPr>
      <w:r>
        <w:rPr>
          <w:rFonts w:ascii="Arial" w:cs="Arial" w:eastAsia="Arial" w:hAnsi="Arial"/>
          <w:sz w:val="13"/>
          <w:szCs w:val="13"/>
          <w:u w:val="single" w:color="auto"/>
          <w:color w:val="auto"/>
        </w:rPr>
        <w:t>Payment</w:t>
      </w:r>
      <w:r>
        <w:rPr>
          <w:rFonts w:ascii="Arial" w:cs="Arial" w:eastAsia="Arial" w:hAnsi="Arial"/>
          <w:sz w:val="13"/>
          <w:szCs w:val="13"/>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13" w:lineRule="exact"/>
        <w:rPr>
          <w:rFonts w:ascii="Arial" w:cs="Arial" w:eastAsia="Arial" w:hAnsi="Arial"/>
          <w:sz w:val="13"/>
          <w:szCs w:val="13"/>
          <w:color w:val="auto"/>
        </w:rPr>
      </w:pPr>
    </w:p>
    <w:p>
      <w:pPr>
        <w:ind w:left="6" w:right="140" w:firstLine="860"/>
        <w:spacing w:after="0" w:line="308" w:lineRule="auto"/>
        <w:tabs>
          <w:tab w:leader="none" w:pos="1085" w:val="left"/>
        </w:tabs>
        <w:numPr>
          <w:ilvl w:val="2"/>
          <w:numId w:val="219"/>
        </w:numPr>
        <w:rPr>
          <w:rFonts w:ascii="Arial" w:cs="Arial" w:eastAsia="Arial" w:hAnsi="Arial"/>
          <w:sz w:val="13"/>
          <w:szCs w:val="13"/>
          <w:color w:val="auto"/>
        </w:rPr>
      </w:pPr>
      <w:r>
        <w:rPr>
          <w:rFonts w:ascii="Arial" w:cs="Arial" w:eastAsia="Arial" w:hAnsi="Arial"/>
          <w:sz w:val="13"/>
          <w:szCs w:val="13"/>
          <w:u w:val="single" w:color="auto"/>
          <w:color w:val="auto"/>
        </w:rPr>
        <w:t>Holder’s Right to Transfer</w:t>
      </w:r>
      <w:r>
        <w:rPr>
          <w:rFonts w:ascii="Arial" w:cs="Arial" w:eastAsia="Arial" w:hAnsi="Arial"/>
          <w:sz w:val="13"/>
          <w:szCs w:val="13"/>
          <w:color w:val="auto"/>
        </w:rPr>
        <w:t>.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provided that such sale or other transfer is consummated within one hundred and twenty</w:t>
      </w:r>
    </w:p>
    <w:p>
      <w:pPr>
        <w:spacing w:after="0" w:line="1" w:lineRule="exact"/>
        <w:rPr>
          <w:rFonts w:ascii="Arial" w:cs="Arial" w:eastAsia="Arial" w:hAnsi="Arial"/>
          <w:sz w:val="13"/>
          <w:szCs w:val="13"/>
          <w:color w:val="auto"/>
        </w:rPr>
      </w:pPr>
    </w:p>
    <w:p>
      <w:pPr>
        <w:ind w:left="6" w:right="120" w:hanging="6"/>
        <w:spacing w:after="0" w:line="247" w:lineRule="auto"/>
        <w:tabs>
          <w:tab w:leader="none" w:pos="38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73" w:lineRule="exact"/>
        <w:rPr>
          <w:rFonts w:ascii="Arial" w:cs="Arial" w:eastAsia="Arial" w:hAnsi="Arial"/>
          <w:sz w:val="16"/>
          <w:szCs w:val="16"/>
          <w:color w:val="auto"/>
        </w:rPr>
      </w:pPr>
    </w:p>
    <w:p>
      <w:pPr>
        <w:ind w:left="6" w:firstLine="860"/>
        <w:spacing w:after="0" w:line="250" w:lineRule="auto"/>
        <w:tabs>
          <w:tab w:leader="none" w:pos="1068" w:val="left"/>
        </w:tabs>
        <w:numPr>
          <w:ilvl w:val="2"/>
          <w:numId w:val="220"/>
        </w:numPr>
        <w:rPr>
          <w:rFonts w:ascii="Arial" w:cs="Arial" w:eastAsia="Arial" w:hAnsi="Arial"/>
          <w:sz w:val="16"/>
          <w:szCs w:val="16"/>
          <w:color w:val="auto"/>
        </w:rPr>
      </w:pPr>
      <w:r>
        <w:rPr>
          <w:rFonts w:ascii="Arial" w:cs="Arial" w:eastAsia="Arial" w:hAnsi="Arial"/>
          <w:sz w:val="16"/>
          <w:szCs w:val="16"/>
          <w:u w:val="single" w:color="auto"/>
          <w:color w:val="auto"/>
        </w:rPr>
        <w:t>Exception for Certain Family Transfers</w:t>
      </w:r>
      <w:r>
        <w:rPr>
          <w:rFonts w:ascii="Arial" w:cs="Arial" w:eastAsia="Arial" w:hAnsi="Arial"/>
          <w:sz w:val="16"/>
          <w:szCs w:val="16"/>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70" w:lineRule="exact"/>
        <w:rPr>
          <w:rFonts w:ascii="Arial" w:cs="Arial" w:eastAsia="Arial" w:hAnsi="Arial"/>
          <w:sz w:val="16"/>
          <w:szCs w:val="16"/>
          <w:color w:val="auto"/>
        </w:rPr>
      </w:pPr>
    </w:p>
    <w:p>
      <w:pPr>
        <w:ind w:left="6" w:firstLine="860"/>
        <w:spacing w:after="0" w:line="256" w:lineRule="auto"/>
        <w:tabs>
          <w:tab w:leader="none" w:pos="1094" w:val="left"/>
        </w:tabs>
        <w:numPr>
          <w:ilvl w:val="2"/>
          <w:numId w:val="220"/>
        </w:numPr>
        <w:rPr>
          <w:rFonts w:ascii="Arial" w:cs="Arial" w:eastAsia="Arial" w:hAnsi="Arial"/>
          <w:sz w:val="16"/>
          <w:szCs w:val="16"/>
          <w:color w:val="auto"/>
        </w:rPr>
      </w:pPr>
      <w:r>
        <w:rPr>
          <w:rFonts w:ascii="Arial" w:cs="Arial" w:eastAsia="Arial" w:hAnsi="Arial"/>
          <w:sz w:val="16"/>
          <w:szCs w:val="16"/>
          <w:u w:val="single" w:color="auto"/>
          <w:color w:val="auto"/>
        </w:rPr>
        <w:t>Termination of Right of First Refusal</w:t>
      </w:r>
      <w:r>
        <w:rPr>
          <w:rFonts w:ascii="Arial" w:cs="Arial" w:eastAsia="Arial" w:hAnsi="Arial"/>
          <w:sz w:val="16"/>
          <w:szCs w:val="16"/>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65" w:lineRule="exact"/>
        <w:rPr>
          <w:rFonts w:ascii="Arial" w:cs="Arial" w:eastAsia="Arial" w:hAnsi="Arial"/>
          <w:sz w:val="16"/>
          <w:szCs w:val="16"/>
          <w:color w:val="auto"/>
        </w:rPr>
      </w:pPr>
    </w:p>
    <w:p>
      <w:pPr>
        <w:ind w:left="6" w:right="120" w:firstLine="378"/>
        <w:spacing w:after="0" w:line="281" w:lineRule="auto"/>
        <w:tabs>
          <w:tab w:leader="none" w:pos="548" w:val="left"/>
        </w:tabs>
        <w:numPr>
          <w:ilvl w:val="1"/>
          <w:numId w:val="220"/>
        </w:numPr>
        <w:rPr>
          <w:rFonts w:ascii="Arial" w:cs="Arial" w:eastAsia="Arial" w:hAnsi="Arial"/>
          <w:sz w:val="15"/>
          <w:szCs w:val="15"/>
          <w:color w:val="auto"/>
        </w:rPr>
      </w:pPr>
      <w:r>
        <w:rPr>
          <w:rFonts w:ascii="Arial" w:cs="Arial" w:eastAsia="Arial" w:hAnsi="Arial"/>
          <w:sz w:val="15"/>
          <w:szCs w:val="15"/>
          <w:u w:val="single" w:color="auto"/>
          <w:color w:val="auto"/>
        </w:rPr>
        <w:t>Tax Consultation</w:t>
      </w:r>
      <w:r>
        <w:rPr>
          <w:rFonts w:ascii="Arial" w:cs="Arial" w:eastAsia="Arial" w:hAnsi="Arial"/>
          <w:sz w:val="15"/>
          <w:szCs w:val="15"/>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ectPr>
          <w:pgSz w:w="11900" w:h="16838" w:orient="portrait"/>
          <w:cols w:equalWidth="0" w:num="1">
            <w:col w:w="9546"/>
          </w:cols>
          <w:pgMar w:left="1134" w:top="256" w:right="1219" w:bottom="1440" w:gutter="0" w:footer="0" w:header="0"/>
        </w:sectPr>
      </w:pPr>
    </w:p>
    <w:bookmarkStart w:id="339" w:name="page340"/>
    <w:bookmarkEnd w:id="339"/>
    <w:p>
      <w:pPr>
        <w:ind w:left="240" w:hanging="162"/>
        <w:spacing w:after="0"/>
        <w:tabs>
          <w:tab w:leader="none" w:pos="240"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Restrictive Legends and Stop-Transfer Orders.</w:t>
      </w:r>
    </w:p>
    <w:p>
      <w:pPr>
        <w:spacing w:after="0" w:line="193" w:lineRule="exact"/>
        <w:rPr>
          <w:rFonts w:ascii="Arial" w:cs="Arial" w:eastAsia="Arial" w:hAnsi="Arial"/>
          <w:sz w:val="16"/>
          <w:szCs w:val="16"/>
          <w:color w:val="auto"/>
        </w:rPr>
      </w:pPr>
    </w:p>
    <w:p>
      <w:pPr>
        <w:ind w:left="-300" w:right="140" w:firstLine="860"/>
        <w:spacing w:after="0" w:line="256" w:lineRule="auto"/>
        <w:tabs>
          <w:tab w:leader="none" w:pos="779" w:val="left"/>
        </w:tabs>
        <w:numPr>
          <w:ilvl w:val="1"/>
          <w:numId w:val="221"/>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71" w:lineRule="exact"/>
        <w:rPr>
          <w:sz w:val="20"/>
          <w:szCs w:val="20"/>
          <w:color w:val="auto"/>
        </w:rPr>
      </w:pPr>
    </w:p>
    <w:p>
      <w:pPr>
        <w:ind w:left="560" w:right="20"/>
        <w:spacing w:after="0" w:line="329" w:lineRule="auto"/>
        <w:rPr>
          <w:sz w:val="20"/>
          <w:szCs w:val="20"/>
          <w:color w:val="auto"/>
        </w:rPr>
      </w:pPr>
      <w:r>
        <w:rPr>
          <w:rFonts w:ascii="Arial" w:cs="Arial" w:eastAsia="Arial" w:hAnsi="Arial"/>
          <w:sz w:val="13"/>
          <w:szCs w:val="13"/>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29" w:lineRule="exact"/>
        <w:rPr>
          <w:sz w:val="20"/>
          <w:szCs w:val="20"/>
          <w:color w:val="auto"/>
        </w:rPr>
      </w:pPr>
    </w:p>
    <w:p>
      <w:pPr>
        <w:ind w:left="560" w:right="240"/>
        <w:spacing w:after="0" w:line="251" w:lineRule="auto"/>
        <w:rPr>
          <w:sz w:val="20"/>
          <w:szCs w:val="20"/>
          <w:color w:val="auto"/>
        </w:rPr>
      </w:pPr>
      <w:r>
        <w:rPr>
          <w:rFonts w:ascii="Arial" w:cs="Arial" w:eastAsia="Arial" w:hAnsi="Arial"/>
          <w:sz w:val="16"/>
          <w:szCs w:val="16"/>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560" w:right="20"/>
        <w:spacing w:after="0" w:line="251" w:lineRule="auto"/>
        <w:rPr>
          <w:sz w:val="20"/>
          <w:szCs w:val="20"/>
          <w:color w:val="auto"/>
        </w:rPr>
      </w:pPr>
      <w:r>
        <w:rPr>
          <w:rFonts w:ascii="Arial" w:cs="Arial" w:eastAsia="Arial" w:hAnsi="Arial"/>
          <w:sz w:val="16"/>
          <w:szCs w:val="16"/>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70" w:lineRule="exact"/>
        <w:rPr>
          <w:sz w:val="20"/>
          <w:szCs w:val="20"/>
          <w:color w:val="auto"/>
        </w:rPr>
      </w:pPr>
    </w:p>
    <w:p>
      <w:pPr>
        <w:ind w:left="-300" w:right="80" w:firstLine="860"/>
        <w:spacing w:after="0" w:line="256" w:lineRule="auto"/>
        <w:tabs>
          <w:tab w:leader="none" w:pos="788" w:val="left"/>
        </w:tabs>
        <w:numPr>
          <w:ilvl w:val="1"/>
          <w:numId w:val="222"/>
        </w:numPr>
        <w:rPr>
          <w:rFonts w:ascii="Arial" w:cs="Arial" w:eastAsia="Arial" w:hAnsi="Arial"/>
          <w:sz w:val="16"/>
          <w:szCs w:val="16"/>
          <w:color w:val="auto"/>
        </w:rPr>
      </w:pPr>
      <w:r>
        <w:rPr>
          <w:rFonts w:ascii="Arial" w:cs="Arial" w:eastAsia="Arial" w:hAnsi="Arial"/>
          <w:sz w:val="16"/>
          <w:szCs w:val="16"/>
          <w:u w:val="single" w:color="auto"/>
          <w:color w:val="auto"/>
        </w:rPr>
        <w:t>Stop-Transfer Notices</w:t>
      </w:r>
      <w:r>
        <w:rPr>
          <w:rFonts w:ascii="Arial" w:cs="Arial" w:eastAsia="Arial" w:hAnsi="Arial"/>
          <w:sz w:val="16"/>
          <w:szCs w:val="16"/>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65" w:lineRule="exact"/>
        <w:rPr>
          <w:rFonts w:ascii="Arial" w:cs="Arial" w:eastAsia="Arial" w:hAnsi="Arial"/>
          <w:sz w:val="16"/>
          <w:szCs w:val="16"/>
          <w:color w:val="auto"/>
        </w:rPr>
      </w:pPr>
    </w:p>
    <w:p>
      <w:pPr>
        <w:ind w:left="-300" w:right="480" w:firstLine="860"/>
        <w:spacing w:after="0" w:line="281" w:lineRule="auto"/>
        <w:tabs>
          <w:tab w:leader="none" w:pos="779" w:val="left"/>
        </w:tabs>
        <w:numPr>
          <w:ilvl w:val="1"/>
          <w:numId w:val="222"/>
        </w:numPr>
        <w:rPr>
          <w:rFonts w:ascii="Arial" w:cs="Arial" w:eastAsia="Arial" w:hAnsi="Arial"/>
          <w:sz w:val="15"/>
          <w:szCs w:val="15"/>
          <w:color w:val="auto"/>
        </w:rPr>
      </w:pPr>
      <w:r>
        <w:rPr>
          <w:rFonts w:ascii="Arial" w:cs="Arial" w:eastAsia="Arial" w:hAnsi="Arial"/>
          <w:sz w:val="15"/>
          <w:szCs w:val="15"/>
          <w:u w:val="single" w:color="auto"/>
          <w:color w:val="auto"/>
        </w:rPr>
        <w:t>Refusal to Transfer</w:t>
      </w:r>
      <w:r>
        <w:rPr>
          <w:rFonts w:ascii="Arial" w:cs="Arial" w:eastAsia="Arial" w:hAnsi="Arial"/>
          <w:sz w:val="15"/>
          <w:szCs w:val="15"/>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48" w:lineRule="exact"/>
        <w:rPr>
          <w:rFonts w:ascii="Arial" w:cs="Arial" w:eastAsia="Arial" w:hAnsi="Arial"/>
          <w:sz w:val="15"/>
          <w:szCs w:val="15"/>
          <w:color w:val="auto"/>
        </w:rPr>
      </w:pPr>
    </w:p>
    <w:p>
      <w:pPr>
        <w:ind w:left="-300" w:firstLine="378"/>
        <w:spacing w:after="0" w:line="281" w:lineRule="auto"/>
        <w:tabs>
          <w:tab w:leader="none" w:pos="242" w:val="left"/>
        </w:tabs>
        <w:numPr>
          <w:ilvl w:val="0"/>
          <w:numId w:val="223"/>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ectPr>
          <w:pgSz w:w="11900" w:h="16838" w:orient="portrait"/>
          <w:cols w:equalWidth="0" w:num="1">
            <w:col w:w="9320"/>
          </w:cols>
          <w:pgMar w:left="1440" w:top="256" w:right="1139" w:bottom="1440" w:gutter="0" w:footer="0" w:header="0"/>
        </w:sectPr>
      </w:pPr>
    </w:p>
    <w:bookmarkStart w:id="340" w:name="page341"/>
    <w:bookmarkEnd w:id="340"/>
    <w:p>
      <w:pPr>
        <w:ind w:firstLine="378"/>
        <w:spacing w:after="0" w:line="256" w:lineRule="auto"/>
        <w:tabs>
          <w:tab w:leader="none" w:pos="542"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Interpretation</w:t>
      </w:r>
      <w:r>
        <w:rPr>
          <w:rFonts w:ascii="Arial" w:cs="Arial" w:eastAsia="Arial" w:hAnsi="Arial"/>
          <w:sz w:val="16"/>
          <w:szCs w:val="16"/>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65" w:lineRule="exact"/>
        <w:rPr>
          <w:rFonts w:ascii="Arial" w:cs="Arial" w:eastAsia="Arial" w:hAnsi="Arial"/>
          <w:sz w:val="16"/>
          <w:szCs w:val="16"/>
          <w:color w:val="auto"/>
        </w:rPr>
      </w:pPr>
    </w:p>
    <w:p>
      <w:pPr>
        <w:ind w:right="100" w:firstLine="378"/>
        <w:spacing w:after="0" w:line="256" w:lineRule="auto"/>
        <w:tabs>
          <w:tab w:leader="none" w:pos="620"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Governing Law; Severability</w:t>
      </w:r>
      <w:r>
        <w:rPr>
          <w:rFonts w:ascii="Arial" w:cs="Arial" w:eastAsia="Arial" w:hAnsi="Arial"/>
          <w:sz w:val="16"/>
          <w:szCs w:val="16"/>
          <w:color w:val="auto"/>
        </w:rPr>
        <w:t>. This Exercise Notice is governed by the internal substantive laws, but not the choice of law rules, of Delaware. In the event that any provision hereof becomes or is declared by a court of competent jurisdiction to be illegal, unenforceable or void, this Exercise Notice shall continue in full force and effect.</w:t>
      </w:r>
    </w:p>
    <w:p>
      <w:pPr>
        <w:spacing w:after="0" w:line="165" w:lineRule="exact"/>
        <w:rPr>
          <w:rFonts w:ascii="Arial" w:cs="Arial" w:eastAsia="Arial" w:hAnsi="Arial"/>
          <w:sz w:val="16"/>
          <w:szCs w:val="16"/>
          <w:color w:val="auto"/>
        </w:rPr>
      </w:pPr>
    </w:p>
    <w:p>
      <w:pPr>
        <w:ind w:right="100" w:firstLine="378"/>
        <w:spacing w:after="0" w:line="251" w:lineRule="auto"/>
        <w:tabs>
          <w:tab w:leader="none" w:pos="614"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Option Agreement are incorporated herein by reference. This Exercise Notice, the Plan, the Restricted Stock Purchase Agreement,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9600"/>
          </w:cols>
          <w:pgMar w:left="1140" w:top="256" w:right="115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Submitted by: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PARTICIPANT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14955"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14955"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2814955"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1495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504825</wp:posOffset>
            </wp:positionV>
            <wp:extent cx="2814955"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149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Accepted by: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TENAYA THERAPEUTICS, INC.</w:t>
      </w:r>
    </w:p>
    <w:p>
      <w:pPr>
        <w:spacing w:after="0" w:line="394" w:lineRule="exact"/>
        <w:rPr>
          <w:sz w:val="20"/>
          <w:szCs w:val="20"/>
          <w:color w:val="auto"/>
        </w:rPr>
      </w:pPr>
    </w:p>
    <w:p>
      <w:pPr>
        <w:jc w:val="center"/>
        <w:ind w:right="42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-108585</wp:posOffset>
            </wp:positionV>
            <wp:extent cx="2807335"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07335"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07335"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pacing w:after="0" w:line="185" w:lineRule="exact"/>
        <w:rPr>
          <w:sz w:val="20"/>
          <w:szCs w:val="20"/>
          <w:color w:val="auto"/>
        </w:rPr>
      </w:pPr>
    </w:p>
    <w:p>
      <w:pPr>
        <w:jc w:val="center"/>
        <w:ind w:right="3840"/>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2807335"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807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527050</wp:posOffset>
            </wp:positionV>
            <wp:extent cx="2807335"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807335" cy="7620"/>
                    </a:xfrm>
                    <a:prstGeom prst="rect">
                      <a:avLst/>
                    </a:prstGeom>
                    <a:noFill/>
                  </pic:spPr>
                </pic:pic>
              </a:graphicData>
            </a:graphic>
          </wp:anchor>
        </w:drawing>
      </w:r>
    </w:p>
    <w:p>
      <w:pPr>
        <w:sectPr>
          <w:pgSz w:w="11900" w:h="16838" w:orient="portrait"/>
          <w:cols w:equalWidth="0" w:num="2">
            <w:col w:w="4480" w:space="720"/>
            <w:col w:w="4400"/>
          </w:cols>
          <w:pgMar w:left="1140" w:top="256" w:right="1159" w:bottom="1440" w:gutter="0" w:footer="0" w:header="0"/>
          <w:type w:val="continuous"/>
        </w:sectPr>
      </w:pPr>
    </w:p>
    <w:bookmarkStart w:id="341" w:name="page342"/>
    <w:bookmarkEnd w:id="341"/>
    <w:tbl>
      <w:tblPr>
        <w:tblLayout w:type="fixed"/>
        <w:tblInd w:w="0" w:type="dxa"/>
        <w:tblCellMar>
          <w:top w:w="0" w:type="dxa"/>
          <w:left w:w="0" w:type="dxa"/>
          <w:bottom w:w="0" w:type="dxa"/>
          <w:right w:w="0" w:type="dxa"/>
        </w:tblCellMar>
      </w:tblPr>
      <w:tr>
        <w:trPr>
          <w:trHeight w:val="184"/>
        </w:trPr>
        <w:tc>
          <w:tcPr>
            <w:tcW w:w="11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B</w:t>
            </w:r>
          </w:p>
        </w:tc>
        <w:tc>
          <w:tcPr>
            <w:tcW w:w="1360" w:type="dxa"/>
            <w:vAlign w:val="bottom"/>
          </w:tcPr>
          <w:p>
            <w:pPr>
              <w:spacing w:after="0"/>
              <w:rPr>
                <w:sz w:val="16"/>
                <w:szCs w:val="16"/>
                <w:color w:val="auto"/>
              </w:rPr>
            </w:pPr>
          </w:p>
        </w:tc>
      </w:tr>
      <w:tr>
        <w:trPr>
          <w:trHeight w:val="391"/>
        </w:trPr>
        <w:tc>
          <w:tcPr>
            <w:tcW w:w="1160" w:type="dxa"/>
            <w:vAlign w:val="bottom"/>
          </w:tcPr>
          <w:p>
            <w:pPr>
              <w:spacing w:after="0"/>
              <w:rPr>
                <w:sz w:val="24"/>
                <w:szCs w:val="24"/>
                <w:color w:val="auto"/>
              </w:rPr>
            </w:pPr>
          </w:p>
        </w:tc>
        <w:tc>
          <w:tcPr>
            <w:tcW w:w="5420" w:type="dxa"/>
            <w:vAlign w:val="bottom"/>
            <w:gridSpan w:val="3"/>
          </w:tcPr>
          <w:p>
            <w:pPr>
              <w:jc w:val="center"/>
              <w:ind w:left="1801"/>
              <w:spacing w:after="0"/>
              <w:rPr>
                <w:sz w:val="20"/>
                <w:szCs w:val="20"/>
                <w:color w:val="auto"/>
              </w:rPr>
            </w:pPr>
            <w:r>
              <w:rPr>
                <w:rFonts w:ascii="Arial" w:cs="Arial" w:eastAsia="Arial" w:hAnsi="Arial"/>
                <w:sz w:val="16"/>
                <w:szCs w:val="16"/>
                <w:b w:val="1"/>
                <w:bCs w:val="1"/>
                <w:color w:val="auto"/>
                <w:w w:val="99"/>
              </w:rPr>
              <w:t>INVESTMENT REPRESENTATION STATEMENT</w:t>
            </w:r>
          </w:p>
        </w:tc>
      </w:tr>
      <w:tr>
        <w:trPr>
          <w:trHeight w:val="401"/>
        </w:trPr>
        <w:tc>
          <w:tcPr>
            <w:tcW w:w="1160" w:type="dxa"/>
            <w:vAlign w:val="bottom"/>
          </w:tcPr>
          <w:p>
            <w:pPr>
              <w:spacing w:after="0"/>
              <w:rPr>
                <w:sz w:val="20"/>
                <w:szCs w:val="20"/>
                <w:color w:val="auto"/>
              </w:rPr>
            </w:pPr>
            <w:r>
              <w:rPr>
                <w:rFonts w:ascii="Arial" w:cs="Arial" w:eastAsia="Arial" w:hAnsi="Arial"/>
                <w:sz w:val="16"/>
                <w:szCs w:val="16"/>
                <w:color w:val="auto"/>
              </w:rPr>
              <w:t>PARTICIPANT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COMPANY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TENAYA THERAPEUTICS, INC.</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SECURITY</w:t>
            </w:r>
          </w:p>
        </w:tc>
        <w:tc>
          <w:tcPr>
            <w:tcW w:w="5420" w:type="dxa"/>
            <w:vAlign w:val="bottom"/>
            <w:gridSpan w:val="3"/>
          </w:tcPr>
          <w:p>
            <w:pPr>
              <w:ind w:left="180"/>
              <w:spacing w:after="0"/>
              <w:rPr>
                <w:sz w:val="20"/>
                <w:szCs w:val="20"/>
                <w:color w:val="auto"/>
              </w:rPr>
            </w:pPr>
            <w:r>
              <w:rPr>
                <w:rFonts w:ascii="Arial" w:cs="Arial" w:eastAsia="Arial" w:hAnsi="Arial"/>
                <w:sz w:val="16"/>
                <w:szCs w:val="16"/>
                <w:color w:val="auto"/>
              </w:rPr>
              <w:t>:  COMMON STOCK</w:t>
            </w: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AMOUNT</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7"/>
        </w:trPr>
        <w:tc>
          <w:tcPr>
            <w:tcW w:w="116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ind w:lef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1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 connection with the purchase of the above-listed Securities, the undersigned Participant represents to the Company the following:</w:t>
      </w:r>
    </w:p>
    <w:p>
      <w:pPr>
        <w:spacing w:after="0" w:line="193" w:lineRule="exact"/>
        <w:rPr>
          <w:sz w:val="20"/>
          <w:szCs w:val="20"/>
          <w:color w:val="auto"/>
        </w:rPr>
      </w:pPr>
    </w:p>
    <w:p>
      <w:pPr>
        <w:jc w:val="both"/>
        <w:ind w:right="120" w:firstLine="860"/>
        <w:spacing w:after="0" w:line="253" w:lineRule="auto"/>
        <w:tabs>
          <w:tab w:leader="none" w:pos="1079" w:val="left"/>
        </w:tabs>
        <w:numPr>
          <w:ilvl w:val="0"/>
          <w:numId w:val="225"/>
        </w:numPr>
        <w:rPr>
          <w:rFonts w:ascii="Arial" w:cs="Arial" w:eastAsia="Arial" w:hAnsi="Arial"/>
          <w:sz w:val="16"/>
          <w:szCs w:val="16"/>
          <w:color w:val="auto"/>
        </w:rPr>
      </w:pPr>
      <w:r>
        <w:rPr>
          <w:rFonts w:ascii="Arial" w:cs="Arial" w:eastAsia="Arial" w:hAnsi="Arial"/>
          <w:sz w:val="16"/>
          <w:szCs w:val="16"/>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67" w:lineRule="exact"/>
        <w:rPr>
          <w:rFonts w:ascii="Arial" w:cs="Arial" w:eastAsia="Arial" w:hAnsi="Arial"/>
          <w:sz w:val="16"/>
          <w:szCs w:val="16"/>
          <w:color w:val="auto"/>
        </w:rPr>
      </w:pPr>
    </w:p>
    <w:p>
      <w:pPr>
        <w:ind w:firstLine="860"/>
        <w:spacing w:after="0" w:line="312" w:lineRule="auto"/>
        <w:tabs>
          <w:tab w:leader="none" w:pos="1088" w:val="left"/>
        </w:tabs>
        <w:numPr>
          <w:ilvl w:val="0"/>
          <w:numId w:val="225"/>
        </w:numPr>
        <w:rPr>
          <w:rFonts w:ascii="Arial" w:cs="Arial" w:eastAsia="Arial" w:hAnsi="Arial"/>
          <w:sz w:val="13"/>
          <w:szCs w:val="13"/>
          <w:color w:val="auto"/>
        </w:rPr>
      </w:pPr>
      <w:r>
        <w:rPr>
          <w:rFonts w:ascii="Arial" w:cs="Arial" w:eastAsia="Arial" w:hAnsi="Arial"/>
          <w:sz w:val="13"/>
          <w:szCs w:val="13"/>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37" w:lineRule="exact"/>
        <w:rPr>
          <w:rFonts w:ascii="Arial" w:cs="Arial" w:eastAsia="Arial" w:hAnsi="Arial"/>
          <w:sz w:val="13"/>
          <w:szCs w:val="13"/>
          <w:color w:val="auto"/>
        </w:rPr>
      </w:pPr>
    </w:p>
    <w:p>
      <w:pPr>
        <w:ind w:right="100" w:firstLine="860"/>
        <w:spacing w:after="0" w:line="272" w:lineRule="auto"/>
        <w:tabs>
          <w:tab w:leader="none" w:pos="1079" w:val="left"/>
        </w:tabs>
        <w:numPr>
          <w:ilvl w:val="0"/>
          <w:numId w:val="225"/>
        </w:numPr>
        <w:rPr>
          <w:rFonts w:ascii="Arial" w:cs="Arial" w:eastAsia="Arial" w:hAnsi="Arial"/>
          <w:sz w:val="15"/>
          <w:szCs w:val="15"/>
          <w:color w:val="auto"/>
        </w:rPr>
      </w:pPr>
      <w:r>
        <w:rPr>
          <w:rFonts w:ascii="Arial" w:cs="Arial" w:eastAsia="Arial" w:hAnsi="Arial"/>
          <w:sz w:val="15"/>
          <w:szCs w:val="15"/>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9540"/>
          </w:cols>
          <w:pgMar w:left="1140" w:top="238" w:right="1219" w:bottom="1440" w:gutter="0" w:footer="0" w:header="0"/>
        </w:sectPr>
      </w:pPr>
    </w:p>
    <w:bookmarkStart w:id="342" w:name="page343"/>
    <w:bookmarkEnd w:id="342"/>
    <w:p>
      <w:pPr>
        <w:ind w:left="6" w:right="32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6" w:right="20" w:hanging="6"/>
        <w:spacing w:after="0" w:line="249" w:lineRule="auto"/>
        <w:tabs>
          <w:tab w:leader="none" w:pos="229"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71" w:lineRule="exact"/>
        <w:rPr>
          <w:sz w:val="20"/>
          <w:szCs w:val="20"/>
          <w:color w:val="auto"/>
        </w:rPr>
      </w:pPr>
    </w:p>
    <w:p>
      <w:pPr>
        <w:ind w:left="6" w:right="160" w:firstLine="866"/>
        <w:spacing w:after="0" w:line="25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70" w:lineRule="exact"/>
        <w:rPr>
          <w:sz w:val="20"/>
          <w:szCs w:val="20"/>
          <w:color w:val="auto"/>
        </w:rPr>
      </w:pPr>
    </w:p>
    <w:p>
      <w:pPr>
        <w:ind w:left="6" w:firstLine="860"/>
        <w:spacing w:after="0" w:line="249" w:lineRule="auto"/>
        <w:tabs>
          <w:tab w:leader="none" w:pos="1094" w:val="left"/>
        </w:tabs>
        <w:numPr>
          <w:ilvl w:val="0"/>
          <w:numId w:val="227"/>
        </w:numPr>
        <w:rPr>
          <w:rFonts w:ascii="Arial" w:cs="Arial" w:eastAsia="Arial" w:hAnsi="Arial"/>
          <w:sz w:val="16"/>
          <w:szCs w:val="16"/>
          <w:color w:val="auto"/>
        </w:rPr>
      </w:pPr>
      <w:r>
        <w:rPr>
          <w:rFonts w:ascii="Arial" w:cs="Arial" w:eastAsia="Arial" w:hAnsi="Arial"/>
          <w:sz w:val="16"/>
          <w:szCs w:val="16"/>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19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PARTICIPANT</w:t>
      </w:r>
    </w:p>
    <w:p>
      <w:pPr>
        <w:spacing w:after="0" w:line="394"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386" w:lineRule="exact"/>
        <w:rPr>
          <w:sz w:val="20"/>
          <w:szCs w:val="20"/>
          <w:color w:val="auto"/>
        </w:rPr>
      </w:pPr>
    </w:p>
    <w:p>
      <w:pPr>
        <w:ind w:left="5786"/>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-115570</wp:posOffset>
            </wp:positionV>
            <wp:extent cx="244094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ectPr>
          <w:pgSz w:w="11900" w:h="16838" w:orient="portrait"/>
          <w:cols w:equalWidth="0" w:num="1">
            <w:col w:w="9606"/>
          </w:cols>
          <w:pgMar w:left="1134" w:top="256" w:right="115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120" w:type="dxa"/>
            <w:vAlign w:val="bottom"/>
            <w:gridSpan w:val="3"/>
          </w:tcPr>
          <w:p>
            <w:pPr>
              <w:jc w:val="center"/>
              <w:ind w:right="1160"/>
              <w:spacing w:after="0"/>
              <w:rPr>
                <w:sz w:val="20"/>
                <w:szCs w:val="20"/>
                <w:color w:val="auto"/>
              </w:rPr>
            </w:pPr>
            <w:r>
              <w:rPr>
                <w:rFonts w:ascii="Arial" w:cs="Arial" w:eastAsia="Arial" w:hAnsi="Arial"/>
                <w:sz w:val="16"/>
                <w:szCs w:val="16"/>
                <w:b w:val="1"/>
                <w:bCs w:val="1"/>
                <w:color w:val="auto"/>
              </w:rPr>
              <w:t>EXHIBIT C-1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91"/>
        </w:trPr>
        <w:tc>
          <w:tcPr>
            <w:tcW w:w="6440" w:type="dxa"/>
            <w:vAlign w:val="bottom"/>
            <w:gridSpan w:val="4"/>
          </w:tcPr>
          <w:p>
            <w:pPr>
              <w:jc w:val="center"/>
              <w:ind w:left="3081"/>
              <w:spacing w:after="0"/>
              <w:rPr>
                <w:sz w:val="20"/>
                <w:szCs w:val="20"/>
                <w:color w:val="auto"/>
              </w:rPr>
            </w:pPr>
            <w:r>
              <w:rPr>
                <w:rFonts w:ascii="Arial" w:cs="Arial" w:eastAsia="Arial" w:hAnsi="Arial"/>
                <w:sz w:val="16"/>
                <w:szCs w:val="16"/>
                <w:b w:val="1"/>
                <w:bCs w:val="1"/>
                <w:color w:val="auto"/>
                <w:w w:val="98"/>
              </w:rPr>
              <w:t>TENAYA THERAPEUTICS, INC.</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7"/>
        </w:trPr>
        <w:tc>
          <w:tcPr>
            <w:tcW w:w="6440" w:type="dxa"/>
            <w:vAlign w:val="bottom"/>
            <w:gridSpan w:val="4"/>
          </w:tcPr>
          <w:p>
            <w:pPr>
              <w:jc w:val="center"/>
              <w:ind w:left="3081"/>
              <w:spacing w:after="0"/>
              <w:rPr>
                <w:sz w:val="20"/>
                <w:szCs w:val="20"/>
                <w:color w:val="auto"/>
              </w:rPr>
            </w:pPr>
            <w:r>
              <w:rPr>
                <w:rFonts w:ascii="Arial" w:cs="Arial" w:eastAsia="Arial" w:hAnsi="Arial"/>
                <w:sz w:val="16"/>
                <w:szCs w:val="16"/>
                <w:b w:val="1"/>
                <w:bCs w:val="1"/>
                <w:color w:val="auto"/>
                <w:w w:val="99"/>
              </w:rPr>
              <w:t>2016 EQUITY INCENTIVE PLAN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7"/>
        </w:trPr>
        <w:tc>
          <w:tcPr>
            <w:tcW w:w="6800" w:type="dxa"/>
            <w:vAlign w:val="bottom"/>
            <w:gridSpan w:val="7"/>
          </w:tcPr>
          <w:p>
            <w:pPr>
              <w:jc w:val="center"/>
              <w:ind w:left="2741"/>
              <w:spacing w:after="0"/>
              <w:rPr>
                <w:sz w:val="20"/>
                <w:szCs w:val="20"/>
                <w:color w:val="auto"/>
              </w:rPr>
            </w:pPr>
            <w:r>
              <w:rPr>
                <w:rFonts w:ascii="Arial" w:cs="Arial" w:eastAsia="Arial" w:hAnsi="Arial"/>
                <w:sz w:val="16"/>
                <w:szCs w:val="16"/>
                <w:b w:val="1"/>
                <w:bCs w:val="1"/>
                <w:color w:val="auto"/>
                <w:w w:val="98"/>
              </w:rPr>
              <w:t>RESTRICTED STOCK PURCHASE AGREEMENT</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43"/>
        </w:trPr>
        <w:tc>
          <w:tcPr>
            <w:tcW w:w="6440" w:type="dxa"/>
            <w:vAlign w:val="bottom"/>
            <w:gridSpan w:val="4"/>
          </w:tcPr>
          <w:p>
            <w:pPr>
              <w:ind w:left="380"/>
              <w:spacing w:after="0"/>
              <w:rPr>
                <w:sz w:val="20"/>
                <w:szCs w:val="20"/>
                <w:color w:val="auto"/>
              </w:rPr>
            </w:pPr>
            <w:r>
              <w:rPr>
                <w:rFonts w:ascii="Arial" w:cs="Arial" w:eastAsia="Arial" w:hAnsi="Arial"/>
                <w:sz w:val="16"/>
                <w:szCs w:val="16"/>
                <w:color w:val="auto"/>
                <w:w w:val="91"/>
              </w:rPr>
              <w:t>THIS RESTRICTED STOCK PURCHASE AGREEMENT (the “Agreement”) is made between</w:t>
            </w: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Pr>
          <w:p>
            <w:pPr>
              <w:ind w:left="40"/>
              <w:spacing w:after="0"/>
              <w:rPr>
                <w:sz w:val="20"/>
                <w:szCs w:val="20"/>
                <w:color w:val="auto"/>
              </w:rPr>
            </w:pPr>
            <w:r>
              <w:rPr>
                <w:rFonts w:ascii="Arial" w:cs="Arial" w:eastAsia="Arial" w:hAnsi="Arial"/>
                <w:sz w:val="16"/>
                <w:szCs w:val="16"/>
                <w:color w:val="auto"/>
                <w:w w:val="88"/>
              </w:rPr>
              <w:t>(the “Purchaser”) and</w:t>
            </w:r>
          </w:p>
        </w:tc>
      </w:tr>
      <w:tr>
        <w:trPr>
          <w:trHeight w:val="169"/>
        </w:trPr>
        <w:tc>
          <w:tcPr>
            <w:tcW w:w="5340" w:type="dxa"/>
            <w:vAlign w:val="bottom"/>
            <w:gridSpan w:val="3"/>
          </w:tcPr>
          <w:p>
            <w:pPr>
              <w:spacing w:after="0" w:line="168" w:lineRule="exact"/>
              <w:rPr>
                <w:sz w:val="20"/>
                <w:szCs w:val="20"/>
                <w:color w:val="auto"/>
              </w:rPr>
            </w:pPr>
            <w:r>
              <w:rPr>
                <w:rFonts w:ascii="Arial" w:cs="Arial" w:eastAsia="Arial" w:hAnsi="Arial"/>
                <w:sz w:val="16"/>
                <w:szCs w:val="16"/>
                <w:color w:val="auto"/>
                <w:w w:val="88"/>
              </w:rPr>
              <w:t>Tenaya Therapeutics, Inc. (the “Company”) or its assignees of rights hereunder as of</w:t>
            </w:r>
          </w:p>
        </w:tc>
        <w:tc>
          <w:tcPr>
            <w:tcW w:w="1100" w:type="dxa"/>
            <w:vAlign w:val="bottom"/>
          </w:tcPr>
          <w:p>
            <w:pPr>
              <w:spacing w:after="0"/>
              <w:rPr>
                <w:sz w:val="14"/>
                <w:szCs w:val="14"/>
                <w:color w:val="auto"/>
              </w:rPr>
            </w:pPr>
          </w:p>
        </w:tc>
        <w:tc>
          <w:tcPr>
            <w:tcW w:w="80" w:type="dxa"/>
            <w:vAlign w:val="bottom"/>
            <w:gridSpan w:val="2"/>
          </w:tcPr>
          <w:p>
            <w:pPr>
              <w:jc w:val="right"/>
              <w:ind w:right="40"/>
              <w:spacing w:after="0"/>
              <w:rPr>
                <w:sz w:val="20"/>
                <w:szCs w:val="20"/>
                <w:color w:val="auto"/>
              </w:rPr>
            </w:pPr>
            <w:r>
              <w:rPr>
                <w:rFonts w:ascii="Arial" w:cs="Arial" w:eastAsia="Arial" w:hAnsi="Arial"/>
                <w:sz w:val="10"/>
                <w:szCs w:val="10"/>
                <w:color w:val="auto"/>
                <w:w w:val="70"/>
              </w:rPr>
              <w:t>,</w:t>
            </w:r>
          </w:p>
        </w:tc>
        <w:tc>
          <w:tcPr>
            <w:tcW w:w="280" w:type="dxa"/>
            <w:vAlign w:val="bottom"/>
          </w:tcPr>
          <w:p>
            <w:pPr>
              <w:spacing w:after="0"/>
              <w:rPr>
                <w:sz w:val="14"/>
                <w:szCs w:val="14"/>
                <w:color w:val="auto"/>
              </w:rPr>
            </w:pPr>
          </w:p>
        </w:tc>
        <w:tc>
          <w:tcPr>
            <w:tcW w:w="1100" w:type="dxa"/>
            <w:vAlign w:val="bottom"/>
            <w:gridSpan w:val="2"/>
          </w:tcPr>
          <w:p>
            <w:pPr>
              <w:jc w:val="right"/>
              <w:ind w:right="860"/>
              <w:spacing w:after="0" w:line="168" w:lineRule="exact"/>
              <w:rPr>
                <w:sz w:val="20"/>
                <w:szCs w:val="20"/>
                <w:color w:val="auto"/>
              </w:rPr>
            </w:pPr>
            <w:r>
              <w:rPr>
                <w:rFonts w:ascii="Arial" w:cs="Arial" w:eastAsia="Arial" w:hAnsi="Arial"/>
                <w:sz w:val="16"/>
                <w:szCs w:val="16"/>
                <w:color w:val="auto"/>
              </w:rPr>
              <w:t>.</w:t>
            </w:r>
          </w:p>
        </w:tc>
        <w:tc>
          <w:tcPr>
            <w:tcW w:w="1400" w:type="dxa"/>
            <w:vAlign w:val="bottom"/>
          </w:tcPr>
          <w:p>
            <w:pPr>
              <w:spacing w:after="0"/>
              <w:rPr>
                <w:sz w:val="14"/>
                <w:szCs w:val="14"/>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3"/>
          <w:szCs w:val="13"/>
          <w:color w:val="auto"/>
        </w:rPr>
        <w:t>Unless otherwise defined herein, the terms defined in the 2016 Equity Incentive Plan shall have the same defined meanings in this Agreement.</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RECITALS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Pursuant to the exercise of the option granted to Purchaser under the Plan and pursuant to the Stock Option Agreement – Early Exercise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spacing w:after="0"/>
              <w:rPr>
                <w:sz w:val="20"/>
                <w:szCs w:val="20"/>
                <w:color w:val="auto"/>
              </w:rPr>
            </w:pPr>
            <w:r>
              <w:rPr>
                <w:rFonts w:ascii="Arial" w:cs="Arial" w:eastAsia="Arial" w:hAnsi="Arial"/>
                <w:sz w:val="16"/>
                <w:szCs w:val="16"/>
                <w:color w:val="auto"/>
                <w:w w:val="92"/>
              </w:rPr>
              <w:t>“Option Agreement”) dated</w:t>
            </w: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6"/>
                <w:szCs w:val="16"/>
                <w:color w:val="auto"/>
              </w:rPr>
            </w:pPr>
          </w:p>
        </w:tc>
        <w:tc>
          <w:tcPr>
            <w:tcW w:w="6120" w:type="dxa"/>
            <w:vAlign w:val="bottom"/>
            <w:gridSpan w:val="3"/>
          </w:tcPr>
          <w:p>
            <w:pPr>
              <w:ind w:left="40"/>
              <w:spacing w:after="0"/>
              <w:rPr>
                <w:sz w:val="20"/>
                <w:szCs w:val="20"/>
                <w:color w:val="auto"/>
              </w:rPr>
            </w:pPr>
            <w:r>
              <w:rPr>
                <w:rFonts w:ascii="Arial" w:cs="Arial" w:eastAsia="Arial" w:hAnsi="Arial"/>
                <w:sz w:val="16"/>
                <w:szCs w:val="16"/>
                <w:color w:val="auto"/>
                <w:w w:val="92"/>
              </w:rPr>
              <w:t>by and between the Company and Purchaser with respect to such grant (the “Option”), which</w:t>
            </w:r>
          </w:p>
        </w:tc>
      </w:tr>
      <w:tr>
        <w:trPr>
          <w:trHeight w:val="20"/>
        </w:trPr>
        <w:tc>
          <w:tcPr>
            <w:tcW w:w="17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169"/>
        </w:trPr>
        <w:tc>
          <w:tcPr>
            <w:tcW w:w="6340" w:type="dxa"/>
            <w:vAlign w:val="bottom"/>
            <w:gridSpan w:val="5"/>
          </w:tcPr>
          <w:p>
            <w:pPr>
              <w:spacing w:after="0" w:line="168" w:lineRule="exact"/>
              <w:rPr>
                <w:sz w:val="20"/>
                <w:szCs w:val="20"/>
                <w:color w:val="auto"/>
              </w:rPr>
            </w:pPr>
            <w:r>
              <w:rPr>
                <w:rFonts w:ascii="Arial" w:cs="Arial" w:eastAsia="Arial" w:hAnsi="Arial"/>
                <w:sz w:val="16"/>
                <w:szCs w:val="16"/>
                <w:color w:val="auto"/>
                <w:w w:val="87"/>
              </w:rPr>
              <w:t>Plan and Option Agreement are hereby incorporated by reference, Purchaser has elected to purchase</w:t>
            </w:r>
          </w:p>
        </w:tc>
        <w:tc>
          <w:tcPr>
            <w:tcW w:w="620" w:type="dxa"/>
            <w:vAlign w:val="bottom"/>
            <w:tcBorders>
              <w:bottom w:val="single" w:sz="8" w:color="auto"/>
            </w:tcBorders>
          </w:tcPr>
          <w:p>
            <w:pPr>
              <w:spacing w:after="0"/>
              <w:rPr>
                <w:sz w:val="14"/>
                <w:szCs w:val="14"/>
                <w:color w:val="auto"/>
              </w:rPr>
            </w:pPr>
          </w:p>
        </w:tc>
        <w:tc>
          <w:tcPr>
            <w:tcW w:w="2580" w:type="dxa"/>
            <w:vAlign w:val="bottom"/>
          </w:tcPr>
          <w:p>
            <w:pPr>
              <w:ind w:left="40"/>
              <w:spacing w:after="0" w:line="168" w:lineRule="exact"/>
              <w:rPr>
                <w:sz w:val="20"/>
                <w:szCs w:val="20"/>
                <w:color w:val="auto"/>
              </w:rPr>
            </w:pPr>
            <w:r>
              <w:rPr>
                <w:rFonts w:ascii="Arial" w:cs="Arial" w:eastAsia="Arial" w:hAnsi="Arial"/>
                <w:sz w:val="16"/>
                <w:szCs w:val="16"/>
                <w:color w:val="auto"/>
                <w:w w:val="87"/>
              </w:rPr>
              <w:t>of those shares of Common Stock which</w:t>
            </w:r>
          </w:p>
        </w:tc>
      </w:tr>
    </w:tbl>
    <w:p>
      <w:pPr>
        <w:spacing w:after="0" w:line="11" w:lineRule="exact"/>
        <w:rPr>
          <w:sz w:val="20"/>
          <w:szCs w:val="20"/>
          <w:color w:val="auto"/>
        </w:rPr>
      </w:pPr>
    </w:p>
    <w:p>
      <w:pPr>
        <w:jc w:val="both"/>
        <w:ind w:right="20"/>
        <w:spacing w:after="0" w:line="300" w:lineRule="auto"/>
        <w:rPr>
          <w:sz w:val="20"/>
          <w:szCs w:val="20"/>
          <w:color w:val="auto"/>
        </w:rPr>
      </w:pPr>
      <w:r>
        <w:rPr>
          <w:rFonts w:ascii="Arial" w:cs="Arial" w:eastAsia="Arial" w:hAnsi="Arial"/>
          <w:sz w:val="15"/>
          <w:szCs w:val="15"/>
          <w:color w:val="auto"/>
        </w:rPr>
        <w:t>have not become vested under the vesting schedule set forth in the Option Agreement (“Unvested Shares”). The Unvested Shares and the shares subject to the Option Agreement, which have become vested are sometimes collectively referred to herein as the “Shares.”</w:t>
      </w:r>
    </w:p>
    <w:p>
      <w:pPr>
        <w:spacing w:after="0" w:line="135" w:lineRule="exact"/>
        <w:rPr>
          <w:sz w:val="20"/>
          <w:szCs w:val="20"/>
          <w:color w:val="auto"/>
        </w:rPr>
      </w:pPr>
    </w:p>
    <w:p>
      <w:pPr>
        <w:ind w:right="200" w:firstLine="385"/>
        <w:spacing w:after="0" w:line="300" w:lineRule="auto"/>
        <w:rPr>
          <w:sz w:val="20"/>
          <w:szCs w:val="20"/>
          <w:color w:val="auto"/>
        </w:rPr>
      </w:pPr>
      <w:r>
        <w:rPr>
          <w:rFonts w:ascii="Arial" w:cs="Arial" w:eastAsia="Arial" w:hAnsi="Arial"/>
          <w:sz w:val="15"/>
          <w:szCs w:val="15"/>
          <w:color w:val="auto"/>
        </w:rPr>
        <w:t>B. As required by the Option Agreement, as a condition to Purchaser’s election to exercise the option, Purchaser must execute this Agreement, which sets forth the rights and obligations of the parties with respect to Shares acquired upon exercise of the Option.</w:t>
      </w:r>
    </w:p>
    <w:p>
      <w:pPr>
        <w:spacing w:after="0" w:line="135" w:lineRule="exact"/>
        <w:rPr>
          <w:sz w:val="20"/>
          <w:szCs w:val="20"/>
          <w:color w:val="auto"/>
        </w:rPr>
      </w:pPr>
    </w:p>
    <w:p>
      <w:pPr>
        <w:ind w:left="540" w:hanging="162"/>
        <w:spacing w:after="0"/>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Repurchase Option</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20" w:firstLine="860"/>
        <w:spacing w:after="0" w:line="343" w:lineRule="auto"/>
        <w:tabs>
          <w:tab w:leader="none" w:pos="1079" w:val="left"/>
        </w:tabs>
        <w:numPr>
          <w:ilvl w:val="1"/>
          <w:numId w:val="228"/>
        </w:numPr>
        <w:rPr>
          <w:rFonts w:ascii="Arial" w:cs="Arial" w:eastAsia="Arial" w:hAnsi="Arial"/>
          <w:sz w:val="13"/>
          <w:szCs w:val="13"/>
          <w:color w:val="auto"/>
        </w:rPr>
      </w:pPr>
      <w:r>
        <w:rPr>
          <w:rFonts w:ascii="Arial" w:cs="Arial" w:eastAsia="Arial" w:hAnsi="Arial"/>
          <w:sz w:val="13"/>
          <w:szCs w:val="13"/>
          <w:color w:val="auto"/>
        </w:rPr>
        <w:t>If Purchaser’s status as a Service Provider is terminated for any reason, including for death and Disability, the Company shall have the right and option for ninety (90) days from such date to purchase from Purchaser, or Purchaser’s personal representative, as the case may be, all of the Purchaser’s Unvested Shares as of the date of such termination at the price paid by the Purchaser for such Shares (the “Repurchase Option”).</w:t>
      </w:r>
    </w:p>
    <w:p>
      <w:pPr>
        <w:spacing w:after="0" w:line="113" w:lineRule="exact"/>
        <w:rPr>
          <w:rFonts w:ascii="Arial" w:cs="Arial" w:eastAsia="Arial" w:hAnsi="Arial"/>
          <w:sz w:val="13"/>
          <w:szCs w:val="13"/>
          <w:color w:val="auto"/>
        </w:rPr>
      </w:pPr>
    </w:p>
    <w:p>
      <w:pPr>
        <w:ind w:right="40" w:firstLine="860"/>
        <w:spacing w:after="0" w:line="319" w:lineRule="auto"/>
        <w:tabs>
          <w:tab w:leader="none" w:pos="1088" w:val="left"/>
        </w:tabs>
        <w:numPr>
          <w:ilvl w:val="1"/>
          <w:numId w:val="228"/>
        </w:numPr>
        <w:rPr>
          <w:rFonts w:ascii="Arial" w:cs="Arial" w:eastAsia="Arial" w:hAnsi="Arial"/>
          <w:sz w:val="13"/>
          <w:szCs w:val="13"/>
          <w:color w:val="auto"/>
        </w:rPr>
      </w:pPr>
      <w:r>
        <w:rPr>
          <w:rFonts w:ascii="Arial" w:cs="Arial" w:eastAsia="Arial" w:hAnsi="Arial"/>
          <w:sz w:val="13"/>
          <w:szCs w:val="13"/>
          <w:color w:val="auto"/>
        </w:rPr>
        <w:t>Upon the occurrence of such termination, the Company may exercise its Repurchase Option by delivering personally or by registered mail, to Purchaser (or his or her transferee or legal representative, as the case may be) with a copy to the escrow agent described in Section 2 below, a notice in writing indicating the Company’s intention to exercise the Repurchase Option AND, at the Company’s option, (i) by delivering to the Purchaser (or the Purchaser’s transferee or legal representative) a check in the amount of the aggregate repurchase price, or (ii) by the Company canceling an amount of the Purchaser’s indebtedness to the Company equal to the aggregate repurchase price, or (iii) by a combination of (i) and (ii) so that the combined payment and cancellation of indebtedness equals such aggregate repurchase price. Upon delivery of such notice</w:t>
      </w:r>
    </w:p>
    <w:p>
      <w:pPr>
        <w:sectPr>
          <w:pgSz w:w="11900" w:h="16838" w:orient="portrait"/>
          <w:cols w:equalWidth="0" w:num="1">
            <w:col w:w="9540"/>
          </w:cols>
          <w:pgMar w:left="1140" w:top="238" w:right="1219" w:bottom="1440" w:gutter="0" w:footer="0" w:header="0"/>
        </w:sectPr>
      </w:pPr>
    </w:p>
    <w:bookmarkStart w:id="344" w:name="page345"/>
    <w:bookmarkEnd w:id="344"/>
    <w:p>
      <w:pPr>
        <w:ind w:right="100"/>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and payment of the aggregate repurchase price in any of the ways described above, the Company shall become the legal and beneficial owner of the Unvested Shares being repurchased and the rights and interests therein or relating thereto, and the Company shall have the right to retain and transfer to its own name the number of Unvested Shares being repurchased by the Company.</w:t>
      </w:r>
    </w:p>
    <w:p>
      <w:pPr>
        <w:spacing w:after="0" w:line="166" w:lineRule="exact"/>
        <w:rPr>
          <w:sz w:val="20"/>
          <w:szCs w:val="20"/>
          <w:color w:val="auto"/>
        </w:rPr>
      </w:pPr>
    </w:p>
    <w:p>
      <w:pPr>
        <w:ind w:right="140" w:firstLine="860"/>
        <w:spacing w:after="0" w:line="256" w:lineRule="auto"/>
        <w:tabs>
          <w:tab w:leader="none" w:pos="1079" w:val="left"/>
        </w:tabs>
        <w:numPr>
          <w:ilvl w:val="1"/>
          <w:numId w:val="229"/>
        </w:numPr>
        <w:rPr>
          <w:rFonts w:ascii="Arial" w:cs="Arial" w:eastAsia="Arial" w:hAnsi="Arial"/>
          <w:sz w:val="16"/>
          <w:szCs w:val="16"/>
          <w:color w:val="auto"/>
        </w:rPr>
      </w:pPr>
      <w:r>
        <w:rPr>
          <w:rFonts w:ascii="Arial" w:cs="Arial" w:eastAsia="Arial" w:hAnsi="Arial"/>
          <w:sz w:val="16"/>
          <w:szCs w:val="16"/>
          <w:color w:val="auto"/>
        </w:rPr>
        <w:t>Whenever the Company shall have the right to repurchase Unvested Shares hereunder, the Company may designate and assign one or more employees, officers, directors or stockholders of the Company or other persons or organizations to exercise all or a part of the Company’s Repurchase Option under this Agreement and purchase all or a part of such Unvested Shares.</w:t>
      </w:r>
    </w:p>
    <w:p>
      <w:pPr>
        <w:spacing w:after="0" w:line="165" w:lineRule="exact"/>
        <w:rPr>
          <w:rFonts w:ascii="Arial" w:cs="Arial" w:eastAsia="Arial" w:hAnsi="Arial"/>
          <w:sz w:val="16"/>
          <w:szCs w:val="16"/>
          <w:color w:val="auto"/>
        </w:rPr>
      </w:pPr>
    </w:p>
    <w:p>
      <w:pPr>
        <w:ind w:right="20" w:firstLine="860"/>
        <w:spacing w:after="0" w:line="266" w:lineRule="auto"/>
        <w:tabs>
          <w:tab w:leader="none" w:pos="1088" w:val="left"/>
        </w:tabs>
        <w:numPr>
          <w:ilvl w:val="1"/>
          <w:numId w:val="229"/>
        </w:numPr>
        <w:rPr>
          <w:rFonts w:ascii="Arial" w:cs="Arial" w:eastAsia="Arial" w:hAnsi="Arial"/>
          <w:sz w:val="16"/>
          <w:szCs w:val="16"/>
          <w:color w:val="auto"/>
        </w:rPr>
      </w:pPr>
      <w:r>
        <w:rPr>
          <w:rFonts w:ascii="Arial" w:cs="Arial" w:eastAsia="Arial" w:hAnsi="Arial"/>
          <w:sz w:val="16"/>
          <w:szCs w:val="16"/>
          <w:color w:val="auto"/>
        </w:rPr>
        <w:t>If the Company does not elect to exercise the Repurchase Option conferred above by giving the requisite notice within ninety (90) days following the termination, the Repurchase Option shall terminate.</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1"/>
          <w:numId w:val="229"/>
        </w:numPr>
        <w:rPr>
          <w:rFonts w:ascii="Arial" w:cs="Arial" w:eastAsia="Arial" w:hAnsi="Arial"/>
          <w:sz w:val="15"/>
          <w:szCs w:val="15"/>
          <w:color w:val="auto"/>
        </w:rPr>
      </w:pPr>
      <w:r>
        <w:rPr>
          <w:rFonts w:ascii="Arial" w:cs="Arial" w:eastAsia="Arial" w:hAnsi="Arial"/>
          <w:sz w:val="15"/>
          <w:szCs w:val="15"/>
          <w:color w:val="auto"/>
        </w:rPr>
        <w:t>The Repurchase Option shall terminate in accordance with the vesting schedule contained in Purchaser’s Option Agreement.</w:t>
      </w:r>
    </w:p>
    <w:p>
      <w:pPr>
        <w:spacing w:after="0" w:line="204" w:lineRule="exact"/>
        <w:rPr>
          <w:rFonts w:ascii="Arial" w:cs="Arial" w:eastAsia="Arial" w:hAnsi="Arial"/>
          <w:sz w:val="15"/>
          <w:szCs w:val="15"/>
          <w:color w:val="auto"/>
        </w:rPr>
      </w:pPr>
    </w:p>
    <w:p>
      <w:pPr>
        <w:ind w:left="540" w:hanging="162"/>
        <w:spacing w:after="0"/>
        <w:tabs>
          <w:tab w:leader="none" w:pos="54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Transferability of the Shares; Escrow</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right="60" w:firstLine="860"/>
        <w:spacing w:after="0" w:line="266" w:lineRule="auto"/>
        <w:tabs>
          <w:tab w:leader="none" w:pos="107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Purchaser hereby authorizes and directs the Secretary of the Company, or such other person designated by the Company, to transfer the Unvested Shares as to which the Repurchase Option has been exercised from Purchaser to the Company.</w:t>
      </w:r>
    </w:p>
    <w:p>
      <w:pPr>
        <w:spacing w:after="0" w:line="158" w:lineRule="exact"/>
        <w:rPr>
          <w:rFonts w:ascii="Arial" w:cs="Arial" w:eastAsia="Arial" w:hAnsi="Arial"/>
          <w:sz w:val="16"/>
          <w:szCs w:val="16"/>
          <w:color w:val="auto"/>
        </w:rPr>
      </w:pPr>
    </w:p>
    <w:p>
      <w:pPr>
        <w:ind w:firstLine="860"/>
        <w:spacing w:after="0" w:line="266" w:lineRule="auto"/>
        <w:tabs>
          <w:tab w:leader="none" w:pos="1088" w:val="left"/>
        </w:tabs>
        <w:numPr>
          <w:ilvl w:val="1"/>
          <w:numId w:val="230"/>
        </w:numPr>
        <w:rPr>
          <w:rFonts w:ascii="Arial" w:cs="Arial" w:eastAsia="Arial" w:hAnsi="Arial"/>
          <w:sz w:val="15"/>
          <w:szCs w:val="15"/>
          <w:color w:val="auto"/>
        </w:rPr>
      </w:pPr>
      <w:r>
        <w:rPr>
          <w:rFonts w:ascii="Arial" w:cs="Arial" w:eastAsia="Arial" w:hAnsi="Arial"/>
          <w:sz w:val="15"/>
          <w:szCs w:val="15"/>
          <w:color w:val="auto"/>
        </w:rPr>
        <w:t xml:space="preserve">To insure the availability for delivery of Purchaser’s Unvested Shares upon repurchase by the Company pursuant to the Repurchase Option under Section 1, Purchaser hereby appoints the Secretary, or any other person designated by the Company as escrow agent (the “Escrow Agent”), as its attorney-in-fact to sell, assign and transfer unto the Company, such Unvested Shares, if any, repurchased by the Company pursuant to the Repurchase Option and shall, upon execution of this Agreement, deliver and deposit with the Escrow Agent, the share certificates representing the Unvested Shares, together with the stock assignment duly endorsed in blank, attached hereto as </w:t>
      </w:r>
      <w:r>
        <w:rPr>
          <w:rFonts w:ascii="Arial" w:cs="Arial" w:eastAsia="Arial" w:hAnsi="Arial"/>
          <w:sz w:val="15"/>
          <w:szCs w:val="15"/>
          <w:u w:val="single" w:color="auto"/>
          <w:color w:val="auto"/>
        </w:rPr>
        <w:t>Exhibit C-2</w:t>
      </w:r>
      <w:r>
        <w:rPr>
          <w:rFonts w:ascii="Arial" w:cs="Arial" w:eastAsia="Arial" w:hAnsi="Arial"/>
          <w:sz w:val="15"/>
          <w:szCs w:val="15"/>
          <w:color w:val="auto"/>
        </w:rPr>
        <w:t xml:space="preserve">. The Unvested Shares and stock assignment shall be held by the Escrow Agent in escrow, pursuant to the Joint Escrow Instructions of the Company and Purchaser attached as </w:t>
      </w:r>
      <w:r>
        <w:rPr>
          <w:rFonts w:ascii="Arial" w:cs="Arial" w:eastAsia="Arial" w:hAnsi="Arial"/>
          <w:sz w:val="15"/>
          <w:szCs w:val="15"/>
          <w:u w:val="single" w:color="auto"/>
          <w:color w:val="auto"/>
        </w:rPr>
        <w:t>Exhibit C-3</w:t>
      </w:r>
      <w:r>
        <w:rPr>
          <w:rFonts w:ascii="Arial" w:cs="Arial" w:eastAsia="Arial" w:hAnsi="Arial"/>
          <w:sz w:val="15"/>
          <w:szCs w:val="15"/>
          <w:color w:val="auto"/>
        </w:rPr>
        <w:t xml:space="preserve"> hereto, until the Company exercises its Repurchase Option, until such Unvested Shares are vested, or until such time as this Agreement no longer is in effect. Upon vesting of the Unvested Shares, the Escrow Agent shall promptly deliver to the Purchaser the certificate or certificates representing such Shares in the Escrow Agent’s possession belonging to the Purchaser, and the Escrow Agent shall be discharged of all further obligations hereunder; provided, however, that the Escrow Agent shall nevertheless retain such certificate or certificates as Escrow Agent if so required pursuant to other restrictions imposed pursuant to this Agreement.</w:t>
      </w:r>
    </w:p>
    <w:p>
      <w:pPr>
        <w:spacing w:after="0" w:line="160" w:lineRule="exact"/>
        <w:rPr>
          <w:rFonts w:ascii="Arial" w:cs="Arial" w:eastAsia="Arial" w:hAnsi="Arial"/>
          <w:sz w:val="15"/>
          <w:szCs w:val="15"/>
          <w:color w:val="auto"/>
        </w:rPr>
      </w:pPr>
    </w:p>
    <w:p>
      <w:pPr>
        <w:ind w:right="340" w:firstLine="860"/>
        <w:spacing w:after="0" w:line="266" w:lineRule="auto"/>
        <w:tabs>
          <w:tab w:leader="none" w:pos="1079" w:val="left"/>
        </w:tabs>
        <w:numPr>
          <w:ilvl w:val="1"/>
          <w:numId w:val="230"/>
        </w:numPr>
        <w:rPr>
          <w:rFonts w:ascii="Arial" w:cs="Arial" w:eastAsia="Arial" w:hAnsi="Arial"/>
          <w:sz w:val="16"/>
          <w:szCs w:val="16"/>
          <w:color w:val="auto"/>
        </w:rPr>
      </w:pPr>
      <w:r>
        <w:rPr>
          <w:rFonts w:ascii="Arial" w:cs="Arial" w:eastAsia="Arial" w:hAnsi="Arial"/>
          <w:sz w:val="16"/>
          <w:szCs w:val="16"/>
          <w:color w:val="auto"/>
        </w:rPr>
        <w:t>Neither the Company nor the Escrow Agent shall be liable for any act it may do or omit to do with respect to holding the Shares in escrow and while acting in good faith and in the exercise of its judgment.</w:t>
      </w:r>
    </w:p>
    <w:p>
      <w:pPr>
        <w:spacing w:after="0" w:line="158" w:lineRule="exact"/>
        <w:rPr>
          <w:rFonts w:ascii="Arial" w:cs="Arial" w:eastAsia="Arial" w:hAnsi="Arial"/>
          <w:sz w:val="16"/>
          <w:szCs w:val="16"/>
          <w:color w:val="auto"/>
        </w:rPr>
      </w:pPr>
    </w:p>
    <w:p>
      <w:pPr>
        <w:ind w:right="280" w:firstLine="860"/>
        <w:spacing w:after="0" w:line="281" w:lineRule="auto"/>
        <w:tabs>
          <w:tab w:leader="none" w:pos="1088" w:val="left"/>
        </w:tabs>
        <w:numPr>
          <w:ilvl w:val="1"/>
          <w:numId w:val="230"/>
        </w:numPr>
        <w:rPr>
          <w:rFonts w:ascii="Arial" w:cs="Arial" w:eastAsia="Arial" w:hAnsi="Arial"/>
          <w:sz w:val="15"/>
          <w:szCs w:val="15"/>
          <w:color w:val="auto"/>
        </w:rPr>
      </w:pPr>
      <w:r>
        <w:rPr>
          <w:rFonts w:ascii="Arial" w:cs="Arial" w:eastAsia="Arial" w:hAnsi="Arial"/>
          <w:sz w:val="15"/>
          <w:szCs w:val="15"/>
          <w:color w:val="auto"/>
        </w:rPr>
        <w:t>Transfer or sale of the Shares is subject to restrictions on transfer imposed by any applicable state and federal securities laws. Any transferee shall hold such Shares subject to all the provisions hereof and the Exercise Notice executed by the Purchaser with respect to any Unvested Shares purchased by Purchaser and shall acknowledge the same by signing a copy of this Agreement.</w:t>
      </w:r>
    </w:p>
    <w:p>
      <w:pPr>
        <w:sectPr>
          <w:pgSz w:w="11900" w:h="16838" w:orient="portrait"/>
          <w:cols w:equalWidth="0" w:num="1">
            <w:col w:w="9620"/>
          </w:cols>
          <w:pgMar w:left="1140" w:top="256" w:right="1139" w:bottom="1440" w:gutter="0" w:footer="0" w:header="0"/>
        </w:sectPr>
      </w:pPr>
    </w:p>
    <w:bookmarkStart w:id="345" w:name="page346"/>
    <w:bookmarkEnd w:id="345"/>
    <w:p>
      <w:pPr>
        <w:ind w:left="-300" w:right="660" w:firstLine="378"/>
        <w:spacing w:after="0" w:line="266" w:lineRule="auto"/>
        <w:tabs>
          <w:tab w:leader="none" w:pos="242"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Ownership, Voting Rights, Duties</w:t>
      </w:r>
      <w:r>
        <w:rPr>
          <w:rFonts w:ascii="Arial" w:cs="Arial" w:eastAsia="Arial" w:hAnsi="Arial"/>
          <w:sz w:val="16"/>
          <w:szCs w:val="16"/>
          <w:color w:val="auto"/>
        </w:rPr>
        <w:t>. This Agreement shall not affect in any way the ownership, voting rights or other rights or duties of Purchaser, except as specifically provided herein.</w:t>
      </w:r>
    </w:p>
    <w:p>
      <w:pPr>
        <w:spacing w:after="0" w:line="158" w:lineRule="exact"/>
        <w:rPr>
          <w:rFonts w:ascii="Arial" w:cs="Arial" w:eastAsia="Arial" w:hAnsi="Arial"/>
          <w:sz w:val="16"/>
          <w:szCs w:val="16"/>
          <w:color w:val="auto"/>
        </w:rPr>
      </w:pPr>
    </w:p>
    <w:p>
      <w:pPr>
        <w:ind w:left="-300" w:right="220" w:firstLine="378"/>
        <w:spacing w:after="0" w:line="266" w:lineRule="auto"/>
        <w:tabs>
          <w:tab w:leader="none" w:pos="242"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share certificate evidencing the Shares issued hereunder shall be endorsed with the following legend (in addition to any legend required under applicable federal and state securities laws):</w:t>
      </w:r>
    </w:p>
    <w:p>
      <w:pPr>
        <w:spacing w:after="0" w:line="64" w:lineRule="exact"/>
        <w:rPr>
          <w:sz w:val="20"/>
          <w:szCs w:val="20"/>
          <w:color w:val="auto"/>
        </w:rPr>
      </w:pPr>
    </w:p>
    <w:p>
      <w:pPr>
        <w:ind w:left="560" w:right="160"/>
        <w:spacing w:after="0" w:line="256" w:lineRule="auto"/>
        <w:rPr>
          <w:sz w:val="20"/>
          <w:szCs w:val="20"/>
          <w:color w:val="auto"/>
        </w:rPr>
      </w:pPr>
      <w:r>
        <w:rPr>
          <w:rFonts w:ascii="Arial" w:cs="Arial" w:eastAsia="Arial" w:hAnsi="Arial"/>
          <w:sz w:val="16"/>
          <w:szCs w:val="16"/>
          <w:color w:val="auto"/>
        </w:rPr>
        <w:t>THE SHARES REPRESENTED BY THIS CERTIFICATE ARE SUBJECT TO CERTAIN RESTRICTIONS UPON TRANSFER AND RIGHTS OF REPURCHASE AS SET FORTH IN AN AGREEMENT BETWEEN THE COMPANY AND THE STOCKHOLDER, A COPY OF WHICH IS ON FILE WITH THE SECRETARY OF THE COMPANY.</w:t>
      </w:r>
    </w:p>
    <w:p>
      <w:pPr>
        <w:spacing w:after="0" w:line="166" w:lineRule="exact"/>
        <w:rPr>
          <w:sz w:val="20"/>
          <w:szCs w:val="20"/>
          <w:color w:val="auto"/>
        </w:rPr>
      </w:pPr>
    </w:p>
    <w:p>
      <w:pPr>
        <w:ind w:left="-300" w:firstLine="378"/>
        <w:spacing w:after="0" w:line="256" w:lineRule="auto"/>
        <w:tabs>
          <w:tab w:leader="none" w:pos="242"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All references to the number of Shares and the purchase price of the Shares in this Agreement shall be appropriately adjusted to reflect any stock split, stock dividend or other change in the Shares, which may be made by the Company pursuant to Section 13 of the Plan after the date of this Agreement.</w:t>
      </w:r>
    </w:p>
    <w:p>
      <w:pPr>
        <w:spacing w:after="0" w:line="165" w:lineRule="exact"/>
        <w:rPr>
          <w:rFonts w:ascii="Arial" w:cs="Arial" w:eastAsia="Arial" w:hAnsi="Arial"/>
          <w:sz w:val="16"/>
          <w:szCs w:val="16"/>
          <w:color w:val="auto"/>
        </w:rPr>
      </w:pPr>
    </w:p>
    <w:p>
      <w:pPr>
        <w:ind w:left="-300" w:right="400" w:firstLine="378"/>
        <w:spacing w:after="0" w:line="266" w:lineRule="auto"/>
        <w:tabs>
          <w:tab w:leader="none" w:pos="242"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required hereunder shall be given in person or by registered mail to the address of Purchaser shown on the records of the Company, and to the Company at their respective principal executive offices.</w:t>
      </w:r>
    </w:p>
    <w:p>
      <w:pPr>
        <w:spacing w:after="0" w:line="158" w:lineRule="exact"/>
        <w:rPr>
          <w:rFonts w:ascii="Arial" w:cs="Arial" w:eastAsia="Arial" w:hAnsi="Arial"/>
          <w:sz w:val="16"/>
          <w:szCs w:val="16"/>
          <w:color w:val="auto"/>
        </w:rPr>
      </w:pPr>
    </w:p>
    <w:p>
      <w:pPr>
        <w:ind w:left="-300" w:firstLine="378"/>
        <w:spacing w:after="0" w:line="266" w:lineRule="auto"/>
        <w:tabs>
          <w:tab w:leader="none" w:pos="242"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Survival of Terms</w:t>
      </w:r>
      <w:r>
        <w:rPr>
          <w:rFonts w:ascii="Arial" w:cs="Arial" w:eastAsia="Arial" w:hAnsi="Arial"/>
          <w:sz w:val="16"/>
          <w:szCs w:val="16"/>
          <w:color w:val="auto"/>
        </w:rPr>
        <w:t>. This Agreement shall apply to and bind Purchaser and the Company and their respective permitted assignees and transferees, heirs, legatees, executors, administrators and legal successors.</w:t>
      </w:r>
    </w:p>
    <w:p>
      <w:pPr>
        <w:spacing w:after="0" w:line="158" w:lineRule="exact"/>
        <w:rPr>
          <w:rFonts w:ascii="Arial" w:cs="Arial" w:eastAsia="Arial" w:hAnsi="Arial"/>
          <w:sz w:val="16"/>
          <w:szCs w:val="16"/>
          <w:color w:val="auto"/>
        </w:rPr>
      </w:pPr>
    </w:p>
    <w:p>
      <w:pPr>
        <w:ind w:left="-300" w:firstLine="378"/>
        <w:spacing w:after="0" w:line="311" w:lineRule="auto"/>
        <w:tabs>
          <w:tab w:leader="none" w:pos="242" w:val="left"/>
        </w:tabs>
        <w:numPr>
          <w:ilvl w:val="0"/>
          <w:numId w:val="232"/>
        </w:numPr>
        <w:rPr>
          <w:rFonts w:ascii="Arial" w:cs="Arial" w:eastAsia="Arial" w:hAnsi="Arial"/>
          <w:sz w:val="13"/>
          <w:szCs w:val="13"/>
          <w:color w:val="auto"/>
        </w:rPr>
      </w:pPr>
      <w:r>
        <w:rPr>
          <w:rFonts w:ascii="Arial" w:cs="Arial" w:eastAsia="Arial" w:hAnsi="Arial"/>
          <w:sz w:val="13"/>
          <w:szCs w:val="13"/>
          <w:u w:val="single" w:color="auto"/>
          <w:color w:val="auto"/>
        </w:rPr>
        <w:t>Section 83(b) Election</w:t>
      </w:r>
      <w:r>
        <w:rPr>
          <w:rFonts w:ascii="Arial" w:cs="Arial" w:eastAsia="Arial" w:hAnsi="Arial"/>
          <w:sz w:val="13"/>
          <w:szCs w:val="13"/>
          <w:color w:val="auto"/>
        </w:rPr>
        <w:t>. Purchaser hereby acknowledges that he or she has been informed that, with respect to the exercise of an Option for Unvested Shares, an election (the “Election”) may be filed by the Purchaser with the Internal Revenue Service, within thirty (30) days of the purchase of the exercised Shares, electing pursuant to Section 83(b) of the Code to be taxed currently on any difference between the purchase price of the exercised Shares and their Fair Market Value on the date of purchase. In the case of a Nonstatutory Stock Option, this will result in the recognition of taxable income to the Purchaser on the date of exercise, measured by the excess, if any, of the Fair Market Value of the exercised Shares, at the time the Option is exercised over the purchase price for the exercised Shares. Absent such an Election, taxable income will be measured and recognized by Purchaser at the time or times on which the Company’s Repurchase Option lapses. In the case of an Incentive Stock Option, such an Election will result in a recognition of income to the Purchaser for alternative minimum tax purposes on the date of exercise, measured by the excess, if any, of the Fair Market Value of the exercised Shares, at the time the option is exercised, over the purchase price for the exercised Shares. Absent such an Election, alternative minimum taxable income will be measured and recognized by Purchaser at the time or times on which the Company’s Repurchase Option lapses.</w:t>
      </w:r>
    </w:p>
    <w:p>
      <w:pPr>
        <w:sectPr>
          <w:pgSz w:w="11900" w:h="16838" w:orient="portrait"/>
          <w:cols w:equalWidth="0" w:num="1">
            <w:col w:w="9300"/>
          </w:cols>
          <w:pgMar w:left="1440" w:top="256" w:right="1159" w:bottom="1440" w:gutter="0" w:footer="0" w:header="0"/>
        </w:sectPr>
      </w:pPr>
    </w:p>
    <w:bookmarkStart w:id="346" w:name="page347"/>
    <w:bookmarkEnd w:id="346"/>
    <w:p>
      <w:pPr>
        <w:ind w:firstLine="385"/>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This discussion is intended only as a summary of the general United States income tax laws that apply to exercising Options as to Shares that have not yet vested and is accurate only as of the date this form Agreement was approved by the Board. The federal, state and local tax consequences to any particular taxpayer will depend upon his or her individual circumstances. Purchaser is strongly encouraged to seek the advice of his or her own tax consultants in connection with the purchase of the Shares and the advisability of filing of the Election under Section 83(b) of the Code. A form of Election under Section 83(b) is attached hereto as </w:t>
      </w:r>
      <w:r>
        <w:rPr>
          <w:rFonts w:ascii="Arial" w:cs="Arial" w:eastAsia="Arial" w:hAnsi="Arial"/>
          <w:sz w:val="15"/>
          <w:szCs w:val="15"/>
          <w:u w:val="single" w:color="auto"/>
          <w:color w:val="auto"/>
        </w:rPr>
        <w:t>Exhibit C-4</w:t>
      </w:r>
      <w:r>
        <w:rPr>
          <w:rFonts w:ascii="Arial" w:cs="Arial" w:eastAsia="Arial" w:hAnsi="Arial"/>
          <w:sz w:val="15"/>
          <w:szCs w:val="15"/>
          <w:color w:val="auto"/>
        </w:rPr>
        <w:t xml:space="preserve"> for reference.</w:t>
      </w:r>
    </w:p>
    <w:p>
      <w:pPr>
        <w:spacing w:after="0" w:line="154"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6"/>
          <w:szCs w:val="16"/>
          <w:color w:val="auto"/>
        </w:rPr>
        <w:t>PURCHASER ACKNOWLEDGES THAT IT IS PURCHASER’S SOLE RESPONSIBILITY AND NOT THE COMPANY’S TO FILE TIMELY THE ELECTION UNDER SECTION 83(b) OF THE CODE, EVEN IF PURCHASER REQUESTS THE COMPANY OR ITS REPRESENTATIVE TO MAKE THIS FILING ON PURCHASER’S BEHALF.</w:t>
      </w:r>
    </w:p>
    <w:p>
      <w:pPr>
        <w:spacing w:after="0" w:line="166" w:lineRule="exact"/>
        <w:rPr>
          <w:sz w:val="20"/>
          <w:szCs w:val="20"/>
          <w:color w:val="auto"/>
        </w:rPr>
      </w:pPr>
    </w:p>
    <w:p>
      <w:pPr>
        <w:ind w:right="60" w:firstLine="378"/>
        <w:spacing w:after="0" w:line="275" w:lineRule="auto"/>
        <w:tabs>
          <w:tab w:leader="none" w:pos="542"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Representations</w:t>
      </w:r>
      <w:r>
        <w:rPr>
          <w:rFonts w:ascii="Arial" w:cs="Arial" w:eastAsia="Arial" w:hAnsi="Arial"/>
          <w:sz w:val="15"/>
          <w:szCs w:val="15"/>
          <w:color w:val="auto"/>
        </w:rPr>
        <w:t>. Purchaser has reviewed with his or her own tax advisors the federal, state, local and foreign tax consequences of this investment and the transactions contemplated by this Agreement. Purchaser is relying solely on such advisors and not on any statements or representations of the Company or any of its agents. Purchaser understands that he or she (and not the Company) shall be responsible for his or her own tax liability that may arise as a result of this investment or the transactions contemplated by this Agreement.</w:t>
      </w:r>
    </w:p>
    <w:p>
      <w:pPr>
        <w:spacing w:after="0" w:line="152" w:lineRule="exact"/>
        <w:rPr>
          <w:rFonts w:ascii="Arial" w:cs="Arial" w:eastAsia="Arial" w:hAnsi="Arial"/>
          <w:sz w:val="15"/>
          <w:szCs w:val="15"/>
          <w:color w:val="auto"/>
        </w:rPr>
      </w:pPr>
    </w:p>
    <w:p>
      <w:pPr>
        <w:ind w:right="140" w:firstLine="378"/>
        <w:spacing w:after="0" w:line="272" w:lineRule="auto"/>
        <w:tabs>
          <w:tab w:leader="none" w:pos="620" w:val="left"/>
        </w:tabs>
        <w:numPr>
          <w:ilvl w:val="0"/>
          <w:numId w:val="233"/>
        </w:numPr>
        <w:rPr>
          <w:rFonts w:ascii="Arial" w:cs="Arial" w:eastAsia="Arial" w:hAnsi="Arial"/>
          <w:sz w:val="15"/>
          <w:szCs w:val="15"/>
          <w:color w:val="auto"/>
        </w:rPr>
      </w:pPr>
      <w:r>
        <w:rPr>
          <w:rFonts w:ascii="Arial" w:cs="Arial" w:eastAsia="Arial" w:hAnsi="Arial"/>
          <w:sz w:val="15"/>
          <w:szCs w:val="15"/>
          <w:u w:val="single" w:color="auto"/>
          <w:color w:val="auto"/>
        </w:rPr>
        <w:t>Entire Agreement; Governing Law</w:t>
      </w:r>
      <w:r>
        <w:rPr>
          <w:rFonts w:ascii="Arial" w:cs="Arial" w:eastAsia="Arial" w:hAnsi="Arial"/>
          <w:sz w:val="15"/>
          <w:szCs w:val="15"/>
          <w:color w:val="auto"/>
        </w:rPr>
        <w:t>. The Plan and Option Agreement are incorporated herein by reference. The Plan, the Option Agreement, the Exercise Notice, this Agreement, and the Investment Representation Statement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Delaware.</w:t>
      </w:r>
    </w:p>
    <w:p>
      <w:pPr>
        <w:spacing w:after="0" w:line="154" w:lineRule="exact"/>
        <w:rPr>
          <w:sz w:val="20"/>
          <w:szCs w:val="20"/>
          <w:color w:val="auto"/>
        </w:rPr>
      </w:pPr>
    </w:p>
    <w:p>
      <w:pPr>
        <w:ind w:right="300" w:firstLine="385"/>
        <w:spacing w:after="0" w:line="300" w:lineRule="auto"/>
        <w:rPr>
          <w:sz w:val="20"/>
          <w:szCs w:val="20"/>
          <w:color w:val="auto"/>
        </w:rPr>
      </w:pPr>
      <w:r>
        <w:rPr>
          <w:rFonts w:ascii="Arial" w:cs="Arial" w:eastAsia="Arial" w:hAnsi="Arial"/>
          <w:sz w:val="15"/>
          <w:szCs w:val="15"/>
          <w:color w:val="auto"/>
        </w:rPr>
        <w:t>Purchaser represents that he or she has read this Agreement and is familiar with its terms and provisions. Purchaser hereby agrees to accept as binding, conclusive and final all decisions or interpretations of the Board upon any questions arising under this Agreement.</w:t>
      </w:r>
    </w:p>
    <w:p>
      <w:pPr>
        <w:sectPr>
          <w:pgSz w:w="11900" w:h="16838" w:orient="portrait"/>
          <w:cols w:equalWidth="0" w:num="1">
            <w:col w:w="9600"/>
          </w:cols>
          <w:pgMar w:left="1140" w:top="256" w:right="1159" w:bottom="1440" w:gutter="0" w:footer="0" w:header="0"/>
        </w:sectPr>
      </w:pPr>
    </w:p>
    <w:bookmarkStart w:id="347" w:name="page348"/>
    <w:bookmarkEnd w:id="347"/>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this Agreement is deemed made as of the date first set forth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40" w:type="dxa"/>
            <w:vAlign w:val="bottom"/>
            <w:gridSpan w:val="2"/>
          </w:tcPr>
          <w:p>
            <w:pPr>
              <w:spacing w:after="0"/>
              <w:rPr>
                <w:sz w:val="20"/>
                <w:szCs w:val="20"/>
                <w:color w:val="auto"/>
              </w:rPr>
            </w:pPr>
            <w:r>
              <w:rPr>
                <w:rFonts w:ascii="Arial" w:cs="Arial" w:eastAsia="Arial" w:hAnsi="Arial"/>
                <w:sz w:val="16"/>
                <w:szCs w:val="16"/>
                <w:color w:val="auto"/>
              </w:rPr>
              <w:t>PARTICIPANT</w:t>
            </w:r>
          </w:p>
        </w:tc>
        <w:tc>
          <w:tcPr>
            <w:tcW w:w="5180" w:type="dxa"/>
            <w:vAlign w:val="bottom"/>
            <w:gridSpan w:val="2"/>
          </w:tcPr>
          <w:p>
            <w:pPr>
              <w:ind w:left="76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Signature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By</w:t>
            </w:r>
          </w:p>
        </w:tc>
        <w:tc>
          <w:tcPr>
            <w:tcW w:w="0" w:type="dxa"/>
            <w:vAlign w:val="bottom"/>
          </w:tcPr>
          <w:p>
            <w:pPr>
              <w:spacing w:after="0"/>
              <w:rPr>
                <w:sz w:val="1"/>
                <w:szCs w:val="1"/>
                <w:color w:val="auto"/>
              </w:rPr>
            </w:pPr>
          </w:p>
        </w:tc>
      </w:tr>
      <w:tr>
        <w:trPr>
          <w:trHeight w:val="378"/>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440" w:type="dxa"/>
            <w:vAlign w:val="bottom"/>
            <w:gridSpan w:val="2"/>
          </w:tcPr>
          <w:p>
            <w:pPr>
              <w:spacing w:after="0"/>
              <w:rPr>
                <w:sz w:val="20"/>
                <w:szCs w:val="20"/>
                <w:color w:val="auto"/>
              </w:rPr>
            </w:pPr>
            <w:r>
              <w:rPr>
                <w:rFonts w:ascii="Arial" w:cs="Arial" w:eastAsia="Arial" w:hAnsi="Arial"/>
                <w:sz w:val="16"/>
                <w:szCs w:val="16"/>
                <w:color w:val="auto"/>
              </w:rPr>
              <w:t>Print Name</w:t>
            </w: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Print Name</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Residence Address</w:t>
            </w:r>
          </w:p>
        </w:tc>
        <w:tc>
          <w:tcPr>
            <w:tcW w:w="7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9620"/>
          </w:cols>
          <w:pgMar w:left="1140" w:top="256" w:right="113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C-2</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ASSIGNMENT SEPARATE FROM CERTIFICATE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ind w:left="380"/>
              <w:spacing w:after="0"/>
              <w:rPr>
                <w:sz w:val="20"/>
                <w:szCs w:val="20"/>
                <w:color w:val="auto"/>
              </w:rPr>
            </w:pPr>
            <w:r>
              <w:rPr>
                <w:rFonts w:ascii="Arial" w:cs="Arial" w:eastAsia="Arial" w:hAnsi="Arial"/>
                <w:sz w:val="16"/>
                <w:szCs w:val="16"/>
                <w:color w:val="auto"/>
                <w:w w:val="95"/>
              </w:rPr>
              <w:t>FOR VALUE RECEIVED I,</w:t>
            </w:r>
          </w:p>
        </w:tc>
        <w:tc>
          <w:tcPr>
            <w:tcW w:w="2080" w:type="dxa"/>
            <w:vAlign w:val="bottom"/>
            <w:tcBorders>
              <w:bottom w:val="single" w:sz="8" w:color="auto"/>
            </w:tcBorders>
            <w:gridSpan w:val="2"/>
          </w:tcPr>
          <w:p>
            <w:pPr>
              <w:spacing w:after="0"/>
              <w:rPr>
                <w:sz w:val="16"/>
                <w:szCs w:val="16"/>
                <w:color w:val="auto"/>
              </w:rPr>
            </w:pPr>
          </w:p>
        </w:tc>
        <w:tc>
          <w:tcPr>
            <w:tcW w:w="4040" w:type="dxa"/>
            <w:vAlign w:val="bottom"/>
            <w:gridSpan w:val="2"/>
          </w:tcPr>
          <w:p>
            <w:pPr>
              <w:spacing w:after="0"/>
              <w:rPr>
                <w:sz w:val="20"/>
                <w:szCs w:val="20"/>
                <w:color w:val="auto"/>
              </w:rPr>
            </w:pPr>
            <w:r>
              <w:rPr>
                <w:rFonts w:ascii="Arial" w:cs="Arial" w:eastAsia="Arial" w:hAnsi="Arial"/>
                <w:sz w:val="16"/>
                <w:szCs w:val="16"/>
                <w:color w:val="auto"/>
                <w:w w:val="88"/>
              </w:rPr>
              <w:t>, hereby sell, assign and transfer unto Tenaya Therapeutics, Inc.</w:t>
            </w:r>
          </w:p>
        </w:tc>
        <w:tc>
          <w:tcPr>
            <w:tcW w:w="940" w:type="dxa"/>
            <w:vAlign w:val="bottom"/>
            <w:tcBorders>
              <w:bottom w:val="single" w:sz="8" w:color="auto"/>
            </w:tcBorders>
            <w:gridSpan w:val="2"/>
          </w:tcPr>
          <w:p>
            <w:pPr>
              <w:spacing w:after="0"/>
              <w:rPr>
                <w:sz w:val="16"/>
                <w:szCs w:val="16"/>
                <w:color w:val="auto"/>
              </w:rPr>
            </w:pPr>
          </w:p>
        </w:tc>
        <w:tc>
          <w:tcPr>
            <w:tcW w:w="220" w:type="dxa"/>
            <w:vAlign w:val="bottom"/>
            <w:gridSpan w:val="2"/>
          </w:tcPr>
          <w:p>
            <w:pPr>
              <w:spacing w:after="0"/>
              <w:rPr>
                <w:sz w:val="16"/>
                <w:szCs w:val="16"/>
                <w:color w:val="auto"/>
              </w:rPr>
            </w:pPr>
          </w:p>
        </w:tc>
      </w:tr>
      <w:tr>
        <w:trPr>
          <w:trHeight w:val="169"/>
        </w:trPr>
        <w:tc>
          <w:tcPr>
            <w:tcW w:w="9000" w:type="dxa"/>
            <w:vAlign w:val="bottom"/>
            <w:gridSpan w:val="6"/>
          </w:tcPr>
          <w:p>
            <w:pPr>
              <w:spacing w:after="0" w:line="168" w:lineRule="exact"/>
              <w:rPr>
                <w:sz w:val="20"/>
                <w:szCs w:val="20"/>
                <w:color w:val="auto"/>
              </w:rPr>
            </w:pPr>
            <w:r>
              <w:rPr>
                <w:rFonts w:ascii="Arial" w:cs="Arial" w:eastAsia="Arial" w:hAnsi="Arial"/>
                <w:sz w:val="16"/>
                <w:szCs w:val="16"/>
                <w:color w:val="auto"/>
                <w:w w:val="88"/>
              </w:rPr>
              <w:t>shares of the Common Stock of Tenaya Therapeutics, Inc. standing in my name of the books of said corporation represented by Certificate No.</w:t>
            </w:r>
          </w:p>
        </w:tc>
        <w:tc>
          <w:tcPr>
            <w:tcW w:w="320" w:type="dxa"/>
            <w:vAlign w:val="bottom"/>
            <w:tcBorders>
              <w:bottom w:val="single" w:sz="8" w:color="auto"/>
            </w:tcBorders>
            <w:gridSpan w:val="2"/>
          </w:tcPr>
          <w:p>
            <w:pPr>
              <w:spacing w:after="0"/>
              <w:rPr>
                <w:sz w:val="14"/>
                <w:szCs w:val="14"/>
                <w:color w:val="auto"/>
              </w:rPr>
            </w:pPr>
          </w:p>
        </w:tc>
        <w:tc>
          <w:tcPr>
            <w:tcW w:w="180" w:type="dxa"/>
            <w:vAlign w:val="bottom"/>
          </w:tcPr>
          <w:p>
            <w:pPr>
              <w:spacing w:after="0"/>
              <w:rPr>
                <w:sz w:val="14"/>
                <w:szCs w:val="14"/>
                <w:color w:val="auto"/>
              </w:rPr>
            </w:pPr>
          </w:p>
        </w:tc>
      </w:tr>
      <w:tr>
        <w:trPr>
          <w:trHeight w:val="169"/>
        </w:trPr>
        <w:tc>
          <w:tcPr>
            <w:tcW w:w="3700" w:type="dxa"/>
            <w:vAlign w:val="bottom"/>
            <w:gridSpan w:val="2"/>
          </w:tcPr>
          <w:p>
            <w:pPr>
              <w:spacing w:after="0" w:line="168" w:lineRule="exact"/>
              <w:rPr>
                <w:sz w:val="20"/>
                <w:szCs w:val="20"/>
                <w:color w:val="auto"/>
              </w:rPr>
            </w:pPr>
            <w:r>
              <w:rPr>
                <w:rFonts w:ascii="Arial" w:cs="Arial" w:eastAsia="Arial" w:hAnsi="Arial"/>
                <w:sz w:val="16"/>
                <w:szCs w:val="16"/>
                <w:color w:val="auto"/>
                <w:w w:val="89"/>
              </w:rPr>
              <w:t>herewith and do hereby irrevocably constitute and appoint</w:t>
            </w:r>
          </w:p>
        </w:tc>
        <w:tc>
          <w:tcPr>
            <w:tcW w:w="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720" w:type="dxa"/>
            <w:vAlign w:val="bottom"/>
            <w:gridSpan w:val="5"/>
          </w:tcPr>
          <w:p>
            <w:pPr>
              <w:ind w:left="40"/>
              <w:spacing w:after="0" w:line="168" w:lineRule="exact"/>
              <w:rPr>
                <w:sz w:val="20"/>
                <w:szCs w:val="20"/>
                <w:color w:val="auto"/>
              </w:rPr>
            </w:pPr>
            <w:r>
              <w:rPr>
                <w:rFonts w:ascii="Arial" w:cs="Arial" w:eastAsia="Arial" w:hAnsi="Arial"/>
                <w:sz w:val="16"/>
                <w:szCs w:val="16"/>
                <w:color w:val="auto"/>
                <w:w w:val="88"/>
              </w:rPr>
              <w:t>to transfer the said stock on the books of the within named</w:t>
            </w:r>
          </w:p>
        </w:tc>
      </w:tr>
      <w:tr>
        <w:trPr>
          <w:trHeight w:val="203"/>
        </w:trPr>
        <w:tc>
          <w:tcPr>
            <w:tcW w:w="4300" w:type="dxa"/>
            <w:vAlign w:val="bottom"/>
            <w:gridSpan w:val="3"/>
          </w:tcPr>
          <w:p>
            <w:pPr>
              <w:spacing w:after="0"/>
              <w:rPr>
                <w:sz w:val="20"/>
                <w:szCs w:val="20"/>
                <w:color w:val="auto"/>
              </w:rPr>
            </w:pPr>
            <w:r>
              <w:rPr>
                <w:rFonts w:ascii="Arial" w:cs="Arial" w:eastAsia="Arial" w:hAnsi="Arial"/>
                <w:sz w:val="16"/>
                <w:szCs w:val="16"/>
                <w:color w:val="auto"/>
              </w:rPr>
              <w:t>corporation with full power of substitution in the premises.</w:t>
            </w:r>
          </w:p>
        </w:tc>
        <w:tc>
          <w:tcPr>
            <w:tcW w:w="14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pacing w:after="0" w:line="177" w:lineRule="exact"/>
        <w:rPr>
          <w:sz w:val="20"/>
          <w:szCs w:val="20"/>
          <w:color w:val="auto"/>
        </w:rPr>
      </w:pPr>
    </w:p>
    <w:p>
      <w:pPr>
        <w:ind w:left="380"/>
        <w:spacing w:after="0"/>
        <w:rPr>
          <w:sz w:val="20"/>
          <w:szCs w:val="20"/>
          <w:color w:val="auto"/>
        </w:rPr>
      </w:pPr>
      <w:r>
        <w:rPr>
          <w:rFonts w:ascii="Arial" w:cs="Arial" w:eastAsia="Arial" w:hAnsi="Arial"/>
          <w:sz w:val="13"/>
          <w:szCs w:val="13"/>
          <w:color w:val="auto"/>
        </w:rPr>
        <w:t>This Stock Assignment may be used only in accordance with the Restricted Stock Purchase Agreement between Tenaya Therapeutics, Inc. and the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2"/>
          </w:tcPr>
          <w:p>
            <w:pPr>
              <w:spacing w:after="0"/>
              <w:rPr>
                <w:sz w:val="20"/>
                <w:szCs w:val="20"/>
                <w:color w:val="auto"/>
              </w:rPr>
            </w:pPr>
            <w:r>
              <w:rPr>
                <w:rFonts w:ascii="Arial" w:cs="Arial" w:eastAsia="Arial" w:hAnsi="Arial"/>
                <w:sz w:val="16"/>
                <w:szCs w:val="16"/>
                <w:color w:val="auto"/>
                <w:w w:val="87"/>
              </w:rPr>
              <w:t>undersigned dated</w:t>
            </w:r>
          </w:p>
        </w:tc>
        <w:tc>
          <w:tcPr>
            <w:tcW w:w="620" w:type="dxa"/>
            <w:vAlign w:val="bottom"/>
            <w:tcBorders>
              <w:bottom w:val="single" w:sz="8" w:color="auto"/>
            </w:tcBorders>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320" w:type="dxa"/>
            <w:vAlign w:val="bottom"/>
            <w:tcBorders>
              <w:bottom w:val="single" w:sz="8" w:color="auto"/>
            </w:tcBorders>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6"/>
                <w:szCs w:val="16"/>
                <w:color w:val="auto"/>
                <w:w w:val="96"/>
              </w:rPr>
              <w:t>(the “Agreement”).</w:t>
            </w:r>
          </w:p>
        </w:tc>
        <w:tc>
          <w:tcPr>
            <w:tcW w:w="2620" w:type="dxa"/>
            <w:vAlign w:val="bottom"/>
          </w:tcPr>
          <w:p>
            <w:pPr>
              <w:spacing w:after="0"/>
              <w:rPr>
                <w:sz w:val="16"/>
                <w:szCs w:val="16"/>
                <w:color w:val="auto"/>
              </w:rPr>
            </w:pPr>
          </w:p>
        </w:tc>
      </w:tr>
      <w:tr>
        <w:trPr>
          <w:trHeight w:val="381"/>
        </w:trPr>
        <w:tc>
          <w:tcPr>
            <w:tcW w:w="580" w:type="dxa"/>
            <w:vAlign w:val="bottom"/>
          </w:tcPr>
          <w:p>
            <w:pPr>
              <w:spacing w:after="0"/>
              <w:rPr>
                <w:sz w:val="20"/>
                <w:szCs w:val="20"/>
                <w:color w:val="auto"/>
              </w:rPr>
            </w:pPr>
            <w:r>
              <w:rPr>
                <w:rFonts w:ascii="Arial" w:cs="Arial" w:eastAsia="Arial" w:hAnsi="Arial"/>
                <w:sz w:val="16"/>
                <w:szCs w:val="16"/>
                <w:color w:val="auto"/>
              </w:rPr>
              <w:t>Dated:</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2620" w:type="dxa"/>
            <w:vAlign w:val="bottom"/>
          </w:tcPr>
          <w:p>
            <w:pPr>
              <w:ind w:left="1960"/>
              <w:spacing w:after="0"/>
              <w:rPr>
                <w:sz w:val="20"/>
                <w:szCs w:val="20"/>
                <w:color w:val="auto"/>
              </w:rPr>
            </w:pPr>
            <w:r>
              <w:rPr>
                <w:rFonts w:ascii="Arial" w:cs="Arial" w:eastAsia="Arial" w:hAnsi="Arial"/>
                <w:sz w:val="16"/>
                <w:szCs w:val="16"/>
                <w:color w:val="auto"/>
                <w:w w:val="87"/>
              </w:rPr>
              <w:t>Signature:</w:t>
            </w:r>
          </w:p>
        </w:tc>
      </w:tr>
      <w:tr>
        <w:trPr>
          <w:trHeight w:val="20"/>
        </w:trPr>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15240</wp:posOffset>
            </wp:positionV>
            <wp:extent cx="213360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33600" cy="7620"/>
                    </a:xfrm>
                    <a:prstGeom prst="rect">
                      <a:avLst/>
                    </a:prstGeom>
                    <a:noFill/>
                  </pic:spPr>
                </pic:pic>
              </a:graphicData>
            </a:graphic>
          </wp:anchor>
        </w:drawing>
      </w:r>
    </w:p>
    <w:p>
      <w:pPr>
        <w:spacing w:after="0" w:line="191" w:lineRule="exact"/>
        <w:rPr>
          <w:sz w:val="20"/>
          <w:szCs w:val="20"/>
          <w:color w:val="auto"/>
        </w:rPr>
      </w:pPr>
    </w:p>
    <w:p>
      <w:pPr>
        <w:ind w:right="420" w:firstLine="385"/>
        <w:spacing w:after="0" w:line="383" w:lineRule="auto"/>
        <w:rPr>
          <w:sz w:val="20"/>
          <w:szCs w:val="20"/>
          <w:color w:val="auto"/>
        </w:rPr>
      </w:pPr>
      <w:r>
        <w:rPr>
          <w:rFonts w:ascii="Arial" w:cs="Arial" w:eastAsia="Arial" w:hAnsi="Arial"/>
          <w:sz w:val="13"/>
          <w:szCs w:val="13"/>
          <w:color w:val="auto"/>
        </w:rPr>
        <w:t>INSTRUCTIONS: Please do not fill in any blanks other than the signature line. The purpose of this assignment is to enable the Company to exercise its “repurchase option,” as set forth in the Agreement, without requiring additional signatures on the part of the Purchaser.</w:t>
      </w:r>
    </w:p>
    <w:p>
      <w:pPr>
        <w:sectPr>
          <w:pgSz w:w="11900" w:h="16838" w:orient="portrait"/>
          <w:cols w:equalWidth="0" w:num="1">
            <w:col w:w="9580"/>
          </w:cols>
          <w:pgMar w:left="1140" w:top="252" w:right="1179" w:bottom="1440" w:gutter="0" w:footer="0" w:header="0"/>
        </w:sectPr>
      </w:pPr>
    </w:p>
    <w:bookmarkStart w:id="349" w:name="page350"/>
    <w:bookmarkEnd w:id="349"/>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JOINT ESCROW INSTRUCTIONS</w:t>
      </w:r>
    </w:p>
    <w:p>
      <w:pPr>
        <w:spacing w:after="0" w:line="19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-10795</wp:posOffset>
            </wp:positionV>
            <wp:extent cx="84836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4836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Tenaya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171 Oyster Point Boulevard, 5th Floor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Dear Corporate Secretary:</w:t>
      </w:r>
    </w:p>
    <w:p>
      <w:pPr>
        <w:spacing w:after="0" w:line="193" w:lineRule="exact"/>
        <w:rPr>
          <w:sz w:val="20"/>
          <w:szCs w:val="20"/>
          <w:color w:val="auto"/>
        </w:rPr>
      </w:pPr>
    </w:p>
    <w:p>
      <w:pPr>
        <w:ind w:firstLine="385"/>
        <w:spacing w:after="0" w:line="281" w:lineRule="auto"/>
        <w:rPr>
          <w:sz w:val="20"/>
          <w:szCs w:val="20"/>
          <w:color w:val="auto"/>
        </w:rPr>
      </w:pPr>
      <w:r>
        <w:rPr>
          <w:rFonts w:ascii="Arial" w:cs="Arial" w:eastAsia="Arial" w:hAnsi="Arial"/>
          <w:sz w:val="15"/>
          <w:szCs w:val="15"/>
          <w:color w:val="auto"/>
        </w:rPr>
        <w:t>As Escrow Agent for both Tenaya Therapeutics, Inc. (the “Company”), and the undersigned purchaser of stock of the Company (the “Purchaser”), you are hereby authorized and directed to hold the documents delivered to you pursuant to the terms of that certain Restricted Stock Purchase Agreement (the “Agreement”) between the Company and the undersigned, in accordance with the following instructions:</w:t>
      </w:r>
    </w:p>
    <w:p>
      <w:pPr>
        <w:spacing w:after="0" w:line="149" w:lineRule="exact"/>
        <w:rPr>
          <w:sz w:val="20"/>
          <w:szCs w:val="20"/>
          <w:color w:val="auto"/>
        </w:rPr>
      </w:pPr>
    </w:p>
    <w:p>
      <w:pPr>
        <w:jc w:val="both"/>
        <w:ind w:firstLine="378"/>
        <w:spacing w:after="0" w:line="329" w:lineRule="auto"/>
        <w:tabs>
          <w:tab w:leader="none" w:pos="54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In the event the Company and/or any assignee of the Company (referred to collectively for convenience herein as the “Company”) exercises the Company’s repurchase option set forth in the Agreement, the Company shall give to Purchaser and you a written notice specifying the number of shares of stock to be purchased, the purchase price, and the time for a closing hereunder at the principal office of the Company. Purchaser and the Company hereby irrevocably authorize and direct you to close the transaction contemplated by such notice in accordance with the terms of said notice.</w:t>
      </w:r>
    </w:p>
    <w:p>
      <w:pPr>
        <w:spacing w:after="0" w:line="123" w:lineRule="exact"/>
        <w:rPr>
          <w:rFonts w:ascii="Arial" w:cs="Arial" w:eastAsia="Arial" w:hAnsi="Arial"/>
          <w:sz w:val="13"/>
          <w:szCs w:val="13"/>
          <w:color w:val="auto"/>
        </w:rPr>
      </w:pPr>
    </w:p>
    <w:p>
      <w:pPr>
        <w:jc w:val="both"/>
        <w:ind w:right="80" w:firstLine="378"/>
        <w:spacing w:after="0" w:line="253" w:lineRule="auto"/>
        <w:tabs>
          <w:tab w:leader="none" w:pos="54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At the closing, you are directed (a) to date the stock assignments necessary for the transfer in question, (b) to fill in the number of shares being transferred, and (c) to deliver the stock assignments, together with the certificate evidencing the shares of stock to be transferred, to the Company or its assignee, against the simultaneous delivery to you of the purchase price (by cash, a check, or some combination thereof) for the number of shares of stock being purchased pursuant to the exercise of the Company’s repurchase option.</w:t>
      </w:r>
    </w:p>
    <w:p>
      <w:pPr>
        <w:spacing w:after="0" w:line="167" w:lineRule="exact"/>
        <w:rPr>
          <w:rFonts w:ascii="Arial" w:cs="Arial" w:eastAsia="Arial" w:hAnsi="Arial"/>
          <w:sz w:val="16"/>
          <w:szCs w:val="16"/>
          <w:color w:val="auto"/>
        </w:rPr>
      </w:pPr>
    </w:p>
    <w:p>
      <w:pPr>
        <w:ind w:right="20" w:firstLine="378"/>
        <w:spacing w:after="0" w:line="319" w:lineRule="auto"/>
        <w:tabs>
          <w:tab w:leader="none" w:pos="54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Purchaser irrevocably authorizes the Company to deposit with you any certificates evidencing shares of stock to be held by you hereunder and any additions and substitutions to said shares as defined in the Agreement. Purchaser does hereby irrevocably constitute and appoint you as Purchaser’s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paragraph 3, Purchaser shall exercise all rights and privileges of a stockholder of the Company while the stock is held by you.</w:t>
      </w:r>
    </w:p>
    <w:p>
      <w:pPr>
        <w:spacing w:after="0" w:line="128" w:lineRule="exact"/>
        <w:rPr>
          <w:rFonts w:ascii="Arial" w:cs="Arial" w:eastAsia="Arial" w:hAnsi="Arial"/>
          <w:sz w:val="13"/>
          <w:szCs w:val="13"/>
          <w:color w:val="auto"/>
        </w:rPr>
      </w:pPr>
    </w:p>
    <w:p>
      <w:pPr>
        <w:ind w:right="200" w:firstLine="378"/>
        <w:spacing w:after="0" w:line="383" w:lineRule="auto"/>
        <w:tabs>
          <w:tab w:leader="none" w:pos="542" w:val="left"/>
        </w:tabs>
        <w:numPr>
          <w:ilvl w:val="0"/>
          <w:numId w:val="234"/>
        </w:numPr>
        <w:rPr>
          <w:rFonts w:ascii="Arial" w:cs="Arial" w:eastAsia="Arial" w:hAnsi="Arial"/>
          <w:sz w:val="13"/>
          <w:szCs w:val="13"/>
          <w:color w:val="auto"/>
        </w:rPr>
      </w:pPr>
      <w:r>
        <w:rPr>
          <w:rFonts w:ascii="Arial" w:cs="Arial" w:eastAsia="Arial" w:hAnsi="Arial"/>
          <w:sz w:val="13"/>
          <w:szCs w:val="13"/>
          <w:color w:val="auto"/>
        </w:rPr>
        <w:t>Upon written request of the Purchaser, but no more than once per calendar year, unless the Company’s repurchase option has been exercised, you shall deliver to Purchaser a certificate or certificates representing so many shares of stock as are not then subject to the Company’s repurchase</w:t>
      </w:r>
    </w:p>
    <w:p>
      <w:pPr>
        <w:sectPr>
          <w:pgSz w:w="11900" w:h="16838" w:orient="portrait"/>
          <w:cols w:equalWidth="0" w:num="1">
            <w:col w:w="9580"/>
          </w:cols>
          <w:pgMar w:left="1140" w:top="253" w:right="1179" w:bottom="1440" w:gutter="0" w:footer="0" w:header="0"/>
        </w:sectPr>
      </w:pPr>
    </w:p>
    <w:bookmarkStart w:id="350" w:name="page351"/>
    <w:bookmarkEnd w:id="350"/>
    <w:p>
      <w:pPr>
        <w:ind w:right="12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option. Within one hundred and twenty (120) days after cessation of Purchaser’s continuous employment by or services to the Company, or any parent or subsidiary of the Company, you shall deliver to Purchaser a certificate or certificates representing the aggregate number of shares held or issued pursuant to the Agreement and not purchased by the Company or its assignees pursuant to exercise of the Company’s repurchase option.</w:t>
      </w:r>
    </w:p>
    <w:p>
      <w:pPr>
        <w:spacing w:after="0" w:line="114" w:lineRule="exact"/>
        <w:rPr>
          <w:sz w:val="20"/>
          <w:szCs w:val="20"/>
          <w:color w:val="auto"/>
        </w:rPr>
      </w:pPr>
    </w:p>
    <w:p>
      <w:pPr>
        <w:ind w:right="480" w:firstLine="378"/>
        <w:spacing w:after="0" w:line="300" w:lineRule="auto"/>
        <w:tabs>
          <w:tab w:leader="none" w:pos="54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If at the time of termination of this escrow you should have in your possession any documents, securities, or other property belonging to Purchaser, you shall deliver all of the same to Purchaser and shall be discharged of all further obligations hereunder.</w:t>
      </w:r>
    </w:p>
    <w:p>
      <w:pPr>
        <w:spacing w:after="0" w:line="134" w:lineRule="exact"/>
        <w:rPr>
          <w:rFonts w:ascii="Arial" w:cs="Arial" w:eastAsia="Arial" w:hAnsi="Arial"/>
          <w:sz w:val="15"/>
          <w:szCs w:val="15"/>
          <w:color w:val="auto"/>
        </w:rPr>
      </w:pPr>
    </w:p>
    <w:p>
      <w:pPr>
        <w:ind w:left="520" w:hanging="142"/>
        <w:spacing w:after="0"/>
        <w:tabs>
          <w:tab w:leader="none" w:pos="5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Your duties hereunder may be altered, amended, modified or revoked only by a writing signed by all of the parties hereto.</w:t>
      </w:r>
    </w:p>
    <w:p>
      <w:pPr>
        <w:spacing w:after="0" w:line="193" w:lineRule="exact"/>
        <w:rPr>
          <w:rFonts w:ascii="Arial" w:cs="Arial" w:eastAsia="Arial" w:hAnsi="Arial"/>
          <w:sz w:val="16"/>
          <w:szCs w:val="16"/>
          <w:color w:val="auto"/>
        </w:rPr>
      </w:pPr>
    </w:p>
    <w:p>
      <w:pPr>
        <w:ind w:right="40" w:firstLine="378"/>
        <w:spacing w:after="0" w:line="329" w:lineRule="auto"/>
        <w:tabs>
          <w:tab w:leader="none" w:pos="542" w:val="left"/>
        </w:tabs>
        <w:numPr>
          <w:ilvl w:val="0"/>
          <w:numId w:val="235"/>
        </w:numPr>
        <w:rPr>
          <w:rFonts w:ascii="Arial" w:cs="Arial" w:eastAsia="Arial" w:hAnsi="Arial"/>
          <w:sz w:val="13"/>
          <w:szCs w:val="13"/>
          <w:color w:val="auto"/>
        </w:rPr>
      </w:pPr>
      <w:r>
        <w:rPr>
          <w:rFonts w:ascii="Arial" w:cs="Arial" w:eastAsia="Arial" w:hAnsi="Arial"/>
          <w:sz w:val="13"/>
          <w:szCs w:val="13"/>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Purchaser while acting in good faith, and any act done or omitted by you pursuant to the advice of your own attorneys shall be conclusive evidence of such good faith.</w:t>
      </w:r>
    </w:p>
    <w:p>
      <w:pPr>
        <w:spacing w:after="0" w:line="123" w:lineRule="exact"/>
        <w:rPr>
          <w:rFonts w:ascii="Arial" w:cs="Arial" w:eastAsia="Arial" w:hAnsi="Arial"/>
          <w:sz w:val="13"/>
          <w:szCs w:val="13"/>
          <w:color w:val="auto"/>
        </w:rPr>
      </w:pPr>
    </w:p>
    <w:p>
      <w:pPr>
        <w:ind w:firstLine="378"/>
        <w:spacing w:after="0" w:line="272" w:lineRule="auto"/>
        <w:tabs>
          <w:tab w:leader="none" w:pos="54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154" w:lineRule="exact"/>
        <w:rPr>
          <w:rFonts w:ascii="Arial" w:cs="Arial" w:eastAsia="Arial" w:hAnsi="Arial"/>
          <w:sz w:val="15"/>
          <w:szCs w:val="15"/>
          <w:color w:val="auto"/>
        </w:rPr>
      </w:pPr>
    </w:p>
    <w:p>
      <w:pPr>
        <w:ind w:right="400" w:firstLine="378"/>
        <w:spacing w:after="0" w:line="266" w:lineRule="auto"/>
        <w:tabs>
          <w:tab w:leader="none" w:pos="54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158" w:lineRule="exact"/>
        <w:rPr>
          <w:rFonts w:ascii="Arial" w:cs="Arial" w:eastAsia="Arial" w:hAnsi="Arial"/>
          <w:sz w:val="16"/>
          <w:szCs w:val="16"/>
          <w:color w:val="auto"/>
        </w:rPr>
      </w:pPr>
    </w:p>
    <w:p>
      <w:pPr>
        <w:ind w:right="160" w:firstLine="378"/>
        <w:spacing w:after="0" w:line="266" w:lineRule="auto"/>
        <w:tabs>
          <w:tab w:leader="none" w:pos="6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You shall not be liable for the outlawing of any rights under the Statute of Limitations with respect to these Joint Escrow Instructions or any documents deposited with you.</w:t>
      </w:r>
    </w:p>
    <w:p>
      <w:pPr>
        <w:spacing w:after="0" w:line="158" w:lineRule="exact"/>
        <w:rPr>
          <w:rFonts w:ascii="Arial" w:cs="Arial" w:eastAsia="Arial" w:hAnsi="Arial"/>
          <w:sz w:val="16"/>
          <w:szCs w:val="16"/>
          <w:color w:val="auto"/>
        </w:rPr>
      </w:pPr>
    </w:p>
    <w:p>
      <w:pPr>
        <w:ind w:right="260" w:firstLine="378"/>
        <w:spacing w:after="0" w:line="383" w:lineRule="auto"/>
        <w:tabs>
          <w:tab w:leader="none" w:pos="614" w:val="left"/>
        </w:tabs>
        <w:numPr>
          <w:ilvl w:val="0"/>
          <w:numId w:val="235"/>
        </w:numPr>
        <w:rPr>
          <w:rFonts w:ascii="Arial" w:cs="Arial" w:eastAsia="Arial" w:hAnsi="Arial"/>
          <w:sz w:val="13"/>
          <w:szCs w:val="13"/>
          <w:color w:val="auto"/>
        </w:rPr>
      </w:pPr>
      <w:r>
        <w:rPr>
          <w:rFonts w:ascii="Arial" w:cs="Arial" w:eastAsia="Arial" w:hAnsi="Arial"/>
          <w:sz w:val="13"/>
          <w:szCs w:val="13"/>
          <w:color w:val="auto"/>
        </w:rPr>
        <w:t>You shall be entitled to employ such legal counsel and other experts as you may deem necessary properly to advise you in connection with your obligations hereunder, may rely upon the advice of such counsel, and may pay such counsel reasonable compensation therefor.</w:t>
      </w:r>
    </w:p>
    <w:p>
      <w:pPr>
        <w:spacing w:after="0" w:line="88" w:lineRule="exact"/>
        <w:rPr>
          <w:rFonts w:ascii="Arial" w:cs="Arial" w:eastAsia="Arial" w:hAnsi="Arial"/>
          <w:sz w:val="13"/>
          <w:szCs w:val="13"/>
          <w:color w:val="auto"/>
        </w:rPr>
      </w:pPr>
    </w:p>
    <w:p>
      <w:pPr>
        <w:ind w:right="300" w:firstLine="378"/>
        <w:spacing w:after="0" w:line="300" w:lineRule="auto"/>
        <w:tabs>
          <w:tab w:leader="none" w:pos="620" w:val="left"/>
        </w:tabs>
        <w:numPr>
          <w:ilvl w:val="0"/>
          <w:numId w:val="235"/>
        </w:numPr>
        <w:rPr>
          <w:rFonts w:ascii="Arial" w:cs="Arial" w:eastAsia="Arial" w:hAnsi="Arial"/>
          <w:sz w:val="15"/>
          <w:szCs w:val="15"/>
          <w:color w:val="auto"/>
        </w:rPr>
      </w:pPr>
      <w:r>
        <w:rPr>
          <w:rFonts w:ascii="Arial" w:cs="Arial" w:eastAsia="Arial" w:hAnsi="Arial"/>
          <w:sz w:val="15"/>
          <w:szCs w:val="15"/>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134" w:lineRule="exact"/>
        <w:rPr>
          <w:rFonts w:ascii="Arial" w:cs="Arial" w:eastAsia="Arial" w:hAnsi="Arial"/>
          <w:sz w:val="15"/>
          <w:szCs w:val="15"/>
          <w:color w:val="auto"/>
        </w:rPr>
      </w:pPr>
    </w:p>
    <w:p>
      <w:pPr>
        <w:ind w:right="140" w:firstLine="378"/>
        <w:spacing w:after="0" w:line="266" w:lineRule="auto"/>
        <w:tabs>
          <w:tab w:leader="none" w:pos="6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If you reasonably require other or further instruments in connection with these Joint Escrow Instructions or obligations in respect hereto, the necessary parties hereto shall join in furnishing such instruments.</w:t>
      </w:r>
    </w:p>
    <w:p>
      <w:pPr>
        <w:sectPr>
          <w:pgSz w:w="11900" w:h="16838" w:orient="portrait"/>
          <w:cols w:equalWidth="0" w:num="1">
            <w:col w:w="9580"/>
          </w:cols>
          <w:pgMar w:left="1140" w:top="256" w:right="1179" w:bottom="1440" w:gutter="0" w:footer="0" w:header="0"/>
        </w:sectPr>
      </w:pPr>
    </w:p>
    <w:bookmarkStart w:id="351" w:name="page352"/>
    <w:bookmarkEnd w:id="351"/>
    <w:p>
      <w:pPr>
        <w:ind w:firstLine="378"/>
        <w:spacing w:after="0" w:line="251" w:lineRule="auto"/>
        <w:tabs>
          <w:tab w:leader="none" w:pos="6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169" w:lineRule="exact"/>
        <w:rPr>
          <w:rFonts w:ascii="Arial" w:cs="Arial" w:eastAsia="Arial" w:hAnsi="Arial"/>
          <w:sz w:val="16"/>
          <w:szCs w:val="16"/>
          <w:color w:val="auto"/>
        </w:rPr>
      </w:pPr>
    </w:p>
    <w:p>
      <w:pPr>
        <w:jc w:val="both"/>
        <w:ind w:right="220" w:firstLine="378"/>
        <w:spacing w:after="0" w:line="253" w:lineRule="auto"/>
        <w:tabs>
          <w:tab w:leader="none" w:pos="6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the following addresses or at such other addresses as a party may designate by ten (10) days’ advance written notice to each of the other parties hereto.</w:t>
      </w:r>
    </w:p>
    <w:p>
      <w:pPr>
        <w:spacing w:after="0" w:line="167" w:lineRule="exact"/>
        <w:rPr>
          <w:rFonts w:ascii="Arial" w:cs="Arial" w:eastAsia="Arial" w:hAnsi="Arial"/>
          <w:sz w:val="16"/>
          <w:szCs w:val="16"/>
          <w:color w:val="auto"/>
        </w:rPr>
      </w:pPr>
    </w:p>
    <w:p>
      <w:pPr>
        <w:ind w:right="380" w:firstLine="378"/>
        <w:spacing w:after="0" w:line="266" w:lineRule="auto"/>
        <w:tabs>
          <w:tab w:leader="none" w:pos="62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By signing these Joint Escrow Instructions, you become a party hereto only for the purpose of said Joint Escrow Instructions; you do not become a party to the Agreement.</w:t>
      </w:r>
    </w:p>
    <w:p>
      <w:pPr>
        <w:spacing w:after="0" w:line="158" w:lineRule="exact"/>
        <w:rPr>
          <w:rFonts w:ascii="Arial" w:cs="Arial" w:eastAsia="Arial" w:hAnsi="Arial"/>
          <w:sz w:val="16"/>
          <w:szCs w:val="16"/>
          <w:color w:val="auto"/>
        </w:rPr>
      </w:pPr>
    </w:p>
    <w:p>
      <w:pPr>
        <w:ind w:left="620" w:hanging="242"/>
        <w:spacing w:after="0"/>
        <w:tabs>
          <w:tab w:leader="none" w:pos="62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This instrument shall be binding upon and inure to the benefit of the parties hereto, and their respective successors and permitted assigns.</w:t>
      </w:r>
    </w:p>
    <w:p>
      <w:pPr>
        <w:spacing w:after="0" w:line="227" w:lineRule="exact"/>
        <w:rPr>
          <w:rFonts w:ascii="Arial" w:cs="Arial" w:eastAsia="Arial" w:hAnsi="Arial"/>
          <w:sz w:val="13"/>
          <w:szCs w:val="13"/>
          <w:color w:val="auto"/>
        </w:rPr>
      </w:pPr>
    </w:p>
    <w:p>
      <w:pPr>
        <w:ind w:left="620" w:hanging="242"/>
        <w:spacing w:after="0"/>
        <w:tabs>
          <w:tab w:leader="none" w:pos="620" w:val="left"/>
        </w:tabs>
        <w:numPr>
          <w:ilvl w:val="0"/>
          <w:numId w:val="236"/>
        </w:numPr>
        <w:rPr>
          <w:rFonts w:ascii="Arial" w:cs="Arial" w:eastAsia="Arial" w:hAnsi="Arial"/>
          <w:sz w:val="15"/>
          <w:szCs w:val="15"/>
          <w:color w:val="auto"/>
        </w:rPr>
      </w:pPr>
      <w:r>
        <w:rPr>
          <w:rFonts w:ascii="Arial" w:cs="Arial" w:eastAsia="Arial" w:hAnsi="Arial"/>
          <w:sz w:val="15"/>
          <w:szCs w:val="15"/>
          <w:color w:val="auto"/>
        </w:rPr>
        <w:t>These Joint Escrow Instructions shall be governed by the internal substantive laws, but not the choice of law rules, of Delaware.</w:t>
      </w:r>
    </w:p>
    <w:p>
      <w:pPr>
        <w:spacing w:after="0" w:line="228" w:lineRule="exact"/>
        <w:rPr>
          <w:sz w:val="20"/>
          <w:szCs w:val="20"/>
          <w:color w:val="auto"/>
        </w:rPr>
      </w:pPr>
    </w:p>
    <w:p>
      <w:pPr>
        <w:spacing w:after="0"/>
        <w:tabs>
          <w:tab w:leader="none" w:pos="5080" w:val="left"/>
        </w:tabs>
        <w:rPr>
          <w:sz w:val="20"/>
          <w:szCs w:val="20"/>
          <w:color w:val="auto"/>
        </w:rPr>
      </w:pPr>
      <w:r>
        <w:rPr>
          <w:rFonts w:ascii="Arial" w:cs="Arial" w:eastAsia="Arial" w:hAnsi="Arial"/>
          <w:sz w:val="16"/>
          <w:szCs w:val="16"/>
          <w:color w:val="auto"/>
        </w:rPr>
        <w:t>PURCHASER</w:t>
      </w:r>
      <w:r>
        <w:rPr>
          <w:sz w:val="20"/>
          <w:szCs w:val="20"/>
          <w:color w:val="auto"/>
        </w:rPr>
        <w:tab/>
      </w:r>
      <w:r>
        <w:rPr>
          <w:rFonts w:ascii="Arial" w:cs="Arial" w:eastAsia="Arial" w:hAnsi="Arial"/>
          <w:sz w:val="16"/>
          <w:szCs w:val="16"/>
          <w:color w:val="auto"/>
        </w:rPr>
        <w:t>TENAYA THERAPEUTICS, INC.</w:t>
      </w:r>
    </w:p>
    <w:p>
      <w:pPr>
        <w:sectPr>
          <w:pgSz w:w="11900" w:h="16838" w:orient="portrait"/>
          <w:cols w:equalWidth="0" w:num="1">
            <w:col w:w="9580"/>
          </w:cols>
          <w:pgMar w:left="1140" w:top="256" w:right="117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2874645"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250190</wp:posOffset>
            </wp:positionV>
            <wp:extent cx="2874645"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746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-115570</wp:posOffset>
            </wp:positionV>
            <wp:extent cx="287464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Residence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287464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ESCROW AGENT</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43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-108585</wp:posOffset>
            </wp:positionV>
            <wp:extent cx="292735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385" w:lineRule="exact"/>
        <w:rPr>
          <w:sz w:val="20"/>
          <w:szCs w:val="20"/>
          <w:color w:val="auto"/>
        </w:rPr>
      </w:pPr>
    </w:p>
    <w:p>
      <w:pPr>
        <w:jc w:val="center"/>
        <w:ind w:right="3760"/>
        <w:spacing w:after="0"/>
        <w:rPr>
          <w:sz w:val="20"/>
          <w:szCs w:val="20"/>
          <w:color w:val="auto"/>
        </w:rPr>
      </w:pPr>
      <w:r>
        <w:rPr>
          <w:rFonts w:ascii="Arial" w:cs="Arial" w:eastAsia="Arial" w:hAnsi="Arial"/>
          <w:sz w:val="13"/>
          <w:szCs w:val="13"/>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-93980</wp:posOffset>
            </wp:positionV>
            <wp:extent cx="2927350"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41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-108585</wp:posOffset>
            </wp:positionV>
            <wp:extent cx="292735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927350" cy="7620"/>
                    </a:xfrm>
                    <a:prstGeom prst="rect">
                      <a:avLst/>
                    </a:prstGeom>
                    <a:noFill/>
                  </pic:spPr>
                </pic:pic>
              </a:graphicData>
            </a:graphic>
          </wp:anchor>
        </w:drawing>
      </w:r>
    </w:p>
    <w:p>
      <w:pPr>
        <w:spacing w:after="0" w:line="1131" w:lineRule="exact"/>
        <w:rPr>
          <w:sz w:val="20"/>
          <w:szCs w:val="20"/>
          <w:color w:val="auto"/>
        </w:rPr>
      </w:pPr>
    </w:p>
    <w:p>
      <w:pPr>
        <w:sectPr>
          <w:pgSz w:w="11900" w:h="16838" w:orient="portrait"/>
          <w:cols w:equalWidth="0" w:num="2">
            <w:col w:w="4380" w:space="720"/>
            <w:col w:w="4480"/>
          </w:cols>
          <w:pgMar w:left="1140" w:top="256" w:right="117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287464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74645" cy="7620"/>
                    </a:xfrm>
                    <a:prstGeom prst="rect">
                      <a:avLst/>
                    </a:prstGeom>
                    <a:noFill/>
                  </pic:spPr>
                </pic:pic>
              </a:graphicData>
            </a:graphic>
          </wp:anchor>
        </w:drawing>
      </w:r>
    </w:p>
    <w:p>
      <w:pPr>
        <w:sectPr>
          <w:pgSz w:w="11900" w:h="16838" w:orient="portrait"/>
          <w:cols w:equalWidth="0" w:num="1">
            <w:col w:w="9580"/>
          </w:cols>
          <w:pgMar w:left="1140" w:top="256" w:right="1179" w:bottom="1440" w:gutter="0" w:footer="0" w:header="0"/>
          <w:type w:val="continuous"/>
        </w:sectPr>
      </w:pPr>
    </w:p>
    <w:bookmarkStart w:id="352" w:name="page353"/>
    <w:bookmarkEnd w:id="352"/>
    <w:p>
      <w:pPr>
        <w:jc w:val="center"/>
        <w:ind w:right="-145"/>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C-4</w:t>
      </w:r>
    </w:p>
    <w:p>
      <w:pPr>
        <w:spacing w:after="0" w:line="193" w:lineRule="exact"/>
        <w:rPr>
          <w:sz w:val="20"/>
          <w:szCs w:val="20"/>
          <w:color w:val="auto"/>
        </w:rPr>
      </w:pPr>
    </w:p>
    <w:p>
      <w:pPr>
        <w:jc w:val="center"/>
        <w:ind w:right="-145"/>
        <w:spacing w:after="0"/>
        <w:rPr>
          <w:sz w:val="20"/>
          <w:szCs w:val="20"/>
          <w:color w:val="auto"/>
        </w:rPr>
      </w:pPr>
      <w:r>
        <w:rPr>
          <w:rFonts w:ascii="Arial" w:cs="Arial" w:eastAsia="Arial" w:hAnsi="Arial"/>
          <w:sz w:val="16"/>
          <w:szCs w:val="16"/>
          <w:b w:val="1"/>
          <w:bCs w:val="1"/>
          <w:color w:val="auto"/>
        </w:rPr>
        <w:t>ELECTION UNDER SECTION 83(b)</w:t>
      </w:r>
    </w:p>
    <w:p>
      <w:pPr>
        <w:spacing w:after="0" w:line="20" w:lineRule="exact"/>
        <w:rPr>
          <w:sz w:val="20"/>
          <w:szCs w:val="20"/>
          <w:color w:val="auto"/>
        </w:rPr>
      </w:pPr>
    </w:p>
    <w:p>
      <w:pPr>
        <w:jc w:val="center"/>
        <w:ind w:right="-145"/>
        <w:spacing w:after="0"/>
        <w:rPr>
          <w:sz w:val="20"/>
          <w:szCs w:val="20"/>
          <w:color w:val="auto"/>
        </w:rPr>
      </w:pPr>
      <w:r>
        <w:rPr>
          <w:rFonts w:ascii="Arial" w:cs="Arial" w:eastAsia="Arial" w:hAnsi="Arial"/>
          <w:sz w:val="16"/>
          <w:szCs w:val="16"/>
          <w:b w:val="1"/>
          <w:bCs w:val="1"/>
          <w:color w:val="auto"/>
        </w:rPr>
        <w:t>OF THE INTERNAL REVENUE CODE OF 1986</w:t>
      </w:r>
    </w:p>
    <w:p>
      <w:pPr>
        <w:spacing w:after="0" w:line="182"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The undersigned taxpayer hereby elects, pursuant to Sections 55 and 83(b) of the Internal Revenue Code of 1986, as amended, to include in taxpayer’s gross income or alternative minimum taxable income, as the case may be, for the current taxable year the amount of any compensation taxable to taxpayer in connection with taxpayer’s receipt of the property described below.</w:t>
      </w:r>
    </w:p>
    <w:p>
      <w:pPr>
        <w:spacing w:after="0" w:line="83" w:lineRule="exact"/>
        <w:rPr>
          <w:sz w:val="20"/>
          <w:szCs w:val="20"/>
          <w:color w:val="auto"/>
        </w:rPr>
      </w:pPr>
    </w:p>
    <w:p>
      <w:pPr>
        <w:ind w:left="386" w:hanging="386"/>
        <w:spacing w:after="0"/>
        <w:tabs>
          <w:tab w:leader="none" w:pos="386"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name, address, taxpayer identification number and taxable year of the undersigned are as follows:</w:t>
      </w:r>
    </w:p>
    <w:p>
      <w:pPr>
        <w:spacing w:after="0" w:line="217" w:lineRule="exact"/>
        <w:rPr>
          <w:sz w:val="20"/>
          <w:szCs w:val="20"/>
          <w:color w:val="auto"/>
        </w:rPr>
      </w:pPr>
    </w:p>
    <w:tbl>
      <w:tblPr>
        <w:tblLayout w:type="fixed"/>
        <w:tblInd w:w="6" w:type="dxa"/>
        <w:tblCellMar>
          <w:top w:w="0" w:type="dxa"/>
          <w:left w:w="0" w:type="dxa"/>
          <w:bottom w:w="0" w:type="dxa"/>
          <w:right w:w="0" w:type="dxa"/>
        </w:tblCellMar>
      </w:tblPr>
      <w:tr>
        <w:trPr>
          <w:trHeight w:val="189"/>
        </w:trPr>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rPr>
              <w:t>TAXPAYER</w:t>
            </w: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color w:val="auto"/>
              </w:rPr>
              <w:t>SPOUSE</w:t>
            </w:r>
          </w:p>
        </w:tc>
        <w:tc>
          <w:tcPr>
            <w:tcW w:w="3040" w:type="dxa"/>
            <w:vAlign w:val="bottom"/>
          </w:tcPr>
          <w:p>
            <w:pPr>
              <w:spacing w:after="0"/>
              <w:rPr>
                <w:sz w:val="16"/>
                <w:szCs w:val="16"/>
                <w:color w:val="auto"/>
              </w:rPr>
            </w:pPr>
          </w:p>
        </w:tc>
      </w:tr>
      <w:tr>
        <w:trPr>
          <w:trHeight w:val="201"/>
        </w:trPr>
        <w:tc>
          <w:tcPr>
            <w:tcW w:w="240" w:type="dxa"/>
            <w:vAlign w:val="bottom"/>
          </w:tcPr>
          <w:p>
            <w:pPr>
              <w:spacing w:after="0"/>
              <w:rPr>
                <w:sz w:val="17"/>
                <w:szCs w:val="17"/>
                <w:color w:val="auto"/>
              </w:rPr>
            </w:pP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rPr>
              <w:t>NAME:</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192"/>
        </w:trPr>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ADDRESS:</w:t>
            </w:r>
          </w:p>
        </w:tc>
        <w:tc>
          <w:tcPr>
            <w:tcW w:w="7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3040" w:type="dxa"/>
            <w:vAlign w:val="bottom"/>
            <w:tcBorders>
              <w:top w:val="single" w:sz="8" w:color="auto"/>
              <w:bottom w:val="single" w:sz="8" w:color="auto"/>
            </w:tcBorders>
          </w:tcPr>
          <w:p>
            <w:pPr>
              <w:spacing w:after="0"/>
              <w:rPr>
                <w:sz w:val="16"/>
                <w:szCs w:val="16"/>
                <w:color w:val="auto"/>
              </w:rPr>
            </w:pPr>
          </w:p>
        </w:tc>
      </w:tr>
      <w:tr>
        <w:trPr>
          <w:trHeight w:val="192"/>
        </w:trPr>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color w:val="auto"/>
              </w:rPr>
              <w:t>TAX ID NO.:</w:t>
            </w:r>
          </w:p>
        </w:tc>
        <w:tc>
          <w:tcPr>
            <w:tcW w:w="7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tcPr>
          <w:p>
            <w:pPr>
              <w:spacing w:after="0"/>
              <w:rPr>
                <w:sz w:val="16"/>
                <w:szCs w:val="16"/>
                <w:color w:val="auto"/>
              </w:rPr>
            </w:pPr>
          </w:p>
        </w:tc>
      </w:tr>
      <w:tr>
        <w:trPr>
          <w:trHeight w:val="157"/>
        </w:trPr>
        <w:tc>
          <w:tcPr>
            <w:tcW w:w="240" w:type="dxa"/>
            <w:vAlign w:val="bottom"/>
          </w:tcPr>
          <w:p>
            <w:pPr>
              <w:spacing w:after="0"/>
              <w:rPr>
                <w:sz w:val="13"/>
                <w:szCs w:val="13"/>
                <w:color w:val="auto"/>
              </w:rPr>
            </w:pPr>
          </w:p>
        </w:tc>
        <w:tc>
          <w:tcPr>
            <w:tcW w:w="1560" w:type="dxa"/>
            <w:vAlign w:val="bottom"/>
            <w:gridSpan w:val="2"/>
          </w:tcPr>
          <w:p>
            <w:pPr>
              <w:ind w:left="140"/>
              <w:spacing w:after="0" w:line="158" w:lineRule="exact"/>
              <w:rPr>
                <w:sz w:val="20"/>
                <w:szCs w:val="20"/>
                <w:color w:val="auto"/>
              </w:rPr>
            </w:pPr>
            <w:r>
              <w:rPr>
                <w:rFonts w:ascii="Arial" w:cs="Arial" w:eastAsia="Arial" w:hAnsi="Arial"/>
                <w:sz w:val="16"/>
                <w:szCs w:val="16"/>
                <w:color w:val="auto"/>
              </w:rPr>
              <w:t>TAXABLE YEAR:</w:t>
            </w: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40" w:type="dxa"/>
            <w:vAlign w:val="bottom"/>
          </w:tcPr>
          <w:p>
            <w:pPr>
              <w:spacing w:after="0"/>
              <w:rPr>
                <w:sz w:val="13"/>
                <w:szCs w:val="13"/>
                <w:color w:val="auto"/>
              </w:rPr>
            </w:pPr>
          </w:p>
        </w:tc>
      </w:tr>
      <w:tr>
        <w:trPr>
          <w:trHeight w:val="20"/>
        </w:trPr>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r>
        <w:trPr>
          <w:trHeight w:val="258"/>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2.</w:t>
            </w:r>
          </w:p>
        </w:tc>
        <w:tc>
          <w:tcPr>
            <w:tcW w:w="5960" w:type="dxa"/>
            <w:vAlign w:val="bottom"/>
            <w:gridSpan w:val="10"/>
          </w:tcPr>
          <w:p>
            <w:pPr>
              <w:ind w:left="140"/>
              <w:spacing w:after="0"/>
              <w:rPr>
                <w:sz w:val="20"/>
                <w:szCs w:val="20"/>
                <w:color w:val="auto"/>
              </w:rPr>
            </w:pPr>
            <w:r>
              <w:rPr>
                <w:rFonts w:ascii="Arial" w:cs="Arial" w:eastAsia="Arial" w:hAnsi="Arial"/>
                <w:sz w:val="16"/>
                <w:szCs w:val="16"/>
                <w:color w:val="auto"/>
              </w:rPr>
              <w:t>The property with respect to which the election is made is described as follows:</w:t>
            </w:r>
          </w:p>
        </w:tc>
        <w:tc>
          <w:tcPr>
            <w:tcW w:w="3040" w:type="dxa"/>
            <w:vAlign w:val="bottom"/>
          </w:tcPr>
          <w:p>
            <w:pPr>
              <w:ind w:left="40"/>
              <w:spacing w:after="0"/>
              <w:rPr>
                <w:sz w:val="20"/>
                <w:szCs w:val="20"/>
                <w:color w:val="auto"/>
              </w:rPr>
            </w:pPr>
            <w:r>
              <w:rPr>
                <w:rFonts w:ascii="Arial" w:cs="Arial" w:eastAsia="Arial" w:hAnsi="Arial"/>
                <w:sz w:val="16"/>
                <w:szCs w:val="16"/>
                <w:color w:val="auto"/>
                <w:w w:val="91"/>
              </w:rPr>
              <w:t>shares (the “Shares”) of the Common Stock of</w:t>
            </w:r>
          </w:p>
        </w:tc>
      </w:tr>
      <w:tr>
        <w:trPr>
          <w:trHeight w:val="203"/>
        </w:trPr>
        <w:tc>
          <w:tcPr>
            <w:tcW w:w="240" w:type="dxa"/>
            <w:vAlign w:val="bottom"/>
          </w:tcPr>
          <w:p>
            <w:pPr>
              <w:spacing w:after="0"/>
              <w:rPr>
                <w:sz w:val="17"/>
                <w:szCs w:val="17"/>
                <w:color w:val="auto"/>
              </w:rPr>
            </w:pP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rPr>
              <w:t>Tenaya Therapeutics, Inc. (the “Company”).</w:t>
            </w: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040" w:type="dxa"/>
            <w:vAlign w:val="bottom"/>
          </w:tcPr>
          <w:p>
            <w:pPr>
              <w:spacing w:after="0"/>
              <w:rPr>
                <w:sz w:val="17"/>
                <w:szCs w:val="17"/>
                <w:color w:val="auto"/>
              </w:rPr>
            </w:pPr>
          </w:p>
        </w:tc>
      </w:tr>
      <w:tr>
        <w:trPr>
          <w:trHeight w:val="261"/>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3.</w:t>
            </w:r>
          </w:p>
        </w:tc>
        <w:tc>
          <w:tcPr>
            <w:tcW w:w="3300" w:type="dxa"/>
            <w:vAlign w:val="bottom"/>
            <w:gridSpan w:val="4"/>
          </w:tcPr>
          <w:p>
            <w:pPr>
              <w:ind w:left="140"/>
              <w:spacing w:after="0"/>
              <w:rPr>
                <w:sz w:val="20"/>
                <w:szCs w:val="20"/>
                <w:color w:val="auto"/>
              </w:rPr>
            </w:pPr>
            <w:r>
              <w:rPr>
                <w:rFonts w:ascii="Arial" w:cs="Arial" w:eastAsia="Arial" w:hAnsi="Arial"/>
                <w:sz w:val="16"/>
                <w:szCs w:val="16"/>
                <w:color w:val="auto"/>
                <w:w w:val="88"/>
              </w:rPr>
              <w:t>The date on which the property was transferred is:</w:t>
            </w:r>
          </w:p>
        </w:tc>
        <w:tc>
          <w:tcPr>
            <w:tcW w:w="1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20"/>
        </w:trPr>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117" w:lineRule="exact"/>
        <w:rPr>
          <w:sz w:val="20"/>
          <w:szCs w:val="20"/>
          <w:color w:val="auto"/>
        </w:rPr>
      </w:pPr>
    </w:p>
    <w:p>
      <w:pPr>
        <w:ind w:left="386" w:hanging="386"/>
        <w:spacing w:after="0"/>
        <w:tabs>
          <w:tab w:leader="none" w:pos="386" w:val="left"/>
        </w:tabs>
        <w:numPr>
          <w:ilvl w:val="0"/>
          <w:numId w:val="238"/>
        </w:numPr>
        <w:rPr>
          <w:rFonts w:ascii="Arial" w:cs="Arial" w:eastAsia="Arial" w:hAnsi="Arial"/>
          <w:sz w:val="16"/>
          <w:szCs w:val="16"/>
          <w:color w:val="auto"/>
        </w:rPr>
      </w:pPr>
      <w:r>
        <w:rPr>
          <w:rFonts w:ascii="Arial" w:cs="Arial" w:eastAsia="Arial" w:hAnsi="Arial"/>
          <w:sz w:val="16"/>
          <w:szCs w:val="16"/>
          <w:color w:val="auto"/>
        </w:rPr>
        <w:t>The property is subject to the following restrictions:</w:t>
      </w:r>
    </w:p>
    <w:p>
      <w:pPr>
        <w:spacing w:after="0" w:line="111" w:lineRule="exact"/>
        <w:rPr>
          <w:sz w:val="20"/>
          <w:szCs w:val="20"/>
          <w:color w:val="auto"/>
        </w:rPr>
      </w:pPr>
    </w:p>
    <w:p>
      <w:pPr>
        <w:ind w:left="386" w:right="400" w:hanging="379"/>
        <w:spacing w:after="0" w:line="266" w:lineRule="auto"/>
        <w:tabs>
          <w:tab w:leader="none" w:pos="366" w:val="left"/>
        </w:tabs>
        <w:rPr>
          <w:sz w:val="20"/>
          <w:szCs w:val="20"/>
          <w:color w:val="auto"/>
        </w:rPr>
      </w:pPr>
      <w:r>
        <w:rPr>
          <w:rFonts w:ascii="Arial" w:cs="Arial" w:eastAsia="Arial" w:hAnsi="Arial"/>
          <w:sz w:val="16"/>
          <w:szCs w:val="16"/>
          <w:color w:val="auto"/>
        </w:rPr>
        <w:t>The</w:t>
        <w:tab/>
        <w:t>Shares may not be transferred and are subject to forfeiture under the terms of an agreement between the taxpayer and the Company. These restrictions lapse upon the satisfaction of certain conditions contained in such agreement.</w:t>
      </w:r>
    </w:p>
    <w:p>
      <w:pPr>
        <w:spacing w:after="0" w:line="76" w:lineRule="exact"/>
        <w:rPr>
          <w:sz w:val="20"/>
          <w:szCs w:val="20"/>
          <w:color w:val="auto"/>
        </w:rPr>
      </w:pPr>
    </w:p>
    <w:p>
      <w:pPr>
        <w:ind w:left="386" w:hanging="386"/>
        <w:spacing w:after="0"/>
        <w:tabs>
          <w:tab w:leader="none" w:pos="386" w:val="left"/>
        </w:tabs>
        <w:numPr>
          <w:ilvl w:val="0"/>
          <w:numId w:val="239"/>
        </w:numPr>
        <w:rPr>
          <w:rFonts w:ascii="Arial" w:cs="Arial" w:eastAsia="Arial" w:hAnsi="Arial"/>
          <w:sz w:val="13"/>
          <w:szCs w:val="13"/>
          <w:color w:val="auto"/>
        </w:rPr>
      </w:pPr>
      <w:r>
        <w:rPr>
          <w:rFonts w:ascii="Arial" w:cs="Arial" w:eastAsia="Arial" w:hAnsi="Arial"/>
          <w:sz w:val="13"/>
          <w:szCs w:val="13"/>
          <w:color w:val="auto"/>
        </w:rPr>
        <w:t>The Fair Market Value at the time of transfer, determined without regard to any restriction other than a restriction which by its terms shall never</w:t>
      </w:r>
    </w:p>
    <w:p>
      <w:pPr>
        <w:spacing w:after="0" w:line="21"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40" w:type="dxa"/>
            <w:vAlign w:val="bottom"/>
          </w:tcPr>
          <w:p>
            <w:pPr>
              <w:spacing w:after="0"/>
              <w:rPr>
                <w:sz w:val="16"/>
                <w:szCs w:val="16"/>
                <w:color w:val="auto"/>
              </w:rPr>
            </w:pPr>
          </w:p>
        </w:tc>
        <w:tc>
          <w:tcPr>
            <w:tcW w:w="1860" w:type="dxa"/>
            <w:vAlign w:val="bottom"/>
          </w:tcPr>
          <w:p>
            <w:pPr>
              <w:ind w:left="140"/>
              <w:spacing w:after="0"/>
              <w:rPr>
                <w:sz w:val="20"/>
                <w:szCs w:val="20"/>
                <w:color w:val="auto"/>
              </w:rPr>
            </w:pPr>
            <w:r>
              <w:rPr>
                <w:rFonts w:ascii="Arial" w:cs="Arial" w:eastAsia="Arial" w:hAnsi="Arial"/>
                <w:sz w:val="16"/>
                <w:szCs w:val="16"/>
                <w:color w:val="auto"/>
                <w:w w:val="86"/>
              </w:rPr>
              <w:t>lapse, of such property is: $</w:t>
            </w: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40" w:type="dxa"/>
            <w:vAlign w:val="bottom"/>
          </w:tcPr>
          <w:p>
            <w:pPr>
              <w:jc w:val="right"/>
              <w:ind w:right="41"/>
              <w:spacing w:after="0"/>
              <w:rPr>
                <w:sz w:val="20"/>
                <w:szCs w:val="20"/>
                <w:color w:val="auto"/>
              </w:rPr>
            </w:pPr>
            <w:r>
              <w:rPr>
                <w:rFonts w:ascii="Arial" w:cs="Arial" w:eastAsia="Arial" w:hAnsi="Arial"/>
                <w:sz w:val="16"/>
                <w:szCs w:val="16"/>
                <w:color w:val="auto"/>
                <w:w w:val="74"/>
              </w:rPr>
              <w:t>6.</w:t>
            </w:r>
          </w:p>
        </w:tc>
        <w:tc>
          <w:tcPr>
            <w:tcW w:w="3120" w:type="dxa"/>
            <w:vAlign w:val="bottom"/>
            <w:gridSpan w:val="3"/>
          </w:tcPr>
          <w:p>
            <w:pPr>
              <w:ind w:left="140"/>
              <w:spacing w:after="0"/>
              <w:rPr>
                <w:sz w:val="20"/>
                <w:szCs w:val="20"/>
                <w:color w:val="auto"/>
              </w:rPr>
            </w:pPr>
            <w:r>
              <w:rPr>
                <w:rFonts w:ascii="Arial" w:cs="Arial" w:eastAsia="Arial" w:hAnsi="Arial"/>
                <w:sz w:val="16"/>
                <w:szCs w:val="16"/>
                <w:color w:val="auto"/>
                <w:w w:val="89"/>
              </w:rPr>
              <w:t>The amount (if any) paid for such property is: $</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ind w:left="6" w:right="180"/>
        <w:spacing w:after="0" w:line="256"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The undersigned understands that the foregoing election may not be revoked except with the consent of the Commissioner</w:t>
      </w:r>
      <w:r>
        <w:rPr>
          <w:rFonts w:ascii="Arial" w:cs="Arial" w:eastAsia="Arial" w:hAnsi="Arial"/>
          <w:sz w:val="16"/>
          <w:szCs w:val="16"/>
          <w:color w:val="auto"/>
        </w:rPr>
        <w:t>.</w:t>
      </w:r>
    </w:p>
    <w:p>
      <w:pPr>
        <w:spacing w:after="0" w:line="217" w:lineRule="exact"/>
        <w:rPr>
          <w:sz w:val="20"/>
          <w:szCs w:val="20"/>
          <w:color w:val="auto"/>
        </w:rPr>
      </w:pPr>
    </w:p>
    <w:p>
      <w:pPr>
        <w:ind w:left="6"/>
        <w:spacing w:after="0"/>
        <w:tabs>
          <w:tab w:leader="none" w:pos="2826"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10795</wp:posOffset>
            </wp:positionV>
            <wp:extent cx="2867660"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86766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-10795</wp:posOffset>
            </wp:positionV>
            <wp:extent cx="1870710"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870710" cy="7620"/>
                    </a:xfrm>
                    <a:prstGeom prst="rect">
                      <a:avLst/>
                    </a:prstGeom>
                    <a:noFill/>
                  </pic:spPr>
                </pic:pic>
              </a:graphicData>
            </a:graphic>
          </wp:anchor>
        </w:drawing>
      </w:r>
    </w:p>
    <w:p>
      <w:pPr>
        <w:spacing w:after="0" w:line="8" w:lineRule="exact"/>
        <w:rPr>
          <w:sz w:val="20"/>
          <w:szCs w:val="20"/>
          <w:color w:val="auto"/>
        </w:rPr>
      </w:pPr>
    </w:p>
    <w:p>
      <w:pPr>
        <w:ind w:left="5106"/>
        <w:spacing w:after="0"/>
        <w:rPr>
          <w:sz w:val="20"/>
          <w:szCs w:val="20"/>
          <w:color w:val="auto"/>
        </w:rPr>
      </w:pPr>
      <w:r>
        <w:rPr>
          <w:rFonts w:ascii="Arial" w:cs="Arial" w:eastAsia="Arial" w:hAnsi="Arial"/>
          <w:sz w:val="16"/>
          <w:szCs w:val="16"/>
          <w:color w:val="auto"/>
        </w:rPr>
        <w:t>Taxpayer</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undersigned spouse of taxpayer joins in this election.</w:t>
      </w:r>
    </w:p>
    <w:p>
      <w:pPr>
        <w:spacing w:after="0" w:line="217" w:lineRule="exact"/>
        <w:rPr>
          <w:sz w:val="20"/>
          <w:szCs w:val="20"/>
          <w:color w:val="auto"/>
        </w:rPr>
      </w:pPr>
    </w:p>
    <w:p>
      <w:pPr>
        <w:ind w:left="6"/>
        <w:spacing w:after="0"/>
        <w:tabs>
          <w:tab w:leader="none" w:pos="2826" w:val="left"/>
        </w:tabs>
        <w:rPr>
          <w:sz w:val="20"/>
          <w:szCs w:val="20"/>
          <w:color w:val="auto"/>
        </w:rPr>
      </w:pPr>
      <w:r>
        <w:rPr>
          <w:rFonts w:ascii="Arial" w:cs="Arial" w:eastAsia="Arial" w:hAnsi="Arial"/>
          <w:sz w:val="16"/>
          <w:szCs w:val="16"/>
          <w:color w:val="auto"/>
        </w:rPr>
        <w:t>Dated:</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10795</wp:posOffset>
            </wp:positionV>
            <wp:extent cx="286766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867660" cy="7620"/>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-10795</wp:posOffset>
            </wp:positionV>
            <wp:extent cx="1870710"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870710" cy="7620"/>
                    </a:xfrm>
                    <a:prstGeom prst="rect">
                      <a:avLst/>
                    </a:prstGeom>
                    <a:noFill/>
                  </pic:spPr>
                </pic:pic>
              </a:graphicData>
            </a:graphic>
          </wp:anchor>
        </w:drawing>
      </w:r>
    </w:p>
    <w:p>
      <w:pPr>
        <w:spacing w:after="0" w:line="8" w:lineRule="exact"/>
        <w:rPr>
          <w:sz w:val="20"/>
          <w:szCs w:val="20"/>
          <w:color w:val="auto"/>
        </w:rPr>
      </w:pPr>
    </w:p>
    <w:p>
      <w:pPr>
        <w:ind w:left="5106"/>
        <w:spacing w:after="0"/>
        <w:rPr>
          <w:sz w:val="20"/>
          <w:szCs w:val="20"/>
          <w:color w:val="auto"/>
        </w:rPr>
      </w:pPr>
      <w:r>
        <w:rPr>
          <w:rFonts w:ascii="Arial" w:cs="Arial" w:eastAsia="Arial" w:hAnsi="Arial"/>
          <w:sz w:val="16"/>
          <w:szCs w:val="16"/>
          <w:color w:val="auto"/>
        </w:rPr>
        <w:t>Spouse of Taxpayer</w:t>
      </w:r>
    </w:p>
    <w:p>
      <w:pPr>
        <w:sectPr>
          <w:pgSz w:w="11900" w:h="16838" w:orient="portrait"/>
          <w:cols w:equalWidth="0" w:num="1">
            <w:col w:w="9466"/>
          </w:cols>
          <w:pgMar w:left="1134" w:top="252" w:right="1299" w:bottom="1440" w:gutter="0" w:footer="0" w:header="0"/>
        </w:sectPr>
      </w:pPr>
    </w:p>
    <w:bookmarkStart w:id="353" w:name="page354"/>
    <w:bookmarkEnd w:id="353"/>
    <w:p>
      <w:pPr>
        <w:jc w:val="right"/>
        <w:spacing w:after="0"/>
        <w:rPr>
          <w:sz w:val="20"/>
          <w:szCs w:val="20"/>
          <w:color w:val="auto"/>
        </w:rPr>
      </w:pPr>
      <w:r>
        <w:rPr>
          <w:rFonts w:ascii="Arial" w:cs="Arial" w:eastAsia="Arial" w:hAnsi="Arial"/>
          <w:sz w:val="16"/>
          <w:szCs w:val="16"/>
          <w:b w:val="1"/>
          <w:bCs w:val="1"/>
          <w:color w:val="auto"/>
        </w:rPr>
        <w:t>Exhibit 10.10</w:t>
      </w:r>
    </w:p>
    <w:p>
      <w:pPr>
        <w:spacing w:after="0" w:line="288"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u w:val="single" w:color="auto"/>
          <w:color w:val="auto"/>
        </w:rPr>
        <w:t>THE COVE AT OYSTER POINT</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u w:val="single" w:color="auto"/>
          <w:color w:val="auto"/>
        </w:rPr>
        <w:t>LEASE</w:t>
      </w:r>
    </w:p>
    <w:p>
      <w:pPr>
        <w:spacing w:after="0" w:line="193" w:lineRule="exact"/>
        <w:rPr>
          <w:sz w:val="20"/>
          <w:szCs w:val="20"/>
          <w:color w:val="auto"/>
        </w:rPr>
      </w:pPr>
    </w:p>
    <w:p>
      <w:pPr>
        <w:ind w:left="6" w:right="20" w:firstLine="385"/>
        <w:spacing w:after="0" w:line="259" w:lineRule="auto"/>
        <w:rPr>
          <w:sz w:val="20"/>
          <w:szCs w:val="20"/>
          <w:color w:val="auto"/>
        </w:rPr>
      </w:pPr>
      <w:r>
        <w:rPr>
          <w:rFonts w:ascii="Arial" w:cs="Arial" w:eastAsia="Arial" w:hAnsi="Arial"/>
          <w:sz w:val="16"/>
          <w:szCs w:val="16"/>
          <w:color w:val="auto"/>
        </w:rPr>
        <w:t>This Lease (the “</w:t>
      </w:r>
      <w:r>
        <w:rPr>
          <w:rFonts w:ascii="Arial" w:cs="Arial" w:eastAsia="Arial" w:hAnsi="Arial"/>
          <w:sz w:val="16"/>
          <w:szCs w:val="16"/>
          <w:b w:val="1"/>
          <w:bCs w:val="1"/>
          <w:color w:val="auto"/>
        </w:rPr>
        <w:t>Lease</w:t>
      </w:r>
      <w:r>
        <w:rPr>
          <w:rFonts w:ascii="Arial" w:cs="Arial" w:eastAsia="Arial" w:hAnsi="Arial"/>
          <w:sz w:val="16"/>
          <w:szCs w:val="16"/>
          <w:color w:val="auto"/>
        </w:rPr>
        <w:t xml:space="preserve">”), dated as of the date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the Summary of Basic Lease Information (the “</w:t>
      </w:r>
      <w:r>
        <w:rPr>
          <w:rFonts w:ascii="Arial" w:cs="Arial" w:eastAsia="Arial" w:hAnsi="Arial"/>
          <w:sz w:val="16"/>
          <w:szCs w:val="16"/>
          <w:b w:val="1"/>
          <w:bCs w:val="1"/>
          <w:color w:val="auto"/>
        </w:rPr>
        <w:t>Summary</w:t>
      </w:r>
      <w:r>
        <w:rPr>
          <w:rFonts w:ascii="Arial" w:cs="Arial" w:eastAsia="Arial" w:hAnsi="Arial"/>
          <w:sz w:val="16"/>
          <w:szCs w:val="16"/>
          <w:color w:val="auto"/>
        </w:rPr>
        <w:t>”), below, is made by and between HCP OYSTER POINT III LLC, a Delaware limited liability company (“</w:t>
      </w:r>
      <w:r>
        <w:rPr>
          <w:rFonts w:ascii="Arial" w:cs="Arial" w:eastAsia="Arial" w:hAnsi="Arial"/>
          <w:sz w:val="16"/>
          <w:szCs w:val="16"/>
          <w:b w:val="1"/>
          <w:bCs w:val="1"/>
          <w:color w:val="auto"/>
        </w:rPr>
        <w:t>Landlord</w:t>
      </w:r>
      <w:r>
        <w:rPr>
          <w:rFonts w:ascii="Arial" w:cs="Arial" w:eastAsia="Arial" w:hAnsi="Arial"/>
          <w:sz w:val="16"/>
          <w:szCs w:val="16"/>
          <w:color w:val="auto"/>
        </w:rPr>
        <w:t>”), and THE COLUMN GROUP, LLC, a Delaware limited liability company (“</w:t>
      </w:r>
      <w:r>
        <w:rPr>
          <w:rFonts w:ascii="Arial" w:cs="Arial" w:eastAsia="Arial" w:hAnsi="Arial"/>
          <w:sz w:val="16"/>
          <w:szCs w:val="16"/>
          <w:b w:val="1"/>
          <w:bCs w:val="1"/>
          <w:color w:val="auto"/>
        </w:rPr>
        <w:t>Tenant</w:t>
      </w:r>
      <w:r>
        <w:rPr>
          <w:rFonts w:ascii="Arial" w:cs="Arial" w:eastAsia="Arial" w:hAnsi="Arial"/>
          <w:sz w:val="16"/>
          <w:szCs w:val="16"/>
          <w:color w:val="auto"/>
        </w:rPr>
        <w:t>”).</w:t>
      </w:r>
    </w:p>
    <w:p>
      <w:pPr>
        <w:spacing w:after="0" w:line="33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300" w:type="dxa"/>
            <w:vAlign w:val="bottom"/>
            <w:gridSpan w:val="4"/>
          </w:tcPr>
          <w:p>
            <w:pPr>
              <w:spacing w:after="0"/>
              <w:rPr>
                <w:sz w:val="20"/>
                <w:szCs w:val="20"/>
                <w:color w:val="auto"/>
              </w:rPr>
            </w:pPr>
            <w:r>
              <w:rPr>
                <w:rFonts w:ascii="Arial" w:cs="Arial" w:eastAsia="Arial" w:hAnsi="Arial"/>
                <w:sz w:val="16"/>
                <w:szCs w:val="16"/>
                <w:b w:val="1"/>
                <w:bCs w:val="1"/>
                <w:color w:val="auto"/>
              </w:rPr>
              <w:t>SUMMARY OF BASIC LEASE INFORMATION</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2040" w:type="dxa"/>
            <w:vAlign w:val="bottom"/>
            <w:gridSpan w:val="5"/>
          </w:tcPr>
          <w:p>
            <w:pPr>
              <w:spacing w:after="0"/>
              <w:rPr>
                <w:sz w:val="20"/>
                <w:szCs w:val="20"/>
                <w:color w:val="auto"/>
              </w:rPr>
            </w:pPr>
            <w:r>
              <w:rPr>
                <w:rFonts w:ascii="Arial" w:cs="Arial" w:eastAsia="Arial" w:hAnsi="Arial"/>
                <w:sz w:val="16"/>
                <w:szCs w:val="16"/>
                <w:color w:val="auto"/>
              </w:rPr>
              <w:t>TERMS OF LEASE</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0"/>
                <w:szCs w:val="20"/>
                <w:color w:val="auto"/>
              </w:rPr>
            </w:pPr>
            <w:r>
              <w:rPr>
                <w:rFonts w:ascii="Arial" w:cs="Arial" w:eastAsia="Arial" w:hAnsi="Arial"/>
                <w:sz w:val="16"/>
                <w:szCs w:val="16"/>
                <w:color w:val="auto"/>
              </w:rPr>
              <w:t>1.</w:t>
            </w:r>
          </w:p>
        </w:tc>
        <w:tc>
          <w:tcPr>
            <w:tcW w:w="1840" w:type="dxa"/>
            <w:vAlign w:val="bottom"/>
            <w:gridSpan w:val="4"/>
          </w:tcPr>
          <w:p>
            <w:pPr>
              <w:ind w:left="100"/>
              <w:spacing w:after="0"/>
              <w:rPr>
                <w:sz w:val="20"/>
                <w:szCs w:val="20"/>
                <w:color w:val="auto"/>
              </w:rPr>
            </w:pPr>
            <w:r>
              <w:rPr>
                <w:rFonts w:ascii="Arial" w:cs="Arial" w:eastAsia="Arial" w:hAnsi="Arial"/>
                <w:sz w:val="16"/>
                <w:szCs w:val="16"/>
                <w:color w:val="auto"/>
              </w:rPr>
              <w:t>Date:</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September 6, 2016</w:t>
            </w:r>
          </w:p>
        </w:tc>
        <w:tc>
          <w:tcPr>
            <w:tcW w:w="0" w:type="dxa"/>
            <w:vAlign w:val="bottom"/>
          </w:tcPr>
          <w:p>
            <w:pPr>
              <w:spacing w:after="0"/>
              <w:rPr>
                <w:sz w:val="1"/>
                <w:szCs w:val="1"/>
                <w:color w:val="auto"/>
              </w:rPr>
            </w:pPr>
          </w:p>
        </w:tc>
      </w:tr>
      <w:tr>
        <w:trPr>
          <w:trHeight w:val="272"/>
        </w:trPr>
        <w:tc>
          <w:tcPr>
            <w:tcW w:w="200" w:type="dxa"/>
            <w:vAlign w:val="bottom"/>
          </w:tcPr>
          <w:p>
            <w:pPr>
              <w:spacing w:after="0"/>
              <w:rPr>
                <w:sz w:val="20"/>
                <w:szCs w:val="20"/>
                <w:color w:val="auto"/>
              </w:rPr>
            </w:pPr>
            <w:r>
              <w:rPr>
                <w:rFonts w:ascii="Arial" w:cs="Arial" w:eastAsia="Arial" w:hAnsi="Arial"/>
                <w:sz w:val="16"/>
                <w:szCs w:val="16"/>
                <w:color w:val="auto"/>
              </w:rPr>
              <w:t>2.</w:t>
            </w:r>
          </w:p>
        </w:tc>
        <w:tc>
          <w:tcPr>
            <w:tcW w:w="1840" w:type="dxa"/>
            <w:vAlign w:val="bottom"/>
            <w:gridSpan w:val="4"/>
          </w:tcPr>
          <w:p>
            <w:pPr>
              <w:ind w:left="100"/>
              <w:spacing w:after="0"/>
              <w:rPr>
                <w:sz w:val="20"/>
                <w:szCs w:val="20"/>
                <w:color w:val="auto"/>
              </w:rPr>
            </w:pPr>
            <w:r>
              <w:rPr>
                <w:rFonts w:ascii="Arial" w:cs="Arial" w:eastAsia="Arial" w:hAnsi="Arial"/>
                <w:sz w:val="16"/>
                <w:szCs w:val="16"/>
                <w:color w:val="auto"/>
              </w:rPr>
              <w:t>Premises</w:t>
            </w:r>
          </w:p>
        </w:tc>
        <w:tc>
          <w:tcPr>
            <w:tcW w:w="108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0" w:type="dxa"/>
            <w:vAlign w:val="bottom"/>
          </w:tcPr>
          <w:p>
            <w:pPr>
              <w:spacing w:after="0"/>
              <w:rPr>
                <w:sz w:val="14"/>
                <w:szCs w:val="14"/>
                <w:color w:val="auto"/>
              </w:rPr>
            </w:pPr>
          </w:p>
        </w:tc>
        <w:tc>
          <w:tcPr>
            <w:tcW w:w="1840" w:type="dxa"/>
            <w:vAlign w:val="bottom"/>
            <w:gridSpan w:val="4"/>
          </w:tcPr>
          <w:p>
            <w:pPr>
              <w:ind w:left="100"/>
              <w:spacing w:after="0" w:line="166" w:lineRule="exact"/>
              <w:rPr>
                <w:sz w:val="20"/>
                <w:szCs w:val="20"/>
                <w:color w:val="auto"/>
              </w:rPr>
            </w:pPr>
            <w:r>
              <w:rPr>
                <w:rFonts w:ascii="Arial" w:cs="Arial" w:eastAsia="Arial" w:hAnsi="Arial"/>
                <w:sz w:val="16"/>
                <w:szCs w:val="16"/>
                <w:color w:val="auto"/>
              </w:rPr>
              <w:t>(Article 1).</w:t>
            </w: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380" w:type="dxa"/>
            <w:vAlign w:val="bottom"/>
            <w:gridSpan w:val="5"/>
            <w:vMerge w:val="restart"/>
          </w:tcPr>
          <w:p>
            <w:pPr>
              <w:ind w:left="760"/>
              <w:spacing w:after="0"/>
              <w:rPr>
                <w:sz w:val="20"/>
                <w:szCs w:val="20"/>
                <w:color w:val="auto"/>
              </w:rPr>
            </w:pPr>
            <w:r>
              <w:rPr>
                <w:rFonts w:ascii="Arial" w:cs="Arial" w:eastAsia="Arial" w:hAnsi="Arial"/>
                <w:sz w:val="16"/>
                <w:szCs w:val="16"/>
                <w:color w:val="auto"/>
                <w:w w:val="90"/>
              </w:rPr>
              <w:t>That certain five-story building containing approximately 132,797 rentable square feet of space (“</w:t>
            </w:r>
            <w:r>
              <w:rPr>
                <w:rFonts w:ascii="Arial" w:cs="Arial" w:eastAsia="Arial" w:hAnsi="Arial"/>
                <w:sz w:val="16"/>
                <w:szCs w:val="16"/>
                <w:b w:val="1"/>
                <w:bCs w:val="1"/>
                <w:color w:val="auto"/>
                <w:w w:val="90"/>
              </w:rPr>
              <w:t>RSF</w:t>
            </w:r>
            <w:r>
              <w:rPr>
                <w:rFonts w:ascii="Arial" w:cs="Arial" w:eastAsia="Arial" w:hAnsi="Arial"/>
                <w:sz w:val="16"/>
                <w:szCs w:val="16"/>
                <w:color w:val="auto"/>
                <w:w w:val="90"/>
              </w:rPr>
              <w:t>”)</w:t>
            </w:r>
          </w:p>
        </w:tc>
        <w:tc>
          <w:tcPr>
            <w:tcW w:w="0" w:type="dxa"/>
            <w:vAlign w:val="bottom"/>
          </w:tcPr>
          <w:p>
            <w:pPr>
              <w:spacing w:after="0" w:line="20" w:lineRule="exact"/>
              <w:rPr>
                <w:sz w:val="1"/>
                <w:szCs w:val="1"/>
                <w:color w:val="auto"/>
              </w:rPr>
            </w:pPr>
          </w:p>
        </w:tc>
      </w:tr>
      <w:tr>
        <w:trPr>
          <w:trHeight w:val="286"/>
        </w:trPr>
        <w:tc>
          <w:tcPr>
            <w:tcW w:w="200" w:type="dxa"/>
            <w:vAlign w:val="bottom"/>
          </w:tcPr>
          <w:p>
            <w:pPr>
              <w:spacing w:after="0"/>
              <w:rPr>
                <w:sz w:val="24"/>
                <w:szCs w:val="24"/>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2.1</w:t>
            </w: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Building:</w:t>
            </w:r>
          </w:p>
        </w:tc>
        <w:tc>
          <w:tcPr>
            <w:tcW w:w="73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located at:</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171 Oyster Point Boulevard</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rPr>
              <w:t>South San Francisco, California 94080</w:t>
            </w: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60" w:type="dxa"/>
            <w:vAlign w:val="bottom"/>
            <w:gridSpan w:val="2"/>
          </w:tcPr>
          <w:p>
            <w:pPr>
              <w:ind w:left="10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ind w:left="60"/>
              <w:spacing w:after="0"/>
              <w:rPr>
                <w:sz w:val="20"/>
                <w:szCs w:val="20"/>
                <w:color w:val="auto"/>
              </w:rPr>
            </w:pPr>
            <w:r>
              <w:rPr>
                <w:rFonts w:ascii="Arial" w:cs="Arial" w:eastAsia="Arial" w:hAnsi="Arial"/>
                <w:sz w:val="16"/>
                <w:szCs w:val="16"/>
                <w:color w:val="auto"/>
              </w:rPr>
              <w:t>Premises:</w:t>
            </w:r>
          </w:p>
        </w:tc>
        <w:tc>
          <w:tcPr>
            <w:tcW w:w="7380" w:type="dxa"/>
            <w:vAlign w:val="bottom"/>
            <w:gridSpan w:val="5"/>
          </w:tcPr>
          <w:p>
            <w:pPr>
              <w:ind w:left="760"/>
              <w:spacing w:after="0"/>
              <w:rPr>
                <w:sz w:val="20"/>
                <w:szCs w:val="20"/>
                <w:color w:val="auto"/>
              </w:rPr>
            </w:pPr>
            <w:r>
              <w:rPr>
                <w:rFonts w:ascii="Arial" w:cs="Arial" w:eastAsia="Arial" w:hAnsi="Arial"/>
                <w:sz w:val="16"/>
                <w:szCs w:val="16"/>
                <w:color w:val="auto"/>
                <w:w w:val="91"/>
              </w:rPr>
              <w:t>Approximately 32,370 RSF on the fifth (5</w:t>
            </w:r>
            <w:r>
              <w:rPr>
                <w:rFonts w:ascii="Arial" w:cs="Arial" w:eastAsia="Arial" w:hAnsi="Arial"/>
                <w:sz w:val="13"/>
                <w:szCs w:val="13"/>
                <w:color w:val="auto"/>
                <w:w w:val="91"/>
              </w:rPr>
              <w:t>th</w:t>
            </w:r>
            <w:r>
              <w:rPr>
                <w:rFonts w:ascii="Arial" w:cs="Arial" w:eastAsia="Arial" w:hAnsi="Arial"/>
                <w:sz w:val="16"/>
                <w:szCs w:val="16"/>
                <w:color w:val="auto"/>
                <w:w w:val="91"/>
              </w:rPr>
              <w:t xml:space="preserve">) floor of the Building, as further set forth in </w:t>
            </w:r>
            <w:r>
              <w:rPr>
                <w:rFonts w:ascii="Arial" w:cs="Arial" w:eastAsia="Arial" w:hAnsi="Arial"/>
                <w:sz w:val="16"/>
                <w:szCs w:val="16"/>
                <w:b w:val="1"/>
                <w:bCs w:val="1"/>
                <w:color w:val="auto"/>
                <w:w w:val="91"/>
              </w:rPr>
              <w:t>Exhibit A</w:t>
            </w:r>
            <w:r>
              <w:rPr>
                <w:rFonts w:ascii="Arial" w:cs="Arial" w:eastAsia="Arial" w:hAnsi="Arial"/>
                <w:sz w:val="16"/>
                <w:szCs w:val="16"/>
                <w:color w:val="auto"/>
                <w:w w:val="91"/>
              </w:rPr>
              <w:t xml:space="preserve"> to the</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340" w:type="dxa"/>
            <w:vAlign w:val="bottom"/>
            <w:gridSpan w:val="3"/>
          </w:tcPr>
          <w:p>
            <w:pPr>
              <w:ind w:left="760"/>
              <w:spacing w:after="0"/>
              <w:rPr>
                <w:sz w:val="20"/>
                <w:szCs w:val="20"/>
                <w:color w:val="auto"/>
              </w:rPr>
            </w:pPr>
            <w:r>
              <w:rPr>
                <w:rFonts w:ascii="Arial" w:cs="Arial" w:eastAsia="Arial" w:hAnsi="Arial"/>
                <w:sz w:val="16"/>
                <w:szCs w:val="16"/>
                <w:color w:val="auto"/>
              </w:rPr>
              <w:t>Lease.</w:t>
            </w:r>
          </w:p>
        </w:tc>
        <w:tc>
          <w:tcPr>
            <w:tcW w:w="6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jc w:val="both"/>
        <w:ind w:left="306" w:right="8580" w:hanging="306"/>
        <w:spacing w:after="0" w:line="378" w:lineRule="auto"/>
        <w:tabs>
          <w:tab w:leader="none" w:pos="298" w:val="left"/>
        </w:tabs>
        <w:numPr>
          <w:ilvl w:val="0"/>
          <w:numId w:val="240"/>
        </w:numPr>
        <w:rPr>
          <w:rFonts w:ascii="Arial" w:cs="Arial" w:eastAsia="Arial" w:hAnsi="Arial"/>
          <w:sz w:val="13"/>
          <w:szCs w:val="13"/>
          <w:color w:val="auto"/>
        </w:rPr>
      </w:pPr>
      <w:r>
        <w:rPr>
          <w:rFonts w:ascii="Arial" w:cs="Arial" w:eastAsia="Arial" w:hAnsi="Arial"/>
          <w:sz w:val="13"/>
          <w:szCs w:val="13"/>
          <w:color w:val="auto"/>
        </w:rPr>
        <w:t>Lease Term (</w:t>
      </w:r>
      <w:r>
        <w:rPr>
          <w:rFonts w:ascii="Arial" w:cs="Arial" w:eastAsia="Arial" w:hAnsi="Arial"/>
          <w:sz w:val="13"/>
          <w:szCs w:val="13"/>
          <w:u w:val="single" w:color="auto"/>
          <w:color w:val="auto"/>
        </w:rPr>
        <w:t>Article 2</w:t>
      </w:r>
      <w:r>
        <w:rPr>
          <w:rFonts w:ascii="Arial" w:cs="Arial" w:eastAsia="Arial" w:hAnsi="Arial"/>
          <w:sz w:val="13"/>
          <w:szCs w:val="13"/>
          <w:color w:val="auto"/>
        </w:rPr>
        <w:t>).</w:t>
      </w:r>
    </w:p>
    <w:p>
      <w:pPr>
        <w:spacing w:after="0" w:line="1" w:lineRule="exact"/>
        <w:rPr>
          <w:sz w:val="20"/>
          <w:szCs w:val="20"/>
          <w:color w:val="auto"/>
        </w:rPr>
      </w:pPr>
    </w:p>
    <w:tbl>
      <w:tblPr>
        <w:tblLayout w:type="fixed"/>
        <w:tblInd w:w="306" w:type="dxa"/>
        <w:tblCellMar>
          <w:top w:w="0" w:type="dxa"/>
          <w:left w:w="0" w:type="dxa"/>
          <w:bottom w:w="0" w:type="dxa"/>
          <w:right w:w="0" w:type="dxa"/>
        </w:tblCellMar>
      </w:tblPr>
      <w:tr>
        <w:trPr>
          <w:trHeight w:val="200"/>
        </w:trPr>
        <w:tc>
          <w:tcPr>
            <w:tcW w:w="260" w:type="dxa"/>
            <w:vAlign w:val="bottom"/>
          </w:tcPr>
          <w:p>
            <w:pPr>
              <w:jc w:val="right"/>
              <w:spacing w:after="0"/>
              <w:rPr>
                <w:sz w:val="20"/>
                <w:szCs w:val="20"/>
                <w:color w:val="auto"/>
              </w:rPr>
            </w:pPr>
            <w:r>
              <w:rPr>
                <w:rFonts w:ascii="Arial" w:cs="Arial" w:eastAsia="Arial" w:hAnsi="Arial"/>
                <w:sz w:val="16"/>
                <w:szCs w:val="16"/>
                <w:color w:val="auto"/>
                <w:w w:val="80"/>
              </w:rPr>
              <w:t>3.1</w:t>
            </w:r>
          </w:p>
        </w:tc>
        <w:tc>
          <w:tcPr>
            <w:tcW w:w="2060" w:type="dxa"/>
            <w:vAlign w:val="bottom"/>
          </w:tcPr>
          <w:p>
            <w:pPr>
              <w:ind w:left="60"/>
              <w:spacing w:after="0"/>
              <w:rPr>
                <w:sz w:val="20"/>
                <w:szCs w:val="20"/>
                <w:color w:val="auto"/>
              </w:rPr>
            </w:pPr>
            <w:r>
              <w:rPr>
                <w:rFonts w:ascii="Arial" w:cs="Arial" w:eastAsia="Arial" w:hAnsi="Arial"/>
                <w:sz w:val="16"/>
                <w:szCs w:val="16"/>
                <w:color w:val="auto"/>
              </w:rPr>
              <w:t>Length of Term:</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rPr>
              <w:t>Eight (8) years.</w:t>
            </w:r>
          </w:p>
        </w:tc>
      </w:tr>
      <w:tr>
        <w:trPr>
          <w:trHeight w:val="268"/>
        </w:trPr>
        <w:tc>
          <w:tcPr>
            <w:tcW w:w="260" w:type="dxa"/>
            <w:vAlign w:val="bottom"/>
          </w:tcPr>
          <w:p>
            <w:pPr>
              <w:jc w:val="right"/>
              <w:spacing w:after="0"/>
              <w:rPr>
                <w:sz w:val="20"/>
                <w:szCs w:val="20"/>
                <w:color w:val="auto"/>
              </w:rPr>
            </w:pPr>
            <w:r>
              <w:rPr>
                <w:rFonts w:ascii="Arial" w:cs="Arial" w:eastAsia="Arial" w:hAnsi="Arial"/>
                <w:sz w:val="16"/>
                <w:szCs w:val="16"/>
                <w:color w:val="auto"/>
                <w:w w:val="80"/>
              </w:rPr>
              <w:t>3.2</w:t>
            </w:r>
          </w:p>
        </w:tc>
        <w:tc>
          <w:tcPr>
            <w:tcW w:w="2060" w:type="dxa"/>
            <w:vAlign w:val="bottom"/>
          </w:tcPr>
          <w:p>
            <w:pPr>
              <w:ind w:left="60"/>
              <w:spacing w:after="0"/>
              <w:rPr>
                <w:sz w:val="20"/>
                <w:szCs w:val="20"/>
                <w:color w:val="auto"/>
              </w:rPr>
            </w:pPr>
            <w:r>
              <w:rPr>
                <w:rFonts w:ascii="Arial" w:cs="Arial" w:eastAsia="Arial" w:hAnsi="Arial"/>
                <w:sz w:val="16"/>
                <w:szCs w:val="16"/>
                <w:color w:val="auto"/>
                <w:w w:val="95"/>
              </w:rPr>
              <w:t>Lease Commencement Date:</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w w:val="88"/>
              </w:rPr>
              <w:t>The date that is the later of (i) the date the Premises are “Ready for Occupancy”, as defined in the Tenant</w:t>
            </w:r>
          </w:p>
        </w:tc>
      </w:tr>
      <w:tr>
        <w:trPr>
          <w:trHeight w:val="170"/>
        </w:trPr>
        <w:tc>
          <w:tcPr>
            <w:tcW w:w="2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780" w:type="dxa"/>
            <w:vAlign w:val="bottom"/>
            <w:gridSpan w:val="3"/>
          </w:tcPr>
          <w:p>
            <w:pPr>
              <w:ind w:left="180"/>
              <w:spacing w:after="0" w:line="170" w:lineRule="exact"/>
              <w:rPr>
                <w:sz w:val="20"/>
                <w:szCs w:val="20"/>
                <w:color w:val="auto"/>
              </w:rPr>
            </w:pPr>
            <w:r>
              <w:rPr>
                <w:rFonts w:ascii="Arial" w:cs="Arial" w:eastAsia="Arial" w:hAnsi="Arial"/>
                <w:sz w:val="16"/>
                <w:szCs w:val="16"/>
                <w:color w:val="auto"/>
              </w:rPr>
              <w:t xml:space="preserve">Work Letter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and (ii) June 1, 2017.</w:t>
            </w:r>
          </w:p>
        </w:tc>
      </w:tr>
      <w:tr>
        <w:trPr>
          <w:trHeight w:val="20"/>
        </w:trPr>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97"/>
        </w:trPr>
        <w:tc>
          <w:tcPr>
            <w:tcW w:w="260" w:type="dxa"/>
            <w:vAlign w:val="bottom"/>
          </w:tcPr>
          <w:p>
            <w:pPr>
              <w:jc w:val="right"/>
              <w:spacing w:after="0"/>
              <w:rPr>
                <w:sz w:val="20"/>
                <w:szCs w:val="20"/>
                <w:color w:val="auto"/>
              </w:rPr>
            </w:pPr>
            <w:r>
              <w:rPr>
                <w:rFonts w:ascii="Arial" w:cs="Arial" w:eastAsia="Arial" w:hAnsi="Arial"/>
                <w:sz w:val="16"/>
                <w:szCs w:val="16"/>
                <w:color w:val="auto"/>
                <w:w w:val="80"/>
              </w:rPr>
              <w:t>3.3</w:t>
            </w:r>
          </w:p>
        </w:tc>
        <w:tc>
          <w:tcPr>
            <w:tcW w:w="2060" w:type="dxa"/>
            <w:vAlign w:val="bottom"/>
          </w:tcPr>
          <w:p>
            <w:pPr>
              <w:ind w:left="60"/>
              <w:spacing w:after="0"/>
              <w:rPr>
                <w:sz w:val="20"/>
                <w:szCs w:val="20"/>
                <w:color w:val="auto"/>
              </w:rPr>
            </w:pPr>
            <w:r>
              <w:rPr>
                <w:rFonts w:ascii="Arial" w:cs="Arial" w:eastAsia="Arial" w:hAnsi="Arial"/>
                <w:sz w:val="16"/>
                <w:szCs w:val="16"/>
                <w:color w:val="auto"/>
              </w:rPr>
              <w:t>Lease Expiration Date:</w:t>
            </w:r>
          </w:p>
        </w:tc>
        <w:tc>
          <w:tcPr>
            <w:tcW w:w="6780" w:type="dxa"/>
            <w:vAlign w:val="bottom"/>
            <w:gridSpan w:val="3"/>
          </w:tcPr>
          <w:p>
            <w:pPr>
              <w:ind w:left="180"/>
              <w:spacing w:after="0"/>
              <w:rPr>
                <w:sz w:val="20"/>
                <w:szCs w:val="20"/>
                <w:color w:val="auto"/>
              </w:rPr>
            </w:pPr>
            <w:r>
              <w:rPr>
                <w:rFonts w:ascii="Arial" w:cs="Arial" w:eastAsia="Arial" w:hAnsi="Arial"/>
                <w:sz w:val="16"/>
                <w:szCs w:val="16"/>
                <w:color w:val="auto"/>
              </w:rPr>
              <w:t>The day prior to the eighth (8</w:t>
            </w:r>
            <w:r>
              <w:rPr>
                <w:rFonts w:ascii="Arial" w:cs="Arial" w:eastAsia="Arial" w:hAnsi="Arial"/>
                <w:sz w:val="13"/>
                <w:szCs w:val="13"/>
                <w:color w:val="auto"/>
              </w:rPr>
              <w:t>th</w:t>
            </w:r>
            <w:r>
              <w:rPr>
                <w:rFonts w:ascii="Arial" w:cs="Arial" w:eastAsia="Arial" w:hAnsi="Arial"/>
                <w:sz w:val="16"/>
                <w:szCs w:val="16"/>
                <w:color w:val="auto"/>
              </w:rPr>
              <w:t>) anniversary of the Lease Commencement Date.</w:t>
            </w:r>
          </w:p>
        </w:tc>
      </w:tr>
    </w:tbl>
    <w:p>
      <w:pPr>
        <w:spacing w:after="0" w:line="83" w:lineRule="exact"/>
        <w:rPr>
          <w:sz w:val="20"/>
          <w:szCs w:val="20"/>
          <w:color w:val="auto"/>
        </w:rPr>
      </w:pPr>
    </w:p>
    <w:p>
      <w:pPr>
        <w:ind w:left="306" w:hanging="306"/>
        <w:spacing w:after="0"/>
        <w:tabs>
          <w:tab w:leader="none" w:pos="306"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Base Rent (</w:t>
      </w:r>
      <w:r>
        <w:rPr>
          <w:rFonts w:ascii="Arial" w:cs="Arial" w:eastAsia="Arial" w:hAnsi="Arial"/>
          <w:sz w:val="16"/>
          <w:szCs w:val="16"/>
          <w:u w:val="single" w:color="auto"/>
          <w:color w:val="auto"/>
        </w:rPr>
        <w:t>Article 3</w:t>
      </w:r>
      <w:r>
        <w:rPr>
          <w:rFonts w:ascii="Arial" w:cs="Arial" w:eastAsia="Arial" w:hAnsi="Arial"/>
          <w:sz w:val="16"/>
          <w:szCs w:val="16"/>
          <w:color w:val="auto"/>
        </w:rPr>
        <w:t>):</w:t>
      </w:r>
    </w:p>
    <w:p>
      <w:pPr>
        <w:spacing w:after="0" w:line="190" w:lineRule="exact"/>
        <w:rPr>
          <w:sz w:val="20"/>
          <w:szCs w:val="20"/>
          <w:color w:val="auto"/>
        </w:rPr>
      </w:pPr>
    </w:p>
    <w:tbl>
      <w:tblPr>
        <w:tblLayout w:type="fixed"/>
        <w:tblInd w:w="766"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Monthly</w:t>
            </w: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95"/>
              </w:rPr>
              <w:t>Approximate</w:t>
            </w:r>
          </w:p>
        </w:tc>
        <w:tc>
          <w:tcPr>
            <w:tcW w:w="0" w:type="dxa"/>
            <w:vAlign w:val="bottom"/>
          </w:tcPr>
          <w:p>
            <w:pPr>
              <w:spacing w:after="0"/>
              <w:rPr>
                <w:sz w:val="1"/>
                <w:szCs w:val="1"/>
                <w:color w:val="auto"/>
              </w:rPr>
            </w:pPr>
          </w:p>
        </w:tc>
      </w:tr>
      <w:tr>
        <w:trPr>
          <w:trHeight w:val="130"/>
        </w:trPr>
        <w:tc>
          <w:tcPr>
            <w:tcW w:w="600" w:type="dxa"/>
            <w:vAlign w:val="bottom"/>
            <w:vMerge w:val="restart"/>
          </w:tcPr>
          <w:p>
            <w:pPr>
              <w:spacing w:after="0"/>
              <w:rPr>
                <w:sz w:val="20"/>
                <w:szCs w:val="20"/>
                <w:color w:val="auto"/>
              </w:rPr>
            </w:pPr>
            <w:r>
              <w:rPr>
                <w:rFonts w:ascii="Arial" w:cs="Arial" w:eastAsia="Arial" w:hAnsi="Arial"/>
                <w:sz w:val="13"/>
                <w:szCs w:val="13"/>
                <w:b w:val="1"/>
                <w:bCs w:val="1"/>
                <w:color w:val="auto"/>
                <w:w w:val="84"/>
              </w:rPr>
              <w:t>Lease Year</w:t>
            </w:r>
          </w:p>
        </w:tc>
        <w:tc>
          <w:tcPr>
            <w:tcW w:w="2340" w:type="dxa"/>
            <w:vAlign w:val="bottom"/>
            <w:vMerge w:val="restart"/>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jc w:val="center"/>
              <w:ind w:right="480"/>
              <w:spacing w:after="0" w:line="130" w:lineRule="exact"/>
              <w:rPr>
                <w:sz w:val="20"/>
                <w:szCs w:val="20"/>
                <w:color w:val="auto"/>
              </w:rPr>
            </w:pPr>
            <w:r>
              <w:rPr>
                <w:rFonts w:ascii="Arial" w:cs="Arial" w:eastAsia="Arial" w:hAnsi="Arial"/>
                <w:sz w:val="13"/>
                <w:szCs w:val="13"/>
                <w:b w:val="1"/>
                <w:bCs w:val="1"/>
                <w:color w:val="auto"/>
                <w:w w:val="86"/>
              </w:rPr>
              <w:t>Annualized</w:t>
            </w:r>
          </w:p>
        </w:tc>
        <w:tc>
          <w:tcPr>
            <w:tcW w:w="80" w:type="dxa"/>
            <w:vAlign w:val="bottom"/>
          </w:tcPr>
          <w:p>
            <w:pPr>
              <w:spacing w:after="0"/>
              <w:rPr>
                <w:sz w:val="11"/>
                <w:szCs w:val="11"/>
                <w:color w:val="auto"/>
              </w:rPr>
            </w:pPr>
          </w:p>
        </w:tc>
        <w:tc>
          <w:tcPr>
            <w:tcW w:w="1140" w:type="dxa"/>
            <w:vAlign w:val="bottom"/>
            <w:gridSpan w:val="2"/>
          </w:tcPr>
          <w:p>
            <w:pPr>
              <w:jc w:val="center"/>
              <w:ind w:right="500"/>
              <w:spacing w:after="0" w:line="130" w:lineRule="exact"/>
              <w:rPr>
                <w:sz w:val="20"/>
                <w:szCs w:val="20"/>
                <w:color w:val="auto"/>
              </w:rPr>
            </w:pPr>
            <w:r>
              <w:rPr>
                <w:rFonts w:ascii="Arial" w:cs="Arial" w:eastAsia="Arial" w:hAnsi="Arial"/>
                <w:sz w:val="13"/>
                <w:szCs w:val="13"/>
                <w:b w:val="1"/>
                <w:bCs w:val="1"/>
                <w:color w:val="auto"/>
                <w:w w:val="87"/>
              </w:rPr>
              <w:t>Installment</w:t>
            </w:r>
          </w:p>
        </w:tc>
        <w:tc>
          <w:tcPr>
            <w:tcW w:w="80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w w:val="92"/>
              </w:rPr>
              <w:t>Monthly Base</w:t>
            </w:r>
          </w:p>
        </w:tc>
        <w:tc>
          <w:tcPr>
            <w:tcW w:w="0" w:type="dxa"/>
            <w:vAlign w:val="bottom"/>
          </w:tcPr>
          <w:p>
            <w:pPr>
              <w:spacing w:after="0"/>
              <w:rPr>
                <w:sz w:val="1"/>
                <w:szCs w:val="1"/>
                <w:color w:val="auto"/>
              </w:rPr>
            </w:pPr>
          </w:p>
        </w:tc>
      </w:tr>
      <w:tr>
        <w:trPr>
          <w:trHeight w:val="158"/>
        </w:trPr>
        <w:tc>
          <w:tcPr>
            <w:tcW w:w="600" w:type="dxa"/>
            <w:vAlign w:val="bottom"/>
            <w:tcBorders>
              <w:bottom w:val="single" w:sz="8" w:color="auto"/>
            </w:tcBorders>
            <w:vMerge w:val="continue"/>
          </w:tcPr>
          <w:p>
            <w:pPr>
              <w:spacing w:after="0"/>
              <w:rPr>
                <w:sz w:val="13"/>
                <w:szCs w:val="13"/>
                <w:color w:val="auto"/>
              </w:rPr>
            </w:pPr>
          </w:p>
        </w:tc>
        <w:tc>
          <w:tcPr>
            <w:tcW w:w="234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500"/>
              <w:spacing w:after="0" w:line="138" w:lineRule="exact"/>
              <w:rPr>
                <w:sz w:val="20"/>
                <w:szCs w:val="20"/>
                <w:color w:val="auto"/>
              </w:rPr>
            </w:pPr>
            <w:r>
              <w:rPr>
                <w:rFonts w:ascii="Arial" w:cs="Arial" w:eastAsia="Arial" w:hAnsi="Arial"/>
                <w:sz w:val="13"/>
                <w:szCs w:val="13"/>
                <w:b w:val="1"/>
                <w:bCs w:val="1"/>
                <w:color w:val="auto"/>
                <w:w w:val="84"/>
              </w:rPr>
              <w:t>Base Rent</w:t>
            </w:r>
          </w:p>
        </w:tc>
        <w:tc>
          <w:tcPr>
            <w:tcW w:w="1220" w:type="dxa"/>
            <w:vAlign w:val="bottom"/>
            <w:gridSpan w:val="3"/>
          </w:tcPr>
          <w:p>
            <w:pPr>
              <w:jc w:val="center"/>
              <w:ind w:right="420"/>
              <w:spacing w:after="0" w:line="138" w:lineRule="exact"/>
              <w:rPr>
                <w:sz w:val="20"/>
                <w:szCs w:val="20"/>
                <w:color w:val="auto"/>
              </w:rPr>
            </w:pPr>
            <w:r>
              <w:rPr>
                <w:rFonts w:ascii="Arial" w:cs="Arial" w:eastAsia="Arial" w:hAnsi="Arial"/>
                <w:sz w:val="13"/>
                <w:szCs w:val="13"/>
                <w:b w:val="1"/>
                <w:bCs w:val="1"/>
                <w:color w:val="auto"/>
                <w:w w:val="85"/>
              </w:rPr>
              <w:t>of Base Rent</w:t>
            </w:r>
          </w:p>
        </w:tc>
        <w:tc>
          <w:tcPr>
            <w:tcW w:w="8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w w:val="94"/>
              </w:rPr>
              <w:t>Rent per RSF</w:t>
            </w:r>
          </w:p>
        </w:tc>
        <w:tc>
          <w:tcPr>
            <w:tcW w:w="0" w:type="dxa"/>
            <w:vAlign w:val="bottom"/>
          </w:tcPr>
          <w:p>
            <w:pPr>
              <w:spacing w:after="0"/>
              <w:rPr>
                <w:sz w:val="1"/>
                <w:szCs w:val="1"/>
                <w:color w:val="auto"/>
              </w:rPr>
            </w:pPr>
          </w:p>
        </w:tc>
      </w:tr>
      <w:tr>
        <w:trPr>
          <w:trHeight w:val="172"/>
        </w:trPr>
        <w:tc>
          <w:tcPr>
            <w:tcW w:w="2940" w:type="dxa"/>
            <w:vAlign w:val="bottom"/>
            <w:tcBorders>
              <w:top w:val="single" w:sz="8" w:color="CCEEFF"/>
            </w:tcBorders>
            <w:gridSpan w:val="2"/>
            <w:shd w:val="clear" w:color="auto" w:fill="CCEEFF"/>
          </w:tcPr>
          <w:p>
            <w:pPr>
              <w:spacing w:after="0" w:line="172" w:lineRule="exact"/>
              <w:rPr>
                <w:sz w:val="20"/>
                <w:szCs w:val="20"/>
                <w:color w:val="auto"/>
              </w:rPr>
            </w:pPr>
            <w:r>
              <w:rPr>
                <w:rFonts w:ascii="Arial" w:cs="Arial" w:eastAsia="Arial" w:hAnsi="Arial"/>
                <w:sz w:val="16"/>
                <w:szCs w:val="16"/>
                <w:color w:val="auto"/>
              </w:rPr>
              <w:t>1* (months 1 – 5)</w:t>
            </w:r>
          </w:p>
        </w:tc>
        <w:tc>
          <w:tcPr>
            <w:tcW w:w="1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941,967.00</w:t>
            </w: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w w:val="98"/>
              </w:rPr>
              <w:t>78,497.25</w:t>
            </w:r>
          </w:p>
        </w:tc>
        <w:tc>
          <w:tcPr>
            <w:tcW w:w="4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line="172" w:lineRule="exact"/>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shd w:val="clear" w:color="auto" w:fill="CCEEFF"/>
          </w:tcPr>
          <w:p>
            <w:pPr>
              <w:jc w:val="right"/>
              <w:spacing w:after="0" w:line="172" w:lineRule="exact"/>
              <w:rPr>
                <w:sz w:val="20"/>
                <w:szCs w:val="20"/>
                <w:color w:val="auto"/>
              </w:rPr>
            </w:pPr>
            <w:r>
              <w:rPr>
                <w:rFonts w:ascii="Arial" w:cs="Arial" w:eastAsia="Arial" w:hAnsi="Arial"/>
                <w:sz w:val="16"/>
                <w:szCs w:val="16"/>
                <w:color w:val="auto"/>
              </w:rPr>
              <w:t>4.85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40" w:type="dxa"/>
            <w:vAlign w:val="bottom"/>
            <w:gridSpan w:val="2"/>
          </w:tcPr>
          <w:p>
            <w:pPr>
              <w:spacing w:after="0"/>
              <w:rPr>
                <w:sz w:val="20"/>
                <w:szCs w:val="20"/>
                <w:color w:val="auto"/>
              </w:rPr>
            </w:pPr>
            <w:r>
              <w:rPr>
                <w:rFonts w:ascii="Arial" w:cs="Arial" w:eastAsia="Arial" w:hAnsi="Arial"/>
                <w:sz w:val="16"/>
                <w:szCs w:val="16"/>
                <w:color w:val="auto"/>
              </w:rPr>
              <w:t>1 (months 6 – 12)</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w w:val="87"/>
              </w:rPr>
              <w:t>1,883,934.00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w w:val="87"/>
              </w:rPr>
              <w:t>156,994.50</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89"/>
        </w:trPr>
        <w:tc>
          <w:tcPr>
            <w:tcW w:w="600" w:type="dxa"/>
            <w:vAlign w:val="bottom"/>
            <w:shd w:val="clear" w:color="auto" w:fill="CCEEFF"/>
          </w:tcPr>
          <w:p>
            <w:pPr>
              <w:spacing w:after="0"/>
              <w:rPr>
                <w:sz w:val="20"/>
                <w:szCs w:val="20"/>
                <w:color w:val="auto"/>
              </w:rPr>
            </w:pPr>
            <w:r>
              <w:rPr>
                <w:rFonts w:ascii="Arial" w:cs="Arial" w:eastAsia="Arial" w:hAnsi="Arial"/>
                <w:sz w:val="16"/>
                <w:szCs w:val="16"/>
                <w:color w:val="auto"/>
              </w:rPr>
              <w:t>2</w:t>
            </w:r>
          </w:p>
        </w:tc>
        <w:tc>
          <w:tcPr>
            <w:tcW w:w="234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w w:val="87"/>
              </w:rPr>
              <w:t>1,949,871.69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162,489.31</w:t>
            </w: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0"/>
        </w:trPr>
        <w:tc>
          <w:tcPr>
            <w:tcW w:w="600" w:type="dxa"/>
            <w:vAlign w:val="bottom"/>
          </w:tcPr>
          <w:p>
            <w:pPr>
              <w:spacing w:after="0"/>
              <w:rPr>
                <w:sz w:val="20"/>
                <w:szCs w:val="20"/>
                <w:color w:val="auto"/>
              </w:rPr>
            </w:pPr>
            <w:r>
              <w:rPr>
                <w:rFonts w:ascii="Arial" w:cs="Arial" w:eastAsia="Arial" w:hAnsi="Arial"/>
                <w:sz w:val="16"/>
                <w:szCs w:val="16"/>
                <w:color w:val="auto"/>
              </w:rPr>
              <w:t>3</w:t>
            </w:r>
          </w:p>
        </w:tc>
        <w:tc>
          <w:tcPr>
            <w:tcW w:w="2340" w:type="dxa"/>
            <w:vAlign w:val="bottom"/>
          </w:tcPr>
          <w:p>
            <w:pPr>
              <w:spacing w:after="0"/>
              <w:rPr>
                <w:sz w:val="17"/>
                <w:szCs w:val="17"/>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6"/>
                <w:szCs w:val="16"/>
                <w:color w:val="auto"/>
                <w:w w:val="87"/>
              </w:rPr>
              <w:t>2,018,117.20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6"/>
                <w:szCs w:val="16"/>
                <w:color w:val="auto"/>
                <w:w w:val="87"/>
              </w:rPr>
              <w:t>168,176.43</w:t>
            </w: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bl>
    <w:p>
      <w:pPr>
        <w:sectPr>
          <w:pgSz w:w="11900" w:h="16838" w:orient="portrait"/>
          <w:cols w:equalWidth="0" w:num="1">
            <w:col w:w="9626"/>
          </w:cols>
          <w:pgMar w:left="1134" w:top="123" w:right="1139" w:bottom="1440" w:gutter="0" w:footer="0" w:header="0"/>
        </w:sectPr>
      </w:pPr>
    </w:p>
    <w:bookmarkStart w:id="354" w:name="page355"/>
    <w:bookmarkEnd w:id="3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766" w:type="dxa"/>
        <w:tblCellMar>
          <w:top w:w="0" w:type="dxa"/>
          <w:left w:w="0" w:type="dxa"/>
          <w:bottom w:w="0" w:type="dxa"/>
          <w:right w:w="0" w:type="dxa"/>
        </w:tblCellMar>
      </w:tblP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4</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$2,088,751.30</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$174,062.61</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189"/>
        </w:trPr>
        <w:tc>
          <w:tcPr>
            <w:tcW w:w="2740" w:type="dxa"/>
            <w:vAlign w:val="bottom"/>
          </w:tcPr>
          <w:p>
            <w:pPr>
              <w:jc w:val="right"/>
              <w:ind w:right="2587"/>
              <w:spacing w:after="0"/>
              <w:rPr>
                <w:sz w:val="20"/>
                <w:szCs w:val="20"/>
                <w:color w:val="auto"/>
              </w:rPr>
            </w:pPr>
            <w:r>
              <w:rPr>
                <w:rFonts w:ascii="Arial" w:cs="Arial" w:eastAsia="Arial" w:hAnsi="Arial"/>
                <w:sz w:val="15"/>
                <w:szCs w:val="15"/>
                <w:color w:val="auto"/>
                <w:w w:val="71"/>
              </w:rPr>
              <w:t>5</w:t>
            </w:r>
          </w:p>
        </w:tc>
        <w:tc>
          <w:tcPr>
            <w:tcW w:w="3720" w:type="dxa"/>
            <w:vAlign w:val="bottom"/>
          </w:tcPr>
          <w:p>
            <w:pPr>
              <w:jc w:val="right"/>
              <w:ind w:right="61"/>
              <w:spacing w:after="0"/>
              <w:rPr>
                <w:sz w:val="20"/>
                <w:szCs w:val="20"/>
                <w:color w:val="auto"/>
              </w:rPr>
            </w:pPr>
            <w:r>
              <w:rPr>
                <w:rFonts w:ascii="Arial" w:cs="Arial" w:eastAsia="Arial" w:hAnsi="Arial"/>
                <w:sz w:val="16"/>
                <w:szCs w:val="16"/>
                <w:color w:val="auto"/>
              </w:rPr>
              <w:t>$2,161,857.60</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$180,154.80</w:t>
            </w:r>
          </w:p>
        </w:tc>
        <w:tc>
          <w:tcPr>
            <w:tcW w:w="560" w:type="dxa"/>
            <w:vAlign w:val="bottom"/>
          </w:tcPr>
          <w:p>
            <w:pPr>
              <w:jc w:val="right"/>
              <w:spacing w:after="0"/>
              <w:rPr>
                <w:sz w:val="20"/>
                <w:szCs w:val="20"/>
                <w:color w:val="auto"/>
              </w:rPr>
            </w:pPr>
            <w:r>
              <w:rPr>
                <w:rFonts w:ascii="Arial" w:cs="Arial" w:eastAsia="Arial" w:hAnsi="Arial"/>
                <w:sz w:val="16"/>
                <w:szCs w:val="16"/>
                <w:color w:val="auto"/>
              </w:rPr>
              <w:t>$5.57</w:t>
            </w:r>
          </w:p>
        </w:tc>
      </w:t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6</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$2,237,522.61</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$186,460.22</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189"/>
        </w:trPr>
        <w:tc>
          <w:tcPr>
            <w:tcW w:w="2740" w:type="dxa"/>
            <w:vAlign w:val="bottom"/>
          </w:tcPr>
          <w:p>
            <w:pPr>
              <w:jc w:val="right"/>
              <w:ind w:right="2587"/>
              <w:spacing w:after="0"/>
              <w:rPr>
                <w:sz w:val="20"/>
                <w:szCs w:val="20"/>
                <w:color w:val="auto"/>
              </w:rPr>
            </w:pPr>
            <w:r>
              <w:rPr>
                <w:rFonts w:ascii="Arial" w:cs="Arial" w:eastAsia="Arial" w:hAnsi="Arial"/>
                <w:sz w:val="15"/>
                <w:szCs w:val="15"/>
                <w:color w:val="auto"/>
                <w:w w:val="71"/>
              </w:rPr>
              <w:t>7</w:t>
            </w:r>
          </w:p>
        </w:tc>
        <w:tc>
          <w:tcPr>
            <w:tcW w:w="3720" w:type="dxa"/>
            <w:vAlign w:val="bottom"/>
          </w:tcPr>
          <w:p>
            <w:pPr>
              <w:jc w:val="right"/>
              <w:ind w:right="61"/>
              <w:spacing w:after="0"/>
              <w:rPr>
                <w:sz w:val="20"/>
                <w:szCs w:val="20"/>
                <w:color w:val="auto"/>
              </w:rPr>
            </w:pPr>
            <w:r>
              <w:rPr>
                <w:rFonts w:ascii="Arial" w:cs="Arial" w:eastAsia="Arial" w:hAnsi="Arial"/>
                <w:sz w:val="16"/>
                <w:szCs w:val="16"/>
                <w:color w:val="auto"/>
              </w:rPr>
              <w:t>$2,315,835.90</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$192,986.33</w:t>
            </w:r>
          </w:p>
        </w:tc>
        <w:tc>
          <w:tcPr>
            <w:tcW w:w="560" w:type="dxa"/>
            <w:vAlign w:val="bottom"/>
          </w:tcPr>
          <w:p>
            <w:pPr>
              <w:jc w:val="right"/>
              <w:spacing w:after="0"/>
              <w:rPr>
                <w:sz w:val="20"/>
                <w:szCs w:val="20"/>
                <w:color w:val="auto"/>
              </w:rPr>
            </w:pPr>
            <w:r>
              <w:rPr>
                <w:rFonts w:ascii="Arial" w:cs="Arial" w:eastAsia="Arial" w:hAnsi="Arial"/>
                <w:sz w:val="16"/>
                <w:szCs w:val="16"/>
                <w:color w:val="auto"/>
              </w:rPr>
              <w:t>$5.96</w:t>
            </w:r>
          </w:p>
        </w:tc>
      </w:tr>
      <w:tr>
        <w:trPr>
          <w:trHeight w:val="189"/>
        </w:trPr>
        <w:tc>
          <w:tcPr>
            <w:tcW w:w="2740" w:type="dxa"/>
            <w:vAlign w:val="bottom"/>
            <w:shd w:val="clear" w:color="auto" w:fill="CCEEFF"/>
          </w:tcPr>
          <w:p>
            <w:pPr>
              <w:jc w:val="right"/>
              <w:ind w:right="2587"/>
              <w:spacing w:after="0"/>
              <w:rPr>
                <w:sz w:val="20"/>
                <w:szCs w:val="20"/>
                <w:color w:val="auto"/>
              </w:rPr>
            </w:pPr>
            <w:r>
              <w:rPr>
                <w:rFonts w:ascii="Arial" w:cs="Arial" w:eastAsia="Arial" w:hAnsi="Arial"/>
                <w:sz w:val="15"/>
                <w:szCs w:val="15"/>
                <w:color w:val="auto"/>
                <w:w w:val="71"/>
              </w:rPr>
              <w:t>8</w:t>
            </w:r>
          </w:p>
        </w:tc>
        <w:tc>
          <w:tcPr>
            <w:tcW w:w="37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$2,396,890.16</w:t>
            </w:r>
          </w:p>
        </w:tc>
        <w:tc>
          <w:tcPr>
            <w:tcW w:w="10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$199,740.85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w:t>
            </w:r>
          </w:p>
        </w:tc>
      </w:tr>
    </w:tbl>
    <w:p>
      <w:pPr>
        <w:spacing w:after="0" w:line="199" w:lineRule="exact"/>
        <w:rPr>
          <w:sz w:val="20"/>
          <w:szCs w:val="20"/>
          <w:color w:val="auto"/>
        </w:rPr>
      </w:pPr>
    </w:p>
    <w:p>
      <w:pPr>
        <w:ind w:left="166" w:hanging="166"/>
        <w:spacing w:after="0" w:line="330" w:lineRule="auto"/>
        <w:tabs>
          <w:tab w:leader="none" w:pos="151" w:val="left"/>
        </w:tabs>
        <w:numPr>
          <w:ilvl w:val="0"/>
          <w:numId w:val="242"/>
        </w:numPr>
        <w:rPr>
          <w:rFonts w:ascii="Arial" w:cs="Arial" w:eastAsia="Arial" w:hAnsi="Arial"/>
          <w:sz w:val="13"/>
          <w:szCs w:val="13"/>
          <w:color w:val="auto"/>
        </w:rPr>
      </w:pPr>
      <w:r>
        <w:rPr>
          <w:rFonts w:ascii="Arial" w:cs="Arial" w:eastAsia="Arial" w:hAnsi="Arial"/>
          <w:sz w:val="13"/>
          <w:szCs w:val="13"/>
          <w:color w:val="auto"/>
        </w:rPr>
        <w:t>Note that for the first five (5) months of the first (1</w:t>
      </w:r>
      <w:r>
        <w:rPr>
          <w:rFonts w:ascii="Arial" w:cs="Arial" w:eastAsia="Arial" w:hAnsi="Arial"/>
          <w:sz w:val="11"/>
          <w:szCs w:val="11"/>
          <w:color w:val="auto"/>
        </w:rPr>
        <w:t>st</w:t>
      </w:r>
      <w:r>
        <w:rPr>
          <w:rFonts w:ascii="Arial" w:cs="Arial" w:eastAsia="Arial" w:hAnsi="Arial"/>
          <w:sz w:val="13"/>
          <w:szCs w:val="13"/>
          <w:color w:val="auto"/>
        </w:rPr>
        <w:t>) Lease Year of the Lease Term, Tenant’s Base Rent obligation has been calculated as if the Premises contained only 16,185 rentable square feet. Such calculation shall not affect Tenant’s right to use the entire Premises, or Tenant’s obligations under this Lease with respect to the entire Premises, including without limitation, Tenant’s obligation to pay Tenant’s Share of Direct Expenses with respect to the Premises which shall be as provided in Section 6 of this Summary, all in accordance with the terms and conditions of this Lease.</w:t>
      </w:r>
    </w:p>
    <w:p>
      <w:pPr>
        <w:spacing w:after="0" w:line="141" w:lineRule="exact"/>
        <w:rPr>
          <w:sz w:val="20"/>
          <w:szCs w:val="20"/>
          <w:color w:val="auto"/>
        </w:rPr>
      </w:pPr>
    </w:p>
    <w:p>
      <w:pPr>
        <w:ind w:left="306"/>
        <w:spacing w:after="0"/>
        <w:rPr>
          <w:sz w:val="20"/>
          <w:szCs w:val="20"/>
          <w:color w:val="auto"/>
        </w:rPr>
      </w:pPr>
      <w:r>
        <w:rPr>
          <w:rFonts w:ascii="Arial" w:cs="Arial" w:eastAsia="Arial" w:hAnsi="Arial"/>
          <w:sz w:val="16"/>
          <w:szCs w:val="16"/>
          <w:b w:val="1"/>
          <w:bCs w:val="1"/>
          <w:color w:val="auto"/>
        </w:rPr>
        <w:t>Address for Payment of Rent:</w:t>
      </w:r>
    </w:p>
    <w:p>
      <w:pPr>
        <w:spacing w:after="0" w:line="115"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check, remittances should be mailed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File 51142</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Los Angeles, CA 90074-1142</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ACH,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 Bank of America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ABA: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Acct:</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Wire,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HCP Life Sciences REIT Bank of America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ABA:</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Acct:</w:t>
      </w:r>
    </w:p>
    <w:p>
      <w:pPr>
        <w:spacing w:after="0" w:line="99" w:lineRule="exact"/>
        <w:rPr>
          <w:sz w:val="20"/>
          <w:szCs w:val="20"/>
          <w:color w:val="auto"/>
        </w:rPr>
      </w:pPr>
    </w:p>
    <w:p>
      <w:pPr>
        <w:ind w:left="306"/>
        <w:spacing w:after="0"/>
        <w:rPr>
          <w:sz w:val="20"/>
          <w:szCs w:val="20"/>
          <w:color w:val="auto"/>
        </w:rPr>
      </w:pPr>
      <w:r>
        <w:rPr>
          <w:rFonts w:ascii="Arial" w:cs="Arial" w:eastAsia="Arial" w:hAnsi="Arial"/>
          <w:sz w:val="16"/>
          <w:szCs w:val="16"/>
          <w:i w:val="1"/>
          <w:iCs w:val="1"/>
          <w:color w:val="auto"/>
        </w:rPr>
        <w:t>If by overnight mail, remit to:</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Bank of America Lockbox Services</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Lockbox 51142</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2706 Media Center Drive</w:t>
      </w:r>
    </w:p>
    <w:p>
      <w:pPr>
        <w:spacing w:after="0" w:line="5" w:lineRule="exact"/>
        <w:rPr>
          <w:sz w:val="20"/>
          <w:szCs w:val="20"/>
          <w:color w:val="auto"/>
        </w:rPr>
      </w:pPr>
    </w:p>
    <w:p>
      <w:pPr>
        <w:ind w:left="306"/>
        <w:spacing w:after="0"/>
        <w:rPr>
          <w:sz w:val="20"/>
          <w:szCs w:val="20"/>
          <w:color w:val="auto"/>
        </w:rPr>
      </w:pPr>
      <w:r>
        <w:rPr>
          <w:rFonts w:ascii="Arial" w:cs="Arial" w:eastAsia="Arial" w:hAnsi="Arial"/>
          <w:sz w:val="16"/>
          <w:szCs w:val="16"/>
          <w:color w:val="auto"/>
        </w:rPr>
        <w:t>Los Angeles, CA 90065-1733</w:t>
      </w:r>
    </w:p>
    <w:p>
      <w:pPr>
        <w:spacing w:after="0" w:line="312" w:lineRule="exact"/>
        <w:rPr>
          <w:sz w:val="20"/>
          <w:szCs w:val="20"/>
          <w:color w:val="auto"/>
        </w:rPr>
      </w:pPr>
    </w:p>
    <w:tbl>
      <w:tblPr>
        <w:tblLayout w:type="fixed"/>
        <w:tblInd w:w="6" w:type="dxa"/>
        <w:tblCellMar>
          <w:top w:w="0" w:type="dxa"/>
          <w:left w:w="0" w:type="dxa"/>
          <w:bottom w:w="0" w:type="dxa"/>
          <w:right w:w="0" w:type="dxa"/>
        </w:tblCellMar>
      </w:tblPr>
      <w:tr>
        <w:trPr>
          <w:trHeight w:val="185"/>
        </w:trPr>
        <w:tc>
          <w:tcPr>
            <w:tcW w:w="200" w:type="dxa"/>
            <w:vAlign w:val="bottom"/>
          </w:tcPr>
          <w:p>
            <w:pPr>
              <w:jc w:val="right"/>
              <w:ind w:right="1"/>
              <w:spacing w:after="0"/>
              <w:rPr>
                <w:sz w:val="20"/>
                <w:szCs w:val="20"/>
                <w:color w:val="auto"/>
              </w:rPr>
            </w:pPr>
            <w:r>
              <w:rPr>
                <w:rFonts w:ascii="Arial" w:cs="Arial" w:eastAsia="Arial" w:hAnsi="Arial"/>
                <w:sz w:val="16"/>
                <w:szCs w:val="16"/>
                <w:color w:val="auto"/>
                <w:w w:val="74"/>
              </w:rPr>
              <w:t>5.</w:t>
            </w: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w w:val="99"/>
              </w:rPr>
              <w:t>Tenant Improvement Allowance</w:t>
            </w:r>
          </w:p>
        </w:tc>
        <w:tc>
          <w:tcPr>
            <w:tcW w:w="3660" w:type="dxa"/>
            <w:vAlign w:val="bottom"/>
          </w:tcPr>
          <w:p>
            <w:pPr>
              <w:ind w:left="220"/>
              <w:spacing w:after="0"/>
              <w:rPr>
                <w:sz w:val="20"/>
                <w:szCs w:val="20"/>
                <w:color w:val="auto"/>
              </w:rPr>
            </w:pPr>
            <w:r>
              <w:rPr>
                <w:rFonts w:ascii="Arial" w:cs="Arial" w:eastAsia="Arial" w:hAnsi="Arial"/>
                <w:sz w:val="16"/>
                <w:szCs w:val="16"/>
                <w:color w:val="auto"/>
                <w:w w:val="87"/>
              </w:rPr>
              <w:t>$140.00 per RSF of the Premises (i.e., $4,531,800.00).</w:t>
            </w:r>
          </w:p>
        </w:tc>
      </w:tr>
      <w:tr>
        <w:trPr>
          <w:trHeight w:val="204"/>
        </w:trPr>
        <w:tc>
          <w:tcPr>
            <w:tcW w:w="200" w:type="dxa"/>
            <w:vAlign w:val="bottom"/>
          </w:tcPr>
          <w:p>
            <w:pPr>
              <w:spacing w:after="0"/>
              <w:rPr>
                <w:sz w:val="17"/>
                <w:szCs w:val="17"/>
                <w:color w:val="auto"/>
              </w:rPr>
            </w:pP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Exhibit B</w:t>
            </w:r>
            <w:r>
              <w:rPr>
                <w:rFonts w:ascii="Arial" w:cs="Arial" w:eastAsia="Arial" w:hAnsi="Arial"/>
                <w:sz w:val="16"/>
                <w:szCs w:val="16"/>
                <w:color w:val="auto"/>
              </w:rPr>
              <w:t>):</w:t>
            </w:r>
          </w:p>
        </w:tc>
        <w:tc>
          <w:tcPr>
            <w:tcW w:w="3660" w:type="dxa"/>
            <w:vAlign w:val="bottom"/>
          </w:tcPr>
          <w:p>
            <w:pPr>
              <w:spacing w:after="0"/>
              <w:rPr>
                <w:sz w:val="17"/>
                <w:szCs w:val="17"/>
                <w:color w:val="auto"/>
              </w:rPr>
            </w:pPr>
          </w:p>
        </w:tc>
      </w:tr>
      <w:tr>
        <w:trPr>
          <w:trHeight w:val="272"/>
        </w:trPr>
        <w:tc>
          <w:tcPr>
            <w:tcW w:w="200" w:type="dxa"/>
            <w:vAlign w:val="bottom"/>
          </w:tcPr>
          <w:p>
            <w:pPr>
              <w:jc w:val="right"/>
              <w:ind w:right="1"/>
              <w:spacing w:after="0"/>
              <w:rPr>
                <w:sz w:val="20"/>
                <w:szCs w:val="20"/>
                <w:color w:val="auto"/>
              </w:rPr>
            </w:pPr>
            <w:r>
              <w:rPr>
                <w:rFonts w:ascii="Arial" w:cs="Arial" w:eastAsia="Arial" w:hAnsi="Arial"/>
                <w:sz w:val="16"/>
                <w:szCs w:val="16"/>
                <w:color w:val="auto"/>
                <w:w w:val="74"/>
              </w:rPr>
              <w:t>6.</w:t>
            </w:r>
          </w:p>
        </w:tc>
        <w:tc>
          <w:tcPr>
            <w:tcW w:w="2360" w:type="dxa"/>
            <w:vAlign w:val="bottom"/>
            <w:gridSpan w:val="3"/>
          </w:tcPr>
          <w:p>
            <w:pPr>
              <w:ind w:left="100"/>
              <w:spacing w:after="0"/>
              <w:rPr>
                <w:sz w:val="20"/>
                <w:szCs w:val="20"/>
                <w:color w:val="auto"/>
              </w:rPr>
            </w:pPr>
            <w:r>
              <w:rPr>
                <w:rFonts w:ascii="Arial" w:cs="Arial" w:eastAsia="Arial" w:hAnsi="Arial"/>
                <w:sz w:val="16"/>
                <w:szCs w:val="16"/>
                <w:color w:val="auto"/>
              </w:rPr>
              <w:t>Tenant’s Share</w:t>
            </w:r>
          </w:p>
        </w:tc>
        <w:tc>
          <w:tcPr>
            <w:tcW w:w="3660" w:type="dxa"/>
            <w:vAlign w:val="bottom"/>
          </w:tcPr>
          <w:p>
            <w:pPr>
              <w:ind w:left="220"/>
              <w:spacing w:after="0"/>
              <w:rPr>
                <w:sz w:val="20"/>
                <w:szCs w:val="20"/>
                <w:color w:val="auto"/>
              </w:rPr>
            </w:pPr>
            <w:r>
              <w:rPr>
                <w:rFonts w:ascii="Arial" w:cs="Arial" w:eastAsia="Arial" w:hAnsi="Arial"/>
                <w:sz w:val="16"/>
                <w:szCs w:val="16"/>
                <w:color w:val="auto"/>
              </w:rPr>
              <w:t>24.38%.</w:t>
            </w:r>
          </w:p>
        </w:tc>
      </w:tr>
      <w:tr>
        <w:trPr>
          <w:trHeight w:val="166"/>
        </w:trPr>
        <w:tc>
          <w:tcPr>
            <w:tcW w:w="200" w:type="dxa"/>
            <w:vAlign w:val="bottom"/>
          </w:tcPr>
          <w:p>
            <w:pPr>
              <w:spacing w:after="0"/>
              <w:rPr>
                <w:sz w:val="14"/>
                <w:szCs w:val="14"/>
                <w:color w:val="auto"/>
              </w:rPr>
            </w:pPr>
          </w:p>
        </w:tc>
        <w:tc>
          <w:tcPr>
            <w:tcW w:w="2360" w:type="dxa"/>
            <w:vAlign w:val="bottom"/>
            <w:gridSpan w:val="3"/>
          </w:tcPr>
          <w:p>
            <w:pPr>
              <w:ind w:left="100"/>
              <w:spacing w:after="0" w:line="166" w:lineRule="exact"/>
              <w:rPr>
                <w:sz w:val="20"/>
                <w:szCs w:val="20"/>
                <w:color w:val="auto"/>
              </w:rPr>
            </w:pPr>
            <w:r>
              <w:rPr>
                <w:rFonts w:ascii="Arial" w:cs="Arial" w:eastAsia="Arial" w:hAnsi="Arial"/>
                <w:sz w:val="16"/>
                <w:szCs w:val="16"/>
                <w:color w:val="auto"/>
              </w:rPr>
              <w:t>(Article 4):</w:t>
            </w:r>
          </w:p>
        </w:tc>
        <w:tc>
          <w:tcPr>
            <w:tcW w:w="3660" w:type="dxa"/>
            <w:vAlign w:val="bottom"/>
          </w:tcPr>
          <w:p>
            <w:pPr>
              <w:spacing w:after="0"/>
              <w:rPr>
                <w:sz w:val="14"/>
                <w:szCs w:val="14"/>
                <w:color w:val="auto"/>
              </w:rPr>
            </w:pPr>
          </w:p>
        </w:tc>
      </w:tr>
      <w:tr>
        <w:trPr>
          <w:trHeight w:val="20"/>
        </w:trPr>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bl>
    <w:p>
      <w:pPr>
        <w:sectPr>
          <w:pgSz w:w="11900" w:h="16838" w:orient="portrait"/>
          <w:cols w:equalWidth="0" w:num="1">
            <w:col w:w="9586"/>
          </w:cols>
          <w:pgMar w:left="1134" w:top="269" w:right="1179" w:bottom="1440" w:gutter="0" w:footer="0" w:header="0"/>
        </w:sectPr>
      </w:pPr>
    </w:p>
    <w:bookmarkStart w:id="355" w:name="page356"/>
    <w:bookmarkEnd w:id="3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240" w:type="dxa"/>
            <w:vAlign w:val="bottom"/>
          </w:tcPr>
          <w:p>
            <w:pPr>
              <w:spacing w:after="0"/>
              <w:rPr>
                <w:sz w:val="20"/>
                <w:szCs w:val="20"/>
                <w:color w:val="auto"/>
              </w:rPr>
            </w:pPr>
            <w:r>
              <w:rPr>
                <w:rFonts w:ascii="Arial" w:cs="Arial" w:eastAsia="Arial" w:hAnsi="Arial"/>
                <w:sz w:val="16"/>
                <w:szCs w:val="16"/>
                <w:color w:val="auto"/>
              </w:rPr>
              <w:t>7.</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Permitted Use</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93"/>
              </w:rPr>
              <w:t>The Premises shall be used only for general office, research and development, engineering, lab scale</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(Article 5):</w:t>
            </w:r>
          </w:p>
        </w:tc>
        <w:tc>
          <w:tcPr>
            <w:tcW w:w="7320" w:type="dxa"/>
            <w:vAlign w:val="bottom"/>
            <w:gridSpan w:val="5"/>
          </w:tcPr>
          <w:p>
            <w:pPr>
              <w:ind w:left="600"/>
              <w:spacing w:after="0" w:line="166" w:lineRule="exact"/>
              <w:rPr>
                <w:sz w:val="20"/>
                <w:szCs w:val="20"/>
                <w:color w:val="auto"/>
              </w:rPr>
            </w:pPr>
            <w:r>
              <w:rPr>
                <w:rFonts w:ascii="Arial" w:cs="Arial" w:eastAsia="Arial" w:hAnsi="Arial"/>
                <w:sz w:val="16"/>
                <w:szCs w:val="16"/>
                <w:color w:val="auto"/>
                <w:w w:val="91"/>
              </w:rPr>
              <w:t>manufacturing and laboratory and vivarium uses, including, but not limited to, administrative offices and</w:t>
            </w:r>
          </w:p>
        </w:tc>
        <w:tc>
          <w:tcPr>
            <w:tcW w:w="0" w:type="dxa"/>
            <w:vAlign w:val="bottom"/>
          </w:tcPr>
          <w:p>
            <w:pPr>
              <w:spacing w:after="0"/>
              <w:rPr>
                <w:sz w:val="1"/>
                <w:szCs w:val="1"/>
                <w:color w:val="auto"/>
              </w:rPr>
            </w:pPr>
          </w:p>
        </w:tc>
      </w:tr>
      <w:tr>
        <w:trPr>
          <w:trHeight w:val="187"/>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89"/>
              </w:rPr>
              <w:t>other lawful uses reasonably related to or incidental to such specified uses, all (i) consistent with first class</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w w:val="89"/>
              </w:rPr>
              <w:t>life sciences projects in South San Francisco, California (“</w:t>
            </w:r>
            <w:r>
              <w:rPr>
                <w:rFonts w:ascii="Arial" w:cs="Arial" w:eastAsia="Arial" w:hAnsi="Arial"/>
                <w:sz w:val="16"/>
                <w:szCs w:val="16"/>
                <w:b w:val="1"/>
                <w:bCs w:val="1"/>
                <w:color w:val="auto"/>
                <w:w w:val="89"/>
              </w:rPr>
              <w:t>First Class Life Sciences Projects</w:t>
            </w:r>
            <w:r>
              <w:rPr>
                <w:rFonts w:ascii="Arial" w:cs="Arial" w:eastAsia="Arial" w:hAnsi="Arial"/>
                <w:sz w:val="16"/>
                <w:szCs w:val="16"/>
                <w:color w:val="auto"/>
                <w:w w:val="89"/>
              </w:rPr>
              <w:t>”), and (ii) in</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compliance with, and subject to, applicable laws and the terms of this Lease.</w:t>
            </w:r>
          </w:p>
        </w:tc>
        <w:tc>
          <w:tcPr>
            <w:tcW w:w="0" w:type="dxa"/>
            <w:vAlign w:val="bottom"/>
          </w:tcPr>
          <w:p>
            <w:pPr>
              <w:spacing w:after="0"/>
              <w:rPr>
                <w:sz w:val="1"/>
                <w:szCs w:val="1"/>
                <w:color w:val="auto"/>
              </w:rPr>
            </w:pPr>
          </w:p>
        </w:tc>
      </w:tr>
      <w:tr>
        <w:trPr>
          <w:trHeight w:val="272"/>
        </w:trPr>
        <w:tc>
          <w:tcPr>
            <w:tcW w:w="240" w:type="dxa"/>
            <w:vAlign w:val="bottom"/>
          </w:tcPr>
          <w:p>
            <w:pPr>
              <w:spacing w:after="0"/>
              <w:rPr>
                <w:sz w:val="20"/>
                <w:szCs w:val="20"/>
                <w:color w:val="auto"/>
              </w:rPr>
            </w:pPr>
            <w:r>
              <w:rPr>
                <w:rFonts w:ascii="Arial" w:cs="Arial" w:eastAsia="Arial" w:hAnsi="Arial"/>
                <w:sz w:val="16"/>
                <w:szCs w:val="16"/>
                <w:color w:val="auto"/>
              </w:rPr>
              <w:t>8.</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Letter of Credit</w:t>
            </w:r>
          </w:p>
        </w:tc>
        <w:tc>
          <w:tcPr>
            <w:tcW w:w="1740" w:type="dxa"/>
            <w:vAlign w:val="bottom"/>
            <w:gridSpan w:val="2"/>
          </w:tcPr>
          <w:p>
            <w:pPr>
              <w:ind w:left="600"/>
              <w:spacing w:after="0"/>
              <w:rPr>
                <w:sz w:val="20"/>
                <w:szCs w:val="20"/>
                <w:color w:val="auto"/>
              </w:rPr>
            </w:pPr>
            <w:r>
              <w:rPr>
                <w:rFonts w:ascii="Arial" w:cs="Arial" w:eastAsia="Arial" w:hAnsi="Arial"/>
                <w:sz w:val="16"/>
                <w:szCs w:val="16"/>
                <w:color w:val="auto"/>
              </w:rPr>
              <w:t>$399,481.70.</w:t>
            </w:r>
          </w:p>
        </w:tc>
        <w:tc>
          <w:tcPr>
            <w:tcW w:w="2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(Article 21):</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40" w:type="dxa"/>
            <w:vAlign w:val="bottom"/>
          </w:tcPr>
          <w:p>
            <w:pPr>
              <w:spacing w:after="0"/>
              <w:rPr>
                <w:sz w:val="20"/>
                <w:szCs w:val="20"/>
                <w:color w:val="auto"/>
              </w:rPr>
            </w:pPr>
            <w:r>
              <w:rPr>
                <w:rFonts w:ascii="Arial" w:cs="Arial" w:eastAsia="Arial" w:hAnsi="Arial"/>
                <w:sz w:val="16"/>
                <w:szCs w:val="16"/>
                <w:color w:val="auto"/>
              </w:rPr>
              <w:t>9.</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Parking</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83 unreserved parking spaces, subject to the terms of Article 28 of the Lease.</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940" w:type="dxa"/>
            <w:vAlign w:val="bottom"/>
            <w:gridSpan w:val="6"/>
          </w:tcPr>
          <w:p>
            <w:pPr>
              <w:ind w:left="60"/>
              <w:spacing w:after="0" w:line="168" w:lineRule="exact"/>
              <w:rPr>
                <w:sz w:val="20"/>
                <w:szCs w:val="20"/>
                <w:color w:val="auto"/>
              </w:rPr>
            </w:pPr>
            <w:r>
              <w:rPr>
                <w:rFonts w:ascii="Arial" w:cs="Arial" w:eastAsia="Arial" w:hAnsi="Arial"/>
                <w:sz w:val="16"/>
                <w:szCs w:val="16"/>
                <w:color w:val="auto"/>
              </w:rPr>
              <w:t>(Article 28):</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40" w:type="dxa"/>
            <w:vAlign w:val="bottom"/>
          </w:tcPr>
          <w:p>
            <w:pPr>
              <w:spacing w:after="0"/>
              <w:rPr>
                <w:sz w:val="20"/>
                <w:szCs w:val="20"/>
                <w:color w:val="auto"/>
              </w:rPr>
            </w:pPr>
            <w:r>
              <w:rPr>
                <w:rFonts w:ascii="Arial" w:cs="Arial" w:eastAsia="Arial" w:hAnsi="Arial"/>
                <w:sz w:val="16"/>
                <w:szCs w:val="16"/>
                <w:color w:val="auto"/>
                <w:w w:val="98"/>
              </w:rPr>
              <w:t>10.</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Address of Tenant</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The Column Group, LLC</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(Section 29.18):</w:t>
            </w:r>
          </w:p>
        </w:tc>
        <w:tc>
          <w:tcPr>
            <w:tcW w:w="7320" w:type="dxa"/>
            <w:vAlign w:val="bottom"/>
            <w:gridSpan w:val="5"/>
          </w:tcPr>
          <w:p>
            <w:pPr>
              <w:ind w:left="600"/>
              <w:spacing w:after="0" w:line="166" w:lineRule="exact"/>
              <w:rPr>
                <w:sz w:val="20"/>
                <w:szCs w:val="20"/>
                <w:color w:val="auto"/>
              </w:rPr>
            </w:pPr>
            <w:r>
              <w:rPr>
                <w:rFonts w:ascii="Arial" w:cs="Arial" w:eastAsia="Arial" w:hAnsi="Arial"/>
                <w:sz w:val="16"/>
                <w:szCs w:val="16"/>
                <w:color w:val="auto"/>
              </w:rPr>
              <w:t>1700 Owens Street, Suite 500</w:t>
            </w:r>
          </w:p>
        </w:tc>
        <w:tc>
          <w:tcPr>
            <w:tcW w:w="0" w:type="dxa"/>
            <w:vAlign w:val="bottom"/>
          </w:tcPr>
          <w:p>
            <w:pPr>
              <w:spacing w:after="0"/>
              <w:rPr>
                <w:sz w:val="1"/>
                <w:szCs w:val="1"/>
                <w:color w:val="auto"/>
              </w:rPr>
            </w:pPr>
          </w:p>
        </w:tc>
      </w:tr>
      <w:tr>
        <w:trPr>
          <w:trHeight w:val="191"/>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San Francisco, CA 94158</w:t>
            </w:r>
          </w:p>
        </w:tc>
        <w:tc>
          <w:tcPr>
            <w:tcW w:w="0" w:type="dxa"/>
            <w:vAlign w:val="bottom"/>
          </w:tcPr>
          <w:p>
            <w:pPr>
              <w:spacing w:after="0"/>
              <w:rPr>
                <w:sz w:val="1"/>
                <w:szCs w:val="1"/>
                <w:color w:val="auto"/>
              </w:rPr>
            </w:pPr>
          </w:p>
        </w:tc>
      </w:tr>
      <w:tr>
        <w:trPr>
          <w:trHeight w:val="200"/>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Attention: Head of Administration</w:t>
            </w:r>
          </w:p>
        </w:tc>
        <w:tc>
          <w:tcPr>
            <w:tcW w:w="0" w:type="dxa"/>
            <w:vAlign w:val="bottom"/>
          </w:tcPr>
          <w:p>
            <w:pPr>
              <w:spacing w:after="0"/>
              <w:rPr>
                <w:sz w:val="1"/>
                <w:szCs w:val="1"/>
                <w:color w:val="auto"/>
              </w:rPr>
            </w:pPr>
          </w:p>
        </w:tc>
      </w:tr>
      <w:tr>
        <w:trPr>
          <w:trHeight w:val="261"/>
        </w:trPr>
        <w:tc>
          <w:tcPr>
            <w:tcW w:w="240" w:type="dxa"/>
            <w:vAlign w:val="bottom"/>
          </w:tcPr>
          <w:p>
            <w:pPr>
              <w:spacing w:after="0"/>
              <w:rPr>
                <w:sz w:val="20"/>
                <w:szCs w:val="20"/>
                <w:color w:val="auto"/>
              </w:rPr>
            </w:pPr>
            <w:r>
              <w:rPr>
                <w:rFonts w:ascii="Arial" w:cs="Arial" w:eastAsia="Arial" w:hAnsi="Arial"/>
                <w:sz w:val="16"/>
                <w:szCs w:val="16"/>
                <w:color w:val="auto"/>
                <w:w w:val="98"/>
              </w:rPr>
              <w:t>11.</w:t>
            </w:r>
          </w:p>
        </w:tc>
        <w:tc>
          <w:tcPr>
            <w:tcW w:w="1940" w:type="dxa"/>
            <w:vAlign w:val="bottom"/>
            <w:gridSpan w:val="6"/>
          </w:tcPr>
          <w:p>
            <w:pPr>
              <w:ind w:left="40"/>
              <w:spacing w:after="0"/>
              <w:rPr>
                <w:sz w:val="20"/>
                <w:szCs w:val="20"/>
                <w:color w:val="auto"/>
              </w:rPr>
            </w:pPr>
            <w:r>
              <w:rPr>
                <w:rFonts w:ascii="Arial" w:cs="Arial" w:eastAsia="Arial" w:hAnsi="Arial"/>
                <w:sz w:val="16"/>
                <w:szCs w:val="16"/>
                <w:color w:val="auto"/>
              </w:rPr>
              <w:t>Address of Landlord</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See Section 29.18 of the Lease.</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940" w:type="dxa"/>
            <w:vAlign w:val="bottom"/>
            <w:gridSpan w:val="6"/>
          </w:tcPr>
          <w:p>
            <w:pPr>
              <w:ind w:left="60"/>
              <w:spacing w:after="0" w:line="168" w:lineRule="exact"/>
              <w:rPr>
                <w:sz w:val="20"/>
                <w:szCs w:val="20"/>
                <w:color w:val="auto"/>
              </w:rPr>
            </w:pPr>
            <w:r>
              <w:rPr>
                <w:rFonts w:ascii="Arial" w:cs="Arial" w:eastAsia="Arial" w:hAnsi="Arial"/>
                <w:sz w:val="16"/>
                <w:szCs w:val="16"/>
                <w:color w:val="auto"/>
              </w:rPr>
              <w:t>(Section 29.18):</w:t>
            </w:r>
          </w:p>
        </w:tc>
        <w:tc>
          <w:tcPr>
            <w:tcW w:w="8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40" w:type="dxa"/>
            <w:vAlign w:val="bottom"/>
          </w:tcPr>
          <w:p>
            <w:pPr>
              <w:spacing w:after="0"/>
              <w:rPr>
                <w:sz w:val="20"/>
                <w:szCs w:val="20"/>
                <w:color w:val="auto"/>
              </w:rPr>
            </w:pPr>
            <w:r>
              <w:rPr>
                <w:rFonts w:ascii="Arial" w:cs="Arial" w:eastAsia="Arial" w:hAnsi="Arial"/>
                <w:sz w:val="16"/>
                <w:szCs w:val="16"/>
                <w:color w:val="auto"/>
                <w:w w:val="98"/>
              </w:rPr>
              <w:t>12.</w:t>
            </w:r>
          </w:p>
        </w:tc>
        <w:tc>
          <w:tcPr>
            <w:tcW w:w="1940" w:type="dxa"/>
            <w:vAlign w:val="bottom"/>
            <w:gridSpan w:val="6"/>
          </w:tcPr>
          <w:p>
            <w:pPr>
              <w:ind w:left="60"/>
              <w:spacing w:after="0"/>
              <w:rPr>
                <w:sz w:val="20"/>
                <w:szCs w:val="20"/>
                <w:color w:val="auto"/>
              </w:rPr>
            </w:pPr>
            <w:r>
              <w:rPr>
                <w:rFonts w:ascii="Arial" w:cs="Arial" w:eastAsia="Arial" w:hAnsi="Arial"/>
                <w:sz w:val="16"/>
                <w:szCs w:val="16"/>
                <w:color w:val="auto"/>
              </w:rPr>
              <w:t>Broker(s)</w:t>
            </w:r>
          </w:p>
        </w:tc>
        <w:tc>
          <w:tcPr>
            <w:tcW w:w="7320" w:type="dxa"/>
            <w:vAlign w:val="bottom"/>
            <w:gridSpan w:val="5"/>
          </w:tcPr>
          <w:p>
            <w:pPr>
              <w:ind w:left="600"/>
              <w:spacing w:after="0"/>
              <w:rPr>
                <w:sz w:val="20"/>
                <w:szCs w:val="20"/>
                <w:color w:val="auto"/>
              </w:rPr>
            </w:pPr>
            <w:r>
              <w:rPr>
                <w:rFonts w:ascii="Arial" w:cs="Arial" w:eastAsia="Arial" w:hAnsi="Arial"/>
                <w:sz w:val="16"/>
                <w:szCs w:val="16"/>
                <w:color w:val="auto"/>
              </w:rPr>
              <w:t>Newmark Cornish &amp; Carey</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1940" w:type="dxa"/>
            <w:vAlign w:val="bottom"/>
            <w:gridSpan w:val="6"/>
          </w:tcPr>
          <w:p>
            <w:pPr>
              <w:ind w:left="60"/>
              <w:spacing w:after="0" w:line="166" w:lineRule="exact"/>
              <w:rPr>
                <w:sz w:val="20"/>
                <w:szCs w:val="20"/>
                <w:color w:val="auto"/>
              </w:rPr>
            </w:pPr>
            <w:r>
              <w:rPr>
                <w:rFonts w:ascii="Arial" w:cs="Arial" w:eastAsia="Arial" w:hAnsi="Arial"/>
                <w:sz w:val="16"/>
                <w:szCs w:val="16"/>
                <w:color w:val="auto"/>
              </w:rPr>
              <w:t>(Section 29.24):</w:t>
            </w:r>
          </w:p>
        </w:tc>
        <w:tc>
          <w:tcPr>
            <w:tcW w:w="7320" w:type="dxa"/>
            <w:vAlign w:val="bottom"/>
            <w:gridSpan w:val="5"/>
            <w:vMerge w:val="restart"/>
          </w:tcPr>
          <w:p>
            <w:pPr>
              <w:ind w:left="600"/>
              <w:spacing w:after="0"/>
              <w:rPr>
                <w:sz w:val="20"/>
                <w:szCs w:val="20"/>
                <w:color w:val="auto"/>
              </w:rPr>
            </w:pPr>
            <w:r>
              <w:rPr>
                <w:rFonts w:ascii="Arial" w:cs="Arial" w:eastAsia="Arial" w:hAnsi="Arial"/>
                <w:sz w:val="16"/>
                <w:szCs w:val="16"/>
                <w:color w:val="auto"/>
              </w:rPr>
              <w:t>and</w:t>
            </w:r>
          </w:p>
        </w:tc>
        <w:tc>
          <w:tcPr>
            <w:tcW w:w="0" w:type="dxa"/>
            <w:vAlign w:val="bottom"/>
          </w:tcPr>
          <w:p>
            <w:pPr>
              <w:spacing w:after="0"/>
              <w:rPr>
                <w:sz w:val="1"/>
                <w:szCs w:val="1"/>
                <w:color w:val="auto"/>
              </w:rPr>
            </w:pPr>
          </w:p>
        </w:tc>
      </w:tr>
      <w:tr>
        <w:trPr>
          <w:trHeight w:val="120"/>
        </w:trPr>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73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780"/>
        <w:spacing w:after="0"/>
        <w:rPr>
          <w:sz w:val="20"/>
          <w:szCs w:val="20"/>
          <w:color w:val="auto"/>
        </w:rPr>
      </w:pPr>
      <w:r>
        <w:rPr>
          <w:rFonts w:ascii="Arial" w:cs="Arial" w:eastAsia="Arial" w:hAnsi="Arial"/>
          <w:sz w:val="16"/>
          <w:szCs w:val="16"/>
          <w:color w:val="auto"/>
        </w:rPr>
        <w:t>CBRE, Inc.</w:t>
      </w:r>
    </w:p>
    <w:p>
      <w:pPr>
        <w:sectPr>
          <w:pgSz w:w="11900" w:h="16838" w:orient="portrait"/>
          <w:cols w:equalWidth="0" w:num="1">
            <w:col w:w="9500"/>
          </w:cols>
          <w:pgMar w:left="1140" w:top="351" w:right="1259" w:bottom="1440" w:gutter="0" w:footer="0" w:header="0"/>
        </w:sectPr>
      </w:pPr>
    </w:p>
    <w:bookmarkStart w:id="356" w:name="page357"/>
    <w:bookmarkEnd w:id="356"/>
    <w:p>
      <w:pPr>
        <w:ind w:left="386" w:right="5140" w:hanging="386"/>
        <w:spacing w:after="0" w:line="524" w:lineRule="auto"/>
        <w:tabs>
          <w:tab w:leader="none" w:pos="159" w:val="left"/>
        </w:tabs>
        <w:numPr>
          <w:ilvl w:val="0"/>
          <w:numId w:val="24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PREMISES, BUILDING, PROJECT, AND COMMON AREAS. </w:t>
      </w:r>
      <w:r>
        <w:rPr>
          <w:rFonts w:ascii="Arial" w:cs="Arial" w:eastAsia="Arial" w:hAnsi="Arial"/>
          <w:sz w:val="15"/>
          <w:szCs w:val="15"/>
          <w:color w:val="auto"/>
        </w:rPr>
        <w:t xml:space="preserve">1.1 </w:t>
      </w:r>
      <w:r>
        <w:rPr>
          <w:rFonts w:ascii="Arial" w:cs="Arial" w:eastAsia="Arial" w:hAnsi="Arial"/>
          <w:sz w:val="15"/>
          <w:szCs w:val="15"/>
          <w:b w:val="1"/>
          <w:bCs w:val="1"/>
          <w:u w:val="single" w:color="auto"/>
          <w:color w:val="auto"/>
        </w:rPr>
        <w:t>Premises, Building, Project and Common Areas</w:t>
      </w:r>
      <w:r>
        <w:rPr>
          <w:rFonts w:ascii="Arial" w:cs="Arial" w:eastAsia="Arial" w:hAnsi="Arial"/>
          <w:sz w:val="15"/>
          <w:szCs w:val="15"/>
          <w:color w:val="auto"/>
        </w:rPr>
        <w:t>.</w:t>
      </w:r>
    </w:p>
    <w:p>
      <w:pPr>
        <w:spacing w:after="0" w:line="1" w:lineRule="exact"/>
        <w:rPr>
          <w:sz w:val="20"/>
          <w:szCs w:val="20"/>
          <w:color w:val="auto"/>
        </w:rPr>
      </w:pPr>
    </w:p>
    <w:p>
      <w:pPr>
        <w:ind w:left="6" w:firstLine="866"/>
        <w:spacing w:after="0" w:line="307"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b w:val="1"/>
          <w:bCs w:val="1"/>
          <w:u w:val="single" w:color="auto"/>
          <w:color w:val="auto"/>
        </w:rPr>
        <w:t>The Premises</w:t>
      </w:r>
      <w:r>
        <w:rPr>
          <w:rFonts w:ascii="Arial" w:cs="Arial" w:eastAsia="Arial" w:hAnsi="Arial"/>
          <w:sz w:val="13"/>
          <w:szCs w:val="13"/>
          <w:color w:val="auto"/>
        </w:rPr>
        <w:t xml:space="preserve">. Landlord hereby leases to Tenant and Tenant hereby leases from Landlord the premises set forth in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Premises</w:t>
      </w:r>
      <w:r>
        <w:rPr>
          <w:rFonts w:ascii="Arial" w:cs="Arial" w:eastAsia="Arial" w:hAnsi="Arial"/>
          <w:sz w:val="13"/>
          <w:szCs w:val="13"/>
          <w:color w:val="auto"/>
        </w:rPr>
        <w:t xml:space="preserve">”). The outline of the Premises is set forth in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attached hereto. The outline of the “Building” and the “Project,” as those terms are defined in </w:t>
      </w:r>
      <w:r>
        <w:rPr>
          <w:rFonts w:ascii="Arial" w:cs="Arial" w:eastAsia="Arial" w:hAnsi="Arial"/>
          <w:sz w:val="13"/>
          <w:szCs w:val="13"/>
          <w:u w:val="single" w:color="auto"/>
          <w:color w:val="auto"/>
        </w:rPr>
        <w:t>Section 1.1.2</w:t>
      </w:r>
      <w:r>
        <w:rPr>
          <w:rFonts w:ascii="Arial" w:cs="Arial" w:eastAsia="Arial" w:hAnsi="Arial"/>
          <w:sz w:val="13"/>
          <w:szCs w:val="13"/>
          <w:color w:val="auto"/>
        </w:rPr>
        <w:t xml:space="preserve"> below, are further depicted on the Site Plan attached hereto as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The parties hereto hereby acknowledge that the purpose of </w:t>
      </w:r>
      <w:r>
        <w:rPr>
          <w:rFonts w:ascii="Arial" w:cs="Arial" w:eastAsia="Arial" w:hAnsi="Arial"/>
          <w:sz w:val="13"/>
          <w:szCs w:val="13"/>
          <w:b w:val="1"/>
          <w:bCs w:val="1"/>
          <w:u w:val="single" w:color="auto"/>
          <w:color w:val="auto"/>
        </w:rPr>
        <w:t>Exhibit A</w:t>
      </w:r>
      <w:r>
        <w:rPr>
          <w:rFonts w:ascii="Arial" w:cs="Arial" w:eastAsia="Arial" w:hAnsi="Arial"/>
          <w:sz w:val="13"/>
          <w:szCs w:val="13"/>
          <w:color w:val="auto"/>
        </w:rPr>
        <w:t xml:space="preserve"> is to show the approximate location of the Premises only, and such Exhibit is not meant to constitute an agreement, representation or warranty as to the construction of the Premises, the precise area thereof or the specific location of the “Common Areas,” as that term is defined in </w:t>
      </w:r>
      <w:r>
        <w:rPr>
          <w:rFonts w:ascii="Arial" w:cs="Arial" w:eastAsia="Arial" w:hAnsi="Arial"/>
          <w:sz w:val="13"/>
          <w:szCs w:val="13"/>
          <w:u w:val="single" w:color="auto"/>
          <w:color w:val="auto"/>
        </w:rPr>
        <w:t>Section 1.1.3</w:t>
      </w:r>
      <w:r>
        <w:rPr>
          <w:rFonts w:ascii="Arial" w:cs="Arial" w:eastAsia="Arial" w:hAnsi="Arial"/>
          <w:sz w:val="13"/>
          <w:szCs w:val="13"/>
          <w:color w:val="auto"/>
        </w:rPr>
        <w:t xml:space="preserve">, below, or the elements thereof or of the accessways to the Premises or the “Project,” as that term is defined in </w:t>
      </w:r>
      <w:r>
        <w:rPr>
          <w:rFonts w:ascii="Arial" w:cs="Arial" w:eastAsia="Arial" w:hAnsi="Arial"/>
          <w:sz w:val="13"/>
          <w:szCs w:val="13"/>
          <w:u w:val="single" w:color="auto"/>
          <w:color w:val="auto"/>
        </w:rPr>
        <w:t>Section 1.1.2</w:t>
      </w:r>
      <w:r>
        <w:rPr>
          <w:rFonts w:ascii="Arial" w:cs="Arial" w:eastAsia="Arial" w:hAnsi="Arial"/>
          <w:sz w:val="13"/>
          <w:szCs w:val="13"/>
          <w:color w:val="auto"/>
        </w:rPr>
        <w:t xml:space="preserve">, below, and that the square footage of the Premises shall be as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of the Summary of Basic Lease Information. Except as specifically set forth in this Lease and in the Tenant Work Letter attached hereto as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Tenant Work Letter</w:t>
      </w:r>
      <w:r>
        <w:rPr>
          <w:rFonts w:ascii="Arial" w:cs="Arial" w:eastAsia="Arial" w:hAnsi="Arial"/>
          <w:sz w:val="13"/>
          <w:szCs w:val="13"/>
          <w:color w:val="auto"/>
        </w:rPr>
        <w:t>”),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For purposes of Section 1938 of the California Civil Code, Landlord hereby discloses to Tenant, and Tenant hereby acknowledges, that the Building and Premises have not undergone inspection by a Certified Access Specialist (CASp). Landlord shall deliver the Premises to Tenant in good, vacant, broom clean condition, in compliance with all Applicable Laws, with the roof water-tight and shall cause the plumbing, electrical systems, fire sprinkler system, lighting, and all other building systems serving the Premises, including the Generator, in good operating condition and repair on or before the Lease Commencement Date, or such earlier date as Landlord and Tenant mutually agree. Landlord will be responsible for causing the exterior of the Building, the existing Building entrances, and all exterior Common Areas (including required striping and handicapped spaces in the parking areas) to be in compliance with ADA and parking requirements, to the extent required to allow the legal occupancy of the Premises or completion of the Tenant Improvements.</w:t>
      </w:r>
    </w:p>
    <w:p>
      <w:pPr>
        <w:spacing w:after="0" w:line="200" w:lineRule="exact"/>
        <w:rPr>
          <w:sz w:val="20"/>
          <w:szCs w:val="20"/>
          <w:color w:val="auto"/>
        </w:rPr>
      </w:pPr>
    </w:p>
    <w:p>
      <w:pPr>
        <w:spacing w:after="0" w:line="317" w:lineRule="exact"/>
        <w:rPr>
          <w:sz w:val="20"/>
          <w:szCs w:val="20"/>
          <w:color w:val="auto"/>
        </w:rPr>
      </w:pPr>
    </w:p>
    <w:p>
      <w:pPr>
        <w:ind w:left="6" w:right="200" w:firstLine="866"/>
        <w:spacing w:after="0" w:line="315"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u w:val="single" w:color="auto"/>
          <w:color w:val="auto"/>
        </w:rPr>
        <w:t>The Building and The Project</w:t>
      </w:r>
      <w:r>
        <w:rPr>
          <w:rFonts w:ascii="Arial" w:cs="Arial" w:eastAsia="Arial" w:hAnsi="Arial"/>
          <w:sz w:val="13"/>
          <w:szCs w:val="13"/>
          <w:color w:val="auto"/>
        </w:rPr>
        <w:t xml:space="preserve">. The Premises constitutes the space set forth in </w:t>
      </w:r>
      <w:r>
        <w:rPr>
          <w:rFonts w:ascii="Arial" w:cs="Arial" w:eastAsia="Arial" w:hAnsi="Arial"/>
          <w:sz w:val="13"/>
          <w:szCs w:val="13"/>
          <w:u w:val="single" w:color="auto"/>
          <w:color w:val="auto"/>
        </w:rPr>
        <w:t>Section 2.1</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Building</w:t>
      </w:r>
      <w:r>
        <w:rPr>
          <w:rFonts w:ascii="Arial" w:cs="Arial" w:eastAsia="Arial" w:hAnsi="Arial"/>
          <w:sz w:val="13"/>
          <w:szCs w:val="13"/>
          <w:color w:val="auto"/>
        </w:rPr>
        <w:t>”). The Building is part of an office/laboratory project currently known as “The Cove at Oyster Point.” The term “</w:t>
      </w:r>
      <w:r>
        <w:rPr>
          <w:rFonts w:ascii="Arial" w:cs="Arial" w:eastAsia="Arial" w:hAnsi="Arial"/>
          <w:sz w:val="13"/>
          <w:szCs w:val="13"/>
          <w:b w:val="1"/>
          <w:bCs w:val="1"/>
          <w:color w:val="auto"/>
        </w:rPr>
        <w:t>Project</w:t>
      </w:r>
      <w:r>
        <w:rPr>
          <w:rFonts w:ascii="Arial" w:cs="Arial" w:eastAsia="Arial" w:hAnsi="Arial"/>
          <w:sz w:val="13"/>
          <w:szCs w:val="13"/>
          <w:color w:val="auto"/>
        </w:rPr>
        <w:t>,” as used in this Lease, shall mean</w:t>
      </w:r>
    </w:p>
    <w:p>
      <w:pPr>
        <w:ind w:left="6" w:right="160" w:hanging="6"/>
        <w:spacing w:after="0" w:line="323" w:lineRule="auto"/>
        <w:tabs>
          <w:tab w:leader="none" w:pos="194" w:val="left"/>
        </w:tabs>
        <w:numPr>
          <w:ilvl w:val="0"/>
          <w:numId w:val="244"/>
        </w:numPr>
        <w:rPr>
          <w:rFonts w:ascii="Arial" w:cs="Arial" w:eastAsia="Arial" w:hAnsi="Arial"/>
          <w:sz w:val="13"/>
          <w:szCs w:val="13"/>
          <w:color w:val="auto"/>
        </w:rPr>
      </w:pPr>
      <w:r>
        <w:rPr>
          <w:rFonts w:ascii="Arial" w:cs="Arial" w:eastAsia="Arial" w:hAnsi="Arial"/>
          <w:sz w:val="13"/>
          <w:szCs w:val="13"/>
          <w:color w:val="auto"/>
        </w:rPr>
        <w:t>the Building and the Common Areas, (ii) the land (which is improved with landscaping, parking facilities and other improvements) upon which the Building and the Common Areas are located, (iii) the other office/laboratory buildings located at The Cove at Oyster Point, and the land upon which such adjacent office/laboratory buildings are located, and (iv) at Landlord’s discretion, any additional real property, areas, land, buildings or other improvements added thereto outside of the Project (provided that any such additions do not increase Tenant’s obligations under this Lease).</w:t>
      </w:r>
    </w:p>
    <w:p>
      <w:pPr>
        <w:spacing w:after="0" w:line="123" w:lineRule="exact"/>
        <w:rPr>
          <w:sz w:val="20"/>
          <w:szCs w:val="20"/>
          <w:color w:val="auto"/>
        </w:rPr>
      </w:pPr>
    </w:p>
    <w:p>
      <w:pPr>
        <w:ind w:left="6" w:firstLine="866"/>
        <w:spacing w:after="0" w:line="312"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b w:val="1"/>
          <w:bCs w:val="1"/>
          <w:u w:val="single" w:color="auto"/>
          <w:color w:val="auto"/>
        </w:rPr>
        <w:t>Common Areas</w:t>
      </w:r>
      <w:r>
        <w:rPr>
          <w:rFonts w:ascii="Arial" w:cs="Arial" w:eastAsia="Arial" w:hAnsi="Arial"/>
          <w:sz w:val="13"/>
          <w:szCs w:val="13"/>
          <w:color w:val="auto"/>
        </w:rPr>
        <w:t xml:space="preserve">. Tenant shall have the non-exclusive right to use in common with other tenants in the Project, and subject to the rules and regulations referred to in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of this Lease, those portions of the Project which are provided, from time to time, for use in common by Landlord, Tenant and any other tenants of the Project, which shall include the shipping and receiving area in the Building (such areas, together with such other portions of the Project designated by Landlord, in its discretion, are collectively referred to herein as the “</w:t>
      </w:r>
      <w:r>
        <w:rPr>
          <w:rFonts w:ascii="Arial" w:cs="Arial" w:eastAsia="Arial" w:hAnsi="Arial"/>
          <w:sz w:val="13"/>
          <w:szCs w:val="13"/>
          <w:b w:val="1"/>
          <w:bCs w:val="1"/>
          <w:color w:val="auto"/>
        </w:rPr>
        <w:t>Common Areas</w:t>
      </w:r>
      <w:r>
        <w:rPr>
          <w:rFonts w:ascii="Arial" w:cs="Arial" w:eastAsia="Arial" w:hAnsi="Arial"/>
          <w:sz w:val="13"/>
          <w:szCs w:val="13"/>
          <w:color w:val="auto"/>
        </w:rPr>
        <w:t>”). Landlord shall maintain and operate the Common Areas, including all sprinkler and other systems serving the Common Areas, in a first class manner, and the use thereof shall be subject to such rules, regulations and restrictions as Landlord may reasonably make from time to time. Landlord reserves the right to close temporarily, make alterations or additions to, or change the location of elements of the Project and the Common Areas, provided that in connection therewith Landlord will use commercially reasonable efforts to minimize any interference with Tenant’s use of and access to the Premises and parking areas. Landlord hereby acknowledges that as of the date of this Lease Landlord is planning to construct and operate an amenities center in the Project for use by the tenants of the Project during the Lease Term, and in connection therewith Landlord agrees to utilize commercially reasonable efforts to operate and maintain such amenities center (which amenities center shall include a café) throughout the</w:t>
      </w:r>
    </w:p>
    <w:p>
      <w:pPr>
        <w:sectPr>
          <w:pgSz w:w="11900" w:h="16838" w:orient="portrait"/>
          <w:cols w:equalWidth="0" w:num="1">
            <w:col w:w="9606"/>
          </w:cols>
          <w:pgMar w:left="1134" w:top="252" w:right="1159" w:bottom="1440" w:gutter="0" w:footer="0" w:header="0"/>
        </w:sectPr>
      </w:pPr>
    </w:p>
    <w:bookmarkStart w:id="357" w:name="page358"/>
    <w:bookmarkEnd w:id="357"/>
    <w:p>
      <w:pPr>
        <w:ind w:left="6" w:right="8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Lease Term (provided that Tenant acknowledges that the amenities center is currently anticipated to begin operations after the Lease Commencement Date); provided, however, Tenant nevertheless acknowledges herby that if despite such commercially reasonable efforts Landlord is unable for any reason to maintain continuous operation of the amenities center during the Lease Term, in no event shall such failure be deemed a default of the Lease, nor shall such failure impact the validity of this Lease and Landlord shall not be subject to any liability for such failure, provided that in such event Landlord shall utilize commercially reasonable efforts to provide replacement food services to Tenant (e.g., an on-site café in a different location or the routine scheduling of food trucks to the Project).</w:t>
      </w:r>
    </w:p>
    <w:p>
      <w:pPr>
        <w:spacing w:after="0" w:line="167" w:lineRule="exact"/>
        <w:rPr>
          <w:sz w:val="20"/>
          <w:szCs w:val="20"/>
          <w:color w:val="auto"/>
        </w:rPr>
      </w:pPr>
    </w:p>
    <w:p>
      <w:pPr>
        <w:ind w:left="6" w:firstLine="385"/>
        <w:spacing w:after="0" w:line="312"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b w:val="1"/>
          <w:bCs w:val="1"/>
          <w:u w:val="single" w:color="auto"/>
          <w:color w:val="auto"/>
        </w:rPr>
        <w:t>Rentable Square Feet of Premises</w:t>
      </w:r>
      <w:r>
        <w:rPr>
          <w:rFonts w:ascii="Arial" w:cs="Arial" w:eastAsia="Arial" w:hAnsi="Arial"/>
          <w:sz w:val="13"/>
          <w:szCs w:val="13"/>
          <w:color w:val="auto"/>
        </w:rPr>
        <w:t xml:space="preserve">. Tenant hereby acknowledges and agrees that Landlord shall have the one-time right during the Lease Term to remeasure the rentable square footage of the Premises and/or Building in accordance with the terms of this </w:t>
      </w:r>
      <w:r>
        <w:rPr>
          <w:rFonts w:ascii="Arial" w:cs="Arial" w:eastAsia="Arial" w:hAnsi="Arial"/>
          <w:sz w:val="13"/>
          <w:szCs w:val="13"/>
          <w:u w:val="single" w:color="auto"/>
          <w:color w:val="auto"/>
        </w:rPr>
        <w:t>Section 1.2</w:t>
      </w:r>
      <w:r>
        <w:rPr>
          <w:rFonts w:ascii="Arial" w:cs="Arial" w:eastAsia="Arial" w:hAnsi="Arial"/>
          <w:sz w:val="13"/>
          <w:szCs w:val="13"/>
          <w:color w:val="auto"/>
        </w:rPr>
        <w:t>. Any such remeasurement shall be determined in accordance with the standards set forth in ANSI Z65.1-2010, as promulgated by the Building Owners and Managers Association (the “</w:t>
      </w:r>
      <w:r>
        <w:rPr>
          <w:rFonts w:ascii="Arial" w:cs="Arial" w:eastAsia="Arial" w:hAnsi="Arial"/>
          <w:sz w:val="13"/>
          <w:szCs w:val="13"/>
          <w:b w:val="1"/>
          <w:bCs w:val="1"/>
          <w:color w:val="auto"/>
        </w:rPr>
        <w:t>BOMA Standard</w:t>
      </w:r>
      <w:r>
        <w:rPr>
          <w:rFonts w:ascii="Arial" w:cs="Arial" w:eastAsia="Arial" w:hAnsi="Arial"/>
          <w:sz w:val="13"/>
          <w:szCs w:val="13"/>
          <w:color w:val="auto"/>
        </w:rPr>
        <w:t>”), and subject to related guidelines applicable thereto. Landlord’s space planner/architect shall certify any such remeasurement and shall provide reasonable documentation to Tenant for Tenant’s review following such remeasurement. In the event that Landlord’s space planner/architect determines that the rentable square footage of the Premises and/or Building are different from those set forth in this Lease, all amounts, percentages and figures appearing or referred to in this Lease based upon such amounts (including, without limitation, the amount of the Base Rent, Tenant Improvement Allowance, First Additional TI Allowance, Second Additional TI Allowance, and Tenant’s Share) shall be modified in accordance with such determination, provided that Landlord and Tenant hereby acknowledge and agree that the rentable square footage of the Premises shall not increase by more than one percent (1%) from the rentable square footage set forth in Section 2.2 of the Summary. If such determination is made, it will be confirmed in writing by Landlord to Tenant.</w:t>
      </w:r>
    </w:p>
    <w:p>
      <w:pPr>
        <w:spacing w:after="0" w:line="32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 LEASE TERM; OPTION TERM.</w:t>
      </w:r>
    </w:p>
    <w:p>
      <w:pPr>
        <w:spacing w:after="0" w:line="193" w:lineRule="exact"/>
        <w:rPr>
          <w:sz w:val="20"/>
          <w:szCs w:val="20"/>
          <w:color w:val="auto"/>
        </w:rPr>
      </w:pPr>
    </w:p>
    <w:p>
      <w:pPr>
        <w:ind w:left="6" w:right="20" w:firstLine="385"/>
        <w:spacing w:after="0" w:line="309"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b w:val="1"/>
          <w:bCs w:val="1"/>
          <w:u w:val="single" w:color="auto"/>
          <w:color w:val="auto"/>
        </w:rPr>
        <w:t>Lease Term</w:t>
      </w:r>
      <w:r>
        <w:rPr>
          <w:rFonts w:ascii="Arial" w:cs="Arial" w:eastAsia="Arial" w:hAnsi="Arial"/>
          <w:sz w:val="13"/>
          <w:szCs w:val="13"/>
          <w:color w:val="auto"/>
        </w:rPr>
        <w:t>. The terms and provisions of this Lease shall be effective as of the date of this Lease. The term of this Lease (the “</w:t>
      </w:r>
      <w:r>
        <w:rPr>
          <w:rFonts w:ascii="Arial" w:cs="Arial" w:eastAsia="Arial" w:hAnsi="Arial"/>
          <w:sz w:val="13"/>
          <w:szCs w:val="13"/>
          <w:b w:val="1"/>
          <w:bCs w:val="1"/>
          <w:color w:val="auto"/>
        </w:rPr>
        <w:t>Lease Term</w:t>
      </w:r>
      <w:r>
        <w:rPr>
          <w:rFonts w:ascii="Arial" w:cs="Arial" w:eastAsia="Arial" w:hAnsi="Arial"/>
          <w:sz w:val="13"/>
          <w:szCs w:val="13"/>
          <w:color w:val="auto"/>
        </w:rPr>
        <w:t xml:space="preserve">”) shall be as set forth in </w:t>
      </w:r>
      <w:r>
        <w:rPr>
          <w:rFonts w:ascii="Arial" w:cs="Arial" w:eastAsia="Arial" w:hAnsi="Arial"/>
          <w:sz w:val="13"/>
          <w:szCs w:val="13"/>
          <w:u w:val="single" w:color="auto"/>
          <w:color w:val="auto"/>
        </w:rPr>
        <w:t>Section 3.1</w:t>
      </w:r>
      <w:r>
        <w:rPr>
          <w:rFonts w:ascii="Arial" w:cs="Arial" w:eastAsia="Arial" w:hAnsi="Arial"/>
          <w:sz w:val="13"/>
          <w:szCs w:val="13"/>
          <w:color w:val="auto"/>
        </w:rPr>
        <w:t xml:space="preserve"> of the Summary, shall commence on the date set forth in </w:t>
      </w:r>
      <w:r>
        <w:rPr>
          <w:rFonts w:ascii="Arial" w:cs="Arial" w:eastAsia="Arial" w:hAnsi="Arial"/>
          <w:sz w:val="13"/>
          <w:szCs w:val="13"/>
          <w:u w:val="single" w:color="auto"/>
          <w:color w:val="auto"/>
        </w:rPr>
        <w:t>Section 3.2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Lease Commencement</w:t>
      </w:r>
      <w:r>
        <w:rPr>
          <w:rFonts w:ascii="Arial" w:cs="Arial" w:eastAsia="Arial" w:hAnsi="Arial"/>
          <w:sz w:val="13"/>
          <w:szCs w:val="13"/>
          <w:color w:val="auto"/>
        </w:rPr>
        <w:t xml:space="preserve"> </w:t>
      </w:r>
      <w:r>
        <w:rPr>
          <w:rFonts w:ascii="Arial" w:cs="Arial" w:eastAsia="Arial" w:hAnsi="Arial"/>
          <w:sz w:val="13"/>
          <w:szCs w:val="13"/>
          <w:b w:val="1"/>
          <w:bCs w:val="1"/>
          <w:color w:val="auto"/>
        </w:rPr>
        <w:t>Date</w:t>
      </w:r>
      <w:r>
        <w:rPr>
          <w:rFonts w:ascii="Arial" w:cs="Arial" w:eastAsia="Arial" w:hAnsi="Arial"/>
          <w:sz w:val="13"/>
          <w:szCs w:val="13"/>
          <w:color w:val="auto"/>
        </w:rPr>
        <w:t>”), and shall terminate on the date set forth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3.3</w:t>
      </w:r>
      <w:r>
        <w:rPr>
          <w:rFonts w:ascii="Arial" w:cs="Arial" w:eastAsia="Arial" w:hAnsi="Arial"/>
          <w:sz w:val="13"/>
          <w:szCs w:val="13"/>
          <w:b w:val="1"/>
          <w:bCs w:val="1"/>
          <w:color w:val="auto"/>
        </w:rPr>
        <w:t xml:space="preserve"> </w:t>
      </w:r>
      <w:r>
        <w:rPr>
          <w:rFonts w:ascii="Arial" w:cs="Arial" w:eastAsia="Arial" w:hAnsi="Arial"/>
          <w:sz w:val="13"/>
          <w:szCs w:val="13"/>
          <w:color w:val="auto"/>
        </w:rPr>
        <w:t>of the Summary (the “</w:t>
      </w:r>
      <w:r>
        <w:rPr>
          <w:rFonts w:ascii="Arial" w:cs="Arial" w:eastAsia="Arial" w:hAnsi="Arial"/>
          <w:sz w:val="13"/>
          <w:szCs w:val="13"/>
          <w:b w:val="1"/>
          <w:bCs w:val="1"/>
          <w:color w:val="auto"/>
        </w:rPr>
        <w:t>Lease Expiration Date</w:t>
      </w:r>
      <w:r>
        <w:rPr>
          <w:rFonts w:ascii="Arial" w:cs="Arial" w:eastAsia="Arial" w:hAnsi="Arial"/>
          <w:sz w:val="13"/>
          <w:szCs w:val="13"/>
          <w:color w:val="auto"/>
        </w:rPr>
        <w:t>”) unless this Lease is sooner terminated as</w:t>
      </w:r>
      <w:r>
        <w:rPr>
          <w:rFonts w:ascii="Arial" w:cs="Arial" w:eastAsia="Arial" w:hAnsi="Arial"/>
          <w:sz w:val="13"/>
          <w:szCs w:val="13"/>
          <w:b w:val="1"/>
          <w:bCs w:val="1"/>
          <w:color w:val="auto"/>
        </w:rPr>
        <w:t xml:space="preserve"> </w:t>
      </w:r>
      <w:r>
        <w:rPr>
          <w:rFonts w:ascii="Arial" w:cs="Arial" w:eastAsia="Arial" w:hAnsi="Arial"/>
          <w:sz w:val="13"/>
          <w:szCs w:val="13"/>
          <w:color w:val="auto"/>
        </w:rPr>
        <w:t>hereinafter provided. For purposes of this Lease, the term “</w:t>
      </w:r>
      <w:r>
        <w:rPr>
          <w:rFonts w:ascii="Arial" w:cs="Arial" w:eastAsia="Arial" w:hAnsi="Arial"/>
          <w:sz w:val="13"/>
          <w:szCs w:val="13"/>
          <w:b w:val="1"/>
          <w:bCs w:val="1"/>
          <w:color w:val="auto"/>
        </w:rPr>
        <w:t>Lease Year</w:t>
      </w:r>
      <w:r>
        <w:rPr>
          <w:rFonts w:ascii="Arial" w:cs="Arial" w:eastAsia="Arial" w:hAnsi="Arial"/>
          <w:sz w:val="13"/>
          <w:szCs w:val="13"/>
          <w:color w:val="auto"/>
        </w:rPr>
        <w:t xml:space="preserve">” shall mean each consecutive twelve (12) month period during the Lease Term. At any time during the Lease Term, Landlord may deliver to Tenant a notice in the form as set forth in </w:t>
      </w:r>
      <w:r>
        <w:rPr>
          <w:rFonts w:ascii="Arial" w:cs="Arial" w:eastAsia="Arial" w:hAnsi="Arial"/>
          <w:sz w:val="13"/>
          <w:szCs w:val="13"/>
          <w:b w:val="1"/>
          <w:bCs w:val="1"/>
          <w:u w:val="single" w:color="auto"/>
          <w:color w:val="auto"/>
        </w:rPr>
        <w:t>Exhibit C</w:t>
      </w:r>
      <w:r>
        <w:rPr>
          <w:rFonts w:ascii="Arial" w:cs="Arial" w:eastAsia="Arial" w:hAnsi="Arial"/>
          <w:sz w:val="13"/>
          <w:szCs w:val="13"/>
          <w:color w:val="auto"/>
        </w:rPr>
        <w:t xml:space="preserve">, attached hereto, as a confirmation only of the information set forth therein, which Tenant shall execute and return to Landlord within five (5) days of receipt thereof. Notwithstanding the foregoing, if Landlord has not delivered possession of the Premises in the condition required by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above, (1) on or before September 1, 2017, then, as Tenant’s sole remedy for such delay, the date Tenant is otherwise obligated to commence payment of rent shall be delayed by one day for each day that the delivery date is delayed beyond such date, or (2) January 1, 2018, then, Tenant shall also have the right to terminate this Lease by written notice thereof to Landlord, whereupon any monies previously paid by Tenant to Landlord shall be reimbursed to Tenant. The foregoing dates shall be extended to the extent of any delays in delivery of possession caused by (i) Tenant Delay, as provided in </w:t>
      </w:r>
      <w:r>
        <w:rPr>
          <w:rFonts w:ascii="Arial" w:cs="Arial" w:eastAsia="Arial" w:hAnsi="Arial"/>
          <w:sz w:val="13"/>
          <w:szCs w:val="13"/>
          <w:u w:val="single" w:color="auto"/>
          <w:color w:val="auto"/>
        </w:rPr>
        <w:t>Section 1(j)</w:t>
      </w:r>
      <w:r>
        <w:rPr>
          <w:rFonts w:ascii="Arial" w:cs="Arial" w:eastAsia="Arial" w:hAnsi="Arial"/>
          <w:sz w:val="13"/>
          <w:szCs w:val="13"/>
          <w:color w:val="auto"/>
        </w:rPr>
        <w:t xml:space="preserve"> of the Tenant Work Letter, or (ii) war, terrorism, acts of God, natural disaster, civil unrest, governmental strike or area-wide or industry-wide labor disputes, inability to obtain services, labor, or materials or reasonable substitutes therefor, or delays due to utility companies that are not the result of any action or inaction of Landlord (provided that any such delay in this item (ii) shall not extend any such date by more than ninety (90) days).</w:t>
      </w:r>
    </w:p>
    <w:p>
      <w:pPr>
        <w:spacing w:after="0" w:line="32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u w:val="single" w:color="auto"/>
          <w:color w:val="auto"/>
        </w:rPr>
        <w:t>Option Term</w:t>
      </w:r>
      <w:r>
        <w:rPr>
          <w:rFonts w:ascii="Arial" w:cs="Arial" w:eastAsia="Arial" w:hAnsi="Arial"/>
          <w:sz w:val="16"/>
          <w:szCs w:val="16"/>
          <w:color w:val="auto"/>
        </w:rPr>
        <w:t>.</w:t>
      </w:r>
    </w:p>
    <w:p>
      <w:pPr>
        <w:spacing w:after="0" w:line="193" w:lineRule="exact"/>
        <w:rPr>
          <w:sz w:val="20"/>
          <w:szCs w:val="20"/>
          <w:color w:val="auto"/>
        </w:rPr>
      </w:pPr>
    </w:p>
    <w:p>
      <w:pPr>
        <w:ind w:left="6" w:right="100" w:firstLine="866"/>
        <w:spacing w:after="0" w:line="309" w:lineRule="auto"/>
        <w:rPr>
          <w:sz w:val="20"/>
          <w:szCs w:val="20"/>
          <w:color w:val="auto"/>
        </w:rPr>
      </w:pPr>
      <w:r>
        <w:rPr>
          <w:rFonts w:ascii="Arial" w:cs="Arial" w:eastAsia="Arial" w:hAnsi="Arial"/>
          <w:sz w:val="13"/>
          <w:szCs w:val="13"/>
          <w:color w:val="auto"/>
        </w:rPr>
        <w:t xml:space="preserve">2.2.1 </w:t>
      </w:r>
      <w:r>
        <w:rPr>
          <w:rFonts w:ascii="Arial" w:cs="Arial" w:eastAsia="Arial" w:hAnsi="Arial"/>
          <w:sz w:val="13"/>
          <w:szCs w:val="13"/>
          <w:b w:val="1"/>
          <w:bCs w:val="1"/>
          <w:u w:val="single" w:color="auto"/>
          <w:color w:val="auto"/>
        </w:rPr>
        <w:t>Option Right</w:t>
      </w:r>
      <w:r>
        <w:rPr>
          <w:rFonts w:ascii="Arial" w:cs="Arial" w:eastAsia="Arial" w:hAnsi="Arial"/>
          <w:sz w:val="13"/>
          <w:szCs w:val="13"/>
          <w:color w:val="auto"/>
        </w:rPr>
        <w:t>. Landlord hereby grants to the Tenant originally named in this Lease (the “</w:t>
      </w:r>
      <w:r>
        <w:rPr>
          <w:rFonts w:ascii="Arial" w:cs="Arial" w:eastAsia="Arial" w:hAnsi="Arial"/>
          <w:sz w:val="13"/>
          <w:szCs w:val="13"/>
          <w:b w:val="1"/>
          <w:bCs w:val="1"/>
          <w:color w:val="auto"/>
        </w:rPr>
        <w:t>Original Tenant</w:t>
      </w:r>
      <w:r>
        <w:rPr>
          <w:rFonts w:ascii="Arial" w:cs="Arial" w:eastAsia="Arial" w:hAnsi="Arial"/>
          <w:sz w:val="13"/>
          <w:szCs w:val="13"/>
          <w:color w:val="auto"/>
        </w:rPr>
        <w:t xml:space="preserve">”), and its “Permitted Assignees”, as that term is defined in </w:t>
      </w:r>
      <w:r>
        <w:rPr>
          <w:rFonts w:ascii="Arial" w:cs="Arial" w:eastAsia="Arial" w:hAnsi="Arial"/>
          <w:sz w:val="13"/>
          <w:szCs w:val="13"/>
          <w:u w:val="single" w:color="auto"/>
          <w:color w:val="auto"/>
        </w:rPr>
        <w:t>Section 14.8</w:t>
      </w:r>
      <w:r>
        <w:rPr>
          <w:rFonts w:ascii="Arial" w:cs="Arial" w:eastAsia="Arial" w:hAnsi="Arial"/>
          <w:sz w:val="13"/>
          <w:szCs w:val="13"/>
          <w:color w:val="auto"/>
        </w:rPr>
        <w:t>, below, two (2) options to extend the Lease Term for a period of five (5) years (each, an “</w:t>
      </w:r>
      <w:r>
        <w:rPr>
          <w:rFonts w:ascii="Arial" w:cs="Arial" w:eastAsia="Arial" w:hAnsi="Arial"/>
          <w:sz w:val="13"/>
          <w:szCs w:val="13"/>
          <w:b w:val="1"/>
          <w:bCs w:val="1"/>
          <w:color w:val="auto"/>
        </w:rPr>
        <w:t>Option</w:t>
      </w:r>
      <w:r>
        <w:rPr>
          <w:rFonts w:ascii="Arial" w:cs="Arial" w:eastAsia="Arial" w:hAnsi="Arial"/>
          <w:sz w:val="13"/>
          <w:szCs w:val="13"/>
          <w:color w:val="auto"/>
        </w:rPr>
        <w:t xml:space="preserve"> </w:t>
      </w:r>
      <w:r>
        <w:rPr>
          <w:rFonts w:ascii="Arial" w:cs="Arial" w:eastAsia="Arial" w:hAnsi="Arial"/>
          <w:sz w:val="13"/>
          <w:szCs w:val="13"/>
          <w:b w:val="1"/>
          <w:bCs w:val="1"/>
          <w:color w:val="auto"/>
        </w:rPr>
        <w:t>Term</w:t>
      </w:r>
      <w:r>
        <w:rPr>
          <w:rFonts w:ascii="Arial" w:cs="Arial" w:eastAsia="Arial" w:hAnsi="Arial"/>
          <w:sz w:val="13"/>
          <w:szCs w:val="13"/>
          <w:color w:val="auto"/>
        </w:rPr>
        <w:t>”), which option shall be irrevocably exercised only by written notice delivered by Tenant to Landlord not more than twelve (12) months nor less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than nine (9) months prior to the expiration of the then Lease Term, provided that the following conditions </w:t>
      </w:r>
      <w:r>
        <w:rPr>
          <w:rFonts w:ascii="Arial" w:cs="Arial" w:eastAsia="Arial" w:hAnsi="Arial"/>
          <w:sz w:val="13"/>
          <w:szCs w:val="13"/>
          <w:b w:val="1"/>
          <w:bCs w:val="1"/>
          <w:color w:val="auto"/>
        </w:rPr>
        <w:t>(</w:t>
      </w:r>
      <w:r>
        <w:rPr>
          <w:rFonts w:ascii="Arial" w:cs="Arial" w:eastAsia="Arial" w:hAnsi="Arial"/>
          <w:sz w:val="13"/>
          <w:szCs w:val="13"/>
          <w:color w:val="auto"/>
        </w:rPr>
        <w:t>the “</w:t>
      </w:r>
      <w:r>
        <w:rPr>
          <w:rFonts w:ascii="Arial" w:cs="Arial" w:eastAsia="Arial" w:hAnsi="Arial"/>
          <w:sz w:val="13"/>
          <w:szCs w:val="13"/>
          <w:b w:val="1"/>
          <w:bCs w:val="1"/>
          <w:color w:val="auto"/>
        </w:rPr>
        <w:t>Option Conditions</w:t>
      </w:r>
      <w:r>
        <w:rPr>
          <w:rFonts w:ascii="Arial" w:cs="Arial" w:eastAsia="Arial" w:hAnsi="Arial"/>
          <w:sz w:val="13"/>
          <w:szCs w:val="13"/>
          <w:color w:val="auto"/>
        </w:rPr>
        <w:t>”) are satisfied:</w:t>
      </w:r>
    </w:p>
    <w:p>
      <w:pPr>
        <w:ind w:left="186" w:hanging="186"/>
        <w:spacing w:after="0"/>
        <w:tabs>
          <w:tab w:leader="none" w:pos="186" w:val="left"/>
        </w:tabs>
        <w:numPr>
          <w:ilvl w:val="0"/>
          <w:numId w:val="245"/>
        </w:numPr>
        <w:rPr>
          <w:rFonts w:ascii="Arial" w:cs="Arial" w:eastAsia="Arial" w:hAnsi="Arial"/>
          <w:sz w:val="13"/>
          <w:szCs w:val="13"/>
          <w:color w:val="auto"/>
        </w:rPr>
      </w:pPr>
      <w:r>
        <w:rPr>
          <w:rFonts w:ascii="Arial" w:cs="Arial" w:eastAsia="Arial" w:hAnsi="Arial"/>
          <w:sz w:val="13"/>
          <w:szCs w:val="13"/>
          <w:color w:val="auto"/>
        </w:rPr>
        <w:t>as of the date of delivery of such notice, Tenant is not in default under this Lease, after the expiration of any applicable notice and cure period;</w:t>
      </w:r>
    </w:p>
    <w:p>
      <w:pPr>
        <w:spacing w:after="0" w:line="39" w:lineRule="exact"/>
        <w:rPr>
          <w:rFonts w:ascii="Arial" w:cs="Arial" w:eastAsia="Arial" w:hAnsi="Arial"/>
          <w:sz w:val="13"/>
          <w:szCs w:val="13"/>
          <w:color w:val="auto"/>
        </w:rPr>
      </w:pPr>
    </w:p>
    <w:p>
      <w:pPr>
        <w:jc w:val="both"/>
        <w:ind w:left="6" w:right="340" w:hanging="6"/>
        <w:spacing w:after="0" w:line="334" w:lineRule="auto"/>
        <w:tabs>
          <w:tab w:leader="none" w:pos="235" w:val="left"/>
        </w:tabs>
        <w:numPr>
          <w:ilvl w:val="0"/>
          <w:numId w:val="245"/>
        </w:numPr>
        <w:rPr>
          <w:rFonts w:ascii="Arial" w:cs="Arial" w:eastAsia="Arial" w:hAnsi="Arial"/>
          <w:sz w:val="13"/>
          <w:szCs w:val="13"/>
          <w:color w:val="auto"/>
        </w:rPr>
      </w:pPr>
      <w:r>
        <w:rPr>
          <w:rFonts w:ascii="Arial" w:cs="Arial" w:eastAsia="Arial" w:hAnsi="Arial"/>
          <w:sz w:val="13"/>
          <w:szCs w:val="13"/>
          <w:color w:val="auto"/>
        </w:rPr>
        <w:t>Tenant has not previously been in default under this Lease, after the expiration of any applicable notice and cure period, more than twice in the twelve (12) month period prior to the date of Tenant’s attempted exercise; and (iii) the Lease then remains in full force and effect. Landlord may, at Landlord’s option, exercised in Landlord’s sole and absolute discretion, waive any of the Option Conditions in which</w:t>
      </w:r>
    </w:p>
    <w:p>
      <w:pPr>
        <w:sectPr>
          <w:pgSz w:w="11900" w:h="16838" w:orient="portrait"/>
          <w:cols w:equalWidth="0" w:num="1">
            <w:col w:w="9586"/>
          </w:cols>
          <w:pgMar w:left="1134" w:top="256" w:right="1179" w:bottom="1440" w:gutter="0" w:footer="0" w:header="0"/>
        </w:sectPr>
      </w:pPr>
    </w:p>
    <w:bookmarkStart w:id="358" w:name="page359"/>
    <w:bookmarkEnd w:id="358"/>
    <w:p>
      <w:pPr>
        <w:ind w:right="40"/>
        <w:spacing w:after="0" w:line="31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case the option, if otherwise properly exercised by Tenant, shall remain in full force and effect. Upon the proper exercise of such option to extend, and provided that Tenant satisfies all of the Option Conditions (except those, if any, which are waived by Landlord), the Lease Term, as it applies to the Premises, shall be extended for a period of five (5) years. The rights contained in this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shall be personal to Original Tenant and any Permitted Assignees, and may be exercised by Original Tenant or such Permitted Assignees (and not by any assignee, sublessee or other “Transferee,” as that term is defined in </w:t>
      </w:r>
      <w:r>
        <w:rPr>
          <w:rFonts w:ascii="Arial" w:cs="Arial" w:eastAsia="Arial" w:hAnsi="Arial"/>
          <w:sz w:val="13"/>
          <w:szCs w:val="13"/>
          <w:u w:val="single" w:color="auto"/>
          <w:color w:val="auto"/>
        </w:rPr>
        <w:t>Section 14.1</w:t>
      </w:r>
      <w:r>
        <w:rPr>
          <w:rFonts w:ascii="Arial" w:cs="Arial" w:eastAsia="Arial" w:hAnsi="Arial"/>
          <w:sz w:val="13"/>
          <w:szCs w:val="13"/>
          <w:color w:val="auto"/>
        </w:rPr>
        <w:t xml:space="preserve"> of this Lease, of Tenant’s interest in this Lease). Notwithstanding any contrary provision of this Section 2.2, in no event may Tenant exercise its right to extend the Lease Term for the second (2nd) Option Term under this Section 2.2 if Tenant fails to timely exercise its right to extend the initial Lease Term for the first (1st) Option Term under this Section 2.2.</w:t>
      </w:r>
    </w:p>
    <w:p>
      <w:pPr>
        <w:spacing w:after="0" w:line="317" w:lineRule="exact"/>
        <w:rPr>
          <w:sz w:val="20"/>
          <w:szCs w:val="20"/>
          <w:color w:val="auto"/>
        </w:rPr>
      </w:pPr>
    </w:p>
    <w:p>
      <w:pPr>
        <w:ind w:firstLine="866"/>
        <w:spacing w:after="0" w:line="307" w:lineRule="auto"/>
        <w:rPr>
          <w:sz w:val="20"/>
          <w:szCs w:val="20"/>
          <w:color w:val="auto"/>
        </w:rPr>
      </w:pPr>
      <w:r>
        <w:rPr>
          <w:rFonts w:ascii="Arial" w:cs="Arial" w:eastAsia="Arial" w:hAnsi="Arial"/>
          <w:sz w:val="13"/>
          <w:szCs w:val="13"/>
          <w:color w:val="auto"/>
        </w:rPr>
        <w:t xml:space="preserve">2.2.2 </w:t>
      </w:r>
      <w:r>
        <w:rPr>
          <w:rFonts w:ascii="Arial" w:cs="Arial" w:eastAsia="Arial" w:hAnsi="Arial"/>
          <w:sz w:val="13"/>
          <w:szCs w:val="13"/>
          <w:b w:val="1"/>
          <w:bCs w:val="1"/>
          <w:u w:val="single" w:color="auto"/>
          <w:color w:val="auto"/>
        </w:rPr>
        <w:t>Option Rent</w:t>
      </w:r>
      <w:r>
        <w:rPr>
          <w:rFonts w:ascii="Arial" w:cs="Arial" w:eastAsia="Arial" w:hAnsi="Arial"/>
          <w:sz w:val="13"/>
          <w:szCs w:val="13"/>
          <w:color w:val="auto"/>
        </w:rPr>
        <w:t>. The annual Rent payable by Tenant during the Option Term (the “</w:t>
      </w:r>
      <w:r>
        <w:rPr>
          <w:rFonts w:ascii="Arial" w:cs="Arial" w:eastAsia="Arial" w:hAnsi="Arial"/>
          <w:sz w:val="13"/>
          <w:szCs w:val="13"/>
          <w:b w:val="1"/>
          <w:bCs w:val="1"/>
          <w:color w:val="auto"/>
        </w:rPr>
        <w:t>Option Rent</w:t>
      </w:r>
      <w:r>
        <w:rPr>
          <w:rFonts w:ascii="Arial" w:cs="Arial" w:eastAsia="Arial" w:hAnsi="Arial"/>
          <w:sz w:val="13"/>
          <w:szCs w:val="13"/>
          <w:color w:val="auto"/>
        </w:rPr>
        <w:t>”) shall be equal to the “Fair Rental Value,” as that term is defined below, for the Premises as of the commencement date of the Option Term. The “</w:t>
      </w:r>
      <w:r>
        <w:rPr>
          <w:rFonts w:ascii="Arial" w:cs="Arial" w:eastAsia="Arial" w:hAnsi="Arial"/>
          <w:sz w:val="13"/>
          <w:szCs w:val="13"/>
          <w:b w:val="1"/>
          <w:bCs w:val="1"/>
          <w:color w:val="auto"/>
        </w:rPr>
        <w:t>Fair Rental Value</w:t>
      </w:r>
      <w:r>
        <w:rPr>
          <w:rFonts w:ascii="Arial" w:cs="Arial" w:eastAsia="Arial" w:hAnsi="Arial"/>
          <w:sz w:val="13"/>
          <w:szCs w:val="13"/>
          <w:color w:val="auto"/>
        </w:rPr>
        <w:t xml:space="preserve">,” as used in this Lease, shall be equal to the annual rent per rentable square foot (including additional rent and considering any “base year” or “expense stop” applicable thereto), including all escalations, at which tenants (pursuant to leases consummated within the twelve (12) month period preceding the first day of the Option Term), are leasing non-sublease, non-encumbered, non-equity space which is not significantly greater or smaller in size than the subject space, with a comparable level of improvements (excluding any property that Tenant would be allowed to remove from the Premises at the termination of the Lease), for a comparable lease term, in an arm’s length transaction, which comparable space is located in the “Comparable Buildings,” as that term is defined in this </w:t>
      </w:r>
      <w:r>
        <w:rPr>
          <w:rFonts w:ascii="Arial" w:cs="Arial" w:eastAsia="Arial" w:hAnsi="Arial"/>
          <w:sz w:val="13"/>
          <w:szCs w:val="13"/>
          <w:u w:val="single" w:color="auto"/>
          <w:color w:val="auto"/>
        </w:rPr>
        <w:t>Section 2.2.2</w:t>
      </w:r>
      <w:r>
        <w:rPr>
          <w:rFonts w:ascii="Arial" w:cs="Arial" w:eastAsia="Arial" w:hAnsi="Arial"/>
          <w:sz w:val="13"/>
          <w:szCs w:val="13"/>
          <w:color w:val="auto"/>
        </w:rPr>
        <w:t>, below (transactions satisfying the foregoing criteria shall be known as the “</w:t>
      </w:r>
      <w:r>
        <w:rPr>
          <w:rFonts w:ascii="Arial" w:cs="Arial" w:eastAsia="Arial" w:hAnsi="Arial"/>
          <w:sz w:val="13"/>
          <w:szCs w:val="13"/>
          <w:b w:val="1"/>
          <w:bCs w:val="1"/>
          <w:color w:val="auto"/>
        </w:rPr>
        <w:t>Comparable Transactions</w:t>
      </w:r>
      <w:r>
        <w:rPr>
          <w:rFonts w:ascii="Arial" w:cs="Arial" w:eastAsia="Arial" w:hAnsi="Arial"/>
          <w:sz w:val="13"/>
          <w:szCs w:val="13"/>
          <w:color w:val="auto"/>
        </w:rPr>
        <w:t>”), taking into consideration the following concessions (the “</w:t>
      </w:r>
      <w:r>
        <w:rPr>
          <w:rFonts w:ascii="Arial" w:cs="Arial" w:eastAsia="Arial" w:hAnsi="Arial"/>
          <w:sz w:val="13"/>
          <w:szCs w:val="13"/>
          <w:b w:val="1"/>
          <w:bCs w:val="1"/>
          <w:color w:val="auto"/>
        </w:rPr>
        <w:t>Concessions</w:t>
      </w:r>
      <w:r>
        <w:rPr>
          <w:rFonts w:ascii="Arial" w:cs="Arial" w:eastAsia="Arial" w:hAnsi="Arial"/>
          <w:sz w:val="13"/>
          <w:szCs w:val="13"/>
          <w:color w:val="auto"/>
        </w:rPr>
        <w: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office/lab user other than Tenant; and (c) other reasonable monetary concessions being granted such tenants in connection with such comparable space; provided, however, that in calculating the Fair Rental Value, no consideration shall be given to the fact that Landlord is or is not required to pay a real estate brokerage commission in connection with Tenant’s exercise of its right to extend the Lease Term, or the fact that landlords are or are not paying real estate brokerage commissions in connection with such comparable space. The Concessions shall be reflected in the effective rental rate (which effective rental rate shall take into consideration the total dollar value of such Concessions as amortized on a straight-line basis over the applicable term of the Comparable Transaction (in which case such Concessions evidenced in the effective rental rate shall not be granted to Tenant)) payable by Tenant. The term “</w:t>
      </w:r>
      <w:r>
        <w:rPr>
          <w:rFonts w:ascii="Arial" w:cs="Arial" w:eastAsia="Arial" w:hAnsi="Arial"/>
          <w:sz w:val="13"/>
          <w:szCs w:val="13"/>
          <w:b w:val="1"/>
          <w:bCs w:val="1"/>
          <w:color w:val="auto"/>
        </w:rPr>
        <w:t>Comparable Buildings</w:t>
      </w:r>
      <w:r>
        <w:rPr>
          <w:rFonts w:ascii="Arial" w:cs="Arial" w:eastAsia="Arial" w:hAnsi="Arial"/>
          <w:sz w:val="13"/>
          <w:szCs w:val="13"/>
          <w:color w:val="auto"/>
        </w:rPr>
        <w:t>” shall mean the Building and those other life sciences buildings which are comparable to the Building in terms of age (based upon the date of completion of construction or major renovation of to the building), quality of construction, level of services and amenities, size and appearance, and are located in South San Francisco, California and the surrounding commercial area.</w:t>
      </w:r>
    </w:p>
    <w:p>
      <w:pPr>
        <w:spacing w:after="0" w:line="200" w:lineRule="exact"/>
        <w:rPr>
          <w:sz w:val="20"/>
          <w:szCs w:val="20"/>
          <w:color w:val="auto"/>
        </w:rPr>
      </w:pPr>
    </w:p>
    <w:p>
      <w:pPr>
        <w:spacing w:after="0" w:line="317" w:lineRule="exact"/>
        <w:rPr>
          <w:sz w:val="20"/>
          <w:szCs w:val="20"/>
          <w:color w:val="auto"/>
        </w:rPr>
      </w:pPr>
    </w:p>
    <w:p>
      <w:pPr>
        <w:ind w:right="80" w:firstLine="866"/>
        <w:spacing w:after="0" w:line="266" w:lineRule="auto"/>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b w:val="1"/>
          <w:bCs w:val="1"/>
          <w:u w:val="single" w:color="auto"/>
          <w:color w:val="auto"/>
        </w:rPr>
        <w:t>Determination of Option Rent</w:t>
      </w:r>
      <w:r>
        <w:rPr>
          <w:rFonts w:ascii="Arial" w:cs="Arial" w:eastAsia="Arial" w:hAnsi="Arial"/>
          <w:sz w:val="15"/>
          <w:szCs w:val="15"/>
          <w:color w:val="auto"/>
        </w:rPr>
        <w:t>. In the event Tenant timely and appropriately exercises an option to extend the Lease Term, Landlord shall notify Tenant of Landlord’s determination of the Option Rent within thirty (30) days thereafter. If Tenant, on or before the date which is ten (10) days following the date upon which Tenant receives Landlord’s determination of the Option Rent, in good faith objects to Landlord’s determination of the Option Rent, then Landlord and Tenant shall attempt to agree upon the Option Rent using their best good-faith efforts. If Landlord and Tenant fail to reach agreement within ten (10) days following Tenant’s objection to the Option Rent (the “</w:t>
      </w:r>
      <w:r>
        <w:rPr>
          <w:rFonts w:ascii="Arial" w:cs="Arial" w:eastAsia="Arial" w:hAnsi="Arial"/>
          <w:sz w:val="15"/>
          <w:szCs w:val="15"/>
          <w:b w:val="1"/>
          <w:bCs w:val="1"/>
          <w:color w:val="auto"/>
        </w:rPr>
        <w:t>Outside Agreement Date</w:t>
      </w:r>
      <w:r>
        <w:rPr>
          <w:rFonts w:ascii="Arial" w:cs="Arial" w:eastAsia="Arial" w:hAnsi="Arial"/>
          <w:sz w:val="15"/>
          <w:szCs w:val="15"/>
          <w:color w:val="auto"/>
        </w:rPr>
        <w:t xml:space="preserve">”), then Tenant shall have the right to withdraw its exercise of the option by delivering written notice thereof to Landlord within five (5) days thereafter, in which event Tenant’s right to extend the Lease pursuant to this </w:t>
      </w:r>
      <w:r>
        <w:rPr>
          <w:rFonts w:ascii="Arial" w:cs="Arial" w:eastAsia="Arial" w:hAnsi="Arial"/>
          <w:sz w:val="15"/>
          <w:szCs w:val="15"/>
          <w:u w:val="single" w:color="auto"/>
          <w:color w:val="auto"/>
        </w:rPr>
        <w:t>Section 2.2</w:t>
      </w:r>
      <w:r>
        <w:rPr>
          <w:rFonts w:ascii="Arial" w:cs="Arial" w:eastAsia="Arial" w:hAnsi="Arial"/>
          <w:sz w:val="15"/>
          <w:szCs w:val="15"/>
          <w:color w:val="auto"/>
        </w:rPr>
        <w:t xml:space="preserve"> shall be of no further force or effect. If Tenant does not withdraw its exercise of the extension option, each party shall make a separate determination of the Option Rent, as the case may be, within ten (10) days after the Outside Agreement Date, and such determinations shall be submitted to arbitration in accordance with </w:t>
      </w:r>
      <w:r>
        <w:rPr>
          <w:rFonts w:ascii="Arial" w:cs="Arial" w:eastAsia="Arial" w:hAnsi="Arial"/>
          <w:sz w:val="15"/>
          <w:szCs w:val="15"/>
          <w:u w:val="single" w:color="auto"/>
          <w:color w:val="auto"/>
        </w:rPr>
        <w:t>Sections 2.2.3.1</w:t>
      </w:r>
      <w:r>
        <w:rPr>
          <w:rFonts w:ascii="Arial" w:cs="Arial" w:eastAsia="Arial" w:hAnsi="Arial"/>
          <w:sz w:val="15"/>
          <w:szCs w:val="15"/>
          <w:color w:val="auto"/>
        </w:rPr>
        <w:t xml:space="preserve"> through </w:t>
      </w:r>
      <w:r>
        <w:rPr>
          <w:rFonts w:ascii="Arial" w:cs="Arial" w:eastAsia="Arial" w:hAnsi="Arial"/>
          <w:sz w:val="15"/>
          <w:szCs w:val="15"/>
          <w:u w:val="single" w:color="auto"/>
          <w:color w:val="auto"/>
        </w:rPr>
        <w:t>2.2.3.7</w:t>
      </w:r>
      <w:r>
        <w:rPr>
          <w:rFonts w:ascii="Arial" w:cs="Arial" w:eastAsia="Arial" w:hAnsi="Arial"/>
          <w:sz w:val="15"/>
          <w:szCs w:val="15"/>
          <w:color w:val="auto"/>
        </w:rPr>
        <w:t>, below. If Tenant fails to object to Landlord’s determination of the Option Rent within the time period set forth herein, then Tenant shall be deemed to have objected to Landlord’s determination of Option Rent.</w:t>
      </w:r>
    </w:p>
    <w:p>
      <w:pPr>
        <w:spacing w:after="0" w:line="165" w:lineRule="exact"/>
        <w:rPr>
          <w:sz w:val="20"/>
          <w:szCs w:val="20"/>
          <w:color w:val="auto"/>
        </w:rPr>
      </w:pPr>
    </w:p>
    <w:p>
      <w:pPr>
        <w:ind w:firstLine="1251"/>
        <w:spacing w:after="0" w:line="256" w:lineRule="auto"/>
        <w:rPr>
          <w:sz w:val="20"/>
          <w:szCs w:val="20"/>
          <w:color w:val="auto"/>
        </w:rPr>
      </w:pPr>
      <w:r>
        <w:rPr>
          <w:rFonts w:ascii="Arial" w:cs="Arial" w:eastAsia="Arial" w:hAnsi="Arial"/>
          <w:sz w:val="16"/>
          <w:szCs w:val="16"/>
          <w:color w:val="auto"/>
        </w:rPr>
        <w:t>2.2.3.1 Landlord and Tenant shall each appoint one arbitrator who shall be a real estate appraiser who shall have been active over the five (5) year period ending on the date of such appointment in the appraisal of other class A life sciences buildings located in the South San Francisco market area. The determination</w:t>
      </w:r>
    </w:p>
    <w:p>
      <w:pPr>
        <w:sectPr>
          <w:pgSz w:w="11900" w:h="16838" w:orient="portrait"/>
          <w:cols w:equalWidth="0" w:num="1">
            <w:col w:w="9600"/>
          </w:cols>
          <w:pgMar w:left="1140" w:top="256" w:right="1159" w:bottom="1440" w:gutter="0" w:footer="0" w:header="0"/>
        </w:sectPr>
      </w:pPr>
    </w:p>
    <w:bookmarkStart w:id="359" w:name="page360"/>
    <w:bookmarkEnd w:id="359"/>
    <w:p>
      <w:pPr>
        <w:ind w:left="6"/>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of the arbitrators shall be limited solely to the issue of whether Landlord’s or Tenant’s submitted Option Rent is the closest to the actual Option Rent, taking into account the requirements of </w:t>
      </w:r>
      <w:r>
        <w:rPr>
          <w:rFonts w:ascii="Arial" w:cs="Arial" w:eastAsia="Arial" w:hAnsi="Arial"/>
          <w:sz w:val="13"/>
          <w:szCs w:val="13"/>
          <w:u w:val="single" w:color="auto"/>
          <w:color w:val="auto"/>
        </w:rPr>
        <w:t>Section 2.2.2</w:t>
      </w:r>
      <w:r>
        <w:rPr>
          <w:rFonts w:ascii="Arial" w:cs="Arial" w:eastAsia="Arial" w:hAnsi="Arial"/>
          <w:sz w:val="13"/>
          <w:szCs w:val="13"/>
          <w:color w:val="auto"/>
        </w:rPr>
        <w:t xml:space="preserve"> of this Lease, as determined by the arbitrators. Each such arbitrator shall be appointed within fifteen (15) days after the Outside Agreement Date. Landlord and Tenant may consult with their selected arbitrators prior to appointment and may select an arbitrator who is favorable to their respective positions. The arbitrators so selected by Landlord and Tenant shall be deemed “</w:t>
      </w:r>
      <w:r>
        <w:rPr>
          <w:rFonts w:ascii="Arial" w:cs="Arial" w:eastAsia="Arial" w:hAnsi="Arial"/>
          <w:sz w:val="13"/>
          <w:szCs w:val="13"/>
          <w:b w:val="1"/>
          <w:bCs w:val="1"/>
          <w:color w:val="auto"/>
        </w:rPr>
        <w:t>Advocate Arbitrators</w:t>
      </w:r>
      <w:r>
        <w:rPr>
          <w:rFonts w:ascii="Arial" w:cs="Arial" w:eastAsia="Arial" w:hAnsi="Arial"/>
          <w:sz w:val="13"/>
          <w:szCs w:val="13"/>
          <w:color w:val="auto"/>
        </w:rPr>
        <w:t>.”</w:t>
      </w:r>
    </w:p>
    <w:p>
      <w:pPr>
        <w:spacing w:after="0" w:line="123" w:lineRule="exact"/>
        <w:rPr>
          <w:sz w:val="20"/>
          <w:szCs w:val="20"/>
          <w:color w:val="auto"/>
        </w:rPr>
      </w:pPr>
    </w:p>
    <w:p>
      <w:pPr>
        <w:ind w:left="1246"/>
        <w:spacing w:after="0"/>
        <w:rPr>
          <w:sz w:val="20"/>
          <w:szCs w:val="20"/>
          <w:color w:val="auto"/>
        </w:rPr>
      </w:pPr>
      <w:r>
        <w:rPr>
          <w:rFonts w:ascii="Arial" w:cs="Arial" w:eastAsia="Arial" w:hAnsi="Arial"/>
          <w:sz w:val="13"/>
          <w:szCs w:val="13"/>
          <w:color w:val="auto"/>
        </w:rPr>
        <w:t>2.2.3.2 The two (2) Advocate Arbitrators so appointed shall be specifically required pursuant to an engagement letter within ten</w:t>
      </w:r>
    </w:p>
    <w:p>
      <w:pPr>
        <w:spacing w:after="0" w:line="51" w:lineRule="exact"/>
        <w:rPr>
          <w:sz w:val="20"/>
          <w:szCs w:val="20"/>
          <w:color w:val="auto"/>
        </w:rPr>
      </w:pPr>
    </w:p>
    <w:p>
      <w:pPr>
        <w:ind w:left="6" w:right="40" w:hanging="6"/>
        <w:spacing w:after="0" w:line="323" w:lineRule="auto"/>
        <w:tabs>
          <w:tab w:leader="none" w:pos="307" w:val="left"/>
        </w:tabs>
        <w:numPr>
          <w:ilvl w:val="0"/>
          <w:numId w:val="246"/>
        </w:numPr>
        <w:rPr>
          <w:rFonts w:ascii="Arial" w:cs="Arial" w:eastAsia="Arial" w:hAnsi="Arial"/>
          <w:sz w:val="13"/>
          <w:szCs w:val="13"/>
          <w:color w:val="auto"/>
        </w:rPr>
      </w:pPr>
      <w:r>
        <w:rPr>
          <w:rFonts w:ascii="Arial" w:cs="Arial" w:eastAsia="Arial" w:hAnsi="Arial"/>
          <w:sz w:val="13"/>
          <w:szCs w:val="13"/>
          <w:color w:val="auto"/>
        </w:rPr>
        <w:t>days of the date of the appointment of the last appointed Advocate Arbitrator to agree upon and appoint a third arbitrator (“</w:t>
      </w:r>
      <w:r>
        <w:rPr>
          <w:rFonts w:ascii="Arial" w:cs="Arial" w:eastAsia="Arial" w:hAnsi="Arial"/>
          <w:sz w:val="13"/>
          <w:szCs w:val="13"/>
          <w:b w:val="1"/>
          <w:bCs w:val="1"/>
          <w:color w:val="auto"/>
        </w:rPr>
        <w:t>Neutral Arbitrator</w:t>
      </w:r>
      <w:r>
        <w:rPr>
          <w:rFonts w:ascii="Arial" w:cs="Arial" w:eastAsia="Arial" w:hAnsi="Arial"/>
          <w:sz w:val="13"/>
          <w:szCs w:val="13"/>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127" w:lineRule="exact"/>
        <w:rPr>
          <w:sz w:val="20"/>
          <w:szCs w:val="20"/>
          <w:color w:val="auto"/>
        </w:rPr>
      </w:pPr>
    </w:p>
    <w:p>
      <w:pPr>
        <w:ind w:left="6" w:right="20" w:firstLine="1251"/>
        <w:spacing w:after="0" w:line="266" w:lineRule="auto"/>
        <w:rPr>
          <w:sz w:val="20"/>
          <w:szCs w:val="20"/>
          <w:color w:val="auto"/>
        </w:rPr>
      </w:pPr>
      <w:r>
        <w:rPr>
          <w:rFonts w:ascii="Arial" w:cs="Arial" w:eastAsia="Arial" w:hAnsi="Arial"/>
          <w:sz w:val="16"/>
          <w:szCs w:val="16"/>
          <w:color w:val="auto"/>
        </w:rPr>
        <w:t>2.2.3.3 The three arbitrators shall, within thirty (30) days of the appointment of the Neutral Arbitrator, reach a decision as to whether the parties shall use Landlord’s or Tenant’s submitted Option Rent, and shall notify Landlord and Tenant thereof.</w:t>
      </w:r>
    </w:p>
    <w:p>
      <w:pPr>
        <w:spacing w:after="0" w:line="158"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2.2.3.4 The decision of the majority of the three arbitrators shall be binding upon Landlord and Tenant.</w:t>
      </w:r>
    </w:p>
    <w:p>
      <w:pPr>
        <w:spacing w:after="0" w:line="193" w:lineRule="exact"/>
        <w:rPr>
          <w:sz w:val="20"/>
          <w:szCs w:val="20"/>
          <w:color w:val="auto"/>
        </w:rPr>
      </w:pPr>
    </w:p>
    <w:p>
      <w:pPr>
        <w:ind w:left="6" w:right="200" w:firstLine="1251"/>
        <w:spacing w:after="0" w:line="253" w:lineRule="auto"/>
        <w:rPr>
          <w:sz w:val="20"/>
          <w:szCs w:val="20"/>
          <w:color w:val="auto"/>
        </w:rPr>
      </w:pPr>
      <w:r>
        <w:rPr>
          <w:rFonts w:ascii="Arial" w:cs="Arial" w:eastAsia="Arial" w:hAnsi="Arial"/>
          <w:sz w:val="16"/>
          <w:szCs w:val="16"/>
          <w:color w:val="auto"/>
        </w:rPr>
        <w:t xml:space="preserve">2.2.3.5 If either Landlord or Tenant fails to appoint an Advocate Arbitrator within fifteen (15) days after the Outside Agreement Date, then either party may petition the presiding judge of the Superior Court of San Mateo County to appoint such Advocate Arbitrator subject to the criteria in </w:t>
      </w:r>
      <w:r>
        <w:rPr>
          <w:rFonts w:ascii="Arial" w:cs="Arial" w:eastAsia="Arial" w:hAnsi="Arial"/>
          <w:sz w:val="16"/>
          <w:szCs w:val="16"/>
          <w:u w:val="single" w:color="auto"/>
          <w:color w:val="auto"/>
        </w:rPr>
        <w:t>Section 2.2.3.1</w:t>
      </w:r>
      <w:r>
        <w:rPr>
          <w:rFonts w:ascii="Arial" w:cs="Arial" w:eastAsia="Arial" w:hAnsi="Arial"/>
          <w:sz w:val="16"/>
          <w:szCs w:val="16"/>
          <w:color w:val="auto"/>
        </w:rPr>
        <w:t xml:space="preserve"> of this Lease, or if he or she refuses to act, either party may petition any judge having jurisdiction over the parties to appoint such Advocate Arbitrator.</w:t>
      </w:r>
    </w:p>
    <w:p>
      <w:pPr>
        <w:spacing w:after="0" w:line="167" w:lineRule="exact"/>
        <w:rPr>
          <w:sz w:val="20"/>
          <w:szCs w:val="20"/>
          <w:color w:val="auto"/>
        </w:rPr>
      </w:pPr>
    </w:p>
    <w:p>
      <w:pPr>
        <w:ind w:left="6" w:right="120" w:firstLine="1251"/>
        <w:spacing w:after="0" w:line="281" w:lineRule="auto"/>
        <w:rPr>
          <w:sz w:val="20"/>
          <w:szCs w:val="20"/>
          <w:color w:val="auto"/>
        </w:rPr>
      </w:pPr>
      <w:r>
        <w:rPr>
          <w:rFonts w:ascii="Arial" w:cs="Arial" w:eastAsia="Arial" w:hAnsi="Arial"/>
          <w:sz w:val="15"/>
          <w:szCs w:val="15"/>
          <w:color w:val="auto"/>
        </w:rPr>
        <w:t xml:space="preserve">2.2.3.6 If the two (2) Advocate Arbitrators fail to agree upon and appoint the Neutral Arbitrator, then either party may petition the presiding judge of the Superior Court of San Mateo County to appoint the Neutral Arbitrator, subject to criteria in </w:t>
      </w:r>
      <w:r>
        <w:rPr>
          <w:rFonts w:ascii="Arial" w:cs="Arial" w:eastAsia="Arial" w:hAnsi="Arial"/>
          <w:sz w:val="15"/>
          <w:szCs w:val="15"/>
          <w:u w:val="single" w:color="auto"/>
          <w:color w:val="auto"/>
        </w:rPr>
        <w:t>Section 2.2.3.1</w:t>
      </w:r>
      <w:r>
        <w:rPr>
          <w:rFonts w:ascii="Arial" w:cs="Arial" w:eastAsia="Arial" w:hAnsi="Arial"/>
          <w:sz w:val="15"/>
          <w:szCs w:val="15"/>
          <w:color w:val="auto"/>
        </w:rPr>
        <w:t xml:space="preserve"> of this Lease, or if he or she refuses to act, either party may petition any judge having jurisdiction over the parties to appoint such arbitrator.</w:t>
      </w:r>
    </w:p>
    <w:p>
      <w:pPr>
        <w:spacing w:after="0" w:line="149"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2.2.3.7 The cost of the arbitration shall be paid by Landlord and Tenant equally.</w:t>
      </w:r>
    </w:p>
    <w:p>
      <w:pPr>
        <w:spacing w:after="0" w:line="193" w:lineRule="exact"/>
        <w:rPr>
          <w:sz w:val="20"/>
          <w:szCs w:val="20"/>
          <w:color w:val="auto"/>
        </w:rPr>
      </w:pPr>
    </w:p>
    <w:p>
      <w:pPr>
        <w:ind w:left="6" w:right="100" w:firstLine="1251"/>
        <w:spacing w:after="0" w:line="253" w:lineRule="auto"/>
        <w:rPr>
          <w:sz w:val="20"/>
          <w:szCs w:val="20"/>
          <w:color w:val="auto"/>
        </w:rPr>
      </w:pPr>
      <w:r>
        <w:rPr>
          <w:rFonts w:ascii="Arial" w:cs="Arial" w:eastAsia="Arial" w:hAnsi="Arial"/>
          <w:sz w:val="16"/>
          <w:szCs w:val="16"/>
          <w:color w:val="auto"/>
        </w:rPr>
        <w:t>2.2.3.8 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w:t>
      </w:r>
    </w:p>
    <w:p>
      <w:pPr>
        <w:spacing w:after="0" w:line="163" w:lineRule="exact"/>
        <w:rPr>
          <w:sz w:val="20"/>
          <w:szCs w:val="20"/>
          <w:color w:val="auto"/>
        </w:rPr>
      </w:pPr>
    </w:p>
    <w:p>
      <w:pPr>
        <w:ind w:left="6" w:hanging="6"/>
        <w:spacing w:after="0" w:line="267" w:lineRule="auto"/>
        <w:tabs>
          <w:tab w:leader="none" w:pos="163" w:val="left"/>
        </w:tabs>
        <w:numPr>
          <w:ilvl w:val="0"/>
          <w:numId w:val="24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BASE RENT. </w:t>
      </w:r>
      <w:r>
        <w:rPr>
          <w:rFonts w:ascii="Arial" w:cs="Arial" w:eastAsia="Arial" w:hAnsi="Arial"/>
          <w:sz w:val="15"/>
          <w:szCs w:val="15"/>
          <w:color w:val="auto"/>
        </w:rPr>
        <w:t>Tenant shall pay, without prior notice or demand, to Landlord at the address set forth in</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Section 4</w:t>
      </w:r>
      <w:r>
        <w:rPr>
          <w:rFonts w:ascii="Arial" w:cs="Arial" w:eastAsia="Arial" w:hAnsi="Arial"/>
          <w:sz w:val="15"/>
          <w:szCs w:val="15"/>
          <w:b w:val="1"/>
          <w:bCs w:val="1"/>
          <w:color w:val="auto"/>
        </w:rPr>
        <w:t xml:space="preserve"> </w:t>
      </w:r>
      <w:r>
        <w:rPr>
          <w:rFonts w:ascii="Arial" w:cs="Arial" w:eastAsia="Arial" w:hAnsi="Arial"/>
          <w:sz w:val="15"/>
          <w:szCs w:val="15"/>
          <w:color w:val="auto"/>
        </w:rPr>
        <w:t>of the Summary, or, at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option, at such other place as Landlord may from time to time designate in writing, by a check for currency which, at the time of payment, is legal tender for private or public debts in the United States of America, base rent (“</w:t>
      </w:r>
      <w:r>
        <w:rPr>
          <w:rFonts w:ascii="Arial" w:cs="Arial" w:eastAsia="Arial" w:hAnsi="Arial"/>
          <w:sz w:val="15"/>
          <w:szCs w:val="15"/>
          <w:b w:val="1"/>
          <w:bCs w:val="1"/>
          <w:color w:val="auto"/>
        </w:rPr>
        <w:t>Base Rent</w:t>
      </w:r>
      <w:r>
        <w:rPr>
          <w:rFonts w:ascii="Arial" w:cs="Arial" w:eastAsia="Arial" w:hAnsi="Arial"/>
          <w:sz w:val="15"/>
          <w:szCs w:val="15"/>
          <w:color w:val="auto"/>
        </w:rPr>
        <w:t xml:space="preserve">”)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the Summary, payable in equal monthly installments as set forth in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the Summary in advance on or before the first day of each and every calendar month during the Lease Term, without any setoff or deduction whatsoever. The Base Rent for the first full month of the Lease Term shall be paid at the time of Tenant’s execution of this Lease. If any Rent payment date (including the Lease Commencement Date) falls on a day of the month other than the first day of such month or if any payment of Rent is for a period which is shorter than one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ectPr>
          <w:pgSz w:w="11900" w:h="16838" w:orient="portrait"/>
          <w:cols w:equalWidth="0" w:num="1">
            <w:col w:w="9626"/>
          </w:cols>
          <w:pgMar w:left="1134" w:top="256" w:right="1139" w:bottom="1440" w:gutter="0" w:footer="0" w:header="0"/>
        </w:sectPr>
      </w:pPr>
    </w:p>
    <w:bookmarkStart w:id="360" w:name="page361"/>
    <w:bookmarkEnd w:id="360"/>
    <w:p>
      <w:pPr>
        <w:jc w:val="right"/>
        <w:ind w:left="386" w:right="7940" w:hanging="386"/>
        <w:spacing w:after="0" w:line="605" w:lineRule="auto"/>
        <w:tabs>
          <w:tab w:leader="none" w:pos="159" w:val="left"/>
        </w:tabs>
        <w:numPr>
          <w:ilvl w:val="0"/>
          <w:numId w:val="248"/>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ADDITIONAL RENT. </w:t>
      </w:r>
      <w:r>
        <w:rPr>
          <w:rFonts w:ascii="Arial" w:cs="Arial" w:eastAsia="Arial" w:hAnsi="Arial"/>
          <w:sz w:val="13"/>
          <w:szCs w:val="13"/>
          <w:color w:val="auto"/>
        </w:rPr>
        <w:t xml:space="preserve">4.1 </w:t>
      </w:r>
      <w:r>
        <w:rPr>
          <w:rFonts w:ascii="Arial" w:cs="Arial" w:eastAsia="Arial" w:hAnsi="Arial"/>
          <w:sz w:val="13"/>
          <w:szCs w:val="13"/>
          <w:b w:val="1"/>
          <w:bCs w:val="1"/>
          <w:u w:val="single" w:color="auto"/>
          <w:color w:val="auto"/>
        </w:rPr>
        <w:t>General Terms</w:t>
      </w:r>
      <w:r>
        <w:rPr>
          <w:rFonts w:ascii="Arial" w:cs="Arial" w:eastAsia="Arial" w:hAnsi="Arial"/>
          <w:sz w:val="13"/>
          <w:szCs w:val="13"/>
          <w:color w:val="auto"/>
        </w:rPr>
        <w:t>.</w:t>
      </w:r>
    </w:p>
    <w:p>
      <w:pPr>
        <w:spacing w:after="0" w:line="1" w:lineRule="exact"/>
        <w:rPr>
          <w:sz w:val="20"/>
          <w:szCs w:val="20"/>
          <w:color w:val="auto"/>
        </w:rPr>
      </w:pPr>
    </w:p>
    <w:p>
      <w:pPr>
        <w:ind w:left="866"/>
        <w:spacing w:after="0"/>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b w:val="1"/>
          <w:bCs w:val="1"/>
          <w:u w:val="single" w:color="auto"/>
          <w:color w:val="auto"/>
        </w:rPr>
        <w:t>Direct Expenses; Additional Rent</w:t>
      </w:r>
      <w:r>
        <w:rPr>
          <w:rFonts w:ascii="Arial" w:cs="Arial" w:eastAsia="Arial" w:hAnsi="Arial"/>
          <w:sz w:val="15"/>
          <w:szCs w:val="15"/>
          <w:color w:val="auto"/>
        </w:rPr>
        <w:t xml:space="preserve">. In addition to paying the Base Rent specified in </w:t>
      </w:r>
      <w:r>
        <w:rPr>
          <w:rFonts w:ascii="Arial" w:cs="Arial" w:eastAsia="Arial" w:hAnsi="Arial"/>
          <w:sz w:val="15"/>
          <w:szCs w:val="15"/>
          <w:u w:val="single" w:color="auto"/>
          <w:color w:val="auto"/>
        </w:rPr>
        <w:t>Article 3</w:t>
      </w:r>
      <w:r>
        <w:rPr>
          <w:rFonts w:ascii="Arial" w:cs="Arial" w:eastAsia="Arial" w:hAnsi="Arial"/>
          <w:sz w:val="15"/>
          <w:szCs w:val="15"/>
          <w:color w:val="auto"/>
        </w:rPr>
        <w:t xml:space="preserve"> of this Lease, Tenant shall pay</w:t>
      </w:r>
    </w:p>
    <w:p>
      <w:pPr>
        <w:spacing w:after="0" w:line="32" w:lineRule="exact"/>
        <w:rPr>
          <w:sz w:val="20"/>
          <w:szCs w:val="20"/>
          <w:color w:val="auto"/>
        </w:rPr>
      </w:pPr>
    </w:p>
    <w:p>
      <w:pPr>
        <w:ind w:left="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Tenant’s Share</w:t>
      </w:r>
      <w:r>
        <w:rPr>
          <w:rFonts w:ascii="Arial" w:cs="Arial" w:eastAsia="Arial" w:hAnsi="Arial"/>
          <w:sz w:val="13"/>
          <w:szCs w:val="13"/>
          <w:color w:val="auto"/>
        </w:rPr>
        <w:t>” of the annual “</w:t>
      </w:r>
      <w:r>
        <w:rPr>
          <w:rFonts w:ascii="Arial" w:cs="Arial" w:eastAsia="Arial" w:hAnsi="Arial"/>
          <w:sz w:val="13"/>
          <w:szCs w:val="13"/>
          <w:b w:val="1"/>
          <w:bCs w:val="1"/>
          <w:color w:val="auto"/>
        </w:rPr>
        <w:t>Direct Expenses</w:t>
      </w:r>
      <w:r>
        <w:rPr>
          <w:rFonts w:ascii="Arial" w:cs="Arial" w:eastAsia="Arial" w:hAnsi="Arial"/>
          <w:sz w:val="13"/>
          <w:szCs w:val="13"/>
          <w:color w:val="auto"/>
        </w:rPr>
        <w:t xml:space="preserve">,” as those terms are defined in </w:t>
      </w:r>
      <w:r>
        <w:rPr>
          <w:rFonts w:ascii="Arial" w:cs="Arial" w:eastAsia="Arial" w:hAnsi="Arial"/>
          <w:sz w:val="13"/>
          <w:szCs w:val="13"/>
          <w:u w:val="single" w:color="auto"/>
          <w:color w:val="auto"/>
        </w:rPr>
        <w:t>Sections 4.2.6 and 4.2.2</w:t>
      </w:r>
      <w:r>
        <w:rPr>
          <w:rFonts w:ascii="Arial" w:cs="Arial" w:eastAsia="Arial" w:hAnsi="Arial"/>
          <w:sz w:val="13"/>
          <w:szCs w:val="13"/>
          <w:color w:val="auto"/>
        </w:rPr>
        <w:t xml:space="preserve"> of this Lease, respectively, allocable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 xml:space="preserve">Building as described in </w:t>
      </w:r>
      <w:r>
        <w:rPr>
          <w:rFonts w:ascii="Arial" w:cs="Arial" w:eastAsia="Arial" w:hAnsi="Arial"/>
          <w:sz w:val="13"/>
          <w:szCs w:val="13"/>
          <w:u w:val="single" w:color="auto"/>
          <w:color w:val="auto"/>
        </w:rPr>
        <w:t>Section 4.3</w:t>
      </w:r>
      <w:r>
        <w:rPr>
          <w:rFonts w:ascii="Arial" w:cs="Arial" w:eastAsia="Arial" w:hAnsi="Arial"/>
          <w:sz w:val="13"/>
          <w:szCs w:val="13"/>
          <w:color w:val="auto"/>
        </w:rPr>
        <w:t>. Such payments by Tenant, together with any and all other amounts payable by Tenant to Landlord pursuant to the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terms of this Lease, are hereinafter collectively referred to as the “</w:t>
      </w:r>
      <w:r>
        <w:rPr>
          <w:rFonts w:ascii="Arial" w:cs="Arial" w:eastAsia="Arial" w:hAnsi="Arial"/>
          <w:sz w:val="13"/>
          <w:szCs w:val="13"/>
          <w:b w:val="1"/>
          <w:bCs w:val="1"/>
          <w:color w:val="auto"/>
        </w:rPr>
        <w:t>Additional Rent</w:t>
      </w:r>
      <w:r>
        <w:rPr>
          <w:rFonts w:ascii="Arial" w:cs="Arial" w:eastAsia="Arial" w:hAnsi="Arial"/>
          <w:sz w:val="13"/>
          <w:szCs w:val="13"/>
          <w:color w:val="auto"/>
        </w:rPr>
        <w:t>”, and the Base Rent and the Additional Rent are herein collectively</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referred to as “</w:t>
      </w:r>
      <w:r>
        <w:rPr>
          <w:rFonts w:ascii="Arial" w:cs="Arial" w:eastAsia="Arial" w:hAnsi="Arial"/>
          <w:sz w:val="13"/>
          <w:szCs w:val="13"/>
          <w:b w:val="1"/>
          <w:bCs w:val="1"/>
          <w:color w:val="auto"/>
        </w:rPr>
        <w:t>Rent</w:t>
      </w:r>
      <w:r>
        <w:rPr>
          <w:rFonts w:ascii="Arial" w:cs="Arial" w:eastAsia="Arial" w:hAnsi="Arial"/>
          <w:sz w:val="13"/>
          <w:szCs w:val="13"/>
          <w:color w:val="auto"/>
        </w:rPr>
        <w:t xml:space="preserve">.” All amounts due under this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as Additional Rent shall be payable for the same periods and in the same manner as the Base</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3"/>
          <w:szCs w:val="13"/>
          <w:color w:val="auto"/>
        </w:rPr>
        <w:t>Rent. Without limitation on other obligations of Tenant which survive the expiration of the Lease Term, the obligations of Tenant to pay the Additional</w:t>
      </w:r>
    </w:p>
    <w:p>
      <w:pPr>
        <w:spacing w:after="0" w:line="39" w:lineRule="exact"/>
        <w:rPr>
          <w:sz w:val="20"/>
          <w:szCs w:val="20"/>
          <w:color w:val="auto"/>
        </w:rPr>
      </w:pPr>
    </w:p>
    <w:p>
      <w:pPr>
        <w:ind w:left="6"/>
        <w:spacing w:after="0"/>
        <w:rPr>
          <w:sz w:val="20"/>
          <w:szCs w:val="20"/>
          <w:color w:val="auto"/>
        </w:rPr>
      </w:pPr>
      <w:r>
        <w:rPr>
          <w:rFonts w:ascii="Arial" w:cs="Arial" w:eastAsia="Arial" w:hAnsi="Arial"/>
          <w:sz w:val="16"/>
          <w:szCs w:val="16"/>
          <w:color w:val="auto"/>
        </w:rPr>
        <w:t xml:space="preserve">Rent provided for in this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shall survive the expiration of the Lease Term.</w:t>
      </w:r>
    </w:p>
    <w:p>
      <w:pPr>
        <w:spacing w:after="0" w:line="178" w:lineRule="exact"/>
        <w:rPr>
          <w:sz w:val="20"/>
          <w:szCs w:val="20"/>
          <w:color w:val="auto"/>
        </w:rPr>
      </w:pPr>
    </w:p>
    <w:p>
      <w:pPr>
        <w:ind w:left="6" w:firstLine="866"/>
        <w:spacing w:after="0" w:line="273"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b w:val="1"/>
          <w:bCs w:val="1"/>
          <w:u w:val="single" w:color="auto"/>
          <w:color w:val="auto"/>
        </w:rPr>
        <w:t>Triple Net Lease</w:t>
      </w:r>
      <w:r>
        <w:rPr>
          <w:rFonts w:ascii="Arial" w:cs="Arial" w:eastAsia="Arial" w:hAnsi="Arial"/>
          <w:sz w:val="15"/>
          <w:szCs w:val="15"/>
          <w:color w:val="auto"/>
        </w:rPr>
        <w:t>. Landlord and Tenant acknowledge that, to the extent provided in this Lease, it is their intent and agreement that this Lease be a “</w:t>
      </w:r>
      <w:r>
        <w:rPr>
          <w:rFonts w:ascii="Arial" w:cs="Arial" w:eastAsia="Arial" w:hAnsi="Arial"/>
          <w:sz w:val="15"/>
          <w:szCs w:val="15"/>
          <w:b w:val="1"/>
          <w:bCs w:val="1"/>
          <w:color w:val="auto"/>
        </w:rPr>
        <w:t>TRIPLE NET</w:t>
      </w:r>
      <w:r>
        <w:rPr>
          <w:rFonts w:ascii="Arial" w:cs="Arial" w:eastAsia="Arial" w:hAnsi="Arial"/>
          <w:sz w:val="15"/>
          <w:szCs w:val="15"/>
          <w:color w:val="auto"/>
        </w:rPr>
        <w:t>” lease and that as such, the provisions contained in this Lease are intended to pass on to Tenant or reimburse Landlord for the costs and expenses reasonably associated with this Lease, the Building and the Project, and Tenant’s operation therefrom to the extent provided in this Lease. To the extent such costs and expenses payable by Tenant cannot be charged directly to, and paid by, Tenant, such costs and expenses shall be paid by Landlord but reimbursed by Tenant as Additional Rent.</w:t>
      </w:r>
    </w:p>
    <w:p>
      <w:pPr>
        <w:spacing w:after="0" w:line="151"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b w:val="1"/>
          <w:bCs w:val="1"/>
          <w:u w:val="single" w:color="auto"/>
          <w:color w:val="auto"/>
        </w:rPr>
        <w:t>Definitions of Key Terms Relating to Additional Rent</w:t>
      </w:r>
      <w:r>
        <w:rPr>
          <w:rFonts w:ascii="Arial" w:cs="Arial" w:eastAsia="Arial" w:hAnsi="Arial"/>
          <w:sz w:val="13"/>
          <w:szCs w:val="13"/>
          <w:color w:val="auto"/>
        </w:rPr>
        <w:t xml:space="preserve">. As used in this </w:t>
      </w:r>
      <w:r>
        <w:rPr>
          <w:rFonts w:ascii="Arial" w:cs="Arial" w:eastAsia="Arial" w:hAnsi="Arial"/>
          <w:sz w:val="13"/>
          <w:szCs w:val="13"/>
          <w:u w:val="single" w:color="auto"/>
          <w:color w:val="auto"/>
        </w:rPr>
        <w:t>Article 4</w:t>
      </w:r>
      <w:r>
        <w:rPr>
          <w:rFonts w:ascii="Arial" w:cs="Arial" w:eastAsia="Arial" w:hAnsi="Arial"/>
          <w:sz w:val="13"/>
          <w:szCs w:val="13"/>
          <w:color w:val="auto"/>
        </w:rPr>
        <w:t>, the following terms shall have the meanings hereinafter set</w:t>
      </w:r>
    </w:p>
    <w:p>
      <w:pPr>
        <w:spacing w:after="0" w:line="55" w:lineRule="exact"/>
        <w:rPr>
          <w:sz w:val="20"/>
          <w:szCs w:val="20"/>
          <w:color w:val="auto"/>
        </w:rPr>
      </w:pPr>
    </w:p>
    <w:p>
      <w:pPr>
        <w:ind w:left="6"/>
        <w:spacing w:after="0"/>
        <w:rPr>
          <w:sz w:val="20"/>
          <w:szCs w:val="20"/>
          <w:color w:val="auto"/>
        </w:rPr>
      </w:pPr>
      <w:r>
        <w:rPr>
          <w:rFonts w:ascii="Arial" w:cs="Arial" w:eastAsia="Arial" w:hAnsi="Arial"/>
          <w:sz w:val="16"/>
          <w:szCs w:val="16"/>
          <w:color w:val="auto"/>
        </w:rPr>
        <w:t>forth:</w:t>
      </w:r>
    </w:p>
    <w:p>
      <w:pPr>
        <w:spacing w:after="0" w:line="182" w:lineRule="exact"/>
        <w:rPr>
          <w:sz w:val="20"/>
          <w:szCs w:val="20"/>
          <w:color w:val="auto"/>
        </w:rPr>
      </w:pPr>
    </w:p>
    <w:p>
      <w:pPr>
        <w:ind w:left="866"/>
        <w:spacing w:after="0"/>
        <w:rPr>
          <w:sz w:val="20"/>
          <w:szCs w:val="20"/>
          <w:color w:val="auto"/>
        </w:rPr>
      </w:pPr>
      <w:r>
        <w:rPr>
          <w:rFonts w:ascii="Arial" w:cs="Arial" w:eastAsia="Arial" w:hAnsi="Arial"/>
          <w:sz w:val="16"/>
          <w:szCs w:val="16"/>
          <w:color w:val="auto"/>
        </w:rPr>
        <w:t>4.2.1 Intentionally Deleted.</w:t>
      </w:r>
    </w:p>
    <w:p>
      <w:pPr>
        <w:spacing w:after="0" w:line="18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b w:val="1"/>
          <w:bCs w:val="1"/>
          <w:color w:val="auto"/>
        </w:rPr>
        <w:t>“Direct Expenses</w:t>
      </w:r>
      <w:r>
        <w:rPr>
          <w:rFonts w:ascii="Arial" w:cs="Arial" w:eastAsia="Arial" w:hAnsi="Arial"/>
          <w:sz w:val="16"/>
          <w:szCs w:val="16"/>
          <w:color w:val="auto"/>
        </w:rPr>
        <w:t>” shall mean “</w:t>
      </w:r>
      <w:r>
        <w:rPr>
          <w:rFonts w:ascii="Arial" w:cs="Arial" w:eastAsia="Arial" w:hAnsi="Arial"/>
          <w:sz w:val="16"/>
          <w:szCs w:val="16"/>
          <w:b w:val="1"/>
          <w:bCs w:val="1"/>
          <w:color w:val="auto"/>
        </w:rPr>
        <w:t>Operating Expenses</w:t>
      </w:r>
      <w:r>
        <w:rPr>
          <w:rFonts w:ascii="Arial" w:cs="Arial" w:eastAsia="Arial" w:hAnsi="Arial"/>
          <w:sz w:val="16"/>
          <w:szCs w:val="16"/>
          <w:color w:val="auto"/>
        </w:rPr>
        <w:t>” and “</w:t>
      </w:r>
      <w:r>
        <w:rPr>
          <w:rFonts w:ascii="Arial" w:cs="Arial" w:eastAsia="Arial" w:hAnsi="Arial"/>
          <w:sz w:val="16"/>
          <w:szCs w:val="16"/>
          <w:b w:val="1"/>
          <w:bCs w:val="1"/>
          <w:color w:val="auto"/>
        </w:rPr>
        <w:t>Tax Expenses</w:t>
      </w:r>
      <w:r>
        <w:rPr>
          <w:rFonts w:ascii="Arial" w:cs="Arial" w:eastAsia="Arial" w:hAnsi="Arial"/>
          <w:sz w:val="16"/>
          <w:szCs w:val="16"/>
          <w:color w:val="auto"/>
        </w:rPr>
        <w:t>.”</w:t>
      </w:r>
    </w:p>
    <w:p>
      <w:pPr>
        <w:spacing w:after="0" w:line="193" w:lineRule="exact"/>
        <w:rPr>
          <w:sz w:val="20"/>
          <w:szCs w:val="20"/>
          <w:color w:val="auto"/>
        </w:rPr>
      </w:pPr>
    </w:p>
    <w:p>
      <w:pPr>
        <w:ind w:left="6" w:right="20" w:firstLine="866"/>
        <w:spacing w:after="0" w:line="315" w:lineRule="auto"/>
        <w:rPr>
          <w:sz w:val="20"/>
          <w:szCs w:val="20"/>
          <w:color w:val="auto"/>
        </w:rPr>
      </w:pPr>
      <w:r>
        <w:rPr>
          <w:rFonts w:ascii="Arial" w:cs="Arial" w:eastAsia="Arial" w:hAnsi="Arial"/>
          <w:sz w:val="13"/>
          <w:szCs w:val="13"/>
          <w:color w:val="auto"/>
        </w:rPr>
        <w:t xml:space="preserve">4.2.3 </w:t>
      </w:r>
      <w:r>
        <w:rPr>
          <w:rFonts w:ascii="Arial" w:cs="Arial" w:eastAsia="Arial" w:hAnsi="Arial"/>
          <w:sz w:val="13"/>
          <w:szCs w:val="13"/>
          <w:b w:val="1"/>
          <w:bCs w:val="1"/>
          <w:color w:val="auto"/>
        </w:rPr>
        <w:t>“Expense Year</w:t>
      </w:r>
      <w:r>
        <w:rPr>
          <w:rFonts w:ascii="Arial" w:cs="Arial" w:eastAsia="Arial" w:hAnsi="Arial"/>
          <w:sz w:val="13"/>
          <w:szCs w:val="13"/>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w:t>
      </w:r>
    </w:p>
    <w:p>
      <w:pPr>
        <w:ind w:left="6" w:right="320" w:hanging="6"/>
        <w:spacing w:after="0" w:line="252" w:lineRule="auto"/>
        <w:tabs>
          <w:tab w:leader="none" w:pos="307" w:val="left"/>
        </w:tabs>
        <w:numPr>
          <w:ilvl w:val="0"/>
          <w:numId w:val="249"/>
        </w:numPr>
        <w:rPr>
          <w:rFonts w:ascii="Arial" w:cs="Arial" w:eastAsia="Arial" w:hAnsi="Arial"/>
          <w:sz w:val="16"/>
          <w:szCs w:val="16"/>
          <w:color w:val="auto"/>
        </w:rPr>
      </w:pPr>
      <w:r>
        <w:rPr>
          <w:rFonts w:ascii="Arial" w:cs="Arial" w:eastAsia="Arial" w:hAnsi="Arial"/>
          <w:sz w:val="16"/>
          <w:szCs w:val="16"/>
          <w:color w:val="auto"/>
        </w:rPr>
        <w:t>consecutive month period, and, in the event of any such change, Tenant’s Share of Direct Expenses shall be equitably adjusted for any Expense Year involved in any such change.</w:t>
      </w:r>
    </w:p>
    <w:p>
      <w:pPr>
        <w:spacing w:after="0" w:line="164" w:lineRule="exact"/>
        <w:rPr>
          <w:sz w:val="20"/>
          <w:szCs w:val="20"/>
          <w:color w:val="auto"/>
        </w:rPr>
      </w:pPr>
    </w:p>
    <w:p>
      <w:pPr>
        <w:ind w:left="6" w:right="80" w:firstLine="866"/>
        <w:spacing w:after="0" w:line="305" w:lineRule="auto"/>
        <w:rPr>
          <w:sz w:val="20"/>
          <w:szCs w:val="20"/>
          <w:color w:val="auto"/>
        </w:rPr>
      </w:pPr>
      <w:r>
        <w:rPr>
          <w:rFonts w:ascii="Arial" w:cs="Arial" w:eastAsia="Arial" w:hAnsi="Arial"/>
          <w:sz w:val="13"/>
          <w:szCs w:val="13"/>
          <w:color w:val="auto"/>
        </w:rPr>
        <w:t xml:space="preserve">4.2.4 </w:t>
      </w:r>
      <w:r>
        <w:rPr>
          <w:rFonts w:ascii="Arial" w:cs="Arial" w:eastAsia="Arial" w:hAnsi="Arial"/>
          <w:sz w:val="13"/>
          <w:szCs w:val="13"/>
          <w:b w:val="1"/>
          <w:bCs w:val="1"/>
          <w:color w:val="auto"/>
        </w:rPr>
        <w:t>“Operating Expenses</w:t>
      </w:r>
      <w:r>
        <w:rPr>
          <w:rFonts w:ascii="Arial" w:cs="Arial" w:eastAsia="Arial" w:hAnsi="Arial"/>
          <w:sz w:val="13"/>
          <w:szCs w:val="13"/>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and maintaining the utility, telephone, mechanical, sanitary, storm drainage, and elevator systems, and the cost of maintenance and service contracts in connection therewith; (ii) the cost of licenses, certificates, permits and inspections and the cost of contesting any governmental enactments which are reasonably likely to increase Operating Expenses during the Lease Term, and the costs incurred in connection with a governmentally mandated transportation system management program or similar program; (iii) the cost of all insurance carried by Landlord in connection with the Project and Premises as reasonably determined by Landlord; (iv) the cost of landscaping, relamping, and all supplies, tools, equipment and materials used in the operation, repair and maintenance of the Project, or any portion thereof; (v) the cost of parking area operation, repair, restoration, and maintenance; (vi) management and/or incentive fees, consulting fees, legal fees and accounting fees, of all contractors and consultants in connection with the management, operation, maintenance and repair of the Project;</w:t>
      </w:r>
    </w:p>
    <w:p>
      <w:pPr>
        <w:spacing w:after="0" w:line="1" w:lineRule="exact"/>
        <w:rPr>
          <w:sz w:val="20"/>
          <w:szCs w:val="20"/>
          <w:color w:val="auto"/>
        </w:rPr>
      </w:pPr>
    </w:p>
    <w:p>
      <w:pPr>
        <w:ind w:left="6" w:right="100" w:hanging="6"/>
        <w:spacing w:after="0" w:line="302" w:lineRule="auto"/>
        <w:tabs>
          <w:tab w:leader="none" w:pos="316" w:val="left"/>
        </w:tabs>
        <w:numPr>
          <w:ilvl w:val="0"/>
          <w:numId w:val="250"/>
        </w:numPr>
        <w:rPr>
          <w:rFonts w:ascii="Arial" w:cs="Arial" w:eastAsia="Arial" w:hAnsi="Arial"/>
          <w:sz w:val="13"/>
          <w:szCs w:val="13"/>
          <w:color w:val="auto"/>
        </w:rPr>
      </w:pPr>
      <w:r>
        <w:rPr>
          <w:rFonts w:ascii="Arial" w:cs="Arial" w:eastAsia="Arial" w:hAnsi="Arial"/>
          <w:sz w:val="13"/>
          <w:szCs w:val="13"/>
          <w:color w:val="auto"/>
        </w:rPr>
        <w:t>payments under any equipment rental agreements; (viii) subject to item (f), below, wages, salaries and other compensation and benefits, including taxes levied thereon, of all persons engaged in the operation, maintenance and security of the Project; (ix) costs under any easement pertaining to the sharing of costs by the Project; (x) operation, repair, maintenance and replacement of all systems and equipment and components thereof of the Project;</w:t>
      </w:r>
    </w:p>
    <w:p>
      <w:pPr>
        <w:spacing w:after="0" w:line="1" w:lineRule="exact"/>
        <w:rPr>
          <w:rFonts w:ascii="Arial" w:cs="Arial" w:eastAsia="Arial" w:hAnsi="Arial"/>
          <w:sz w:val="13"/>
          <w:szCs w:val="13"/>
          <w:color w:val="auto"/>
        </w:rPr>
      </w:pPr>
    </w:p>
    <w:p>
      <w:pPr>
        <w:ind w:left="6" w:right="80" w:hanging="6"/>
        <w:spacing w:after="0" w:line="248" w:lineRule="auto"/>
        <w:tabs>
          <w:tab w:leader="none" w:pos="27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cost of janitorial, alarm, security and other services, replacement of wall and floor coverings, ceiling tiles and fixtures in Common Areas, maintenance and replacement of curbs and walkways, repair to roofs and re-roofing; (xii) amortization (including interest on the unamortized cost) over such period of time as Landlord shall reasonably determine, of the cost of acquiring or the rental expense of personal property used in the maintenance, operation and</w:t>
      </w:r>
    </w:p>
    <w:p>
      <w:pPr>
        <w:sectPr>
          <w:pgSz w:w="11900" w:h="16838" w:orient="portrait"/>
          <w:cols w:equalWidth="0" w:num="1">
            <w:col w:w="9626"/>
          </w:cols>
          <w:pgMar w:left="1134" w:top="252" w:right="1139" w:bottom="1440" w:gutter="0" w:footer="0" w:header="0"/>
        </w:sectPr>
      </w:pPr>
    </w:p>
    <w:bookmarkStart w:id="361" w:name="page362"/>
    <w:bookmarkEnd w:id="361"/>
    <w:p>
      <w:pPr>
        <w:jc w:val="both"/>
        <w:ind w:left="6" w:right="6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or to enhance the safety or security of the Project or its occupants, (B) which are required to comply with present or anticipated conservation programs,</w:t>
      </w:r>
    </w:p>
    <w:p>
      <w:pPr>
        <w:spacing w:after="0" w:line="2" w:lineRule="exact"/>
        <w:rPr>
          <w:sz w:val="20"/>
          <w:szCs w:val="20"/>
          <w:color w:val="auto"/>
        </w:rPr>
      </w:pPr>
    </w:p>
    <w:p>
      <w:pPr>
        <w:ind w:left="6" w:right="40" w:hanging="6"/>
        <w:spacing w:after="0" w:line="311" w:lineRule="auto"/>
        <w:tabs>
          <w:tab w:leader="none" w:pos="255" w:val="left"/>
        </w:tabs>
        <w:numPr>
          <w:ilvl w:val="0"/>
          <w:numId w:val="252"/>
        </w:numPr>
        <w:rPr>
          <w:rFonts w:ascii="Arial" w:cs="Arial" w:eastAsia="Arial" w:hAnsi="Arial"/>
          <w:sz w:val="13"/>
          <w:szCs w:val="13"/>
          <w:color w:val="auto"/>
        </w:rPr>
      </w:pPr>
      <w:r>
        <w:rPr>
          <w:rFonts w:ascii="Arial" w:cs="Arial" w:eastAsia="Arial" w:hAnsi="Arial"/>
          <w:sz w:val="13"/>
          <w:szCs w:val="13"/>
          <w:color w:val="auto"/>
        </w:rPr>
        <w:t xml:space="preserve">which are replacements or modifications of nonstructural items located in the Common Areas required to keep the Common Areas in good order or condition, or (D) which are required under any governmental law or regulation; provided, however, that any capital expenditure shall be amortized (including reasonable interest on the amortized cost) over the reasonable useful life of such capital item; and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Arial" w:cs="Arial" w:eastAsia="Arial" w:hAnsi="Arial"/>
          <w:sz w:val="13"/>
          <w:szCs w:val="13"/>
          <w:u w:val="single" w:color="auto"/>
          <w:color w:val="auto"/>
        </w:rPr>
        <w:t>Section 4.2.5</w:t>
      </w:r>
      <w:r>
        <w:rPr>
          <w:rFonts w:ascii="Arial" w:cs="Arial" w:eastAsia="Arial" w:hAnsi="Arial"/>
          <w:sz w:val="13"/>
          <w:szCs w:val="13"/>
          <w:color w:val="auto"/>
        </w:rPr>
        <w:t>, below, and (xv) payments under any easement, license, operating agreement, declaration, restrictive covenant, or instrument pertaining to the sharing of costs by the Building, including, without limitation, any covenants, conditions and restrictions affecting the property, and reciprocal easement agreements affecting the property, any parking licenses, and any agreements with transit agencies affecting the Property (collectively, “</w:t>
      </w:r>
      <w:r>
        <w:rPr>
          <w:rFonts w:ascii="Arial" w:cs="Arial" w:eastAsia="Arial" w:hAnsi="Arial"/>
          <w:sz w:val="13"/>
          <w:szCs w:val="13"/>
          <w:b w:val="1"/>
          <w:bCs w:val="1"/>
          <w:color w:val="auto"/>
        </w:rPr>
        <w:t>Underlying Documents</w:t>
      </w:r>
      <w:r>
        <w:rPr>
          <w:rFonts w:ascii="Arial" w:cs="Arial" w:eastAsia="Arial" w:hAnsi="Arial"/>
          <w:sz w:val="13"/>
          <w:szCs w:val="13"/>
          <w:color w:val="auto"/>
        </w:rPr>
        <w:t>”). Notwithstanding the foregoing, for purposes of this Lease, Operating Expenses shall not, however, include:</w:t>
      </w:r>
    </w:p>
    <w:p>
      <w:pPr>
        <w:spacing w:after="0" w:line="230" w:lineRule="exact"/>
        <w:rPr>
          <w:rFonts w:ascii="Arial" w:cs="Arial" w:eastAsia="Arial" w:hAnsi="Arial"/>
          <w:sz w:val="13"/>
          <w:szCs w:val="13"/>
          <w:color w:val="auto"/>
        </w:rPr>
      </w:pPr>
    </w:p>
    <w:p>
      <w:pPr>
        <w:ind w:left="386" w:right="100" w:firstLine="830"/>
        <w:spacing w:after="0" w:line="250" w:lineRule="auto"/>
        <w:tabs>
          <w:tab w:leader="none" w:pos="143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costs, including legal fees, space planners’ fees, advertising and promotional expenses (except as otherwise set forth above),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pacing w:after="0" w:line="76" w:lineRule="exact"/>
        <w:rPr>
          <w:rFonts w:ascii="Arial" w:cs="Arial" w:eastAsia="Arial" w:hAnsi="Arial"/>
          <w:sz w:val="16"/>
          <w:szCs w:val="16"/>
          <w:color w:val="auto"/>
        </w:rPr>
      </w:pPr>
    </w:p>
    <w:p>
      <w:pPr>
        <w:ind w:left="386" w:firstLine="830"/>
        <w:spacing w:after="0" w:line="266" w:lineRule="auto"/>
        <w:tabs>
          <w:tab w:leader="none" w:pos="1440" w:val="left"/>
        </w:tabs>
        <w:numPr>
          <w:ilvl w:val="1"/>
          <w:numId w:val="252"/>
        </w:numPr>
        <w:rPr>
          <w:rFonts w:ascii="Arial" w:cs="Arial" w:eastAsia="Arial" w:hAnsi="Arial"/>
          <w:sz w:val="16"/>
          <w:szCs w:val="16"/>
          <w:color w:val="auto"/>
        </w:rPr>
      </w:pPr>
      <w:r>
        <w:rPr>
          <w:rFonts w:ascii="Arial" w:cs="Arial" w:eastAsia="Arial" w:hAnsi="Arial"/>
          <w:sz w:val="16"/>
          <w:szCs w:val="16"/>
          <w:color w:val="auto"/>
        </w:rPr>
        <w:t>except as set forth in items (xii), (xiii), and (xiv) above, depreciation, interest and principal payments on mortgages and other debt costs, if any, penalties and interest;</w:t>
      </w:r>
    </w:p>
    <w:p>
      <w:pPr>
        <w:spacing w:after="0" w:line="63" w:lineRule="exact"/>
        <w:rPr>
          <w:rFonts w:ascii="Arial" w:cs="Arial" w:eastAsia="Arial" w:hAnsi="Arial"/>
          <w:sz w:val="16"/>
          <w:szCs w:val="16"/>
          <w:color w:val="auto"/>
        </w:rPr>
      </w:pPr>
    </w:p>
    <w:p>
      <w:pPr>
        <w:jc w:val="both"/>
        <w:ind w:left="386" w:right="120" w:firstLine="830"/>
        <w:spacing w:after="0" w:line="256" w:lineRule="auto"/>
        <w:tabs>
          <w:tab w:leader="none" w:pos="143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costs for which the Landlord is reimbursed by any tenant or occupant of the Project or by insurance by its carrier or any tenant’s carrier or by anyone else, electric power costs for which any tenant directly contracts with the local public service company and costs of utilities and services provided to other tenants that are not provided to Tenant;</w:t>
      </w:r>
    </w:p>
    <w:p>
      <w:pPr>
        <w:spacing w:after="0" w:line="71" w:lineRule="exact"/>
        <w:rPr>
          <w:rFonts w:ascii="Arial" w:cs="Arial" w:eastAsia="Arial" w:hAnsi="Arial"/>
          <w:sz w:val="16"/>
          <w:szCs w:val="16"/>
          <w:color w:val="auto"/>
        </w:rPr>
      </w:pPr>
    </w:p>
    <w:p>
      <w:pPr>
        <w:ind w:left="1446" w:hanging="230"/>
        <w:spacing w:after="0"/>
        <w:tabs>
          <w:tab w:leader="none" w:pos="1446" w:val="left"/>
        </w:tabs>
        <w:numPr>
          <w:ilvl w:val="1"/>
          <w:numId w:val="252"/>
        </w:numPr>
        <w:rPr>
          <w:rFonts w:ascii="Arial" w:cs="Arial" w:eastAsia="Arial" w:hAnsi="Arial"/>
          <w:sz w:val="13"/>
          <w:szCs w:val="13"/>
          <w:color w:val="auto"/>
        </w:rPr>
      </w:pPr>
      <w:r>
        <w:rPr>
          <w:rFonts w:ascii="Arial" w:cs="Arial" w:eastAsia="Arial" w:hAnsi="Arial"/>
          <w:sz w:val="13"/>
          <w:szCs w:val="13"/>
          <w:color w:val="auto"/>
        </w:rPr>
        <w:t>any bad debt loss, rent loss, or reserves for bad debts or rent loss or other reserves to the extent not used in the same year;</w:t>
      </w:r>
    </w:p>
    <w:p>
      <w:pPr>
        <w:spacing w:after="0" w:line="133" w:lineRule="exact"/>
        <w:rPr>
          <w:rFonts w:ascii="Arial" w:cs="Arial" w:eastAsia="Arial" w:hAnsi="Arial"/>
          <w:sz w:val="13"/>
          <w:szCs w:val="13"/>
          <w:color w:val="auto"/>
        </w:rPr>
      </w:pPr>
    </w:p>
    <w:p>
      <w:pPr>
        <w:ind w:left="386" w:firstLine="830"/>
        <w:spacing w:after="0" w:line="268" w:lineRule="auto"/>
        <w:tabs>
          <w:tab w:leader="none" w:pos="1431" w:val="left"/>
        </w:tabs>
        <w:numPr>
          <w:ilvl w:val="1"/>
          <w:numId w:val="252"/>
        </w:numPr>
        <w:rPr>
          <w:rFonts w:ascii="Arial" w:cs="Arial" w:eastAsia="Arial" w:hAnsi="Arial"/>
          <w:sz w:val="15"/>
          <w:szCs w:val="15"/>
          <w:color w:val="auto"/>
        </w:rPr>
      </w:pPr>
      <w:r>
        <w:rPr>
          <w:rFonts w:ascii="Arial" w:cs="Arial" w:eastAsia="Arial" w:hAnsi="Arial"/>
          <w:sz w:val="15"/>
          <w:szCs w:val="15"/>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66" w:lineRule="exact"/>
        <w:rPr>
          <w:rFonts w:ascii="Arial" w:cs="Arial" w:eastAsia="Arial" w:hAnsi="Arial"/>
          <w:sz w:val="15"/>
          <w:szCs w:val="15"/>
          <w:color w:val="auto"/>
        </w:rPr>
      </w:pPr>
    </w:p>
    <w:p>
      <w:pPr>
        <w:ind w:left="386" w:right="80" w:firstLine="830"/>
        <w:spacing w:after="0" w:line="253" w:lineRule="auto"/>
        <w:tabs>
          <w:tab w:leader="none" w:pos="1414" w:val="left"/>
        </w:tabs>
        <w:numPr>
          <w:ilvl w:val="1"/>
          <w:numId w:val="252"/>
        </w:numPr>
        <w:rPr>
          <w:rFonts w:ascii="Arial" w:cs="Arial" w:eastAsia="Arial" w:hAnsi="Arial"/>
          <w:sz w:val="16"/>
          <w:szCs w:val="16"/>
          <w:color w:val="auto"/>
        </w:rPr>
      </w:pPr>
      <w:r>
        <w:rPr>
          <w:rFonts w:ascii="Arial" w:cs="Arial" w:eastAsia="Arial" w:hAnsi="Arial"/>
          <w:sz w:val="16"/>
          <w:szCs w:val="16"/>
          <w:color w:val="auto"/>
        </w:rPr>
        <w:t>the wages and benefits of any employee who does not devote substantially all of his or her employed time to the Project unless such wages and benefits are prorated to reflect time spent on operating and managing the Project vis-a-vis time spent on matters unrelated to operating and managing the Project; provided, that in no event shall Operating Expenses for purposes of this Lease include wages and/or benefits attributable to personnel above the level of Project manager;</w:t>
      </w:r>
    </w:p>
    <w:p>
      <w:pPr>
        <w:spacing w:after="0" w:line="73" w:lineRule="exact"/>
        <w:rPr>
          <w:rFonts w:ascii="Arial" w:cs="Arial" w:eastAsia="Arial" w:hAnsi="Arial"/>
          <w:sz w:val="16"/>
          <w:szCs w:val="16"/>
          <w:color w:val="auto"/>
        </w:rPr>
      </w:pPr>
    </w:p>
    <w:p>
      <w:pPr>
        <w:ind w:left="1446" w:hanging="230"/>
        <w:spacing w:after="0"/>
        <w:tabs>
          <w:tab w:leader="none" w:pos="1446"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amount paid as ground rental for the Project by the Landlord;</w:t>
      </w:r>
    </w:p>
    <w:p>
      <w:pPr>
        <w:spacing w:after="0" w:line="98" w:lineRule="exact"/>
        <w:rPr>
          <w:rFonts w:ascii="Arial" w:cs="Arial" w:eastAsia="Arial" w:hAnsi="Arial"/>
          <w:sz w:val="16"/>
          <w:szCs w:val="16"/>
          <w:color w:val="auto"/>
        </w:rPr>
      </w:pPr>
    </w:p>
    <w:p>
      <w:pPr>
        <w:ind w:left="386" w:right="20" w:firstLine="830"/>
        <w:spacing w:after="0" w:line="281" w:lineRule="auto"/>
        <w:tabs>
          <w:tab w:leader="none" w:pos="1440" w:val="left"/>
        </w:tabs>
        <w:numPr>
          <w:ilvl w:val="1"/>
          <w:numId w:val="252"/>
        </w:numPr>
        <w:rPr>
          <w:rFonts w:ascii="Arial" w:cs="Arial" w:eastAsia="Arial" w:hAnsi="Arial"/>
          <w:sz w:val="15"/>
          <w:szCs w:val="15"/>
          <w:color w:val="auto"/>
        </w:rPr>
      </w:pPr>
      <w:r>
        <w:rPr>
          <w:rFonts w:ascii="Arial" w:cs="Arial" w:eastAsia="Arial" w:hAnsi="Arial"/>
          <w:sz w:val="15"/>
          <w:szCs w:val="15"/>
          <w:color w:val="auto"/>
        </w:rPr>
        <w:t>except for a property management fee not to exceed three percent (3%) of gross revenues, overhead and profit increment paid to the Landlord, and any amounts paid to the Landlord or to subsidiaries or affiliates of the Landlord for services in the Project to the extent the same exceeds the costs of such services rendered by qualified, first-class unaffiliated third parties on a competitive basis;</w:t>
      </w:r>
    </w:p>
    <w:p>
      <w:pPr>
        <w:sectPr>
          <w:pgSz w:w="11900" w:h="16838" w:orient="portrait"/>
          <w:cols w:equalWidth="0" w:num="1">
            <w:col w:w="9606"/>
          </w:cols>
          <w:pgMar w:left="1134" w:top="256" w:right="1159" w:bottom="1440" w:gutter="0" w:footer="0" w:header="0"/>
        </w:sectPr>
      </w:pPr>
    </w:p>
    <w:bookmarkStart w:id="362" w:name="page363"/>
    <w:bookmarkEnd w:id="362"/>
    <w:p>
      <w:pPr>
        <w:ind w:left="380" w:right="120" w:firstLine="830"/>
        <w:spacing w:after="0" w:line="300" w:lineRule="auto"/>
        <w:tabs>
          <w:tab w:leader="none" w:pos="1399" w:val="left"/>
        </w:tabs>
        <w:numPr>
          <w:ilvl w:val="0"/>
          <w:numId w:val="25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any compensation paid to clerks, attendants or other persons in commercial concessions operated by the Landlord (other than as direct reimbursement for costs which, if incurred directly by Landlord, would properly be included in Operating Expenses);</w:t>
      </w:r>
    </w:p>
    <w:p>
      <w:pPr>
        <w:spacing w:after="0" w:line="40" w:lineRule="exact"/>
        <w:rPr>
          <w:rFonts w:ascii="Arial" w:cs="Arial" w:eastAsia="Arial" w:hAnsi="Arial"/>
          <w:sz w:val="15"/>
          <w:szCs w:val="15"/>
          <w:color w:val="auto"/>
        </w:rPr>
      </w:pPr>
    </w:p>
    <w:p>
      <w:pPr>
        <w:ind w:left="380" w:right="140" w:firstLine="830"/>
        <w:spacing w:after="0" w:line="253" w:lineRule="auto"/>
        <w:tabs>
          <w:tab w:leader="none" w:pos="1399"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engineering, janitorial or similar services and, further excepting from this exclusion such equipment rented or leased to remedy or ameliorate an emergency condition in the Project;</w:t>
      </w:r>
    </w:p>
    <w:p>
      <w:pPr>
        <w:spacing w:after="0" w:line="73" w:lineRule="exact"/>
        <w:rPr>
          <w:rFonts w:ascii="Arial" w:cs="Arial" w:eastAsia="Arial" w:hAnsi="Arial"/>
          <w:sz w:val="16"/>
          <w:szCs w:val="16"/>
          <w:color w:val="auto"/>
        </w:rPr>
      </w:pPr>
    </w:p>
    <w:p>
      <w:pPr>
        <w:ind w:left="380" w:right="440" w:firstLine="830"/>
        <w:spacing w:after="0" w:line="266" w:lineRule="auto"/>
        <w:tabs>
          <w:tab w:leader="none" w:pos="143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all items and services for which Tenant or any other tenant in the Project reimburses Landlord or which Landlord provides selectively to one or more tenants (other than Tenant) without reimbursement;</w:t>
      </w:r>
    </w:p>
    <w:p>
      <w:pPr>
        <w:spacing w:after="0" w:line="63" w:lineRule="exact"/>
        <w:rPr>
          <w:rFonts w:ascii="Arial" w:cs="Arial" w:eastAsia="Arial" w:hAnsi="Arial"/>
          <w:sz w:val="16"/>
          <w:szCs w:val="16"/>
          <w:color w:val="auto"/>
        </w:rPr>
      </w:pPr>
    </w:p>
    <w:p>
      <w:pPr>
        <w:ind w:left="1400" w:hanging="190"/>
        <w:spacing w:after="0"/>
        <w:tabs>
          <w:tab w:leader="none" w:pos="14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any costs expressly excluded from Operating Expenses elsewhere in this Lease;</w:t>
      </w:r>
    </w:p>
    <w:p>
      <w:pPr>
        <w:spacing w:after="0" w:line="98" w:lineRule="exact"/>
        <w:rPr>
          <w:rFonts w:ascii="Arial" w:cs="Arial" w:eastAsia="Arial" w:hAnsi="Arial"/>
          <w:sz w:val="16"/>
          <w:szCs w:val="16"/>
          <w:color w:val="auto"/>
        </w:rPr>
      </w:pPr>
    </w:p>
    <w:p>
      <w:pPr>
        <w:ind w:left="1480" w:hanging="270"/>
        <w:spacing w:after="0"/>
        <w:tabs>
          <w:tab w:leader="none" w:pos="14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rent for the amenities center or for any office space occupied by Project management personnel;</w:t>
      </w:r>
    </w:p>
    <w:p>
      <w:pPr>
        <w:spacing w:after="0" w:line="98" w:lineRule="exact"/>
        <w:rPr>
          <w:rFonts w:ascii="Arial" w:cs="Arial" w:eastAsia="Arial" w:hAnsi="Arial"/>
          <w:sz w:val="16"/>
          <w:szCs w:val="16"/>
          <w:color w:val="auto"/>
        </w:rPr>
      </w:pPr>
    </w:p>
    <w:p>
      <w:pPr>
        <w:ind w:left="1440" w:hanging="230"/>
        <w:spacing w:after="0"/>
        <w:tabs>
          <w:tab w:leader="none" w:pos="1440" w:val="left"/>
        </w:tabs>
        <w:numPr>
          <w:ilvl w:val="0"/>
          <w:numId w:val="253"/>
        </w:numPr>
        <w:rPr>
          <w:rFonts w:ascii="Arial" w:cs="Arial" w:eastAsia="Arial" w:hAnsi="Arial"/>
          <w:sz w:val="13"/>
          <w:szCs w:val="13"/>
          <w:color w:val="auto"/>
        </w:rPr>
      </w:pPr>
      <w:r>
        <w:rPr>
          <w:rFonts w:ascii="Arial" w:cs="Arial" w:eastAsia="Arial" w:hAnsi="Arial"/>
          <w:sz w:val="13"/>
          <w:szCs w:val="13"/>
          <w:color w:val="auto"/>
        </w:rPr>
        <w:t>costs arising from the gross negligence or willful misconduct of Landlord or its agents, employees or contractors in connection</w:t>
      </w:r>
    </w:p>
    <w:p>
      <w:pPr>
        <w:spacing w:after="0" w:line="50" w:lineRule="exact"/>
        <w:rPr>
          <w:rFonts w:ascii="Arial" w:cs="Arial" w:eastAsia="Arial" w:hAnsi="Arial"/>
          <w:sz w:val="13"/>
          <w:szCs w:val="13"/>
          <w:color w:val="auto"/>
        </w:rPr>
      </w:pPr>
    </w:p>
    <w:p>
      <w:pPr>
        <w:ind w:left="380"/>
        <w:spacing w:after="0"/>
        <w:rPr>
          <w:rFonts w:ascii="Arial" w:cs="Arial" w:eastAsia="Arial" w:hAnsi="Arial"/>
          <w:sz w:val="13"/>
          <w:szCs w:val="13"/>
          <w:color w:val="auto"/>
        </w:rPr>
      </w:pPr>
      <w:r>
        <w:rPr>
          <w:rFonts w:ascii="Arial" w:cs="Arial" w:eastAsia="Arial" w:hAnsi="Arial"/>
          <w:sz w:val="16"/>
          <w:szCs w:val="16"/>
          <w:color w:val="auto"/>
        </w:rPr>
        <w:t>with this Lease;</w:t>
      </w:r>
    </w:p>
    <w:p>
      <w:pPr>
        <w:spacing w:after="0" w:line="87" w:lineRule="exact"/>
        <w:rPr>
          <w:rFonts w:ascii="Arial" w:cs="Arial" w:eastAsia="Arial" w:hAnsi="Arial"/>
          <w:sz w:val="13"/>
          <w:szCs w:val="13"/>
          <w:color w:val="auto"/>
        </w:rPr>
      </w:pPr>
    </w:p>
    <w:p>
      <w:pPr>
        <w:ind w:left="380" w:right="100" w:firstLine="830"/>
        <w:spacing w:after="0" w:line="256" w:lineRule="auto"/>
        <w:tabs>
          <w:tab w:leader="none" w:pos="143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costs incurred to comply with laws relating to the removal or remediation of hazardous material (as defined under applicable law), and any costs of fines or penalties relating to the presence of hazardous material, in each case to the extent not brought into the Building or Premises by Tenant or any Tenant Parties;</w:t>
      </w:r>
    </w:p>
    <w:p>
      <w:pPr>
        <w:spacing w:after="0" w:line="71" w:lineRule="exact"/>
        <w:rPr>
          <w:rFonts w:ascii="Arial" w:cs="Arial" w:eastAsia="Arial" w:hAnsi="Arial"/>
          <w:sz w:val="16"/>
          <w:szCs w:val="16"/>
          <w:color w:val="auto"/>
        </w:rPr>
      </w:pPr>
    </w:p>
    <w:p>
      <w:pPr>
        <w:ind w:left="380" w:right="780" w:firstLine="830"/>
        <w:spacing w:after="0" w:line="266" w:lineRule="auto"/>
        <w:tabs>
          <w:tab w:leader="none" w:pos="143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costs to correct any construction defect in the Project or to remedy any violation of a covenant, condition, restriction, underwriter’s requirement or law that exists as of the Lease Commencement Date;</w:t>
      </w:r>
    </w:p>
    <w:p>
      <w:pPr>
        <w:spacing w:after="0" w:line="63" w:lineRule="exact"/>
        <w:rPr>
          <w:rFonts w:ascii="Arial" w:cs="Arial" w:eastAsia="Arial" w:hAnsi="Arial"/>
          <w:sz w:val="16"/>
          <w:szCs w:val="16"/>
          <w:color w:val="auto"/>
        </w:rPr>
      </w:pPr>
    </w:p>
    <w:p>
      <w:pPr>
        <w:ind w:left="1440" w:hanging="230"/>
        <w:spacing w:after="0"/>
        <w:tabs>
          <w:tab w:leader="none" w:pos="144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capital costs occasioned by casualties or condemnation.</w:t>
      </w:r>
    </w:p>
    <w:p>
      <w:pPr>
        <w:spacing w:after="0" w:line="98" w:lineRule="exact"/>
        <w:rPr>
          <w:rFonts w:ascii="Arial" w:cs="Arial" w:eastAsia="Arial" w:hAnsi="Arial"/>
          <w:sz w:val="16"/>
          <w:szCs w:val="16"/>
          <w:color w:val="auto"/>
        </w:rPr>
      </w:pPr>
    </w:p>
    <w:p>
      <w:pPr>
        <w:ind w:left="380" w:firstLine="830"/>
        <w:spacing w:after="0" w:line="256" w:lineRule="auto"/>
        <w:tabs>
          <w:tab w:leader="none" w:pos="1407" w:val="left"/>
        </w:tabs>
        <w:numPr>
          <w:ilvl w:val="0"/>
          <w:numId w:val="253"/>
        </w:numPr>
        <w:rPr>
          <w:rFonts w:ascii="Arial" w:cs="Arial" w:eastAsia="Arial" w:hAnsi="Arial"/>
          <w:sz w:val="16"/>
          <w:szCs w:val="16"/>
          <w:color w:val="auto"/>
        </w:rPr>
      </w:pPr>
      <w:r>
        <w:rPr>
          <w:rFonts w:ascii="Arial" w:cs="Arial" w:eastAsia="Arial" w:hAnsi="Arial"/>
          <w:sz w:val="16"/>
          <w:szCs w:val="16"/>
          <w:color w:val="auto"/>
        </w:rPr>
        <w:t>legal fees, accountants’ fees (other than normal bookkeeping expenses) and other expenses incurred in connection with disputes of tenants or other occupants of the Project or associated with the enforcement of the terms of any leases with tenants or the defense of Landlord’s title to or interest in the Project or any part thereof;</w:t>
      </w:r>
    </w:p>
    <w:p>
      <w:pPr>
        <w:spacing w:after="0" w:line="71" w:lineRule="exact"/>
        <w:rPr>
          <w:rFonts w:ascii="Arial" w:cs="Arial" w:eastAsia="Arial" w:hAnsi="Arial"/>
          <w:sz w:val="16"/>
          <w:szCs w:val="16"/>
          <w:color w:val="auto"/>
        </w:rPr>
      </w:pPr>
    </w:p>
    <w:p>
      <w:pPr>
        <w:ind w:left="1420" w:hanging="210"/>
        <w:spacing w:after="0"/>
        <w:tabs>
          <w:tab w:leader="none" w:pos="1420" w:val="left"/>
        </w:tabs>
        <w:numPr>
          <w:ilvl w:val="0"/>
          <w:numId w:val="253"/>
        </w:numPr>
        <w:rPr>
          <w:rFonts w:ascii="Arial" w:cs="Arial" w:eastAsia="Arial" w:hAnsi="Arial"/>
          <w:sz w:val="15"/>
          <w:szCs w:val="15"/>
          <w:color w:val="auto"/>
        </w:rPr>
      </w:pPr>
      <w:r>
        <w:rPr>
          <w:rFonts w:ascii="Arial" w:cs="Arial" w:eastAsia="Arial" w:hAnsi="Arial"/>
          <w:sz w:val="15"/>
          <w:szCs w:val="15"/>
          <w:color w:val="auto"/>
        </w:rPr>
        <w:t>costs incurred due to a violation by Landlord or any other tenant of the Project of the terms and conditions of a lease; and</w:t>
      </w:r>
    </w:p>
    <w:p>
      <w:pPr>
        <w:spacing w:after="0" w:line="110" w:lineRule="exact"/>
        <w:rPr>
          <w:rFonts w:ascii="Arial" w:cs="Arial" w:eastAsia="Arial" w:hAnsi="Arial"/>
          <w:sz w:val="15"/>
          <w:szCs w:val="15"/>
          <w:color w:val="auto"/>
        </w:rPr>
      </w:pPr>
    </w:p>
    <w:p>
      <w:pPr>
        <w:ind w:left="1400" w:hanging="190"/>
        <w:spacing w:after="0"/>
        <w:tabs>
          <w:tab w:leader="none" w:pos="140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self-insurance retentions.</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w:t>
      </w:r>
    </w:p>
    <w:p>
      <w:pPr>
        <w:spacing w:after="0" w:line="193" w:lineRule="exact"/>
        <w:rPr>
          <w:sz w:val="20"/>
          <w:szCs w:val="20"/>
          <w:color w:val="auto"/>
        </w:rPr>
      </w:pPr>
    </w:p>
    <w:p>
      <w:pPr>
        <w:ind w:right="40" w:firstLine="1251"/>
        <w:spacing w:after="0" w:line="319" w:lineRule="auto"/>
        <w:rPr>
          <w:sz w:val="20"/>
          <w:szCs w:val="20"/>
          <w:color w:val="auto"/>
        </w:rPr>
      </w:pPr>
      <w:r>
        <w:rPr>
          <w:rFonts w:ascii="Arial" w:cs="Arial" w:eastAsia="Arial" w:hAnsi="Arial"/>
          <w:sz w:val="13"/>
          <w:szCs w:val="13"/>
          <w:color w:val="auto"/>
        </w:rPr>
        <w:t xml:space="preserve">4.2.5.1 </w:t>
      </w:r>
      <w:r>
        <w:rPr>
          <w:rFonts w:ascii="Arial" w:cs="Arial" w:eastAsia="Arial" w:hAnsi="Arial"/>
          <w:sz w:val="13"/>
          <w:szCs w:val="13"/>
          <w:b w:val="1"/>
          <w:bCs w:val="1"/>
          <w:color w:val="auto"/>
        </w:rPr>
        <w:t>“Tax Expenses</w:t>
      </w:r>
      <w:r>
        <w:rPr>
          <w:rFonts w:ascii="Arial" w:cs="Arial" w:eastAsia="Arial" w:hAnsi="Arial"/>
          <w:sz w:val="13"/>
          <w:szCs w:val="13"/>
          <w:color w:val="auto"/>
        </w:rPr>
        <w:t>” shall mean all federal, state, county, or local governmental or municipal taxes, fees, charges or other impositions of every kind and nature, whether general, special, ordinary or extraordinary (including, without limitation, real estate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ectPr>
          <w:pgSz w:w="11900" w:h="16838" w:orient="portrait"/>
          <w:cols w:equalWidth="0" w:num="1">
            <w:col w:w="9560"/>
          </w:cols>
          <w:pgMar w:left="1140" w:top="256" w:right="1199" w:bottom="1440" w:gutter="0" w:footer="0" w:header="0"/>
        </w:sectPr>
      </w:pPr>
    </w:p>
    <w:bookmarkStart w:id="363" w:name="page364"/>
    <w:bookmarkEnd w:id="363"/>
    <w:p>
      <w:pPr>
        <w:ind w:right="20" w:firstLine="1251"/>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 estate in the Premises or the improvements thereon.</w:t>
      </w:r>
    </w:p>
    <w:p>
      <w:pPr>
        <w:spacing w:after="0" w:line="163" w:lineRule="exact"/>
        <w:rPr>
          <w:sz w:val="20"/>
          <w:szCs w:val="20"/>
          <w:color w:val="auto"/>
        </w:rPr>
      </w:pPr>
    </w:p>
    <w:p>
      <w:pPr>
        <w:ind w:right="80" w:firstLine="1251"/>
        <w:spacing w:after="0" w:line="305" w:lineRule="auto"/>
        <w:rPr>
          <w:sz w:val="20"/>
          <w:szCs w:val="20"/>
          <w:color w:val="auto"/>
        </w:rPr>
      </w:pPr>
      <w:r>
        <w:rPr>
          <w:rFonts w:ascii="Arial" w:cs="Arial" w:eastAsia="Arial" w:hAnsi="Arial"/>
          <w:sz w:val="13"/>
          <w:szCs w:val="13"/>
          <w:color w:val="auto"/>
        </w:rPr>
        <w:t>4.2.5.3 Any costs and expenses (including, without limitation, reasonable attorneys’ and consultants’ fees) incurred in attempting to protest, reduce or minimize Tax Expenses shall be included in Tax Expenses in the Expense Year such expenses are incurred. Tax refunds shall be credited against Tax Expenses and refunded to Tenant regardless of when received, based on the Expense Year to which the refund is applicable, provided that in no event shall the amount to be refunded to Tenant for any such Expense Year exceed the total amount paid by Tenant as Additional Rent under this Article 4 for such Expense Year. If Tax Expenses for any period during the Lease Term or any extension thereof are increased after payment thereof for any reason, including, without limitation, error or reassessment by applicable governmental or municipal authorities, Tenant shall pay Landlord upon demand Tenant’s Share of any such increased Tax Expenses. Notwithstanding anything to the contrary contained in this</w:t>
      </w:r>
    </w:p>
    <w:p>
      <w:pPr>
        <w:spacing w:after="0" w:line="2" w:lineRule="exact"/>
        <w:rPr>
          <w:sz w:val="20"/>
          <w:szCs w:val="20"/>
          <w:color w:val="auto"/>
        </w:rPr>
      </w:pPr>
    </w:p>
    <w:p>
      <w:pPr>
        <w:ind w:right="180"/>
        <w:spacing w:after="0" w:line="266" w:lineRule="auto"/>
        <w:rPr>
          <w:sz w:val="20"/>
          <w:szCs w:val="20"/>
          <w:color w:val="auto"/>
        </w:rPr>
      </w:pPr>
      <w:r>
        <w:rPr>
          <w:rFonts w:ascii="Arial" w:cs="Arial" w:eastAsia="Arial" w:hAnsi="Arial"/>
          <w:sz w:val="15"/>
          <w:szCs w:val="15"/>
          <w:u w:val="single" w:color="auto"/>
          <w:color w:val="auto"/>
        </w:rPr>
        <w:t>Section 4.2.5</w:t>
      </w:r>
      <w:r>
        <w:rPr>
          <w:rFonts w:ascii="Arial" w:cs="Arial" w:eastAsia="Arial" w:hAnsi="Arial"/>
          <w:sz w:val="15"/>
          <w:szCs w:val="15"/>
          <w:color w:val="auto"/>
        </w:rPr>
        <w:t xml:space="preserve">, there shall be excluded from Tax Expenses (i) all excess profits taxes, franchise taxes, gift taxes, capital stock taxes, inheritance and succession taxes, transfer taxes, estate taxes, federal and state income taxes, and other taxes to the extent applicable to Landlord’s net income (as opposed to rents, receipts or income attributable to operations at the Project), (ii) any items included as Operating Expenses, (iii) any items paid by Tenant under </w:t>
      </w:r>
      <w:r>
        <w:rPr>
          <w:rFonts w:ascii="Arial" w:cs="Arial" w:eastAsia="Arial" w:hAnsi="Arial"/>
          <w:sz w:val="15"/>
          <w:szCs w:val="15"/>
          <w:u w:val="single" w:color="auto"/>
          <w:color w:val="auto"/>
        </w:rPr>
        <w:t>Section 4.5</w:t>
      </w:r>
      <w:r>
        <w:rPr>
          <w:rFonts w:ascii="Arial" w:cs="Arial" w:eastAsia="Arial" w:hAnsi="Arial"/>
          <w:sz w:val="15"/>
          <w:szCs w:val="15"/>
          <w:color w:val="auto"/>
        </w:rPr>
        <w:t xml:space="preserve"> of this Lease, (iv) assessments in excess of the amount which would be payable if such assessment expense were paid in installments over the longest permitted term; (v) taxes imposed on land and improvements other than the Project; and (vi) tax increases resulting from the improvement of any of the Project for the sole use of other occupants.</w:t>
      </w:r>
    </w:p>
    <w:p>
      <w:pPr>
        <w:spacing w:after="0" w:line="15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b w:val="1"/>
          <w:bCs w:val="1"/>
          <w:color w:val="auto"/>
        </w:rPr>
        <w:t>“Tenant’s Share</w:t>
      </w:r>
      <w:r>
        <w:rPr>
          <w:rFonts w:ascii="Arial" w:cs="Arial" w:eastAsia="Arial" w:hAnsi="Arial"/>
          <w:sz w:val="16"/>
          <w:szCs w:val="16"/>
          <w:color w:val="auto"/>
        </w:rPr>
        <w:t xml:space="preserve">” shall mean the percentage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the Summary.</w:t>
      </w:r>
    </w:p>
    <w:p>
      <w:pPr>
        <w:spacing w:after="0" w:line="193" w:lineRule="exact"/>
        <w:rPr>
          <w:sz w:val="20"/>
          <w:szCs w:val="20"/>
          <w:color w:val="auto"/>
        </w:rPr>
      </w:pPr>
    </w:p>
    <w:p>
      <w:pPr>
        <w:ind w:right="20" w:firstLine="385"/>
        <w:spacing w:after="0" w:line="269"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u w:val="single" w:color="auto"/>
          <w:color w:val="auto"/>
        </w:rPr>
        <w:t>Allocation of Direct Expenses</w:t>
      </w:r>
      <w:r>
        <w:rPr>
          <w:rFonts w:ascii="Arial" w:cs="Arial" w:eastAsia="Arial" w:hAnsi="Arial"/>
          <w:sz w:val="15"/>
          <w:szCs w:val="15"/>
          <w:color w:val="auto"/>
        </w:rPr>
        <w:t xml:space="preserve">. The parties acknowledge that the Building is a part of a multi-building project and that the costs and expenses incurred in connection with the Project (i.e., the Direct Expenses) should be shared between the Building and the other buildings in the Project. Accordingly, as set forth in </w:t>
      </w:r>
      <w:r>
        <w:rPr>
          <w:rFonts w:ascii="Arial" w:cs="Arial" w:eastAsia="Arial" w:hAnsi="Arial"/>
          <w:sz w:val="15"/>
          <w:szCs w:val="15"/>
          <w:u w:val="single" w:color="auto"/>
          <w:color w:val="auto"/>
        </w:rPr>
        <w:t>Section 4.2</w:t>
      </w:r>
      <w:r>
        <w:rPr>
          <w:rFonts w:ascii="Arial" w:cs="Arial" w:eastAsia="Arial" w:hAnsi="Arial"/>
          <w:sz w:val="15"/>
          <w:szCs w:val="15"/>
          <w:color w:val="auto"/>
        </w:rPr>
        <w:t xml:space="preserve"> above, Direct Expenses (which consist of Operating Expenses and Tax Expenses) are determined annually for the Project as a whole, and a portion of the Direct Expenses, which portion shall be determined by Landlord on an equitable basis, shall be allocated to the Building (as opposed to other buildings in the Project). Such portion of Direct Expenses allocated to the Building shall include all Direct Expenses attributable solely to the Building and a pro rata portion of the Direct Expenses attributable to the Project as a whole, and shall not include Direct Expenses attributable solely to other buildings in the Project.</w:t>
      </w:r>
    </w:p>
    <w:p>
      <w:pPr>
        <w:spacing w:after="0" w:line="156" w:lineRule="exact"/>
        <w:rPr>
          <w:sz w:val="20"/>
          <w:szCs w:val="20"/>
          <w:color w:val="auto"/>
        </w:rPr>
      </w:pPr>
    </w:p>
    <w:p>
      <w:pPr>
        <w:ind w:firstLine="385"/>
        <w:spacing w:after="0" w:line="390"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b w:val="1"/>
          <w:bCs w:val="1"/>
          <w:u w:val="single" w:color="auto"/>
          <w:color w:val="auto"/>
        </w:rPr>
        <w:t>Calculation and Payment of Additional Rent</w:t>
      </w:r>
      <w:r>
        <w:rPr>
          <w:rFonts w:ascii="Arial" w:cs="Arial" w:eastAsia="Arial" w:hAnsi="Arial"/>
          <w:sz w:val="13"/>
          <w:szCs w:val="13"/>
          <w:color w:val="auto"/>
        </w:rPr>
        <w:t xml:space="preserve">. Commencing on the Lease Commencement Date, Tenant shall pay to Landlord, in the manner set forth in </w:t>
      </w:r>
      <w:r>
        <w:rPr>
          <w:rFonts w:ascii="Arial" w:cs="Arial" w:eastAsia="Arial" w:hAnsi="Arial"/>
          <w:sz w:val="13"/>
          <w:szCs w:val="13"/>
          <w:u w:val="single" w:color="auto"/>
          <w:color w:val="auto"/>
        </w:rPr>
        <w:t>Section 4.4.1</w:t>
      </w:r>
      <w:r>
        <w:rPr>
          <w:rFonts w:ascii="Arial" w:cs="Arial" w:eastAsia="Arial" w:hAnsi="Arial"/>
          <w:sz w:val="13"/>
          <w:szCs w:val="13"/>
          <w:color w:val="auto"/>
        </w:rPr>
        <w:t>, below, and as Additional Rent, Tenant’s Share of Direct Expenses for each Expense Year during the Lease Term.</w:t>
      </w:r>
    </w:p>
    <w:p>
      <w:pPr>
        <w:spacing w:after="0" w:line="80" w:lineRule="exact"/>
        <w:rPr>
          <w:sz w:val="20"/>
          <w:szCs w:val="20"/>
          <w:color w:val="auto"/>
        </w:rPr>
      </w:pPr>
    </w:p>
    <w:p>
      <w:pPr>
        <w:ind w:right="40" w:firstLine="866"/>
        <w:spacing w:after="0" w:line="317" w:lineRule="auto"/>
        <w:rPr>
          <w:sz w:val="20"/>
          <w:szCs w:val="20"/>
          <w:color w:val="auto"/>
        </w:rPr>
      </w:pPr>
      <w:r>
        <w:rPr>
          <w:rFonts w:ascii="Arial" w:cs="Arial" w:eastAsia="Arial" w:hAnsi="Arial"/>
          <w:sz w:val="13"/>
          <w:szCs w:val="13"/>
          <w:color w:val="auto"/>
        </w:rPr>
        <w:t xml:space="preserve">4.4.1 </w:t>
      </w:r>
      <w:r>
        <w:rPr>
          <w:rFonts w:ascii="Arial" w:cs="Arial" w:eastAsia="Arial" w:hAnsi="Arial"/>
          <w:sz w:val="13"/>
          <w:szCs w:val="13"/>
          <w:b w:val="1"/>
          <w:bCs w:val="1"/>
          <w:u w:val="single" w:color="auto"/>
          <w:color w:val="auto"/>
        </w:rPr>
        <w:t>Statement of Actual Direct Expenses and Payment by Tenant</w:t>
      </w:r>
      <w:r>
        <w:rPr>
          <w:rFonts w:ascii="Arial" w:cs="Arial" w:eastAsia="Arial" w:hAnsi="Arial"/>
          <w:sz w:val="13"/>
          <w:szCs w:val="13"/>
          <w:color w:val="auto"/>
        </w:rPr>
        <w:t>. Landlord shall give to Tenant within five (5) months following the end of each Expense Year, a statement (the “</w:t>
      </w:r>
      <w:r>
        <w:rPr>
          <w:rFonts w:ascii="Arial" w:cs="Arial" w:eastAsia="Arial" w:hAnsi="Arial"/>
          <w:sz w:val="13"/>
          <w:szCs w:val="13"/>
          <w:b w:val="1"/>
          <w:bCs w:val="1"/>
          <w:color w:val="auto"/>
        </w:rPr>
        <w:t>Statement</w:t>
      </w:r>
      <w:r>
        <w:rPr>
          <w:rFonts w:ascii="Arial" w:cs="Arial" w:eastAsia="Arial" w:hAnsi="Arial"/>
          <w:sz w:val="13"/>
          <w:szCs w:val="13"/>
          <w:color w:val="auto"/>
        </w:rPr>
        <w:t>”) which shall state the Direct Expenses incurred or accrued for such preceding Expense Year, and which shall indicate the amount of Tenant’s Share of Direct Expenses. Upon receipt of the Statement for each Expense Year commencing or ending during the Lease Term, Tenant shall pay, with its next installment of Base Rent due that is at least thirty (30) days thereafter, the full amount of Tenant’s Share of Direct Expenses for such Expense Year, less the amounts, if any, paid during such Expense Year as “</w:t>
      </w:r>
      <w:r>
        <w:rPr>
          <w:rFonts w:ascii="Arial" w:cs="Arial" w:eastAsia="Arial" w:hAnsi="Arial"/>
          <w:sz w:val="13"/>
          <w:szCs w:val="13"/>
          <w:b w:val="1"/>
          <w:bCs w:val="1"/>
          <w:color w:val="auto"/>
        </w:rPr>
        <w:t>Estimated Direct Expenses</w:t>
      </w:r>
      <w:r>
        <w:rPr>
          <w:rFonts w:ascii="Arial" w:cs="Arial" w:eastAsia="Arial" w:hAnsi="Arial"/>
          <w:sz w:val="13"/>
          <w:szCs w:val="13"/>
          <w:color w:val="auto"/>
        </w:rPr>
        <w:t xml:space="preserve">,” as that term is defined in </w:t>
      </w:r>
      <w:r>
        <w:rPr>
          <w:rFonts w:ascii="Arial" w:cs="Arial" w:eastAsia="Arial" w:hAnsi="Arial"/>
          <w:sz w:val="13"/>
          <w:szCs w:val="13"/>
          <w:u w:val="single" w:color="auto"/>
          <w:color w:val="auto"/>
        </w:rPr>
        <w:t>Section 4.4.2</w:t>
      </w:r>
      <w:r>
        <w:rPr>
          <w:rFonts w:ascii="Arial" w:cs="Arial" w:eastAsia="Arial" w:hAnsi="Arial"/>
          <w:sz w:val="13"/>
          <w:szCs w:val="13"/>
          <w:color w:val="auto"/>
        </w:rPr>
        <w:t>, below, and if Tenant paid more as Estimated Direct Expenses than the actual Tenant’s Share of Direct Expenses, Tenant shall receive a credit in the amount of Tenant’s overpayment against Rent next due under this Lease. The failure of Landlord to</w:t>
      </w:r>
    </w:p>
    <w:p>
      <w:pPr>
        <w:sectPr>
          <w:pgSz w:w="11900" w:h="16838" w:orient="portrait"/>
          <w:cols w:equalWidth="0" w:num="1">
            <w:col w:w="9600"/>
          </w:cols>
          <w:pgMar w:left="1140" w:top="256" w:right="1159" w:bottom="1440" w:gutter="0" w:footer="0" w:header="0"/>
        </w:sectPr>
      </w:pPr>
    </w:p>
    <w:bookmarkStart w:id="364" w:name="page365"/>
    <w:bookmarkEnd w:id="364"/>
    <w:p>
      <w:pPr>
        <w:ind w:right="40"/>
        <w:spacing w:after="0" w:line="312"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timely furnish the Statement for any Expense Year shall not prejudice Landlord or Tenant from enforcing its rights under this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Even though the Lease Term has expired and Tenant has vacated the Premises, when the final determination is made of Tenant’s Share of Direct Expenses for the Expense Year in which this Lease terminates, Tenant shall immediately pay to Landlord such amount, and if Tenant paid more as Estimated Direct Expenses than the actual Tenant’s Share of Direct Expenses, Landlord shall, within thirty (30) days, deliver a check payable to Tenant in the amount of the overpayment. The provisions of this </w:t>
      </w:r>
      <w:r>
        <w:rPr>
          <w:rFonts w:ascii="Arial" w:cs="Arial" w:eastAsia="Arial" w:hAnsi="Arial"/>
          <w:sz w:val="13"/>
          <w:szCs w:val="13"/>
          <w:u w:val="single" w:color="auto"/>
          <w:color w:val="auto"/>
        </w:rPr>
        <w:t>Section 4.4.1</w:t>
      </w:r>
      <w:r>
        <w:rPr>
          <w:rFonts w:ascii="Arial" w:cs="Arial" w:eastAsia="Arial" w:hAnsi="Arial"/>
          <w:sz w:val="13"/>
          <w:szCs w:val="13"/>
          <w:color w:val="auto"/>
        </w:rPr>
        <w:t xml:space="preserve"> shall survive the expiration or earlier termination of the Lease Term. Notwithstanding the immediately preceding sentence, Tenant shall not be responsible for Tenant’s Share of any Direct Expenses attributable to any Expense Year which are first billed to Tenant more than two (2) calendar years after the earlier of the expiration of the applicable Expense Year or the Lease Expiration Date, provided that in any event Tenant shall be responsible for Tenant’s Share of Direct Expenses levied by any governmental authority or by any public utility companies at any time following the Lease Expiration Date which are attributable to any Expense Year (provided that Landlord delivers Tenant a bill for such amounts within two (2) years following Landlord’s receipt of the bill therefor).</w:t>
      </w:r>
    </w:p>
    <w:p>
      <w:pPr>
        <w:spacing w:after="0" w:line="322" w:lineRule="exact"/>
        <w:rPr>
          <w:sz w:val="20"/>
          <w:szCs w:val="20"/>
          <w:color w:val="auto"/>
        </w:rPr>
      </w:pPr>
    </w:p>
    <w:p>
      <w:pPr>
        <w:ind w:left="860"/>
        <w:spacing w:after="0"/>
        <w:rPr>
          <w:sz w:val="20"/>
          <w:szCs w:val="20"/>
          <w:color w:val="auto"/>
        </w:rPr>
      </w:pPr>
      <w:r>
        <w:rPr>
          <w:rFonts w:ascii="Arial" w:cs="Arial" w:eastAsia="Arial" w:hAnsi="Arial"/>
          <w:sz w:val="15"/>
          <w:szCs w:val="15"/>
          <w:color w:val="auto"/>
        </w:rPr>
        <w:t xml:space="preserve">4.4.2 </w:t>
      </w:r>
      <w:r>
        <w:rPr>
          <w:rFonts w:ascii="Arial" w:cs="Arial" w:eastAsia="Arial" w:hAnsi="Arial"/>
          <w:sz w:val="15"/>
          <w:szCs w:val="15"/>
          <w:b w:val="1"/>
          <w:bCs w:val="1"/>
          <w:u w:val="single" w:color="auto"/>
          <w:color w:val="auto"/>
        </w:rPr>
        <w:t>Statement of Estimated Direct Expenses</w:t>
      </w:r>
      <w:r>
        <w:rPr>
          <w:rFonts w:ascii="Arial" w:cs="Arial" w:eastAsia="Arial" w:hAnsi="Arial"/>
          <w:sz w:val="15"/>
          <w:szCs w:val="15"/>
          <w:color w:val="auto"/>
        </w:rPr>
        <w:t>. In addition, Landlord shall give Tenant a yearly expense estimate statement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Estimate Statement</w:t>
      </w:r>
      <w:r>
        <w:rPr>
          <w:rFonts w:ascii="Arial" w:cs="Arial" w:eastAsia="Arial" w:hAnsi="Arial"/>
          <w:sz w:val="13"/>
          <w:szCs w:val="13"/>
          <w:color w:val="auto"/>
        </w:rPr>
        <w:t>”) which shall set forth Landlord’s reasonable estimate (the “</w:t>
      </w:r>
      <w:r>
        <w:rPr>
          <w:rFonts w:ascii="Arial" w:cs="Arial" w:eastAsia="Arial" w:hAnsi="Arial"/>
          <w:sz w:val="13"/>
          <w:szCs w:val="13"/>
          <w:b w:val="1"/>
          <w:bCs w:val="1"/>
          <w:color w:val="auto"/>
        </w:rPr>
        <w:t>Estimate</w:t>
      </w:r>
      <w:r>
        <w:rPr>
          <w:rFonts w:ascii="Arial" w:cs="Arial" w:eastAsia="Arial" w:hAnsi="Arial"/>
          <w:sz w:val="13"/>
          <w:szCs w:val="13"/>
          <w:color w:val="auto"/>
        </w:rPr>
        <w:t>”) of what the total amount of Direct Expenses for the then-</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current Expense Year shall be and the estimated Tenant’s Share of Direct Expenses (the “</w:t>
      </w:r>
      <w:r>
        <w:rPr>
          <w:rFonts w:ascii="Arial" w:cs="Arial" w:eastAsia="Arial" w:hAnsi="Arial"/>
          <w:sz w:val="13"/>
          <w:szCs w:val="13"/>
          <w:b w:val="1"/>
          <w:bCs w:val="1"/>
          <w:color w:val="auto"/>
        </w:rPr>
        <w:t>Estimated Direct Expenses</w:t>
      </w:r>
      <w:r>
        <w:rPr>
          <w:rFonts w:ascii="Arial" w:cs="Arial" w:eastAsia="Arial" w:hAnsi="Arial"/>
          <w:sz w:val="13"/>
          <w:szCs w:val="13"/>
          <w:color w:val="auto"/>
        </w:rPr>
        <w:t>”). The failure of Landlord to</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timely furnish the Estimate Statement for any Expense Year shall not preclude Landlord from enforcing its rights to collect any Estimated Direct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Expenses under this </w:t>
      </w:r>
      <w:r>
        <w:rPr>
          <w:rFonts w:ascii="Arial" w:cs="Arial" w:eastAsia="Arial" w:hAnsi="Arial"/>
          <w:sz w:val="15"/>
          <w:szCs w:val="15"/>
          <w:u w:val="single" w:color="auto"/>
          <w:color w:val="auto"/>
        </w:rPr>
        <w:t>Article 4</w:t>
      </w:r>
      <w:r>
        <w:rPr>
          <w:rFonts w:ascii="Arial" w:cs="Arial" w:eastAsia="Arial" w:hAnsi="Arial"/>
          <w:sz w:val="15"/>
          <w:szCs w:val="15"/>
          <w:color w:val="auto"/>
        </w:rPr>
        <w:t>, nor shall Landlord be prohibited from revising any Estimate Statement or Estimated Direct Expenses theretofore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delivered to the extent necessary. Thereafter, Tenant shall pay, with its next installment of Base Rent due that is at least thirty (30) days thereafter, a</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fraction of the Estimated Direct Expenses for the then-current Expense Year (reduced by any amounts paid pursuant to the last sentence of this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4.4.2</w:t>
      </w:r>
      <w:r>
        <w:rPr>
          <w:rFonts w:ascii="Arial" w:cs="Arial" w:eastAsia="Arial" w:hAnsi="Arial"/>
          <w:sz w:val="13"/>
          <w:szCs w:val="13"/>
          <w:color w:val="auto"/>
        </w:rPr>
        <w:t>). Such fraction shall have as its numerator the number of months which have elapsed in such current Expense Year, including the month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such payment, and twelve (12) as its denominator. Until a new Estimate Statement is furnished (which Landlord shall have the right to deliver to Tenant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at any time), Tenant shall pay monthly, with the monthly Base Rent installments, an amount equal to one-twelfth (1/12) of the total Estimated Direct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Expenses set forth in the previous Estimate Statement delivered by Landlord to Tenant.</w:t>
      </w:r>
    </w:p>
    <w:p>
      <w:pPr>
        <w:spacing w:after="0" w:line="178" w:lineRule="exact"/>
        <w:rPr>
          <w:sz w:val="20"/>
          <w:szCs w:val="20"/>
          <w:color w:val="auto"/>
        </w:rPr>
      </w:pPr>
    </w:p>
    <w:p>
      <w:pPr>
        <w:ind w:right="220" w:firstLine="385"/>
        <w:spacing w:after="0" w:line="317"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b w:val="1"/>
          <w:bCs w:val="1"/>
          <w:u w:val="single" w:color="auto"/>
          <w:color w:val="auto"/>
        </w:rPr>
        <w:t>Taxes and Other Charges for Which Tenant Is Directly Responsible</w:t>
      </w:r>
      <w:r>
        <w:rPr>
          <w:rFonts w:ascii="Arial" w:cs="Arial" w:eastAsia="Arial" w:hAnsi="Arial"/>
          <w:sz w:val="13"/>
          <w:szCs w:val="13"/>
          <w:color w:val="auto"/>
        </w:rPr>
        <w:t>.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127" w:lineRule="exact"/>
        <w:rPr>
          <w:sz w:val="20"/>
          <w:szCs w:val="20"/>
          <w:color w:val="auto"/>
        </w:rPr>
      </w:pPr>
    </w:p>
    <w:p>
      <w:pPr>
        <w:ind w:firstLine="385"/>
        <w:spacing w:after="0" w:line="265" w:lineRule="auto"/>
        <w:rPr>
          <w:sz w:val="20"/>
          <w:szCs w:val="20"/>
          <w:color w:val="auto"/>
        </w:rPr>
      </w:pPr>
      <w:r>
        <w:rPr>
          <w:rFonts w:ascii="Arial" w:cs="Arial" w:eastAsia="Arial" w:hAnsi="Arial"/>
          <w:sz w:val="15"/>
          <w:szCs w:val="15"/>
          <w:color w:val="auto"/>
        </w:rPr>
        <w:t xml:space="preserve">4.6 </w:t>
      </w:r>
      <w:r>
        <w:rPr>
          <w:rFonts w:ascii="Arial" w:cs="Arial" w:eastAsia="Arial" w:hAnsi="Arial"/>
          <w:sz w:val="15"/>
          <w:szCs w:val="15"/>
          <w:b w:val="1"/>
          <w:bCs w:val="1"/>
          <w:u w:val="single" w:color="auto"/>
          <w:color w:val="auto"/>
        </w:rPr>
        <w:t>Landlord’s Books and Records</w:t>
      </w:r>
      <w:r>
        <w:rPr>
          <w:rFonts w:ascii="Arial" w:cs="Arial" w:eastAsia="Arial" w:hAnsi="Arial"/>
          <w:sz w:val="15"/>
          <w:szCs w:val="15"/>
          <w:color w:val="auto"/>
        </w:rPr>
        <w:t>. Within one hundred twenty (120) days after receipt by Tenant of a Statement, if Tenant disputes the amount of Additional Rent set forth in the Statement, a member of Tenant’s finance department, or an independent certified public accountant (which accountant is a member of a nationally recognized accounting firm and is not working on a contingency fee basis) (“</w:t>
      </w:r>
      <w:r>
        <w:rPr>
          <w:rFonts w:ascii="Arial" w:cs="Arial" w:eastAsia="Arial" w:hAnsi="Arial"/>
          <w:sz w:val="15"/>
          <w:szCs w:val="15"/>
          <w:b w:val="1"/>
          <w:bCs w:val="1"/>
          <w:color w:val="auto"/>
        </w:rPr>
        <w:t>Tenant’s Accountant</w:t>
      </w:r>
      <w:r>
        <w:rPr>
          <w:rFonts w:ascii="Arial" w:cs="Arial" w:eastAsia="Arial" w:hAnsi="Arial"/>
          <w:sz w:val="15"/>
          <w:szCs w:val="15"/>
          <w:color w:val="auto"/>
        </w:rPr>
        <w:t>”), designated and paid for by Tenant, may, after reasonable notice to Landlord and at reasonable times, inspect Landlord’s records with respect to the Statement at Landlord’s offices, provided that there is no existing Event of Default and Tenant has paid all amounts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Additional Rent set forth in any Statement within one hundred twenty (120) days of Tenant’s receipt of such Statement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 an independent certified public accountant (the “</w:t>
      </w:r>
      <w:r>
        <w:rPr>
          <w:rFonts w:ascii="Arial" w:cs="Arial" w:eastAsia="Arial" w:hAnsi="Arial"/>
          <w:sz w:val="15"/>
          <w:szCs w:val="15"/>
          <w:b w:val="1"/>
          <w:bCs w:val="1"/>
          <w:color w:val="auto"/>
        </w:rPr>
        <w:t>Accountant</w:t>
      </w:r>
      <w:r>
        <w:rPr>
          <w:rFonts w:ascii="Arial" w:cs="Arial" w:eastAsia="Arial" w:hAnsi="Arial"/>
          <w:sz w:val="15"/>
          <w:szCs w:val="15"/>
          <w:color w:val="auto"/>
        </w:rPr>
        <w:t>”) selected by Landlord and subject to Tenant’s reasonable approval; provided that if such Accountant determines that Direct Expenses were overstated by more than five percent (5%), then the cost of the Accountant and the cost of such determination shall be paid for by Landlord, and Landlord shall reimburse Tenant’s the cost of the Tenant’s Accountant</w:t>
      </w:r>
    </w:p>
    <w:p>
      <w:pPr>
        <w:sectPr>
          <w:pgSz w:w="11900" w:h="16838" w:orient="portrait"/>
          <w:cols w:equalWidth="0" w:num="1">
            <w:col w:w="9600"/>
          </w:cols>
          <w:pgMar w:left="1140" w:top="256" w:right="1159" w:bottom="1440" w:gutter="0" w:footer="0" w:header="0"/>
        </w:sectPr>
      </w:pPr>
    </w:p>
    <w:bookmarkStart w:id="365" w:name="page366"/>
    <w:bookmarkEnd w:id="365"/>
    <w:p>
      <w:pPr>
        <w:ind w:right="20"/>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(provided that such cost shall be a reasonable market cost for such services). Tenant hereby acknowledges that Tenant’s sole right to inspect Landlord’s books and records and to contest the amount of Direct Expenses payable by Tenant shall be as set forth in this </w:t>
      </w:r>
      <w:r>
        <w:rPr>
          <w:rFonts w:ascii="Arial" w:cs="Arial" w:eastAsia="Arial" w:hAnsi="Arial"/>
          <w:sz w:val="13"/>
          <w:szCs w:val="13"/>
          <w:u w:val="single" w:color="auto"/>
          <w:color w:val="auto"/>
        </w:rPr>
        <w:t>Section 4.6</w:t>
      </w:r>
      <w:r>
        <w:rPr>
          <w:rFonts w:ascii="Arial" w:cs="Arial" w:eastAsia="Arial" w:hAnsi="Arial"/>
          <w:sz w:val="13"/>
          <w:szCs w:val="13"/>
          <w:color w:val="auto"/>
        </w:rPr>
        <w:t>, and Tenant hereby waives any and all other rights pursuant to applicable law to inspect such books and records and/or to contest the amount of Direct Expenses payable by Tenant.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USE OF PREMISES.</w:t>
      </w:r>
    </w:p>
    <w:p>
      <w:pPr>
        <w:spacing w:after="0" w:line="193" w:lineRule="exact"/>
        <w:rPr>
          <w:sz w:val="20"/>
          <w:szCs w:val="20"/>
          <w:color w:val="auto"/>
        </w:rPr>
      </w:pPr>
    </w:p>
    <w:p>
      <w:pPr>
        <w:ind w:right="40" w:firstLine="385"/>
        <w:spacing w:after="0" w:line="259"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Permitted Use</w:t>
      </w:r>
      <w:r>
        <w:rPr>
          <w:rFonts w:ascii="Arial" w:cs="Arial" w:eastAsia="Arial" w:hAnsi="Arial"/>
          <w:sz w:val="16"/>
          <w:szCs w:val="16"/>
          <w:color w:val="auto"/>
        </w:rPr>
        <w:t xml:space="preserve">. Tenant shall use the Premises solely for the Permitted Use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the Summary and Tenant shall not use or permit the Premises or the Project to be used for any other purpose or purposes whatsoever without the prior written consent of Landlord, which may be withheld in Landlord’s sole discretion.</w:t>
      </w:r>
    </w:p>
    <w:p>
      <w:pPr>
        <w:spacing w:after="0" w:line="159" w:lineRule="exact"/>
        <w:rPr>
          <w:sz w:val="20"/>
          <w:szCs w:val="20"/>
          <w:color w:val="auto"/>
        </w:rPr>
      </w:pPr>
    </w:p>
    <w:p>
      <w:pPr>
        <w:ind w:firstLine="385"/>
        <w:spacing w:after="0" w:line="266"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u w:val="single" w:color="auto"/>
          <w:color w:val="auto"/>
        </w:rPr>
        <w:t>Prohibited Uses</w:t>
      </w:r>
      <w:r>
        <w:rPr>
          <w:rFonts w:ascii="Arial" w:cs="Arial" w:eastAsia="Arial" w:hAnsi="Arial"/>
          <w:sz w:val="15"/>
          <w:szCs w:val="15"/>
          <w:color w:val="auto"/>
        </w:rPr>
        <w:t>. Tenant further covenants and agrees that Tenant shall not use or permit any person or persons to use, the Premises or any part thereof for any use or purpose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Landlord shall have the right to impose reasonable, nondiscriminatory and customary rules and regulations regarding the use of the Project that do not unreasonably interfere with Tenant’s use of the Premises, as reasonably deemed necessary by Landlord with respect to the orderly operation of the Project, and Tenant shall comply with such reasonable rules and regulations. Tenant shall not do or permit anything to be done in or about the Premises which will in any way obstruct or interfere with the rights of other tenants or occupants of the Building, or injure or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so long as the same do not unreasonably interfere with Tenant’s use of the Premises or parking rights or materially increase Tenant’s obligations or decrease Tenant’s rights under this Lease.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u w:val="single" w:color="auto"/>
          <w:color w:val="auto"/>
        </w:rPr>
        <w:t>Tenant’s Obligations</w:t>
      </w:r>
      <w:r>
        <w:rPr>
          <w:rFonts w:ascii="Arial" w:cs="Arial" w:eastAsia="Arial" w:hAnsi="Arial"/>
          <w:sz w:val="16"/>
          <w:szCs w:val="16"/>
          <w:color w:val="auto"/>
        </w:rPr>
        <w:t>.</w:t>
      </w:r>
    </w:p>
    <w:p>
      <w:pPr>
        <w:spacing w:after="0" w:line="193" w:lineRule="exact"/>
        <w:rPr>
          <w:sz w:val="20"/>
          <w:szCs w:val="20"/>
          <w:color w:val="auto"/>
        </w:rPr>
      </w:pPr>
    </w:p>
    <w:p>
      <w:pPr>
        <w:ind w:firstLine="1251"/>
        <w:spacing w:after="0" w:line="308" w:lineRule="auto"/>
        <w:rPr>
          <w:sz w:val="20"/>
          <w:szCs w:val="20"/>
          <w:color w:val="auto"/>
        </w:rPr>
      </w:pPr>
      <w:r>
        <w:rPr>
          <w:rFonts w:ascii="Arial" w:cs="Arial" w:eastAsia="Arial" w:hAnsi="Arial"/>
          <w:sz w:val="13"/>
          <w:szCs w:val="13"/>
          <w:color w:val="auto"/>
        </w:rPr>
        <w:t xml:space="preserve">5.3.1.1 </w:t>
      </w:r>
      <w:r>
        <w:rPr>
          <w:rFonts w:ascii="Arial" w:cs="Arial" w:eastAsia="Arial" w:hAnsi="Arial"/>
          <w:sz w:val="13"/>
          <w:szCs w:val="13"/>
          <w:b w:val="1"/>
          <w:bCs w:val="1"/>
          <w:u w:val="single" w:color="auto"/>
          <w:color w:val="auto"/>
        </w:rPr>
        <w:t>Prohibitions</w:t>
      </w:r>
      <w:r>
        <w:rPr>
          <w:rFonts w:ascii="Arial" w:cs="Arial" w:eastAsia="Arial" w:hAnsi="Arial"/>
          <w:sz w:val="13"/>
          <w:szCs w:val="13"/>
          <w:color w:val="auto"/>
        </w:rPr>
        <w:t>. As a material inducement to Landlord to enter into this Lease with Tenant, Tenant has fully and accurately completed Landlord’s Pre-Leasing Environmental Exposure Questionnaire (the “</w:t>
      </w:r>
      <w:r>
        <w:rPr>
          <w:rFonts w:ascii="Arial" w:cs="Arial" w:eastAsia="Arial" w:hAnsi="Arial"/>
          <w:sz w:val="13"/>
          <w:szCs w:val="13"/>
          <w:b w:val="1"/>
          <w:bCs w:val="1"/>
          <w:color w:val="auto"/>
        </w:rPr>
        <w:t>Environmental Questionnaire</w:t>
      </w:r>
      <w:r>
        <w:rPr>
          <w:rFonts w:ascii="Arial" w:cs="Arial" w:eastAsia="Arial" w:hAnsi="Arial"/>
          <w:sz w:val="13"/>
          <w:szCs w:val="13"/>
          <w:color w:val="auto"/>
        </w:rPr>
        <w:t xml:space="preserve">”), which is attached as </w:t>
      </w:r>
      <w:r>
        <w:rPr>
          <w:rFonts w:ascii="Arial" w:cs="Arial" w:eastAsia="Arial" w:hAnsi="Arial"/>
          <w:sz w:val="13"/>
          <w:szCs w:val="13"/>
          <w:b w:val="1"/>
          <w:bCs w:val="1"/>
          <w:u w:val="single" w:color="auto"/>
          <w:color w:val="auto"/>
        </w:rPr>
        <w:t>Exhibit E</w:t>
      </w:r>
      <w:r>
        <w:rPr>
          <w:rFonts w:ascii="Arial" w:cs="Arial" w:eastAsia="Arial" w:hAnsi="Arial"/>
          <w:sz w:val="13"/>
          <w:szCs w:val="13"/>
          <w:color w:val="auto"/>
        </w:rPr>
        <w:t>. Tenant agrees that except for those chemicals or materials, and their respective quantities, specifically listed on the Environmental Questionnaire (as the same may be updated from time to time as provided below), neither Tenant nor Tenant’s employees, contractors and subcontractors of any tier, entities with a contractual relationship with Tenant (other than Landlord), or any entity acting as an agent or sub-agent of Tenant (collectively, “</w:t>
      </w:r>
      <w:r>
        <w:rPr>
          <w:rFonts w:ascii="Arial" w:cs="Arial" w:eastAsia="Arial" w:hAnsi="Arial"/>
          <w:sz w:val="13"/>
          <w:szCs w:val="13"/>
          <w:b w:val="1"/>
          <w:bCs w:val="1"/>
          <w:color w:val="auto"/>
        </w:rPr>
        <w:t>Tenant’s</w:t>
      </w:r>
      <w:r>
        <w:rPr>
          <w:rFonts w:ascii="Arial" w:cs="Arial" w:eastAsia="Arial" w:hAnsi="Arial"/>
          <w:sz w:val="13"/>
          <w:szCs w:val="13"/>
          <w:color w:val="auto"/>
        </w:rPr>
        <w:t xml:space="preserve"> </w:t>
      </w:r>
      <w:r>
        <w:rPr>
          <w:rFonts w:ascii="Arial" w:cs="Arial" w:eastAsia="Arial" w:hAnsi="Arial"/>
          <w:sz w:val="13"/>
          <w:szCs w:val="13"/>
          <w:b w:val="1"/>
          <w:bCs w:val="1"/>
          <w:color w:val="auto"/>
        </w:rPr>
        <w:t>Agents</w:t>
      </w:r>
      <w:r>
        <w:rPr>
          <w:rFonts w:ascii="Arial" w:cs="Arial" w:eastAsia="Arial" w:hAnsi="Arial"/>
          <w:sz w:val="13"/>
          <w:szCs w:val="13"/>
          <w:color w:val="auto"/>
        </w:rPr>
        <w:t>”) will produce, use, store or generate any “Hazardous Materials,” as that term is defined below, on, under or about the Premises, nor cause any</w:t>
      </w:r>
      <w:r>
        <w:rPr>
          <w:rFonts w:ascii="Arial" w:cs="Arial" w:eastAsia="Arial" w:hAnsi="Arial"/>
          <w:sz w:val="13"/>
          <w:szCs w:val="13"/>
          <w:b w:val="1"/>
          <w:bCs w:val="1"/>
          <w:color w:val="auto"/>
        </w:rPr>
        <w:t xml:space="preserve"> </w:t>
      </w:r>
      <w:r>
        <w:rPr>
          <w:rFonts w:ascii="Arial" w:cs="Arial" w:eastAsia="Arial" w:hAnsi="Arial"/>
          <w:sz w:val="13"/>
          <w:szCs w:val="13"/>
          <w:color w:val="auto"/>
        </w:rPr>
        <w:t>Hazardous Material to be brought upon, placed, stored, manufactured, generated, blended, handled, recycled, used or “Released,” as that term is defined below, on, in, under or about the Premises. If any information provided to Landlord by Tenant on the Environmental Questionnaire, or otherwise relating to information concerning Hazardous Materials is intentionally false, incomplete, or misleading in any material respect, the same shall be deemed a default by Tenant under this Lease. Upon Landlord’s request, or in the event of any material change in Tenant’s use of Hazardous Materials in the Premises, Tenant shall deliver to Landlord an updated Environmental Questionnaire at least once a year. Tenant shall notify Landlord prior to using any Hazardous Materials in the Premises not described on the initial Environmental Questionnaire, and, to the extent such use would, in Landlord’s reasonable judgment, cause a material increase in the risk of liability compared to the uses previously allowed in the Premises, such additional use shall be subject to Landlord’s prior consent, which may be withheld in Landlord’s reasonable discretion. Tenant shall not install or permit Tenant’s Agents to install any underground storage tank on the Premises. For purposes of this Lease, “</w:t>
      </w:r>
      <w:r>
        <w:rPr>
          <w:rFonts w:ascii="Arial" w:cs="Arial" w:eastAsia="Arial" w:hAnsi="Arial"/>
          <w:sz w:val="13"/>
          <w:szCs w:val="13"/>
          <w:b w:val="1"/>
          <w:bCs w:val="1"/>
          <w:color w:val="auto"/>
        </w:rPr>
        <w:t>Hazardous Materials</w:t>
      </w:r>
      <w:r>
        <w:rPr>
          <w:rFonts w:ascii="Arial" w:cs="Arial" w:eastAsia="Arial" w:hAnsi="Arial"/>
          <w:sz w:val="13"/>
          <w:szCs w:val="13"/>
          <w:color w:val="auto"/>
        </w:rPr>
        <w:t>” means all flammable explosives, petroleum and petroleum products, waste oil, radon, radioactive materials, toxic pollutants, asbestos, polychlorinated biphenyls (“</w:t>
      </w:r>
      <w:r>
        <w:rPr>
          <w:rFonts w:ascii="Arial" w:cs="Arial" w:eastAsia="Arial" w:hAnsi="Arial"/>
          <w:sz w:val="13"/>
          <w:szCs w:val="13"/>
          <w:b w:val="1"/>
          <w:bCs w:val="1"/>
          <w:color w:val="auto"/>
        </w:rPr>
        <w:t>PCBs</w:t>
      </w:r>
      <w:r>
        <w:rPr>
          <w:rFonts w:ascii="Arial" w:cs="Arial" w:eastAsia="Arial" w:hAnsi="Arial"/>
          <w:sz w:val="13"/>
          <w:szCs w:val="13"/>
          <w:color w:val="auto"/>
        </w:rPr>
        <w:t>”), medical waste, chemicals known to cause cancer or reproductive toxicity, pollutants, contaminants, hazardous wastes, toxic substances or related materials, including without limitation any chemical, element, compound, mixture, solution, substance, object, waste</w:t>
      </w:r>
    </w:p>
    <w:p>
      <w:pPr>
        <w:sectPr>
          <w:pgSz w:w="11900" w:h="16838" w:orient="portrait"/>
          <w:cols w:equalWidth="0" w:num="1">
            <w:col w:w="9600"/>
          </w:cols>
          <w:pgMar w:left="1140" w:top="256" w:right="1159" w:bottom="1440" w:gutter="0" w:footer="0" w:header="0"/>
        </w:sectPr>
      </w:pPr>
    </w:p>
    <w:bookmarkStart w:id="366" w:name="page367"/>
    <w:bookmarkEnd w:id="366"/>
    <w:p>
      <w:pPr>
        <w:ind w:left="6" w:right="60"/>
        <w:spacing w:after="0" w:line="31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any combination thereof, which is or may be hazardous to human health, safety or to the environment due to its radioactivity, ignitability, corrosiveness, reactivity, explosiveness, toxicity, carcinogenicity, infectiousness or other harmful or potentially harmful properties or effects, or defined as, regulated as or included in, the definition of “hazardous substances,” “hazardous wastes,” “hazardous materials,” or “toxic substances” under any Environmental Laws. For purposes of this Lease, “</w:t>
      </w:r>
      <w:r>
        <w:rPr>
          <w:rFonts w:ascii="Arial" w:cs="Arial" w:eastAsia="Arial" w:hAnsi="Arial"/>
          <w:sz w:val="13"/>
          <w:szCs w:val="13"/>
          <w:b w:val="1"/>
          <w:bCs w:val="1"/>
          <w:color w:val="auto"/>
        </w:rPr>
        <w:t>Release</w:t>
      </w:r>
      <w:r>
        <w:rPr>
          <w:rFonts w:ascii="Arial" w:cs="Arial" w:eastAsia="Arial" w:hAnsi="Arial"/>
          <w:sz w:val="13"/>
          <w:szCs w:val="13"/>
          <w:color w:val="auto"/>
        </w:rPr>
        <w:t>” or “</w:t>
      </w:r>
      <w:r>
        <w:rPr>
          <w:rFonts w:ascii="Arial" w:cs="Arial" w:eastAsia="Arial" w:hAnsi="Arial"/>
          <w:sz w:val="13"/>
          <w:szCs w:val="13"/>
          <w:b w:val="1"/>
          <w:bCs w:val="1"/>
          <w:color w:val="auto"/>
        </w:rPr>
        <w:t>Released</w:t>
      </w:r>
      <w:r>
        <w:rPr>
          <w:rFonts w:ascii="Arial" w:cs="Arial" w:eastAsia="Arial" w:hAnsi="Arial"/>
          <w:sz w:val="13"/>
          <w:szCs w:val="13"/>
          <w:color w:val="auto"/>
        </w:rPr>
        <w:t>” or “</w:t>
      </w:r>
      <w:r>
        <w:rPr>
          <w:rFonts w:ascii="Arial" w:cs="Arial" w:eastAsia="Arial" w:hAnsi="Arial"/>
          <w:sz w:val="13"/>
          <w:szCs w:val="13"/>
          <w:b w:val="1"/>
          <w:bCs w:val="1"/>
          <w:color w:val="auto"/>
        </w:rPr>
        <w:t>Releases</w:t>
      </w:r>
      <w:r>
        <w:rPr>
          <w:rFonts w:ascii="Arial" w:cs="Arial" w:eastAsia="Arial" w:hAnsi="Arial"/>
          <w:sz w:val="13"/>
          <w:szCs w:val="13"/>
          <w:color w:val="auto"/>
        </w:rPr>
        <w:t>” shall mean any release, deposit, discharge, emission, leaking, spilling, seeping, migrating, injecting, pumping, pouring, emptying, escaping, dumping, disposing, or other movement of Hazardous Materials into the environment. Landlord acknowledges that Tenant will be installing and using fume hoods in the Premises and that emissions of Hazardous Materials into the air in compliance with all Environmental Laws shall not be considered Releases.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5.3.1.2 </w:t>
      </w:r>
      <w:r>
        <w:rPr>
          <w:rFonts w:ascii="Arial" w:cs="Arial" w:eastAsia="Arial" w:hAnsi="Arial"/>
          <w:sz w:val="16"/>
          <w:szCs w:val="16"/>
          <w:b w:val="1"/>
          <w:bCs w:val="1"/>
          <w:u w:val="single" w:color="auto"/>
          <w:color w:val="auto"/>
        </w:rPr>
        <w:t>Notices to Landlord</w:t>
      </w:r>
      <w:r>
        <w:rPr>
          <w:rFonts w:ascii="Arial" w:cs="Arial" w:eastAsia="Arial" w:hAnsi="Arial"/>
          <w:sz w:val="16"/>
          <w:szCs w:val="16"/>
          <w:color w:val="auto"/>
        </w:rPr>
        <w:t>. Tenant shall notify Landlord in writing as soon as possible but in no event later than five (5) days after</w:t>
      </w:r>
    </w:p>
    <w:p>
      <w:pPr>
        <w:spacing w:after="0" w:line="20" w:lineRule="exact"/>
        <w:rPr>
          <w:sz w:val="20"/>
          <w:szCs w:val="20"/>
          <w:color w:val="auto"/>
        </w:rPr>
      </w:pPr>
    </w:p>
    <w:p>
      <w:pPr>
        <w:ind w:left="6" w:right="20" w:hanging="6"/>
        <w:spacing w:after="0" w:line="305" w:lineRule="auto"/>
        <w:tabs>
          <w:tab w:leader="none" w:pos="194" w:val="left"/>
        </w:tabs>
        <w:numPr>
          <w:ilvl w:val="0"/>
          <w:numId w:val="254"/>
        </w:numPr>
        <w:rPr>
          <w:rFonts w:ascii="Arial" w:cs="Arial" w:eastAsia="Arial" w:hAnsi="Arial"/>
          <w:sz w:val="13"/>
          <w:szCs w:val="13"/>
          <w:color w:val="auto"/>
        </w:rPr>
      </w:pPr>
      <w:r>
        <w:rPr>
          <w:rFonts w:ascii="Arial" w:cs="Arial" w:eastAsia="Arial" w:hAnsi="Arial"/>
          <w:sz w:val="13"/>
          <w:szCs w:val="13"/>
          <w:color w:val="auto"/>
        </w:rPr>
        <w:t>the occurrence of any actual, alleged or threatened Release of any Hazardous Material in, on, under, from, about or in the vicinity of the Premises (whether past or present), regardless of the source or quantity of any such Release, or (ii) Tenant becomes aware of any regulatory actions, inquiries, inspections, investigations, directives, or any cleanup, compliance, enforcement or abatement proceedings (including any threatened or contemplated investigations or proceedings) relating to or potentially affecting the Premises, or (iii) Tenant becomes aware of any claims by any person or entity relating to any Hazardous Materials in, on, under, from, about or in the vicinity of the Premises, whether relating to damage, contribution, cost recovery, compensation, loss or injury. Collectively, the matters set forth in clauses (i), (ii) and (iii) above are hereinafter referred to as “</w:t>
      </w:r>
      <w:r>
        <w:rPr>
          <w:rFonts w:ascii="Arial" w:cs="Arial" w:eastAsia="Arial" w:hAnsi="Arial"/>
          <w:sz w:val="13"/>
          <w:szCs w:val="13"/>
          <w:b w:val="1"/>
          <w:bCs w:val="1"/>
          <w:color w:val="auto"/>
        </w:rPr>
        <w:t>Hazardous Materials</w:t>
      </w:r>
      <w:r>
        <w:rPr>
          <w:rFonts w:ascii="Arial" w:cs="Arial" w:eastAsia="Arial" w:hAnsi="Arial"/>
          <w:sz w:val="13"/>
          <w:szCs w:val="13"/>
          <w:color w:val="auto"/>
        </w:rPr>
        <w:t xml:space="preserve"> </w:t>
      </w:r>
      <w:r>
        <w:rPr>
          <w:rFonts w:ascii="Arial" w:cs="Arial" w:eastAsia="Arial" w:hAnsi="Arial"/>
          <w:sz w:val="13"/>
          <w:szCs w:val="13"/>
          <w:b w:val="1"/>
          <w:bCs w:val="1"/>
          <w:color w:val="auto"/>
        </w:rPr>
        <w:t>Claims</w:t>
      </w:r>
      <w:r>
        <w:rPr>
          <w:rFonts w:ascii="Arial" w:cs="Arial" w:eastAsia="Arial" w:hAnsi="Arial"/>
          <w:sz w:val="13"/>
          <w:szCs w:val="13"/>
          <w:color w:val="auto"/>
        </w:rPr>
        <w:t>”. Tenant shall promptly forward to Landlord copies of all orders, notices, permits, applications and other communications and reports in</w:t>
      </w:r>
      <w:r>
        <w:rPr>
          <w:rFonts w:ascii="Arial" w:cs="Arial" w:eastAsia="Arial" w:hAnsi="Arial"/>
          <w:sz w:val="13"/>
          <w:szCs w:val="13"/>
          <w:b w:val="1"/>
          <w:bCs w:val="1"/>
          <w:color w:val="auto"/>
        </w:rPr>
        <w:t xml:space="preserve"> </w:t>
      </w:r>
      <w:r>
        <w:rPr>
          <w:rFonts w:ascii="Arial" w:cs="Arial" w:eastAsia="Arial" w:hAnsi="Arial"/>
          <w:sz w:val="13"/>
          <w:szCs w:val="13"/>
          <w:color w:val="auto"/>
        </w:rPr>
        <w:t>connection with any Hazardous Materials Claims. Additionally, Tenant shall promptly advise Landlord in writing of Tenant’s discovery of any occurrence or condition on, in, under or about the Premises that could subject Tenant or Landlord to any liability, or restrictions on ownership, occupancy, transferability or use of the Premises under any “Environmental Laws,” as that term is defined below. Tenant shall not enter into any legal proceeding or other action, settlement, consent decree or other compromise with respect to any Hazardous Materials Claims without first notifying Landlord of Tenant’s intention to do so and affording Landlord the opportunity to join and participate, as a party if Landlord so elects, in such proceedings and in no event shall Tenant enter into any agreements which are binding on Landlord or the Premises without Landlord’s prior written consent. Landlord shall have the right to appear at and participate in, any and all legal or other administrative proceedings concerning any Hazardous Materials Claim. For purposes of this Lease, “</w:t>
      </w:r>
      <w:r>
        <w:rPr>
          <w:rFonts w:ascii="Arial" w:cs="Arial" w:eastAsia="Arial" w:hAnsi="Arial"/>
          <w:sz w:val="13"/>
          <w:szCs w:val="13"/>
          <w:b w:val="1"/>
          <w:bCs w:val="1"/>
          <w:color w:val="auto"/>
        </w:rPr>
        <w:t>Environmental Laws</w:t>
      </w:r>
      <w:r>
        <w:rPr>
          <w:rFonts w:ascii="Arial" w:cs="Arial" w:eastAsia="Arial" w:hAnsi="Arial"/>
          <w:sz w:val="13"/>
          <w:szCs w:val="13"/>
          <w:color w:val="auto"/>
        </w:rPr>
        <w:t>” means all applicable present and future laws relating to the protection of human health, safety, wildlife or the environment, including, without limitation, (i) all requirements pertaining to reporting, licensing, permitting, investigation and/or remediation of emissions, discharges, Releases, or threatened Releases of Hazardous Materials, whether solid, liquid, or gaseous in nature, into the air, surface water, groundwater, or land, or relating to the manufacture, processing, distribution, use, treatment, storage, disposal, transport, or handling of Hazardous Materials; and (ii) all requirements pertaining to the health and safety of employees or the public. Environmental Laws include, but are not limited to, the Comprehensive Environmental Response, Compensation and Liability Act of 1980, 42 USC § 9601, et seq., the Hazardous Materials Transportation Authorization Act of 1994, 49 USC § 5101, et seq., the Solid Waste Disposal Act, as amended by the Resource Conservation and Recovery Act of 1976, and Hazardous and Solid Waste Amendments of 1984, 42 USC § 6901, et seq., the Federal Water Pollution Control Act, as amended by the Clean Water Act of 1977, 33 USC § 1251, et seq., the Clean Air Act of 1966, 42 USC § 7401, et seq., the Toxic Substances Control Act of 1976, 15 USC § 2601, et seq., the Safe Drinking Water Act of 1974, 42 USC §§ 300f through 300j, the Occupational Safety and Health Act of 1970, as amended, 29 USC § 651 et seq., the Oil Pollution Act of 1990, 33 USC § 2701 et seq., the Emergency Planning and Community Right-To-Know Act of 1986, 42 USC § 11001 et seq., the National Environmental Policy Act of 1969, 42 USC § 4321 et seq., the Federal Insecticide, Fungicide and Rodenticide Act of 1947, 7 USC § 136 et seq., California Carpenter-Presley-Tanner Hazardous Substance Account Act, California Health &amp; Safety Code §§ 25300 et seq., Hazardous Materials Release Response Plans and Inventory Act, California Health &amp; Safety Code, §§ 25500 et seq., Underground Storage of Hazardous Substances provisions, California Health &amp; Safety Code, §§ 25280 et seq., California Hazardous Waste Control Law, California Health &amp; Safety Code, §§ 25100 et seq., and any other state or local law counterparts, as amended, as such applicable laws, are in effect as of the Lease Commencement Date, or thereafter adopted, published, or promulgated.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 w:right="20" w:firstLine="1251"/>
        <w:spacing w:after="0" w:line="346" w:lineRule="auto"/>
        <w:rPr>
          <w:sz w:val="20"/>
          <w:szCs w:val="20"/>
          <w:color w:val="auto"/>
        </w:rPr>
      </w:pPr>
      <w:r>
        <w:rPr>
          <w:rFonts w:ascii="Arial" w:cs="Arial" w:eastAsia="Arial" w:hAnsi="Arial"/>
          <w:sz w:val="13"/>
          <w:szCs w:val="13"/>
          <w:color w:val="auto"/>
        </w:rPr>
        <w:t xml:space="preserve">5.3.1.3 </w:t>
      </w:r>
      <w:r>
        <w:rPr>
          <w:rFonts w:ascii="Arial" w:cs="Arial" w:eastAsia="Arial" w:hAnsi="Arial"/>
          <w:sz w:val="13"/>
          <w:szCs w:val="13"/>
          <w:b w:val="1"/>
          <w:bCs w:val="1"/>
          <w:u w:val="single" w:color="auto"/>
          <w:color w:val="auto"/>
        </w:rPr>
        <w:t>Releases of Hazardous Materials</w:t>
      </w:r>
      <w:r>
        <w:rPr>
          <w:rFonts w:ascii="Arial" w:cs="Arial" w:eastAsia="Arial" w:hAnsi="Arial"/>
          <w:sz w:val="13"/>
          <w:szCs w:val="13"/>
          <w:color w:val="auto"/>
        </w:rPr>
        <w:t>. If any Release of any Hazardous Material in, on, under, from or about the Premises shall occur at any time during the Lease by Tenant or Tenant’s Agents, in addition to notifying Landlord as specified above, Tenant, at its own sole cost and expense, shall (i) immediately comply with any and all reporting requirements imposed pursuant to any and all Environmental Laws, (ii) provide a</w:t>
      </w:r>
    </w:p>
    <w:p>
      <w:pPr>
        <w:sectPr>
          <w:pgSz w:w="11900" w:h="16838" w:orient="portrait"/>
          <w:cols w:equalWidth="0" w:num="1">
            <w:col w:w="9586"/>
          </w:cols>
          <w:pgMar w:left="1134" w:top="256" w:right="1179" w:bottom="1440" w:gutter="0" w:footer="0" w:header="0"/>
        </w:sectPr>
      </w:pPr>
    </w:p>
    <w:bookmarkStart w:id="367" w:name="page368"/>
    <w:bookmarkEnd w:id="367"/>
    <w:p>
      <w:pPr>
        <w:ind w:left="6" w:right="36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written certification to Landlord indicating that Tenant has complied with all applicable reporting requirements, (iii) take any and all necessary investigation, corrective and remedial action in accordance with any and all applicable Environmental Laws, utilizing an environmental consultant approved by Landlord, all in accordance with the provisions and requirements of this </w:t>
      </w:r>
      <w:r>
        <w:rPr>
          <w:rFonts w:ascii="Arial" w:cs="Arial" w:eastAsia="Arial" w:hAnsi="Arial"/>
          <w:sz w:val="13"/>
          <w:szCs w:val="13"/>
          <w:b w:val="1"/>
          <w:bCs w:val="1"/>
          <w:u w:val="single" w:color="auto"/>
          <w:color w:val="auto"/>
        </w:rPr>
        <w:t>Section 5.3</w:t>
      </w:r>
      <w:r>
        <w:rPr>
          <w:rFonts w:ascii="Arial" w:cs="Arial" w:eastAsia="Arial" w:hAnsi="Arial"/>
          <w:sz w:val="13"/>
          <w:szCs w:val="13"/>
          <w:color w:val="auto"/>
        </w:rPr>
        <w:t xml:space="preserve">, including, without limitation, </w:t>
      </w:r>
      <w:r>
        <w:rPr>
          <w:rFonts w:ascii="Arial" w:cs="Arial" w:eastAsia="Arial" w:hAnsi="Arial"/>
          <w:sz w:val="13"/>
          <w:szCs w:val="13"/>
          <w:b w:val="1"/>
          <w:bCs w:val="1"/>
          <w:u w:val="single" w:color="auto"/>
          <w:color w:val="auto"/>
        </w:rPr>
        <w:t>Section 5.3.4</w:t>
      </w:r>
      <w:r>
        <w:rPr>
          <w:rFonts w:ascii="Arial" w:cs="Arial" w:eastAsia="Arial" w:hAnsi="Arial"/>
          <w:sz w:val="13"/>
          <w:szCs w:val="13"/>
          <w:color w:val="auto"/>
        </w:rPr>
        <w:t>, and</w:t>
      </w:r>
    </w:p>
    <w:p>
      <w:pPr>
        <w:spacing w:after="0" w:line="2" w:lineRule="exact"/>
        <w:rPr>
          <w:sz w:val="20"/>
          <w:szCs w:val="20"/>
          <w:color w:val="auto"/>
        </w:rPr>
      </w:pPr>
    </w:p>
    <w:p>
      <w:pPr>
        <w:ind w:left="6" w:right="200" w:hanging="6"/>
        <w:spacing w:after="0" w:line="252" w:lineRule="auto"/>
        <w:tabs>
          <w:tab w:leader="none" w:pos="27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take any such additional investigative, remedial and corrective actions as Landlord shall in its reasonable discretion deem necessary such that the Premises are remediated to the condition existing prior to such Release.</w:t>
      </w:r>
    </w:p>
    <w:p>
      <w:pPr>
        <w:spacing w:after="0" w:line="164" w:lineRule="exact"/>
        <w:rPr>
          <w:sz w:val="20"/>
          <w:szCs w:val="20"/>
          <w:color w:val="auto"/>
        </w:rPr>
      </w:pPr>
    </w:p>
    <w:p>
      <w:pPr>
        <w:ind w:left="1246"/>
        <w:spacing w:after="0"/>
        <w:rPr>
          <w:sz w:val="20"/>
          <w:szCs w:val="20"/>
          <w:color w:val="auto"/>
        </w:rPr>
      </w:pPr>
      <w:r>
        <w:rPr>
          <w:rFonts w:ascii="Arial" w:cs="Arial" w:eastAsia="Arial" w:hAnsi="Arial"/>
          <w:sz w:val="16"/>
          <w:szCs w:val="16"/>
          <w:color w:val="auto"/>
        </w:rPr>
        <w:t xml:space="preserve">5.3.1.4 </w:t>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99" w:lineRule="exact"/>
        <w:rPr>
          <w:sz w:val="20"/>
          <w:szCs w:val="20"/>
          <w:color w:val="auto"/>
        </w:rPr>
      </w:pPr>
    </w:p>
    <w:p>
      <w:pPr>
        <w:ind w:left="386" w:firstLine="1201"/>
        <w:spacing w:after="0" w:line="317" w:lineRule="auto"/>
        <w:rPr>
          <w:sz w:val="20"/>
          <w:szCs w:val="20"/>
          <w:color w:val="auto"/>
        </w:rPr>
      </w:pPr>
      <w:r>
        <w:rPr>
          <w:rFonts w:ascii="Arial" w:cs="Arial" w:eastAsia="Arial" w:hAnsi="Arial"/>
          <w:sz w:val="13"/>
          <w:szCs w:val="13"/>
          <w:color w:val="auto"/>
        </w:rPr>
        <w:t xml:space="preserve">5.3.1.4.1 </w:t>
      </w:r>
      <w:r>
        <w:rPr>
          <w:rFonts w:ascii="Arial" w:cs="Arial" w:eastAsia="Arial" w:hAnsi="Arial"/>
          <w:sz w:val="13"/>
          <w:szCs w:val="13"/>
          <w:b w:val="1"/>
          <w:bCs w:val="1"/>
          <w:u w:val="single" w:color="auto"/>
          <w:color w:val="auto"/>
        </w:rPr>
        <w:t>In General</w:t>
      </w:r>
      <w:r>
        <w:rPr>
          <w:rFonts w:ascii="Arial" w:cs="Arial" w:eastAsia="Arial" w:hAnsi="Arial"/>
          <w:sz w:val="13"/>
          <w:szCs w:val="13"/>
          <w:color w:val="auto"/>
        </w:rPr>
        <w:t>. Without limiting in any way Tenant’s obligations under any other provision of this Lease, Tenant shall be solely responsible for and shall protect, defend, indemnify and hold the Landlord Parties harmless from and against any and all claims, judgments, losses, damages, costs, expenses, penalties, enforcement actions, taxes, fines, remedial actions, liabilities (including, without limitation, actual attorneys’ fees, litigation, arbitration and administrative proceeding costs, expert and consultant fees and laboratory costs) including, without limitation, consequential damages and sums paid in settlement of claims, which arise during or after the Lease Term, whether foreseeable or unforeseeable, that arise during or after the Lease Term in whole or in part, foreseeable or unforeseeable, directly or indirectly arising out of or attributable to the Release of Hazardous Materials in, on, under or about the Premises by Tenant or Tenant’s Agents.</w:t>
      </w:r>
    </w:p>
    <w:p>
      <w:pPr>
        <w:spacing w:after="0" w:line="33" w:lineRule="exact"/>
        <w:rPr>
          <w:sz w:val="20"/>
          <w:szCs w:val="20"/>
          <w:color w:val="auto"/>
        </w:rPr>
      </w:pPr>
    </w:p>
    <w:p>
      <w:pPr>
        <w:jc w:val="both"/>
        <w:ind w:left="386" w:right="80" w:firstLine="1201"/>
        <w:spacing w:after="0" w:line="378" w:lineRule="auto"/>
        <w:rPr>
          <w:sz w:val="20"/>
          <w:szCs w:val="20"/>
          <w:color w:val="auto"/>
        </w:rPr>
      </w:pPr>
      <w:r>
        <w:rPr>
          <w:rFonts w:ascii="Arial" w:cs="Arial" w:eastAsia="Arial" w:hAnsi="Arial"/>
          <w:sz w:val="13"/>
          <w:szCs w:val="13"/>
          <w:color w:val="auto"/>
        </w:rPr>
        <w:t xml:space="preserve">5.3.1.4.2 </w:t>
      </w:r>
      <w:r>
        <w:rPr>
          <w:rFonts w:ascii="Arial" w:cs="Arial" w:eastAsia="Arial" w:hAnsi="Arial"/>
          <w:sz w:val="13"/>
          <w:szCs w:val="13"/>
          <w:b w:val="1"/>
          <w:bCs w:val="1"/>
          <w:u w:val="single" w:color="auto"/>
          <w:color w:val="auto"/>
        </w:rPr>
        <w:t>Limitations</w:t>
      </w:r>
      <w:r>
        <w:rPr>
          <w:rFonts w:ascii="Arial" w:cs="Arial" w:eastAsia="Arial" w:hAnsi="Arial"/>
          <w:sz w:val="13"/>
          <w:szCs w:val="13"/>
          <w:color w:val="auto"/>
        </w:rPr>
        <w:t xml:space="preserve">. Notwithstanding anything in </w:t>
      </w:r>
      <w:r>
        <w:rPr>
          <w:rFonts w:ascii="Arial" w:cs="Arial" w:eastAsia="Arial" w:hAnsi="Arial"/>
          <w:sz w:val="13"/>
          <w:szCs w:val="13"/>
          <w:b w:val="1"/>
          <w:bCs w:val="1"/>
          <w:u w:val="single" w:color="auto"/>
          <w:color w:val="auto"/>
        </w:rPr>
        <w:t>Section 5.3.1.4</w:t>
      </w:r>
      <w:r>
        <w:rPr>
          <w:rFonts w:ascii="Arial" w:cs="Arial" w:eastAsia="Arial" w:hAnsi="Arial"/>
          <w:sz w:val="13"/>
          <w:szCs w:val="13"/>
          <w:color w:val="auto"/>
        </w:rPr>
        <w:t xml:space="preserve">, above, to the contrary, Tenant’s indemnity of Landlord as set forth in </w:t>
      </w:r>
      <w:r>
        <w:rPr>
          <w:rFonts w:ascii="Arial" w:cs="Arial" w:eastAsia="Arial" w:hAnsi="Arial"/>
          <w:sz w:val="13"/>
          <w:szCs w:val="13"/>
          <w:b w:val="1"/>
          <w:bCs w:val="1"/>
          <w:u w:val="single" w:color="auto"/>
          <w:color w:val="auto"/>
        </w:rPr>
        <w:t>Section 5.3.1.4</w:t>
      </w:r>
      <w:r>
        <w:rPr>
          <w:rFonts w:ascii="Arial" w:cs="Arial" w:eastAsia="Arial" w:hAnsi="Arial"/>
          <w:sz w:val="13"/>
          <w:szCs w:val="13"/>
          <w:color w:val="auto"/>
        </w:rPr>
        <w:t>, above, shall not be applicable to claims based upon Hazardous Materials not Released by Tenant or Tenant’s Agents.</w:t>
      </w:r>
    </w:p>
    <w:p>
      <w:pPr>
        <w:spacing w:after="0" w:line="1" w:lineRule="exact"/>
        <w:rPr>
          <w:sz w:val="20"/>
          <w:szCs w:val="20"/>
          <w:color w:val="auto"/>
        </w:rPr>
      </w:pPr>
    </w:p>
    <w:p>
      <w:pPr>
        <w:ind w:left="386" w:right="40" w:firstLine="1201"/>
        <w:spacing w:after="0" w:line="271" w:lineRule="auto"/>
        <w:rPr>
          <w:sz w:val="20"/>
          <w:szCs w:val="20"/>
          <w:color w:val="auto"/>
        </w:rPr>
      </w:pPr>
      <w:r>
        <w:rPr>
          <w:rFonts w:ascii="Arial" w:cs="Arial" w:eastAsia="Arial" w:hAnsi="Arial"/>
          <w:sz w:val="15"/>
          <w:szCs w:val="15"/>
          <w:color w:val="auto"/>
        </w:rPr>
        <w:t xml:space="preserve">5.3.1.4.3 </w:t>
      </w:r>
      <w:r>
        <w:rPr>
          <w:rFonts w:ascii="Arial" w:cs="Arial" w:eastAsia="Arial" w:hAnsi="Arial"/>
          <w:sz w:val="15"/>
          <w:szCs w:val="15"/>
          <w:b w:val="1"/>
          <w:bCs w:val="1"/>
          <w:u w:val="single" w:color="auto"/>
          <w:color w:val="auto"/>
        </w:rPr>
        <w:t>Landlord Indemnity</w:t>
      </w:r>
      <w:r>
        <w:rPr>
          <w:rFonts w:ascii="Arial" w:cs="Arial" w:eastAsia="Arial" w:hAnsi="Arial"/>
          <w:sz w:val="15"/>
          <w:szCs w:val="15"/>
          <w:color w:val="auto"/>
        </w:rPr>
        <w:t>. Under no circumstance shall Tenant be liable for, and Landlord shall indemnify, defend, protect and hold harmless Tenant and Tenant’s Agents from and against, all losses, costs, claims, liabilities and damages (including attorneys’ and consultants’ fees) arising out of any Hazardous Materials that exist in, on or about the Project as of the date hereof, or Hazardous Material Released by Landlord or any Landlord Parties. Landlord has provided Tenant with an SMP description of environmental conditions from Roux Associates. The provision of such reports shall be for informational purposes only, and Landlord does not make any representation or warranty as to the correctness or completeness of any such reports.</w:t>
      </w:r>
    </w:p>
    <w:p>
      <w:pPr>
        <w:spacing w:after="0" w:line="152" w:lineRule="exact"/>
        <w:rPr>
          <w:sz w:val="20"/>
          <w:szCs w:val="20"/>
          <w:color w:val="auto"/>
        </w:rPr>
      </w:pPr>
    </w:p>
    <w:p>
      <w:pPr>
        <w:ind w:left="6" w:firstLine="1251"/>
        <w:spacing w:after="0" w:line="313" w:lineRule="auto"/>
        <w:rPr>
          <w:sz w:val="20"/>
          <w:szCs w:val="20"/>
          <w:color w:val="auto"/>
        </w:rPr>
      </w:pPr>
      <w:r>
        <w:rPr>
          <w:rFonts w:ascii="Arial" w:cs="Arial" w:eastAsia="Arial" w:hAnsi="Arial"/>
          <w:sz w:val="13"/>
          <w:szCs w:val="13"/>
          <w:color w:val="auto"/>
        </w:rPr>
        <w:t xml:space="preserve">5.3.1.5 </w:t>
      </w:r>
      <w:r>
        <w:rPr>
          <w:rFonts w:ascii="Arial" w:cs="Arial" w:eastAsia="Arial" w:hAnsi="Arial"/>
          <w:sz w:val="13"/>
          <w:szCs w:val="13"/>
          <w:b w:val="1"/>
          <w:bCs w:val="1"/>
          <w:u w:val="single" w:color="auto"/>
          <w:color w:val="auto"/>
        </w:rPr>
        <w:t>Compliance with Environmental Laws</w:t>
      </w:r>
      <w:r>
        <w:rPr>
          <w:rFonts w:ascii="Arial" w:cs="Arial" w:eastAsia="Arial" w:hAnsi="Arial"/>
          <w:sz w:val="13"/>
          <w:szCs w:val="13"/>
          <w:color w:val="auto"/>
        </w:rPr>
        <w:t>. Without limiting the generality of Tenant’s obligation to comply with applicable laws as otherwise provided in this Lease, Tenant shall, at its sole cost and expense, comply with all Environmental Laws related to the use of Hazardous Materials by Tenant and Tenant’s Agents. Tenant shall obtain and maintain any and all necessary permits, licenses, certifications and approvals appropriate or required for the use, handling, storage, and disposal of any Hazardous Materials used, stored, generated, transported, handled, blended, or recycled by Tenant on the Premises. Landlord shall have a continuing right, without obligation, to require Tenant to obtain, and to review and inspect any and all such permits, licenses, certifications and approvals, together with copies of any and all Hazardous Materials management plans and programs, any and all Hazardous Materials risk management and pollution prevention programs, and any and all Hazardous Materials emergency response and employee training programs respecting Tenant’s use of Hazardous Materials. Upon request of Landlord, Tenant shall deliver to Landlord a narrative description explaining the nature and scope of Tenant’s activities involving Hazardous Materials and showing to Landlord’s satisfaction compliance with all Environmental Laws and the terms of this Lease.</w:t>
      </w:r>
    </w:p>
    <w:p>
      <w:pPr>
        <w:spacing w:after="0" w:line="320" w:lineRule="exact"/>
        <w:rPr>
          <w:sz w:val="20"/>
          <w:szCs w:val="20"/>
          <w:color w:val="auto"/>
        </w:rPr>
      </w:pPr>
    </w:p>
    <w:p>
      <w:pPr>
        <w:ind w:left="866"/>
        <w:spacing w:after="0"/>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b w:val="1"/>
          <w:bCs w:val="1"/>
          <w:u w:val="single" w:color="auto"/>
          <w:color w:val="auto"/>
        </w:rPr>
        <w:t>Assurance of Performance</w:t>
      </w:r>
      <w:r>
        <w:rPr>
          <w:rFonts w:ascii="Arial" w:cs="Arial" w:eastAsia="Arial" w:hAnsi="Arial"/>
          <w:sz w:val="16"/>
          <w:szCs w:val="16"/>
          <w:color w:val="auto"/>
        </w:rPr>
        <w:t>.</w:t>
      </w:r>
    </w:p>
    <w:p>
      <w:pPr>
        <w:spacing w:after="0" w:line="193" w:lineRule="exact"/>
        <w:rPr>
          <w:sz w:val="20"/>
          <w:szCs w:val="20"/>
          <w:color w:val="auto"/>
        </w:rPr>
      </w:pPr>
    </w:p>
    <w:p>
      <w:pPr>
        <w:ind w:left="6" w:right="60" w:firstLine="1251"/>
        <w:spacing w:after="0" w:line="254" w:lineRule="auto"/>
        <w:rPr>
          <w:sz w:val="20"/>
          <w:szCs w:val="20"/>
          <w:color w:val="auto"/>
        </w:rPr>
      </w:pPr>
      <w:r>
        <w:rPr>
          <w:rFonts w:ascii="Arial" w:cs="Arial" w:eastAsia="Arial" w:hAnsi="Arial"/>
          <w:sz w:val="16"/>
          <w:szCs w:val="16"/>
          <w:color w:val="auto"/>
        </w:rPr>
        <w:t xml:space="preserve">5.3.2.1 </w:t>
      </w:r>
      <w:r>
        <w:rPr>
          <w:rFonts w:ascii="Arial" w:cs="Arial" w:eastAsia="Arial" w:hAnsi="Arial"/>
          <w:sz w:val="16"/>
          <w:szCs w:val="16"/>
          <w:b w:val="1"/>
          <w:bCs w:val="1"/>
          <w:u w:val="single" w:color="auto"/>
          <w:color w:val="auto"/>
        </w:rPr>
        <w:t>Environmental Assessments In General</w:t>
      </w:r>
      <w:r>
        <w:rPr>
          <w:rFonts w:ascii="Arial" w:cs="Arial" w:eastAsia="Arial" w:hAnsi="Arial"/>
          <w:sz w:val="16"/>
          <w:szCs w:val="16"/>
          <w:color w:val="auto"/>
        </w:rPr>
        <w:t>. Landlord may, but shall not be required to, engage from time to time such contractors as Landlord determines to be appropriate (and which are reasonably acceptable to Tenant) to perform environmental assessments of a scope reasonably determined by Landlord (an “</w:t>
      </w:r>
      <w:r>
        <w:rPr>
          <w:rFonts w:ascii="Arial" w:cs="Arial" w:eastAsia="Arial" w:hAnsi="Arial"/>
          <w:sz w:val="16"/>
          <w:szCs w:val="16"/>
          <w:b w:val="1"/>
          <w:bCs w:val="1"/>
          <w:color w:val="auto"/>
        </w:rPr>
        <w:t>Environmental Assessment</w:t>
      </w:r>
      <w:r>
        <w:rPr>
          <w:rFonts w:ascii="Arial" w:cs="Arial" w:eastAsia="Arial" w:hAnsi="Arial"/>
          <w:sz w:val="16"/>
          <w:szCs w:val="16"/>
          <w:color w:val="auto"/>
        </w:rPr>
        <w:t>”) to ensure Tenant’s compliance with the requirements of this Lease with respect to Hazardous Materials.</w:t>
      </w:r>
    </w:p>
    <w:p>
      <w:pPr>
        <w:sectPr>
          <w:pgSz w:w="11900" w:h="16838" w:orient="portrait"/>
          <w:cols w:equalWidth="0" w:num="1">
            <w:col w:w="9586"/>
          </w:cols>
          <w:pgMar w:left="1134" w:top="256" w:right="1179" w:bottom="1440" w:gutter="0" w:footer="0" w:header="0"/>
        </w:sectPr>
      </w:pPr>
    </w:p>
    <w:bookmarkStart w:id="368" w:name="page369"/>
    <w:bookmarkEnd w:id="368"/>
    <w:p>
      <w:pPr>
        <w:ind w:right="160" w:firstLine="1251"/>
        <w:spacing w:after="0" w:line="25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5.3.2.2 </w:t>
      </w:r>
      <w:r>
        <w:rPr>
          <w:rFonts w:ascii="Arial" w:cs="Arial" w:eastAsia="Arial" w:hAnsi="Arial"/>
          <w:sz w:val="16"/>
          <w:szCs w:val="16"/>
          <w:b w:val="1"/>
          <w:bCs w:val="1"/>
          <w:u w:val="single" w:color="auto"/>
          <w:color w:val="auto"/>
        </w:rPr>
        <w:t>Costs of Environmental Assessments</w:t>
      </w:r>
      <w:r>
        <w:rPr>
          <w:rFonts w:ascii="Arial" w:cs="Arial" w:eastAsia="Arial" w:hAnsi="Arial"/>
          <w:sz w:val="16"/>
          <w:szCs w:val="16"/>
          <w:color w:val="auto"/>
        </w:rPr>
        <w:t xml:space="preserve">. All costs and expenses incurred by Landlord in connection with any such Environmental Assessment initially shall be paid by Landlord; provided that if any such Environmental Assessment shows that Tenant has failed to comply with the provisions of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then all of the costs and expenses of such Environmental Assessment shall be reimbursed by Tenant as Additional Rent within thirty (30) days after receipt of written demand therefor.</w:t>
      </w:r>
    </w:p>
    <w:p>
      <w:pPr>
        <w:spacing w:after="0" w:line="164" w:lineRule="exact"/>
        <w:rPr>
          <w:sz w:val="20"/>
          <w:szCs w:val="20"/>
          <w:color w:val="auto"/>
        </w:rPr>
      </w:pPr>
    </w:p>
    <w:p>
      <w:pPr>
        <w:ind w:right="80" w:firstLine="866"/>
        <w:spacing w:after="0" w:line="271" w:lineRule="auto"/>
        <w:rPr>
          <w:sz w:val="20"/>
          <w:szCs w:val="20"/>
          <w:color w:val="auto"/>
        </w:rPr>
      </w:pPr>
      <w:r>
        <w:rPr>
          <w:rFonts w:ascii="Arial" w:cs="Arial" w:eastAsia="Arial" w:hAnsi="Arial"/>
          <w:sz w:val="15"/>
          <w:szCs w:val="15"/>
          <w:color w:val="auto"/>
        </w:rPr>
        <w:t xml:space="preserve">5.3.3 </w:t>
      </w:r>
      <w:r>
        <w:rPr>
          <w:rFonts w:ascii="Arial" w:cs="Arial" w:eastAsia="Arial" w:hAnsi="Arial"/>
          <w:sz w:val="15"/>
          <w:szCs w:val="15"/>
          <w:b w:val="1"/>
          <w:bCs w:val="1"/>
          <w:u w:val="single" w:color="auto"/>
          <w:color w:val="auto"/>
        </w:rPr>
        <w:t>Tenant’s Obligations upon Surrender</w:t>
      </w:r>
      <w:r>
        <w:rPr>
          <w:rFonts w:ascii="Arial" w:cs="Arial" w:eastAsia="Arial" w:hAnsi="Arial"/>
          <w:sz w:val="15"/>
          <w:szCs w:val="15"/>
          <w:color w:val="auto"/>
        </w:rPr>
        <w:t xml:space="preserve">. At the expiration or earlier termination of the Lease Term, Tenant, at Tenant’s sole cost and expense, shall: (i) cause an Environmental Assessment of the Premises to be conducted in accordance with </w:t>
      </w:r>
      <w:r>
        <w:rPr>
          <w:rFonts w:ascii="Arial" w:cs="Arial" w:eastAsia="Arial" w:hAnsi="Arial"/>
          <w:sz w:val="15"/>
          <w:szCs w:val="15"/>
          <w:b w:val="1"/>
          <w:bCs w:val="1"/>
          <w:u w:val="single" w:color="auto"/>
          <w:color w:val="auto"/>
        </w:rPr>
        <w:t>Section 15.3</w:t>
      </w:r>
      <w:r>
        <w:rPr>
          <w:rFonts w:ascii="Arial" w:cs="Arial" w:eastAsia="Arial" w:hAnsi="Arial"/>
          <w:sz w:val="15"/>
          <w:szCs w:val="15"/>
          <w:color w:val="auto"/>
        </w:rPr>
        <w:t>; (ii) cause all Hazardous Materials brought onto the Premises by Tenant or Tenant’s Agents to be removed from the Premises and disposed of in accordance with all Environmental Laws and as necessary to allow the Premises to be used for the purposes allowed as of the date of this Lease; and (iii) cause to be removed all containers installed or used by Tenant or Tenant’s Agents to store any Hazardous Materials on the Premises, and cause to be repaired any damage to the Premises caused by such removal.</w:t>
      </w:r>
    </w:p>
    <w:p>
      <w:pPr>
        <w:spacing w:after="0" w:line="15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 xml:space="preserve">5.3.4 </w:t>
      </w:r>
      <w:r>
        <w:rPr>
          <w:rFonts w:ascii="Arial" w:cs="Arial" w:eastAsia="Arial" w:hAnsi="Arial"/>
          <w:sz w:val="16"/>
          <w:szCs w:val="16"/>
          <w:b w:val="1"/>
          <w:bCs w:val="1"/>
          <w:u w:val="single" w:color="auto"/>
          <w:color w:val="auto"/>
        </w:rPr>
        <w:t>Clean-up</w:t>
      </w:r>
      <w:r>
        <w:rPr>
          <w:rFonts w:ascii="Arial" w:cs="Arial" w:eastAsia="Arial" w:hAnsi="Arial"/>
          <w:sz w:val="16"/>
          <w:szCs w:val="16"/>
          <w:color w:val="auto"/>
        </w:rPr>
        <w:t>.</w:t>
      </w:r>
    </w:p>
    <w:p>
      <w:pPr>
        <w:spacing w:after="0" w:line="193" w:lineRule="exact"/>
        <w:rPr>
          <w:sz w:val="20"/>
          <w:szCs w:val="20"/>
          <w:color w:val="auto"/>
        </w:rPr>
      </w:pPr>
    </w:p>
    <w:p>
      <w:pPr>
        <w:ind w:right="40" w:firstLine="1251"/>
        <w:spacing w:after="0" w:line="265" w:lineRule="auto"/>
        <w:rPr>
          <w:sz w:val="20"/>
          <w:szCs w:val="20"/>
          <w:color w:val="auto"/>
        </w:rPr>
      </w:pPr>
      <w:r>
        <w:rPr>
          <w:rFonts w:ascii="Arial" w:cs="Arial" w:eastAsia="Arial" w:hAnsi="Arial"/>
          <w:sz w:val="15"/>
          <w:szCs w:val="15"/>
          <w:color w:val="auto"/>
        </w:rPr>
        <w:t xml:space="preserve">5.3.4.1 </w:t>
      </w:r>
      <w:r>
        <w:rPr>
          <w:rFonts w:ascii="Arial" w:cs="Arial" w:eastAsia="Arial" w:hAnsi="Arial"/>
          <w:sz w:val="15"/>
          <w:szCs w:val="15"/>
          <w:b w:val="1"/>
          <w:bCs w:val="1"/>
          <w:u w:val="single" w:color="auto"/>
          <w:color w:val="auto"/>
        </w:rPr>
        <w:t>Environmental Reports; Clean-Up</w:t>
      </w:r>
      <w:r>
        <w:rPr>
          <w:rFonts w:ascii="Arial" w:cs="Arial" w:eastAsia="Arial" w:hAnsi="Arial"/>
          <w:sz w:val="15"/>
          <w:szCs w:val="15"/>
          <w:color w:val="auto"/>
        </w:rPr>
        <w:t>. If any written report, including any report containing results of any Environmental Assessment (an “</w:t>
      </w:r>
      <w:r>
        <w:rPr>
          <w:rFonts w:ascii="Arial" w:cs="Arial" w:eastAsia="Arial" w:hAnsi="Arial"/>
          <w:sz w:val="15"/>
          <w:szCs w:val="15"/>
          <w:b w:val="1"/>
          <w:bCs w:val="1"/>
          <w:color w:val="auto"/>
        </w:rPr>
        <w:t>Environmental Report</w:t>
      </w:r>
      <w:r>
        <w:rPr>
          <w:rFonts w:ascii="Arial" w:cs="Arial" w:eastAsia="Arial" w:hAnsi="Arial"/>
          <w:sz w:val="15"/>
          <w:szCs w:val="15"/>
          <w:color w:val="auto"/>
        </w:rPr>
        <w:t xml:space="preserve">”) shall indicate (i) the presence of any Hazardous Materials as to which Tenant has a removal or remediation obligation under this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 and (ii) that as a result of same, the investigation, characterization, monitoring, assessment, repair, closure, remediation, removal, or other clean-up (the “</w:t>
      </w:r>
      <w:r>
        <w:rPr>
          <w:rFonts w:ascii="Arial" w:cs="Arial" w:eastAsia="Arial" w:hAnsi="Arial"/>
          <w:sz w:val="15"/>
          <w:szCs w:val="15"/>
          <w:b w:val="1"/>
          <w:bCs w:val="1"/>
          <w:color w:val="auto"/>
        </w:rPr>
        <w:t>Clean-up</w:t>
      </w:r>
      <w:r>
        <w:rPr>
          <w:rFonts w:ascii="Arial" w:cs="Arial" w:eastAsia="Arial" w:hAnsi="Arial"/>
          <w:sz w:val="15"/>
          <w:szCs w:val="15"/>
          <w:color w:val="auto"/>
        </w:rPr>
        <w:t>”) of any Hazardous Materials is required, Tenant shall immediately prepare and submit to Landlord within thirty (30) days after receipt of the Environmental Report a comprehensive plan, subject to Landlord’s written approval, specifying the actions to be taken by Tenant to perform the Clean-up so that the Premises are restored to the conditions required by this Lease. Upon Landlord’s approval of the Clean-up plan, Tenant shall, at Tenant’s sole cost and expense, without limitation on any rights and remedies of Landlord under this Lease, immediately implement such plan with a consultant reasonably acceptable to Landlord and proceed to Clean-Up Hazardous Materials in accordance with all applicable laws. If, within thirty (30) days after receiving a copy of such Environmental Report, Tenant fails either (a) to complete such Clean-up, or (b) with respect to any Clean-up that cannot be completed within such thirty-day period, fails to proceed with diligence to prepare the Clean-up plan and complete the Clean-up as promptly as practicable, then Landlord shall have the right, but not the obligation, and without waiving any other rights under this Lease, to carry out any Clean-up recommended by the Environmental Report or required by any governmental authority having jurisdiction over the Premises, and recover all of the costs and expenses thereof from Tenant as Additional Rent, payable within ten (10) days after receipt of written demand therefor.</w:t>
      </w:r>
    </w:p>
    <w:p>
      <w:pPr>
        <w:spacing w:after="0" w:line="163" w:lineRule="exact"/>
        <w:rPr>
          <w:sz w:val="20"/>
          <w:szCs w:val="20"/>
          <w:color w:val="auto"/>
        </w:rPr>
      </w:pPr>
    </w:p>
    <w:p>
      <w:pPr>
        <w:ind w:right="120" w:firstLine="1251"/>
        <w:spacing w:after="0" w:line="390" w:lineRule="auto"/>
        <w:rPr>
          <w:sz w:val="20"/>
          <w:szCs w:val="20"/>
          <w:color w:val="auto"/>
        </w:rPr>
      </w:pPr>
      <w:r>
        <w:rPr>
          <w:rFonts w:ascii="Arial" w:cs="Arial" w:eastAsia="Arial" w:hAnsi="Arial"/>
          <w:sz w:val="13"/>
          <w:szCs w:val="13"/>
          <w:color w:val="auto"/>
        </w:rPr>
        <w:t xml:space="preserve">5.3.4.2 </w:t>
      </w:r>
      <w:r>
        <w:rPr>
          <w:rFonts w:ascii="Arial" w:cs="Arial" w:eastAsia="Arial" w:hAnsi="Arial"/>
          <w:sz w:val="13"/>
          <w:szCs w:val="13"/>
          <w:b w:val="1"/>
          <w:bCs w:val="1"/>
          <w:u w:val="single" w:color="auto"/>
          <w:color w:val="auto"/>
        </w:rPr>
        <w:t>No Rent Abatement</w:t>
      </w:r>
      <w:r>
        <w:rPr>
          <w:rFonts w:ascii="Arial" w:cs="Arial" w:eastAsia="Arial" w:hAnsi="Arial"/>
          <w:sz w:val="13"/>
          <w:szCs w:val="13"/>
          <w:color w:val="auto"/>
        </w:rPr>
        <w:t>. Tenant shall continue to pay all Rent due or accruing under this Lease during any Clean-up, and shall not be entitled to any reduction, offset or deferral of any Base Rent or Additional Rent due or accruing under this Lease during any such Clean-up.</w:t>
      </w:r>
    </w:p>
    <w:p>
      <w:pPr>
        <w:spacing w:after="0" w:line="80" w:lineRule="exact"/>
        <w:rPr>
          <w:sz w:val="20"/>
          <w:szCs w:val="20"/>
          <w:color w:val="auto"/>
        </w:rPr>
      </w:pPr>
    </w:p>
    <w:p>
      <w:pPr>
        <w:jc w:val="both"/>
        <w:ind w:firstLine="1251"/>
        <w:spacing w:after="0" w:line="251" w:lineRule="auto"/>
        <w:rPr>
          <w:sz w:val="20"/>
          <w:szCs w:val="20"/>
          <w:color w:val="auto"/>
        </w:rPr>
      </w:pPr>
      <w:r>
        <w:rPr>
          <w:rFonts w:ascii="Arial" w:cs="Arial" w:eastAsia="Arial" w:hAnsi="Arial"/>
          <w:sz w:val="16"/>
          <w:szCs w:val="16"/>
          <w:color w:val="auto"/>
        </w:rPr>
        <w:t xml:space="preserve">5.3.4.3 </w:t>
      </w: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Tenant shall complete any Clean-up prior to surrender of the Premises upon the expiration or earlier termination of this Lease. Tenant shall obtain and deliver to Landlord a letter or other written determination from the overseeing governmental authority confirming that the Clean-up has been completed in accordance with all requirements of such governmental authority and that no further response action of any kind is required for the unrestricted use of the Premises (“</w:t>
      </w:r>
      <w:r>
        <w:rPr>
          <w:rFonts w:ascii="Arial" w:cs="Arial" w:eastAsia="Arial" w:hAnsi="Arial"/>
          <w:sz w:val="16"/>
          <w:szCs w:val="16"/>
          <w:b w:val="1"/>
          <w:bCs w:val="1"/>
          <w:color w:val="auto"/>
        </w:rPr>
        <w:t>Closure Letter</w:t>
      </w:r>
      <w:r>
        <w:rPr>
          <w:rFonts w:ascii="Arial" w:cs="Arial" w:eastAsia="Arial" w:hAnsi="Arial"/>
          <w:sz w:val="16"/>
          <w:szCs w:val="16"/>
          <w:color w:val="auto"/>
        </w:rPr>
        <w:t>”). Upon the expiration or earlier termination of this Lease, Tenant shall also be obligated to close all permits obtained in connection with Hazardous Materials used by Tenant or Tenant’s Agents in accordance with applicable laws.</w:t>
      </w:r>
    </w:p>
    <w:p>
      <w:pPr>
        <w:spacing w:after="0" w:line="166" w:lineRule="exact"/>
        <w:rPr>
          <w:sz w:val="20"/>
          <w:szCs w:val="20"/>
          <w:color w:val="auto"/>
        </w:rPr>
      </w:pPr>
    </w:p>
    <w:p>
      <w:pPr>
        <w:ind w:right="120" w:firstLine="1251"/>
        <w:spacing w:after="0" w:line="273" w:lineRule="auto"/>
        <w:rPr>
          <w:sz w:val="20"/>
          <w:szCs w:val="20"/>
          <w:color w:val="auto"/>
        </w:rPr>
      </w:pPr>
      <w:r>
        <w:rPr>
          <w:rFonts w:ascii="Arial" w:cs="Arial" w:eastAsia="Arial" w:hAnsi="Arial"/>
          <w:sz w:val="15"/>
          <w:szCs w:val="15"/>
          <w:color w:val="auto"/>
        </w:rPr>
        <w:t xml:space="preserve">5.3.4.4 </w:t>
      </w:r>
      <w:r>
        <w:rPr>
          <w:rFonts w:ascii="Arial" w:cs="Arial" w:eastAsia="Arial" w:hAnsi="Arial"/>
          <w:sz w:val="15"/>
          <w:szCs w:val="15"/>
          <w:b w:val="1"/>
          <w:bCs w:val="1"/>
          <w:u w:val="single" w:color="auto"/>
          <w:color w:val="auto"/>
        </w:rPr>
        <w:t>Failure to Timely Clean-Up</w:t>
      </w:r>
      <w:r>
        <w:rPr>
          <w:rFonts w:ascii="Arial" w:cs="Arial" w:eastAsia="Arial" w:hAnsi="Arial"/>
          <w:sz w:val="15"/>
          <w:szCs w:val="15"/>
          <w:color w:val="auto"/>
        </w:rPr>
        <w:t xml:space="preserve">. Should any Clean-up for which Tenant is responsible not be completed, or should Tenant not receive the Closure Letter and any governmental approvals required under Environmental Laws in conjunction with such Clean-up prior to the expiration or earlier termination of this Lease, then, commencing on the later of the termination of this Lease and three (3) business days after Landlord’s delivery of notice of such failure and that it elects to treat such failure as a holdover, Tenant shall be liable to Landlord as a holdover tenant (as more particularly provided in </w:t>
      </w:r>
      <w:r>
        <w:rPr>
          <w:rFonts w:ascii="Arial" w:cs="Arial" w:eastAsia="Arial" w:hAnsi="Arial"/>
          <w:sz w:val="15"/>
          <w:szCs w:val="15"/>
          <w:b w:val="1"/>
          <w:bCs w:val="1"/>
          <w:u w:val="single" w:color="auto"/>
          <w:color w:val="auto"/>
        </w:rPr>
        <w:t>Article 16</w:t>
      </w:r>
      <w:r>
        <w:rPr>
          <w:rFonts w:ascii="Arial" w:cs="Arial" w:eastAsia="Arial" w:hAnsi="Arial"/>
          <w:sz w:val="15"/>
          <w:szCs w:val="15"/>
          <w:color w:val="auto"/>
        </w:rPr>
        <w:t xml:space="preserve">) until Tenant has fully complied with its obligations under this </w:t>
      </w:r>
      <w:r>
        <w:rPr>
          <w:rFonts w:ascii="Arial" w:cs="Arial" w:eastAsia="Arial" w:hAnsi="Arial"/>
          <w:sz w:val="15"/>
          <w:szCs w:val="15"/>
          <w:b w:val="1"/>
          <w:bCs w:val="1"/>
          <w:u w:val="single" w:color="auto"/>
          <w:color w:val="auto"/>
        </w:rPr>
        <w:t>Section 5.3</w:t>
      </w:r>
      <w:r>
        <w:rPr>
          <w:rFonts w:ascii="Arial" w:cs="Arial" w:eastAsia="Arial" w:hAnsi="Arial"/>
          <w:sz w:val="15"/>
          <w:szCs w:val="15"/>
          <w:color w:val="auto"/>
        </w:rPr>
        <w:t>.</w:t>
      </w:r>
    </w:p>
    <w:p>
      <w:pPr>
        <w:sectPr>
          <w:pgSz w:w="11900" w:h="16838" w:orient="portrait"/>
          <w:cols w:equalWidth="0" w:num="1">
            <w:col w:w="9600"/>
          </w:cols>
          <w:pgMar w:left="1140" w:top="252" w:right="1159" w:bottom="1440" w:gutter="0" w:footer="0" w:header="0"/>
        </w:sectPr>
      </w:pPr>
    </w:p>
    <w:bookmarkStart w:id="369" w:name="page370"/>
    <w:bookmarkEnd w:id="369"/>
    <w:p>
      <w:pPr>
        <w:ind w:right="40" w:firstLine="866"/>
        <w:spacing w:after="0" w:line="31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5.3.5 </w:t>
      </w:r>
      <w:r>
        <w:rPr>
          <w:rFonts w:ascii="Arial" w:cs="Arial" w:eastAsia="Arial" w:hAnsi="Arial"/>
          <w:sz w:val="13"/>
          <w:szCs w:val="13"/>
          <w:b w:val="1"/>
          <w:bCs w:val="1"/>
          <w:u w:val="single" w:color="auto"/>
          <w:color w:val="auto"/>
        </w:rPr>
        <w:t>Confidentiality</w:t>
      </w:r>
      <w:r>
        <w:rPr>
          <w:rFonts w:ascii="Arial" w:cs="Arial" w:eastAsia="Arial" w:hAnsi="Arial"/>
          <w:sz w:val="13"/>
          <w:szCs w:val="13"/>
          <w:color w:val="auto"/>
        </w:rPr>
        <w:t xml:space="preserve">. Unless compelled to do so by applicable law, Tenant agrees that Tenant shall not disclose, discuss, disseminate or copy any information, data, findings, communications, conclusions and reports regarding the environmental condition of the Premises to any Person (other than Tenant’s consultants, attorneys, property managers, employees, shareholders and potential and actual investors, lenders, business and merger partners, subtenants and assignees that have a need to know such information), including any governmental authority, without the prior written consent of Landlord. In the event Tenant reasonably believes that disclosure is compelled by applicable law, it shall provide Landlord ten (10) days’ advance notice of disclosure of confidential information so that Landlord may attempt to obtain a protective order. Tenant may additionally release such information to bona fide prospective purchasers or lenders, subject to any such parties’ written agreement to be bound by the terms of this </w:t>
      </w:r>
      <w:r>
        <w:rPr>
          <w:rFonts w:ascii="Arial" w:cs="Arial" w:eastAsia="Arial" w:hAnsi="Arial"/>
          <w:sz w:val="13"/>
          <w:szCs w:val="13"/>
          <w:b w:val="1"/>
          <w:bCs w:val="1"/>
          <w:u w:val="single" w:color="auto"/>
          <w:color w:val="auto"/>
        </w:rPr>
        <w:t>Section 5.3</w:t>
      </w:r>
      <w:r>
        <w:rPr>
          <w:rFonts w:ascii="Arial" w:cs="Arial" w:eastAsia="Arial" w:hAnsi="Arial"/>
          <w:sz w:val="13"/>
          <w:szCs w:val="13"/>
          <w:color w:val="auto"/>
        </w:rPr>
        <w:t>.</w:t>
      </w:r>
    </w:p>
    <w:p>
      <w:pPr>
        <w:spacing w:after="0" w:line="127" w:lineRule="exact"/>
        <w:rPr>
          <w:sz w:val="20"/>
          <w:szCs w:val="20"/>
          <w:color w:val="auto"/>
        </w:rPr>
      </w:pPr>
    </w:p>
    <w:p>
      <w:pPr>
        <w:ind w:right="60" w:firstLine="866"/>
        <w:spacing w:after="0" w:line="332" w:lineRule="auto"/>
        <w:rPr>
          <w:sz w:val="20"/>
          <w:szCs w:val="20"/>
          <w:color w:val="auto"/>
        </w:rPr>
      </w:pPr>
      <w:r>
        <w:rPr>
          <w:rFonts w:ascii="Arial" w:cs="Arial" w:eastAsia="Arial" w:hAnsi="Arial"/>
          <w:sz w:val="13"/>
          <w:szCs w:val="13"/>
          <w:color w:val="auto"/>
        </w:rPr>
        <w:t xml:space="preserve">5.3.6 </w:t>
      </w:r>
      <w:r>
        <w:rPr>
          <w:rFonts w:ascii="Arial" w:cs="Arial" w:eastAsia="Arial" w:hAnsi="Arial"/>
          <w:sz w:val="13"/>
          <w:szCs w:val="13"/>
          <w:b w:val="1"/>
          <w:bCs w:val="1"/>
          <w:u w:val="single" w:color="auto"/>
          <w:color w:val="auto"/>
        </w:rPr>
        <w:t>Copies of Environmental Reports</w:t>
      </w:r>
      <w:r>
        <w:rPr>
          <w:rFonts w:ascii="Arial" w:cs="Arial" w:eastAsia="Arial" w:hAnsi="Arial"/>
          <w:sz w:val="13"/>
          <w:szCs w:val="13"/>
          <w:color w:val="auto"/>
        </w:rPr>
        <w:t>. Within thirty (30) days of receipt thereof, Tenant shall provide Landlord with a copy of any and all environmental assessments, audits, studies and reports regarding Tenant’s activities with respect to the Premises, or ground water beneath the Land, or the environmental condition or Clean-up thereof. Tenant shall be obligated to provide Landlord with a copy of such materials without regard to whether such materials are generated by Tenant or prepared for Tenant, or how Tenant comes into possession of such materials.</w:t>
      </w:r>
    </w:p>
    <w:p>
      <w:pPr>
        <w:spacing w:after="0" w:line="116" w:lineRule="exact"/>
        <w:rPr>
          <w:sz w:val="20"/>
          <w:szCs w:val="20"/>
          <w:color w:val="auto"/>
        </w:rPr>
      </w:pPr>
    </w:p>
    <w:p>
      <w:pPr>
        <w:ind w:firstLine="866"/>
        <w:spacing w:after="0" w:line="254" w:lineRule="auto"/>
        <w:rPr>
          <w:sz w:val="20"/>
          <w:szCs w:val="20"/>
          <w:color w:val="auto"/>
        </w:rPr>
      </w:pPr>
      <w:r>
        <w:rPr>
          <w:rFonts w:ascii="Arial" w:cs="Arial" w:eastAsia="Arial" w:hAnsi="Arial"/>
          <w:sz w:val="16"/>
          <w:szCs w:val="16"/>
          <w:color w:val="auto"/>
        </w:rPr>
        <w:t xml:space="preserve">5.3.7 </w:t>
      </w:r>
      <w:r>
        <w:rPr>
          <w:rFonts w:ascii="Arial" w:cs="Arial" w:eastAsia="Arial" w:hAnsi="Arial"/>
          <w:sz w:val="16"/>
          <w:szCs w:val="16"/>
          <w:b w:val="1"/>
          <w:bCs w:val="1"/>
          <w:u w:val="single" w:color="auto"/>
          <w:color w:val="auto"/>
        </w:rPr>
        <w:t>Signs, Response Plans, Etc</w:t>
      </w:r>
      <w:r>
        <w:rPr>
          <w:rFonts w:ascii="Arial" w:cs="Arial" w:eastAsia="Arial" w:hAnsi="Arial"/>
          <w:sz w:val="16"/>
          <w:szCs w:val="16"/>
          <w:color w:val="auto"/>
        </w:rPr>
        <w:t>. Tenant shall be responsible for posting on the Premises any signs required under applicable Environmental Laws with respect to the use of Hazardous Materials by Tenant or Tenant’s Agents. Tenant shall also complete and file any business response plans or inventories required by any applicable laws. Tenant shall concurrently file a copy of any such business response plan or inventory with Landlord.</w:t>
      </w:r>
    </w:p>
    <w:p>
      <w:pPr>
        <w:spacing w:after="0" w:line="164" w:lineRule="exact"/>
        <w:rPr>
          <w:sz w:val="20"/>
          <w:szCs w:val="20"/>
          <w:color w:val="auto"/>
        </w:rPr>
      </w:pPr>
    </w:p>
    <w:p>
      <w:pPr>
        <w:ind w:right="60" w:firstLine="866"/>
        <w:spacing w:after="0" w:line="259" w:lineRule="auto"/>
        <w:rPr>
          <w:sz w:val="20"/>
          <w:szCs w:val="20"/>
          <w:color w:val="auto"/>
        </w:rPr>
      </w:pPr>
      <w:r>
        <w:rPr>
          <w:rFonts w:ascii="Arial" w:cs="Arial" w:eastAsia="Arial" w:hAnsi="Arial"/>
          <w:sz w:val="16"/>
          <w:szCs w:val="16"/>
          <w:color w:val="auto"/>
        </w:rPr>
        <w:t xml:space="preserve">5.3.8 </w:t>
      </w:r>
      <w:r>
        <w:rPr>
          <w:rFonts w:ascii="Arial" w:cs="Arial" w:eastAsia="Arial" w:hAnsi="Arial"/>
          <w:sz w:val="16"/>
          <w:szCs w:val="16"/>
          <w:b w:val="1"/>
          <w:bCs w:val="1"/>
          <w:u w:val="single" w:color="auto"/>
          <w:color w:val="auto"/>
        </w:rPr>
        <w:t>Survival</w:t>
      </w:r>
      <w:r>
        <w:rPr>
          <w:rFonts w:ascii="Arial" w:cs="Arial" w:eastAsia="Arial" w:hAnsi="Arial"/>
          <w:sz w:val="16"/>
          <w:szCs w:val="16"/>
          <w:color w:val="auto"/>
        </w:rPr>
        <w:t xml:space="preserve">. Each covenant, agreement, representation, warranty and indemnification made by Tenant set forth in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xml:space="preserve"> shall survive the expiration or earlier termination of this Lease and shall remain effective until all of Tenant’s obligations under this </w:t>
      </w:r>
      <w:r>
        <w:rPr>
          <w:rFonts w:ascii="Arial" w:cs="Arial" w:eastAsia="Arial" w:hAnsi="Arial"/>
          <w:sz w:val="16"/>
          <w:szCs w:val="16"/>
          <w:b w:val="1"/>
          <w:bCs w:val="1"/>
          <w:u w:val="single" w:color="auto"/>
          <w:color w:val="auto"/>
        </w:rPr>
        <w:t>Section 5.3</w:t>
      </w:r>
      <w:r>
        <w:rPr>
          <w:rFonts w:ascii="Arial" w:cs="Arial" w:eastAsia="Arial" w:hAnsi="Arial"/>
          <w:sz w:val="16"/>
          <w:szCs w:val="16"/>
          <w:color w:val="auto"/>
        </w:rPr>
        <w:t xml:space="preserve"> have been completely performed and satisfied.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SERVICES AND UTILITIES.</w:t>
      </w:r>
    </w:p>
    <w:p>
      <w:pPr>
        <w:spacing w:after="0" w:line="193" w:lineRule="exact"/>
        <w:rPr>
          <w:sz w:val="20"/>
          <w:szCs w:val="20"/>
          <w:color w:val="auto"/>
        </w:rPr>
      </w:pPr>
    </w:p>
    <w:p>
      <w:pPr>
        <w:ind w:right="20" w:firstLine="385"/>
        <w:spacing w:after="0" w:line="25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b w:val="1"/>
          <w:bCs w:val="1"/>
          <w:u w:val="single" w:color="auto"/>
          <w:color w:val="auto"/>
        </w:rPr>
        <w:t>In General</w:t>
      </w:r>
      <w:r>
        <w:rPr>
          <w:rFonts w:ascii="Arial" w:cs="Arial" w:eastAsia="Arial" w:hAnsi="Arial"/>
          <w:sz w:val="16"/>
          <w:szCs w:val="16"/>
          <w:color w:val="auto"/>
        </w:rPr>
        <w:t xml:space="preserve">. Landlord will be responsible, at Tenant’s sole cost and expense (subject to the terms of </w:t>
      </w:r>
      <w:r>
        <w:rPr>
          <w:rFonts w:ascii="Arial" w:cs="Arial" w:eastAsia="Arial" w:hAnsi="Arial"/>
          <w:sz w:val="16"/>
          <w:szCs w:val="16"/>
          <w:u w:val="single" w:color="auto"/>
          <w:color w:val="auto"/>
        </w:rPr>
        <w:t>Section 4.2.4</w:t>
      </w:r>
      <w:r>
        <w:rPr>
          <w:rFonts w:ascii="Arial" w:cs="Arial" w:eastAsia="Arial" w:hAnsi="Arial"/>
          <w:sz w:val="16"/>
          <w:szCs w:val="16"/>
          <w:color w:val="auto"/>
        </w:rPr>
        <w:t>, above), for the furnishing of heating, ventilation and air-conditioning, electricity, water, and interior Building security services to the Premises. Landlord shall not provide janitorial or telephone services for the Premises. Tenant shall be solely responsible for performing all janitorial services and other cleaning of the Premises, all in compliance with applicable laws. The janitorial and cleaning of the Premises shall be adequate to maintain the Premises in a manner consistent with First Class Life Sciences Projects.</w:t>
      </w:r>
    </w:p>
    <w:p>
      <w:pPr>
        <w:spacing w:after="0" w:line="170" w:lineRule="exact"/>
        <w:rPr>
          <w:sz w:val="20"/>
          <w:szCs w:val="20"/>
          <w:color w:val="auto"/>
        </w:rPr>
      </w:pPr>
    </w:p>
    <w:p>
      <w:pPr>
        <w:ind w:firstLine="385"/>
        <w:spacing w:after="0" w:line="272" w:lineRule="auto"/>
        <w:rPr>
          <w:sz w:val="20"/>
          <w:szCs w:val="20"/>
          <w:color w:val="auto"/>
        </w:rPr>
      </w:pPr>
      <w:r>
        <w:rPr>
          <w:rFonts w:ascii="Arial" w:cs="Arial" w:eastAsia="Arial" w:hAnsi="Arial"/>
          <w:sz w:val="15"/>
          <w:szCs w:val="15"/>
          <w:color w:val="auto"/>
        </w:rPr>
        <w:t xml:space="preserve">Tenant shall cooperate fully with Landlord at all times and abide by all reasonable regulations and requirements that Landlord may reasonably prescribe for the proper functioning and protection of the HVAC, electrical, mechanical and plumbing systems. Provided that Landlord agrees to provide and maintain and keep in continuous service utility connections to the Project, including electricity, water and sewage connections, Landlord shall have no obligation to provide any services or utilities to the Building, including, but not limited to heating, ventilation and air-conditioning, electricity, water, telephone, janitorial and interior Building security services, except as set forth in this </w:t>
      </w:r>
      <w:r>
        <w:rPr>
          <w:rFonts w:ascii="Arial" w:cs="Arial" w:eastAsia="Arial" w:hAnsi="Arial"/>
          <w:sz w:val="15"/>
          <w:szCs w:val="15"/>
          <w:u w:val="single" w:color="auto"/>
          <w:color w:val="auto"/>
        </w:rPr>
        <w:t>Section 6.1</w:t>
      </w:r>
      <w:r>
        <w:rPr>
          <w:rFonts w:ascii="Arial" w:cs="Arial" w:eastAsia="Arial" w:hAnsi="Arial"/>
          <w:sz w:val="15"/>
          <w:szCs w:val="15"/>
          <w:color w:val="auto"/>
        </w:rPr>
        <w:t>, above.</w:t>
      </w:r>
    </w:p>
    <w:p>
      <w:pPr>
        <w:spacing w:after="0" w:line="150" w:lineRule="exact"/>
        <w:rPr>
          <w:sz w:val="20"/>
          <w:szCs w:val="20"/>
          <w:color w:val="auto"/>
        </w:rPr>
      </w:pPr>
    </w:p>
    <w:p>
      <w:pPr>
        <w:ind w:right="120" w:firstLine="385"/>
        <w:spacing w:after="0" w:line="268"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b w:val="1"/>
          <w:bCs w:val="1"/>
          <w:u w:val="single" w:color="auto"/>
          <w:color w:val="auto"/>
        </w:rPr>
        <w:t>Tenant Payment of Utilities Costs</w:t>
      </w:r>
      <w:r>
        <w:rPr>
          <w:rFonts w:ascii="Arial" w:cs="Arial" w:eastAsia="Arial" w:hAnsi="Arial"/>
          <w:sz w:val="15"/>
          <w:szCs w:val="15"/>
          <w:color w:val="auto"/>
        </w:rPr>
        <w:t>. After the Lease Commencement Date, to the extent that any utilities (including without limitation, electricity, gas, sewer and water) to the Building are separately metered or sub-metered to the Premises, such utilities shall either be contracted for and paid directly by Tenant to the applicable utility provider, or reimbursed by Tenant to Landlord within thirty (30) days after billing. After the Lease Commencement Date, to the extent that any utilities (including without limitation, electricity, gas, sewer and water) to the Building are not separately metered to the Premises, then Tenant shall pay to Landlord, within thirty (30) days after billing, an equitable portion of the Building utility costs, based on Tenant’s proportionate use thereof. In connection with the foregoing, Landlord shall install separate meters on the Building Systems as a part of Landlord’s construction of the Base Building, and Tenant shall install separate meters on the systems installed in the Premises as part of the Tenant Improvements pursuant to the Work Letter.</w:t>
      </w:r>
    </w:p>
    <w:p>
      <w:pPr>
        <w:sectPr>
          <w:pgSz w:w="11900" w:h="16838" w:orient="portrait"/>
          <w:cols w:equalWidth="0" w:num="1">
            <w:col w:w="9600"/>
          </w:cols>
          <w:pgMar w:left="1140" w:top="252" w:right="1159" w:bottom="1440" w:gutter="0" w:footer="0" w:header="0"/>
        </w:sectPr>
      </w:pPr>
    </w:p>
    <w:bookmarkStart w:id="370" w:name="page371"/>
    <w:bookmarkEnd w:id="370"/>
    <w:p>
      <w:pPr>
        <w:ind w:right="60" w:firstLine="385"/>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6.3 </w:t>
      </w:r>
      <w:r>
        <w:rPr>
          <w:rFonts w:ascii="Arial" w:cs="Arial" w:eastAsia="Arial" w:hAnsi="Arial"/>
          <w:sz w:val="15"/>
          <w:szCs w:val="15"/>
          <w:b w:val="1"/>
          <w:bCs w:val="1"/>
          <w:u w:val="single" w:color="auto"/>
          <w:color w:val="auto"/>
        </w:rPr>
        <w:t>Interruption of Use</w:t>
      </w:r>
      <w:r>
        <w:rPr>
          <w:rFonts w:ascii="Arial" w:cs="Arial" w:eastAsia="Arial" w:hAnsi="Arial"/>
          <w:sz w:val="15"/>
          <w:szCs w:val="15"/>
          <w:color w:val="auto"/>
        </w:rPr>
        <w:t xml:space="preserve">. Tenant agrees that Landlord shall not be liable for damages, by abatement of Rent or otherwise, for failure to furnish or delay in furnishing any service or utility (including, without limitation, telephone and telecommunication services, UPS services, or other laboratory services or utilities),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and such failures or delays or diminution shall never be deemed to constitute an eviction or disturbance of Tenant’s use and possession of the Premises or relieve Tenant from paying Rent or performing any of its obligations under this Lease. Notwithstanding the foregoing, Landlord may be liable for damages to the extent caused by the negligence or willful misconduct of Landlord or the Landlord Parties, provided that Landlord shall not be liable under any circumstances for injury to, or interference with, Tenant’s business, including, without limitation, loss of profits, however occurring, through or in connection with or incidental to a failure to furnish any of the services or utilities as set forth in this </w:t>
      </w:r>
      <w:r>
        <w:rPr>
          <w:rFonts w:ascii="Arial" w:cs="Arial" w:eastAsia="Arial" w:hAnsi="Arial"/>
          <w:sz w:val="15"/>
          <w:szCs w:val="15"/>
          <w:u w:val="single" w:color="auto"/>
          <w:color w:val="auto"/>
        </w:rPr>
        <w:t>Article 6</w:t>
      </w:r>
      <w:r>
        <w:rPr>
          <w:rFonts w:ascii="Arial" w:cs="Arial" w:eastAsia="Arial" w:hAnsi="Arial"/>
          <w:sz w:val="15"/>
          <w:szCs w:val="15"/>
          <w:color w:val="auto"/>
        </w:rPr>
        <w:t>.</w:t>
      </w:r>
    </w:p>
    <w:p>
      <w:pPr>
        <w:spacing w:after="0" w:line="161" w:lineRule="exact"/>
        <w:rPr>
          <w:sz w:val="20"/>
          <w:szCs w:val="20"/>
          <w:color w:val="auto"/>
        </w:rPr>
      </w:pPr>
    </w:p>
    <w:p>
      <w:pPr>
        <w:ind w:firstLine="385"/>
        <w:spacing w:after="0" w:line="307" w:lineRule="auto"/>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b w:val="1"/>
          <w:bCs w:val="1"/>
          <w:u w:val="single" w:color="auto"/>
          <w:color w:val="auto"/>
        </w:rPr>
        <w:t>Energy Performance Disclosure Information</w:t>
      </w:r>
      <w:r>
        <w:rPr>
          <w:rFonts w:ascii="Arial" w:cs="Arial" w:eastAsia="Arial" w:hAnsi="Arial"/>
          <w:sz w:val="13"/>
          <w:szCs w:val="13"/>
          <w:color w:val="auto"/>
        </w:rPr>
        <w:t>. Tenant hereby acknowledges that Landlord may be required to disclose certain information concerning the energy performance of the Building pursuant to California Public Resources Code Section 25402.10 and the regulations adopted pursuant thereto (collectively the “</w:t>
      </w:r>
      <w:r>
        <w:rPr>
          <w:rFonts w:ascii="Arial" w:cs="Arial" w:eastAsia="Arial" w:hAnsi="Arial"/>
          <w:sz w:val="13"/>
          <w:szCs w:val="13"/>
          <w:b w:val="1"/>
          <w:bCs w:val="1"/>
          <w:color w:val="auto"/>
        </w:rPr>
        <w:t>Energy Disclosure Requirements</w:t>
      </w:r>
      <w:r>
        <w:rPr>
          <w:rFonts w:ascii="Arial" w:cs="Arial" w:eastAsia="Arial" w:hAnsi="Arial"/>
          <w:sz w:val="13"/>
          <w:szCs w:val="13"/>
          <w:color w:val="auto"/>
        </w:rPr>
        <w:t>”). Tenant hereby acknowledges prior receipt of the Data Verification Checklist, as defined in the Energy Disclosure Requirements (the “</w:t>
      </w:r>
      <w:r>
        <w:rPr>
          <w:rFonts w:ascii="Arial" w:cs="Arial" w:eastAsia="Arial" w:hAnsi="Arial"/>
          <w:sz w:val="13"/>
          <w:szCs w:val="13"/>
          <w:b w:val="1"/>
          <w:bCs w:val="1"/>
          <w:color w:val="auto"/>
        </w:rPr>
        <w:t>Energy Disclosure Information</w:t>
      </w:r>
      <w:r>
        <w:rPr>
          <w:rFonts w:ascii="Arial" w:cs="Arial" w:eastAsia="Arial" w:hAnsi="Arial"/>
          <w:sz w:val="13"/>
          <w:szCs w:val="13"/>
          <w:color w:val="auto"/>
        </w:rPr>
        <w:t>”), and agrees that Landlord has timely complied in full with Landlord’s obligations under the Energy Disclosure Requirements. Tenant acknowledges and agrees that (i) Landlord makes no representation or warranty regarding the energy performance of the Building or the accuracy or completeness of the Energy Disclosure Information, (ii) the Energy Disclosure Information is for the current occupancy and use of the Building and that the energy performance of the Building may vary depending on future occupancy and/or use of the Building, and (iii) Landlord shall have no liability to Tenant for any errors or omissions in the Energy Disclosure Information. If and to the extent not prohibited by applicable laws, Tenant hereby waives any right Tenant may have to receive the Energy Disclosure Information, including, without limitation, any right Tenant may have to terminate this Lease as a result of Landlord’s failure to disclose such information. Further, Tenant hereby releases Landlord from any and all losses, costs, damages, expenses and/or liabilities relating to, arising out of and/or resulting from the Energy Disclosure Requirements, including, without limitation, any liabilities arising as a result of Landlord’s failure to disclose the Energy Disclosure Information to Tenant prior to the execution of this Lease. Tenant’s acknowledgment of the AS-IS condition of the Premises pursuant to the terms of this Lease shall be deemed to include the energy performance of the Building. Tenant further acknowledges that pursuant to the Energy Disclosure Requirements, Landlord may be required in the future to disclose information concerning Tenant’s energy usage to certain third parties, including, without limitation, prospective purchasers, lenders and tenants of the Building (the “</w:t>
      </w:r>
      <w:r>
        <w:rPr>
          <w:rFonts w:ascii="Arial" w:cs="Arial" w:eastAsia="Arial" w:hAnsi="Arial"/>
          <w:sz w:val="13"/>
          <w:szCs w:val="13"/>
          <w:b w:val="1"/>
          <w:bCs w:val="1"/>
          <w:color w:val="auto"/>
        </w:rPr>
        <w:t>Tenant Energy Use Disclosure</w:t>
      </w:r>
      <w:r>
        <w:rPr>
          <w:rFonts w:ascii="Arial" w:cs="Arial" w:eastAsia="Arial" w:hAnsi="Arial"/>
          <w:sz w:val="13"/>
          <w:szCs w:val="13"/>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Arial" w:cs="Arial" w:eastAsia="Arial" w:hAnsi="Arial"/>
          <w:sz w:val="13"/>
          <w:szCs w:val="13"/>
          <w:u w:val="single" w:color="auto"/>
          <w:color w:val="auto"/>
        </w:rPr>
        <w:t>Section 6.3</w:t>
      </w:r>
      <w:r>
        <w:rPr>
          <w:rFonts w:ascii="Arial" w:cs="Arial" w:eastAsia="Arial" w:hAnsi="Arial"/>
          <w:sz w:val="13"/>
          <w:szCs w:val="13"/>
          <w:color w:val="auto"/>
        </w:rPr>
        <w:t xml:space="preserve"> shall survive the expiration or earlier termination of this Lease.</w:t>
      </w:r>
    </w:p>
    <w:p>
      <w:pPr>
        <w:spacing w:after="0" w:line="200" w:lineRule="exact"/>
        <w:rPr>
          <w:sz w:val="20"/>
          <w:szCs w:val="20"/>
          <w:color w:val="auto"/>
        </w:rPr>
      </w:pPr>
    </w:p>
    <w:p>
      <w:pPr>
        <w:spacing w:after="0" w:line="319" w:lineRule="exact"/>
        <w:rPr>
          <w:sz w:val="20"/>
          <w:szCs w:val="20"/>
          <w:color w:val="auto"/>
        </w:rPr>
      </w:pPr>
    </w:p>
    <w:p>
      <w:pPr>
        <w:ind w:firstLine="385"/>
        <w:spacing w:after="0" w:line="267"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u w:val="single" w:color="auto"/>
          <w:color w:val="auto"/>
        </w:rPr>
        <w:t>Generator</w:t>
      </w:r>
      <w:r>
        <w:rPr>
          <w:rFonts w:ascii="Arial" w:cs="Arial" w:eastAsia="Arial" w:hAnsi="Arial"/>
          <w:sz w:val="15"/>
          <w:szCs w:val="15"/>
          <w:color w:val="auto"/>
        </w:rPr>
        <w:t>. Commencing on the Lease Commencement Date, Tenant shall have the right to connect to the Building back-up generator, which Landlord shall install as part of Landlord’s Work (the “</w:t>
      </w:r>
      <w:r>
        <w:rPr>
          <w:rFonts w:ascii="Arial" w:cs="Arial" w:eastAsia="Arial" w:hAnsi="Arial"/>
          <w:sz w:val="15"/>
          <w:szCs w:val="15"/>
          <w:b w:val="1"/>
          <w:bCs w:val="1"/>
          <w:color w:val="auto"/>
        </w:rPr>
        <w:t>Generator</w:t>
      </w:r>
      <w:r>
        <w:rPr>
          <w:rFonts w:ascii="Arial" w:cs="Arial" w:eastAsia="Arial" w:hAnsi="Arial"/>
          <w:sz w:val="15"/>
          <w:szCs w:val="15"/>
          <w:color w:val="auto"/>
        </w:rPr>
        <w:t>”), for Tenant’s Share of the Generator’s capacity to provide back-up generator services to the Premises. During the Lease Term, Landlord shall maintain the Generator in good condition and repair, and Tenant shall be responsible for a share of the costs of such maintenance and repair based on the proportion of the Generator capacity allocated to the Premises. Notwithstanding the foregoing, Landlord shall not be liable for any damages whatsoever resulting from any failure in operation of the Generator, or the failure of the Generator to provide suitable or adequate back-up power to the Premises,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159" w:lineRule="exact"/>
        <w:rPr>
          <w:sz w:val="20"/>
          <w:szCs w:val="20"/>
          <w:color w:val="auto"/>
        </w:rPr>
      </w:pPr>
    </w:p>
    <w:p>
      <w:pPr>
        <w:jc w:val="both"/>
        <w:ind w:right="160" w:firstLine="385"/>
        <w:spacing w:after="0" w:line="259"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b w:val="1"/>
          <w:bCs w:val="1"/>
          <w:u w:val="single" w:color="auto"/>
          <w:color w:val="auto"/>
        </w:rPr>
        <w:t>Chemical Storage Room</w:t>
      </w:r>
      <w:r>
        <w:rPr>
          <w:rFonts w:ascii="Arial" w:cs="Arial" w:eastAsia="Arial" w:hAnsi="Arial"/>
          <w:sz w:val="16"/>
          <w:szCs w:val="16"/>
          <w:color w:val="auto"/>
        </w:rPr>
        <w:t xml:space="preserve">. Tenant shall have the right to utilize storage space in the chemical storage room to be constructed by Landlord in the Building pursuant to </w:t>
      </w:r>
      <w:r>
        <w:rPr>
          <w:rFonts w:ascii="Arial" w:cs="Arial" w:eastAsia="Arial" w:hAnsi="Arial"/>
          <w:sz w:val="16"/>
          <w:szCs w:val="16"/>
          <w:b w:val="1"/>
          <w:bCs w:val="1"/>
          <w:u w:val="single" w:color="auto"/>
          <w:color w:val="auto"/>
        </w:rPr>
        <w:t>Schedule 1 to 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Chemical Storage Room</w:t>
      </w:r>
      <w:r>
        <w:rPr>
          <w:rFonts w:ascii="Arial" w:cs="Arial" w:eastAsia="Arial" w:hAnsi="Arial"/>
          <w:sz w:val="16"/>
          <w:szCs w:val="16"/>
          <w:color w:val="auto"/>
        </w:rPr>
        <w:t>”), for up to Tenant’s Share of the Chemical Storage Room’s storage capacity, provided that Tenant</w:t>
      </w:r>
    </w:p>
    <w:p>
      <w:pPr>
        <w:sectPr>
          <w:pgSz w:w="11900" w:h="16838" w:orient="portrait"/>
          <w:cols w:equalWidth="0" w:num="1">
            <w:col w:w="9600"/>
          </w:cols>
          <w:pgMar w:left="1140" w:top="252" w:right="1159" w:bottom="1440" w:gutter="0" w:footer="0" w:header="0"/>
        </w:sectPr>
      </w:pPr>
    </w:p>
    <w:bookmarkStart w:id="371" w:name="page372"/>
    <w:bookmarkEnd w:id="371"/>
    <w:p>
      <w:pPr>
        <w:ind w:left="6" w:right="6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shall be responsible for providing any equipment or modifications (e.g., (self-contained bunkers, dedicated exhaust, additional fire rating, etc.) to support Tenant’s specific usage and Landlord shall demise by chain link fence Tenant’s Share of the Chemical Storage Room. During the Lease Term, Landlord shall maintain the Chemical Storage Room in good condition and repair, and Tenant shall be responsible for a share of the costs of such maintenance and repair based on the proportion of the capacity of the Chemical Storage Room allocated to Tenant’s use (subject to the provisions of Section 4.2.4 above). Notwithstanding the foregoing, Landlord shall not be liable for any damages whatsoever resulting from any failure in operation of the Chemical Storage Room, or the failure of the Chemical Storage Room to provide suitable or adequate storage of Tenant’s chemicals,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Chemical Storage Room or the Premises and any and all income derived or derivable therefrom.</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7. REPAIRS</w:t>
      </w:r>
      <w:r>
        <w:rPr>
          <w:rFonts w:ascii="Arial" w:cs="Arial" w:eastAsia="Arial" w:hAnsi="Arial"/>
          <w:sz w:val="16"/>
          <w:szCs w:val="16"/>
          <w:color w:val="auto"/>
        </w:rPr>
        <w:t>.</w:t>
      </w:r>
    </w:p>
    <w:p>
      <w:pPr>
        <w:spacing w:after="0" w:line="193" w:lineRule="exact"/>
        <w:rPr>
          <w:sz w:val="20"/>
          <w:szCs w:val="20"/>
          <w:color w:val="auto"/>
        </w:rPr>
      </w:pPr>
    </w:p>
    <w:p>
      <w:pPr>
        <w:ind w:left="6" w:firstLine="385"/>
        <w:spacing w:after="0" w:line="24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u w:val="single" w:color="auto"/>
          <w:color w:val="auto"/>
        </w:rPr>
        <w:t>Tenant Repair Obligations</w:t>
      </w:r>
      <w:r>
        <w:rPr>
          <w:rFonts w:ascii="Arial" w:cs="Arial" w:eastAsia="Arial" w:hAnsi="Arial"/>
          <w:sz w:val="16"/>
          <w:szCs w:val="16"/>
          <w:color w:val="auto"/>
        </w:rPr>
        <w:t>. Tenant shall, throughout the Term, at its sole cost and expense, maintain, repair or replace as required, the Premises in a good standard of maintenance, repair and replacement as required, and in good and sanitary condition, all in accordance with the standards of First Class Life Sciences Projects, except for the Landlord Repair Obligations, whether or not such maintenance, repair, replacement or improvement is required in order to comply with applicable Laws (“</w:t>
      </w:r>
      <w:r>
        <w:rPr>
          <w:rFonts w:ascii="Arial" w:cs="Arial" w:eastAsia="Arial" w:hAnsi="Arial"/>
          <w:sz w:val="16"/>
          <w:szCs w:val="16"/>
          <w:b w:val="1"/>
          <w:bCs w:val="1"/>
          <w:color w:val="auto"/>
        </w:rPr>
        <w:t>Tenant’s Repair Obligations</w:t>
      </w:r>
      <w:r>
        <w:rPr>
          <w:rFonts w:ascii="Arial" w:cs="Arial" w:eastAsia="Arial" w:hAnsi="Arial"/>
          <w:sz w:val="16"/>
          <w:szCs w:val="16"/>
          <w:color w:val="auto"/>
        </w:rPr>
        <w:t>”), including without limitation, all electrical facilities and equipment, including lighting fixtures, lamps, fans and any exhaust equipment and systems, electrical motors and all other appliances and equipment of every kind and nature located in the Premises; all communications systems serving the Premises; all of Tenant’s security systems in or about or serving the Premises; Tenant’s signage; interior demising walls and partitions (including painting and wall coverings), equipment, floors. Tenant shall additionally be responsible, at Tenant’s sole cost and expense, to furnish all expendables, including light bulbs, paper goods and soaps, used in the Premises.</w:t>
      </w:r>
    </w:p>
    <w:p>
      <w:pPr>
        <w:spacing w:after="0" w:line="168"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b w:val="1"/>
          <w:bCs w:val="1"/>
          <w:u w:val="single" w:color="auto"/>
          <w:color w:val="auto"/>
        </w:rPr>
        <w:t>Landlord Repair Obligations</w:t>
      </w:r>
      <w:r>
        <w:rPr>
          <w:rFonts w:ascii="Arial" w:cs="Arial" w:eastAsia="Arial" w:hAnsi="Arial"/>
          <w:sz w:val="13"/>
          <w:szCs w:val="13"/>
          <w:color w:val="auto"/>
        </w:rPr>
        <w:t>. Landlord shall be responsible, as a part of Operating Expenses, for repairs to and routine maintenance of the Building including without limitation: (1) exterior windows, window frames, window casements (including the repairing, resealing, cleaning and replacing of exterior windows); (2) exterior doors, door frames and door closers; (3) the Building (as opposed to the Premises) and Project plumbing, sewer, drainage, electrical, fire protection, life safety and security systems and equipment, existing heating, ventilation and air-conditioning systems, and all other mechanical and HVAC systems and equipment (collectively, the “</w:t>
      </w:r>
      <w:r>
        <w:rPr>
          <w:rFonts w:ascii="Arial" w:cs="Arial" w:eastAsia="Arial" w:hAnsi="Arial"/>
          <w:sz w:val="13"/>
          <w:szCs w:val="13"/>
          <w:b w:val="1"/>
          <w:bCs w:val="1"/>
          <w:color w:val="auto"/>
        </w:rPr>
        <w:t>Building Systems</w:t>
      </w:r>
      <w:r>
        <w:rPr>
          <w:rFonts w:ascii="Arial" w:cs="Arial" w:eastAsia="Arial" w:hAnsi="Arial"/>
          <w:sz w:val="13"/>
          <w:szCs w:val="13"/>
          <w:color w:val="auto"/>
        </w:rPr>
        <w:t>”), (4) the exterior glass, exterior walls, foundation and roof of the Building, the structural portions of the floors of the Building, including, without limitation, any painting, sealing, patching and waterproofing of exterior walls, and (5) repairs to the elevator in the Building and underground utilities, except to the extent that any such repairs are required due to the negligence or willful misconduct of Tenant (the “</w:t>
      </w:r>
      <w:r>
        <w:rPr>
          <w:rFonts w:ascii="Arial" w:cs="Arial" w:eastAsia="Arial" w:hAnsi="Arial"/>
          <w:sz w:val="13"/>
          <w:szCs w:val="13"/>
          <w:b w:val="1"/>
          <w:bCs w:val="1"/>
          <w:color w:val="auto"/>
        </w:rPr>
        <w:t>Landlord Repair Obligations</w:t>
      </w:r>
      <w:r>
        <w:rPr>
          <w:rFonts w:ascii="Arial" w:cs="Arial" w:eastAsia="Arial" w:hAnsi="Arial"/>
          <w:sz w:val="13"/>
          <w:szCs w:val="13"/>
          <w:color w:val="auto"/>
        </w:rPr>
        <w:t xml:space="preserve">”); provided, however, that if such repairs are due to the negligence or willful misconduct of Tenant, Landlord shall nevertheless make such repairs at Tenant’s expense, or, if covered by Landlord’s insurance, Tenant shall only be obligated to pay any deductible in connection therewith. Costs expended by Landlord in connection with the Landlord Repair Obligations shall be included in Operating Expenses to the extent allowed pursuant to the terms of </w:t>
      </w:r>
      <w:r>
        <w:rPr>
          <w:rFonts w:ascii="Arial" w:cs="Arial" w:eastAsia="Arial" w:hAnsi="Arial"/>
          <w:sz w:val="13"/>
          <w:szCs w:val="13"/>
          <w:u w:val="single" w:color="auto"/>
          <w:color w:val="auto"/>
        </w:rPr>
        <w:t>Article 4</w:t>
      </w:r>
      <w:r>
        <w:rPr>
          <w:rFonts w:ascii="Arial" w:cs="Arial" w:eastAsia="Arial" w:hAnsi="Arial"/>
          <w:sz w:val="13"/>
          <w:szCs w:val="13"/>
          <w:color w:val="auto"/>
        </w:rPr>
        <w:t>, above. Landlord shall cooperate with Tenant to enforce any warranties that Landlord holds that could reduce Tenant’s maintenance obligations under this Lease.</w:t>
      </w:r>
    </w:p>
    <w:p>
      <w:pPr>
        <w:spacing w:after="0" w:line="321" w:lineRule="exact"/>
        <w:rPr>
          <w:sz w:val="20"/>
          <w:szCs w:val="20"/>
          <w:color w:val="auto"/>
        </w:rPr>
      </w:pPr>
    </w:p>
    <w:p>
      <w:pPr>
        <w:ind w:left="6" w:right="40" w:firstLine="385"/>
        <w:spacing w:after="0" w:line="30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b w:val="1"/>
          <w:bCs w:val="1"/>
          <w:u w:val="single" w:color="auto"/>
          <w:color w:val="auto"/>
        </w:rPr>
        <w:t>Tenant’s Right to Make Repairs</w:t>
      </w:r>
      <w:r>
        <w:rPr>
          <w:rFonts w:ascii="Arial" w:cs="Arial" w:eastAsia="Arial" w:hAnsi="Arial"/>
          <w:sz w:val="13"/>
          <w:szCs w:val="13"/>
          <w:color w:val="auto"/>
        </w:rPr>
        <w:t xml:space="preserve">. Notwithstanding any provision to the contrary contained in this Lease, if Tenant provides written notice to Landlord of an event or circumstance which requires the action of Landlord under this Lease with respect to repair and/or maintenance required in the Premises, including repairs to the portions of the Building located within the Premises that are Landlord’s responsibility under </w:t>
      </w:r>
      <w:r>
        <w:rPr>
          <w:rFonts w:ascii="Arial" w:cs="Arial" w:eastAsia="Arial" w:hAnsi="Arial"/>
          <w:sz w:val="13"/>
          <w:szCs w:val="13"/>
          <w:u w:val="single" w:color="auto"/>
          <w:color w:val="auto"/>
        </w:rPr>
        <w:t>Section 7.4</w:t>
      </w:r>
      <w:r>
        <w:rPr>
          <w:rFonts w:ascii="Arial" w:cs="Arial" w:eastAsia="Arial" w:hAnsi="Arial"/>
          <w:sz w:val="13"/>
          <w:szCs w:val="13"/>
          <w:color w:val="auto"/>
        </w:rPr>
        <w:t xml:space="preserve"> (the “</w:t>
      </w:r>
      <w:r>
        <w:rPr>
          <w:rFonts w:ascii="Arial" w:cs="Arial" w:eastAsia="Arial" w:hAnsi="Arial"/>
          <w:sz w:val="13"/>
          <w:szCs w:val="13"/>
          <w:b w:val="1"/>
          <w:bCs w:val="1"/>
          <w:color w:val="auto"/>
        </w:rPr>
        <w:t>Base</w:t>
      </w:r>
      <w:r>
        <w:rPr>
          <w:rFonts w:ascii="Arial" w:cs="Arial" w:eastAsia="Arial" w:hAnsi="Arial"/>
          <w:sz w:val="13"/>
          <w:szCs w:val="13"/>
          <w:color w:val="auto"/>
        </w:rPr>
        <w:t xml:space="preserve"> </w:t>
      </w:r>
      <w:r>
        <w:rPr>
          <w:rFonts w:ascii="Arial" w:cs="Arial" w:eastAsia="Arial" w:hAnsi="Arial"/>
          <w:sz w:val="13"/>
          <w:szCs w:val="13"/>
          <w:b w:val="1"/>
          <w:bCs w:val="1"/>
          <w:color w:val="auto"/>
        </w:rPr>
        <w:t>Building</w:t>
      </w:r>
      <w:r>
        <w:rPr>
          <w:rFonts w:ascii="Arial" w:cs="Arial" w:eastAsia="Arial" w:hAnsi="Arial"/>
          <w:sz w:val="13"/>
          <w:szCs w:val="13"/>
          <w:color w:val="auto"/>
        </w:rPr>
        <w:t>”), which event or circumstance with respect to the Base Building materially and adversely affects the conduct of Tenant’s business from the</w:t>
      </w:r>
      <w:r>
        <w:rPr>
          <w:rFonts w:ascii="Arial" w:cs="Arial" w:eastAsia="Arial" w:hAnsi="Arial"/>
          <w:sz w:val="13"/>
          <w:szCs w:val="13"/>
          <w:b w:val="1"/>
          <w:bCs w:val="1"/>
          <w:color w:val="auto"/>
        </w:rPr>
        <w:t xml:space="preserve"> </w:t>
      </w:r>
      <w:r>
        <w:rPr>
          <w:rFonts w:ascii="Arial" w:cs="Arial" w:eastAsia="Arial" w:hAnsi="Arial"/>
          <w:sz w:val="13"/>
          <w:szCs w:val="13"/>
          <w:color w:val="auto"/>
        </w:rPr>
        <w:t>Premises, and Landlord fails to commence corrective action within a reasonable period of time, given the circumstances, after the receipt of such notice, but in any event not later than thirty (30) days after receipt of said notice (unless Landlord’s obligation cannot reasonably be performed within thirty</w:t>
      </w:r>
    </w:p>
    <w:p>
      <w:pPr>
        <w:spacing w:after="0" w:line="4" w:lineRule="exact"/>
        <w:rPr>
          <w:sz w:val="20"/>
          <w:szCs w:val="20"/>
          <w:color w:val="auto"/>
        </w:rPr>
      </w:pPr>
    </w:p>
    <w:p>
      <w:pPr>
        <w:ind w:left="6" w:right="140" w:hanging="6"/>
        <w:spacing w:after="0" w:line="248" w:lineRule="auto"/>
        <w:tabs>
          <w:tab w:leader="none" w:pos="30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days, in which event Landlord shall be allowed additional time as is reasonably necessary to perform the obligation so long as Landlord begins performance within the initial thirty (30) days and diligently pursues performance to completion), or, in the event of an Emergency (as defined below), not later than five (5) business days after receipt of such notice, then Tenant shall have the right to undertake such actions as may be reasonably necessary to make such repairs if Landlord</w:t>
      </w:r>
    </w:p>
    <w:p>
      <w:pPr>
        <w:sectPr>
          <w:pgSz w:w="11900" w:h="16838" w:orient="portrait"/>
          <w:cols w:equalWidth="0" w:num="1">
            <w:col w:w="9606"/>
          </w:cols>
          <w:pgMar w:left="1134" w:top="256" w:right="1159" w:bottom="1440" w:gutter="0" w:footer="0" w:header="0"/>
        </w:sectPr>
      </w:pPr>
    </w:p>
    <w:bookmarkStart w:id="372" w:name="page373"/>
    <w:bookmarkEnd w:id="372"/>
    <w:p>
      <w:pPr>
        <w:ind w:left="6" w:right="280"/>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thereafter fails to commence corrective action within five (5) business days following Landlord’s receipt of a second written notice from Tenant specifying that Tenant will undertake such actions if Landlord fails to timely do so (provided that such notice shall include the following language in bold, capitalized text: “</w:t>
      </w:r>
      <w:r>
        <w:rPr>
          <w:rFonts w:ascii="Arial" w:cs="Arial" w:eastAsia="Arial" w:hAnsi="Arial"/>
          <w:sz w:val="13"/>
          <w:szCs w:val="13"/>
          <w:b w:val="1"/>
          <w:bCs w:val="1"/>
          <w:color w:val="auto"/>
        </w:rPr>
        <w:t>IF LANDLORD FAILS TO COMMENCE THE REPAIRS DESCRIBED IN THIS LETTER WITHIN FIVE</w:t>
      </w:r>
    </w:p>
    <w:p>
      <w:pPr>
        <w:spacing w:after="0" w:line="2" w:lineRule="exact"/>
        <w:rPr>
          <w:sz w:val="20"/>
          <w:szCs w:val="20"/>
          <w:color w:val="auto"/>
        </w:rPr>
      </w:pPr>
    </w:p>
    <w:p>
      <w:pPr>
        <w:ind w:left="6" w:hanging="6"/>
        <w:spacing w:after="0" w:line="263" w:lineRule="auto"/>
        <w:tabs>
          <w:tab w:leader="none" w:pos="229" w:val="left"/>
        </w:tabs>
        <w:numPr>
          <w:ilvl w:val="0"/>
          <w:numId w:val="257"/>
        </w:numPr>
        <w:rPr>
          <w:rFonts w:ascii="Arial" w:cs="Arial" w:eastAsia="Arial" w:hAnsi="Arial"/>
          <w:sz w:val="15"/>
          <w:szCs w:val="15"/>
          <w:b w:val="1"/>
          <w:bCs w:val="1"/>
          <w:color w:val="auto"/>
        </w:rPr>
      </w:pPr>
      <w:r>
        <w:rPr>
          <w:rFonts w:ascii="Arial" w:cs="Arial" w:eastAsia="Arial" w:hAnsi="Arial"/>
          <w:sz w:val="15"/>
          <w:szCs w:val="15"/>
          <w:b w:val="1"/>
          <w:bCs w:val="1"/>
          <w:color w:val="auto"/>
        </w:rPr>
        <w:t>BUSINESS DAYS FROM LANDLORD’S RECEIPT OF THIS LETTER, TENANT WILL PERFORM SUCH REPAIRS AT LANDLORD’S EXPENSE</w:t>
      </w:r>
      <w:r>
        <w:rPr>
          <w:rFonts w:ascii="Arial" w:cs="Arial" w:eastAsia="Arial" w:hAnsi="Arial"/>
          <w:sz w:val="15"/>
          <w:szCs w:val="15"/>
          <w:color w:val="auto"/>
        </w:rPr>
        <w:t>”; provided, however, that in no event shall Tenant undertake any actions that could materially or adversely affect the Base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Building. Notwithstanding the foregoing, in the event of an Emergency, no second written notice shall be required as long as Tenant advises Landlord in the first written notice of Tenant’s intent to perform such Emergency repairs if Landlord does not commence the same within such five (5) business day period, utilizing the language required in second notices. If such action was required under the terms of this Lease to be taken by Landlord and was not commenced by Landlord within such five (5) business day period and thereafter diligently pursued to completion, then Tenant shall be entitled to prompt reimbursement by Landlord of the reasonable out-of-pocket third-party costs and expenses actually incurred by Tenant in taking such action. If Tenant undertakes such corrective actions pursuant to this </w:t>
      </w:r>
      <w:r>
        <w:rPr>
          <w:rFonts w:ascii="Arial" w:cs="Arial" w:eastAsia="Arial" w:hAnsi="Arial"/>
          <w:sz w:val="15"/>
          <w:szCs w:val="15"/>
          <w:u w:val="single" w:color="auto"/>
          <w:color w:val="auto"/>
        </w:rPr>
        <w:t>Section 7.3</w:t>
      </w:r>
      <w:r>
        <w:rPr>
          <w:rFonts w:ascii="Arial" w:cs="Arial" w:eastAsia="Arial" w:hAnsi="Arial"/>
          <w:sz w:val="15"/>
          <w:szCs w:val="15"/>
          <w:color w:val="auto"/>
        </w:rPr>
        <w:t xml:space="preserve">, then (a) the insurance and indemnity provisions set forth in this Lease shall apply to Tenant’s performance of such corrective actions, (b) Tenant shall proceed in accordance with all applicable laws, (c) Tenant shall retain to perform such corrective actions only such reputable contractors and suppliers as are duly licensed and qualified, (d) Tenant shall effect such repairs in a good and workmanlike and commercially reasonable manner, (e) Tenant shall use new or like new materials, and (f) Tenant shall take reasonable efforts to minimize any material interference or impact on the other tenants and occupants of the Building. Promptly following completion of any work taken by Tenant pursuant to the terms of this Section 7.5, Tenant shall deliver a detailed invoice of the work completed, the materials used and the costs relating thereto, and Landlord shall reimburse Tenant the amounts expended by Tenant in connection with such work, provided that Landlord shall have the right to object if Landlord claims that such action did not have to be taken by Landlord pursuant to the terms of this Lease or that the charges are excessive (in which case Landlord shall pay the amount it contends would not have been excessive). For purposes of this </w:t>
      </w:r>
      <w:r>
        <w:rPr>
          <w:rFonts w:ascii="Arial" w:cs="Arial" w:eastAsia="Arial" w:hAnsi="Arial"/>
          <w:sz w:val="15"/>
          <w:szCs w:val="15"/>
          <w:u w:val="single" w:color="auto"/>
          <w:color w:val="auto"/>
        </w:rPr>
        <w:t>Section 7.5</w:t>
      </w:r>
      <w:r>
        <w:rPr>
          <w:rFonts w:ascii="Arial" w:cs="Arial" w:eastAsia="Arial" w:hAnsi="Arial"/>
          <w:sz w:val="15"/>
          <w:szCs w:val="15"/>
          <w:color w:val="auto"/>
        </w:rPr>
        <w:t>, an “</w:t>
      </w:r>
      <w:r>
        <w:rPr>
          <w:rFonts w:ascii="Arial" w:cs="Arial" w:eastAsia="Arial" w:hAnsi="Arial"/>
          <w:sz w:val="15"/>
          <w:szCs w:val="15"/>
          <w:b w:val="1"/>
          <w:bCs w:val="1"/>
          <w:color w:val="auto"/>
        </w:rPr>
        <w:t>Emergency</w:t>
      </w:r>
      <w:r>
        <w:rPr>
          <w:rFonts w:ascii="Arial" w:cs="Arial" w:eastAsia="Arial" w:hAnsi="Arial"/>
          <w:sz w:val="15"/>
          <w:szCs w:val="15"/>
          <w:color w:val="auto"/>
        </w:rPr>
        <w:t>” shall mean an event threatening immediate and material danger to people located in the Building or immediate, material damage to the Building, Base Building, or creating a realistic possibility of an immediate and material interference with, or immediate and material interruption of a material aspect of Tenant’s business operations.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8. ADDITIONS AND ALTERATIONS.</w:t>
      </w:r>
    </w:p>
    <w:p>
      <w:pPr>
        <w:spacing w:after="0" w:line="193" w:lineRule="exact"/>
        <w:rPr>
          <w:sz w:val="20"/>
          <w:szCs w:val="20"/>
          <w:color w:val="auto"/>
        </w:rPr>
      </w:pPr>
    </w:p>
    <w:p>
      <w:pPr>
        <w:ind w:left="6" w:right="40" w:firstLine="385"/>
        <w:spacing w:after="0" w:line="267"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b w:val="1"/>
          <w:bCs w:val="1"/>
          <w:u w:val="single" w:color="auto"/>
          <w:color w:val="auto"/>
        </w:rPr>
        <w:t>Landlord’s Consent to Alterations</w:t>
      </w:r>
      <w:r>
        <w:rPr>
          <w:rFonts w:ascii="Arial" w:cs="Arial" w:eastAsia="Arial" w:hAnsi="Arial"/>
          <w:sz w:val="15"/>
          <w:szCs w:val="15"/>
          <w:color w:val="auto"/>
        </w:rPr>
        <w:t>. Tenant may not make any improvements, alterations, additions or changes to the Premises or any mechanical, plumbing or HVAC facilities or systems pertaining to the Premises (collectively, the “</w:t>
      </w:r>
      <w:r>
        <w:rPr>
          <w:rFonts w:ascii="Arial" w:cs="Arial" w:eastAsia="Arial" w:hAnsi="Arial"/>
          <w:sz w:val="15"/>
          <w:szCs w:val="15"/>
          <w:b w:val="1"/>
          <w:bCs w:val="1"/>
          <w:color w:val="auto"/>
        </w:rPr>
        <w:t>Alterations</w:t>
      </w:r>
      <w:r>
        <w:rPr>
          <w:rFonts w:ascii="Arial" w:cs="Arial" w:eastAsia="Arial" w:hAnsi="Arial"/>
          <w:sz w:val="15"/>
          <w:szCs w:val="15"/>
          <w:color w:val="auto"/>
        </w:rPr>
        <w:t xml:space="preserve">”) without first procuring the prior written consent of Landlord to such Alterations, which consent shall be requested by Tenant not less than ten (10) business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(as to Alterations costing more than $10,000 only), but without Landlord’s prior consent, to the extent that such Alterations (i) do not affect the building systems or equipment (other than minor changes such as adding or relocating electrical outlets and thermostats), (ii) are not visible from the exterior of the Building, and (iii) cost less than $50,000.00 for a particular job of work. The construction of the Tenant Improvements to the Premises shall be governed by the terms of the Tenant Work Letter and not the terms of this </w:t>
      </w:r>
      <w:r>
        <w:rPr>
          <w:rFonts w:ascii="Arial" w:cs="Arial" w:eastAsia="Arial" w:hAnsi="Arial"/>
          <w:sz w:val="15"/>
          <w:szCs w:val="15"/>
          <w:u w:val="single" w:color="auto"/>
          <w:color w:val="auto"/>
        </w:rPr>
        <w:t>Article 8</w:t>
      </w:r>
      <w:r>
        <w:rPr>
          <w:rFonts w:ascii="Arial" w:cs="Arial" w:eastAsia="Arial" w:hAnsi="Arial"/>
          <w:sz w:val="15"/>
          <w:szCs w:val="15"/>
          <w:color w:val="auto"/>
        </w:rPr>
        <w:t>.</w:t>
      </w:r>
    </w:p>
    <w:p>
      <w:pPr>
        <w:spacing w:after="0" w:line="156" w:lineRule="exact"/>
        <w:rPr>
          <w:sz w:val="20"/>
          <w:szCs w:val="20"/>
          <w:color w:val="auto"/>
        </w:rPr>
      </w:pPr>
    </w:p>
    <w:p>
      <w:pPr>
        <w:ind w:left="6" w:right="20" w:firstLine="385"/>
        <w:spacing w:after="0" w:line="267" w:lineRule="auto"/>
        <w:rPr>
          <w:sz w:val="20"/>
          <w:szCs w:val="20"/>
          <w:color w:val="auto"/>
        </w:rPr>
      </w:pPr>
      <w:r>
        <w:rPr>
          <w:rFonts w:ascii="Arial" w:cs="Arial" w:eastAsia="Arial" w:hAnsi="Arial"/>
          <w:sz w:val="15"/>
          <w:szCs w:val="15"/>
          <w:color w:val="auto"/>
        </w:rPr>
        <w:t xml:space="preserve">8.2 </w:t>
      </w:r>
      <w:r>
        <w:rPr>
          <w:rFonts w:ascii="Arial" w:cs="Arial" w:eastAsia="Arial" w:hAnsi="Arial"/>
          <w:sz w:val="15"/>
          <w:szCs w:val="15"/>
          <w:b w:val="1"/>
          <w:bCs w:val="1"/>
          <w:u w:val="single" w:color="auto"/>
          <w:color w:val="auto"/>
        </w:rPr>
        <w:t>Manner of Construction</w:t>
      </w:r>
      <w:r>
        <w:rPr>
          <w:rFonts w:ascii="Arial" w:cs="Arial" w:eastAsia="Arial" w:hAnsi="Arial"/>
          <w:sz w:val="15"/>
          <w:szCs w:val="15"/>
          <w:color w:val="auto"/>
        </w:rPr>
        <w:t>. Landlord may impose, as a condition of its consent to any and all Alterations or repairs of the Premises or about the Premises, such requirements as Landlord in its reasonable discretion may deem desirable, including, but not limited to, the requirement that upon Landlord’s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Upon completion of any Alterations, Tenant shall deliver to Landlord final lien waivers from all contractors, subcontractors and materialmen</w:t>
      </w:r>
    </w:p>
    <w:p>
      <w:pPr>
        <w:sectPr>
          <w:pgSz w:w="11900" w:h="16838" w:orient="portrait"/>
          <w:cols w:equalWidth="0" w:num="1">
            <w:col w:w="9626"/>
          </w:cols>
          <w:pgMar w:left="1134" w:top="256" w:right="1139" w:bottom="1440" w:gutter="0" w:footer="0" w:header="0"/>
        </w:sectPr>
      </w:pPr>
    </w:p>
    <w:bookmarkStart w:id="373" w:name="page374"/>
    <w:bookmarkEnd w:id="373"/>
    <w:p>
      <w:pPr>
        <w:ind w:left="6"/>
        <w:spacing w:after="0" w:line="32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who performed such work. In addition to Tenant’s obligations under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of this Lease, upon completion of any Alterations, Tenant agrees to cause a Notice of Completion to be recorded in the office of the Recorder of the County of San Mateo in accordance with Section 3093 of the Civil Code of the State of California or any successor statute, and Tenant shall deliver to the Project construction manager a reproducible copy of the “</w:t>
      </w:r>
      <w:r>
        <w:rPr>
          <w:rFonts w:ascii="Arial" w:cs="Arial" w:eastAsia="Arial" w:hAnsi="Arial"/>
          <w:sz w:val="13"/>
          <w:szCs w:val="13"/>
          <w:b w:val="1"/>
          <w:bCs w:val="1"/>
          <w:color w:val="auto"/>
        </w:rPr>
        <w:t>as built</w:t>
      </w:r>
      <w:r>
        <w:rPr>
          <w:rFonts w:ascii="Arial" w:cs="Arial" w:eastAsia="Arial" w:hAnsi="Arial"/>
          <w:sz w:val="13"/>
          <w:szCs w:val="13"/>
          <w:color w:val="auto"/>
        </w:rPr>
        <w:t>” drawings of the Alterations as well as all permits, approvals and other documents issued by any governmental agency in connection with the Alterations.</w:t>
      </w:r>
    </w:p>
    <w:p>
      <w:pPr>
        <w:spacing w:after="0" w:line="119" w:lineRule="exact"/>
        <w:rPr>
          <w:sz w:val="20"/>
          <w:szCs w:val="20"/>
          <w:color w:val="auto"/>
        </w:rPr>
      </w:pPr>
    </w:p>
    <w:p>
      <w:pPr>
        <w:ind w:left="6" w:right="40" w:firstLine="385"/>
        <w:spacing w:after="0" w:line="284"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b w:val="1"/>
          <w:bCs w:val="1"/>
          <w:u w:val="single" w:color="auto"/>
          <w:color w:val="auto"/>
        </w:rPr>
        <w:t>Payment for Improvements</w:t>
      </w:r>
      <w:r>
        <w:rPr>
          <w:rFonts w:ascii="Arial" w:cs="Arial" w:eastAsia="Arial" w:hAnsi="Arial"/>
          <w:sz w:val="15"/>
          <w:szCs w:val="15"/>
          <w:color w:val="auto"/>
        </w:rPr>
        <w:t>. In connection with any Alterations that affect the Building systems (other than minor changes such as adding or relocating electrical outlets and thermostats), or which have a cost in excess of $100,000, Tenant shall reimburse Landlord for Landlord’s reasonable, actual, out-of-pocket costs and expenses actually incurred in connection with Landlord’s review of such work.</w:t>
      </w:r>
    </w:p>
    <w:p>
      <w:pPr>
        <w:spacing w:after="0" w:line="142" w:lineRule="exact"/>
        <w:rPr>
          <w:sz w:val="20"/>
          <w:szCs w:val="20"/>
          <w:color w:val="auto"/>
        </w:rPr>
      </w:pPr>
    </w:p>
    <w:p>
      <w:pPr>
        <w:ind w:left="6" w:right="20" w:firstLine="385"/>
        <w:spacing w:after="0" w:line="267"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b w:val="1"/>
          <w:bCs w:val="1"/>
          <w:u w:val="single" w:color="auto"/>
          <w:color w:val="auto"/>
        </w:rPr>
        <w:t>Construction Insurance</w:t>
      </w:r>
      <w:r>
        <w:rPr>
          <w:rFonts w:ascii="Arial" w:cs="Arial" w:eastAsia="Arial" w:hAnsi="Arial"/>
          <w:sz w:val="15"/>
          <w:szCs w:val="15"/>
          <w:color w:val="auto"/>
        </w:rPr>
        <w:t xml:space="preserve">. In addition to the requirements of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in the event that Tenant makes any Alterations, prior to the commencement of such Alterations, Tenant shall provide Landlord with evidence that Tenant or Tenant’s contractor carries “</w:t>
      </w:r>
      <w:r>
        <w:rPr>
          <w:rFonts w:ascii="Arial" w:cs="Arial" w:eastAsia="Arial" w:hAnsi="Arial"/>
          <w:sz w:val="15"/>
          <w:szCs w:val="15"/>
          <w:b w:val="1"/>
          <w:bCs w:val="1"/>
          <w:color w:val="auto"/>
        </w:rPr>
        <w:t>Builder’s All Risk</w:t>
      </w:r>
      <w:r>
        <w:rPr>
          <w:rFonts w:ascii="Arial" w:cs="Arial" w:eastAsia="Arial" w:hAnsi="Arial"/>
          <w:sz w:val="15"/>
          <w:szCs w:val="15"/>
          <w:color w:val="auto"/>
        </w:rPr>
        <w:t xml:space="preserve">” insurance (to the extent that the cost of such work shall exceed $50,000) in an amount approved by Landlord covering the construction of such Alterations, and such other insurance as Landlord may reasonably require, it being understood and agreed that all of such Alterations shall be insured by Landlord pursuant to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immediately upon completion thereof. In addition, Tenant’s contractors and subcontractors shall be required to carry Commercial General Liability Insurance in an amount approved by Landlord and otherwise in accordance with the requirements of Article 10 of this Lease. In connection with Alterations with a cost in excess of $250,000, Landlord may, in its reasonable discretion, require Tenant to obtain a lien and completion bond or some alternate form of security satisfactory to Landlord in an amount sufficient to ensure the lien-free completion of such Alterations and naming Landlord as a co-obligee.</w:t>
      </w:r>
    </w:p>
    <w:p>
      <w:pPr>
        <w:spacing w:after="0" w:line="159"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8.5 </w:t>
      </w:r>
      <w:r>
        <w:rPr>
          <w:rFonts w:ascii="Arial" w:cs="Arial" w:eastAsia="Arial" w:hAnsi="Arial"/>
          <w:sz w:val="13"/>
          <w:szCs w:val="13"/>
          <w:b w:val="1"/>
          <w:bCs w:val="1"/>
          <w:u w:val="single" w:color="auto"/>
          <w:color w:val="auto"/>
        </w:rPr>
        <w:t>Landlord’s Property</w:t>
      </w:r>
      <w:r>
        <w:rPr>
          <w:rFonts w:ascii="Arial" w:cs="Arial" w:eastAsia="Arial" w:hAnsi="Arial"/>
          <w:sz w:val="13"/>
          <w:szCs w:val="13"/>
          <w:color w:val="auto"/>
        </w:rPr>
        <w:t xml:space="preserve">. All Alterations, improvements, fixtures, equipment and/or appurtenances which may be installed or placed in or about the Premises, from time to time, shall be at the sole cost of Tenant and all Alterations and improvements, shall be and become the property of Landlord and remain in place at the Premises following the expiration or earlier termination of this Lease. Notwithstanding the foregoing, Landlord may, by written notice to Tenant given at the time it consents to an Alteration, require Tenant, at Tenant’s expense, to remove any Alterations within the Premises and to repair any damage to the Premises and Building caused by such removal. If Tenant fails to complete such removal and/or to repair any damage caused by the removal of any Alterations, Landlord may do so and may charge the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Notwithstanding the foregoing, except to the extent the same are paid for by the Tenant Improvement Allowance, the items set forth in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attached hereto (the “</w:t>
      </w:r>
      <w:r>
        <w:rPr>
          <w:rFonts w:ascii="Arial" w:cs="Arial" w:eastAsia="Arial" w:hAnsi="Arial"/>
          <w:sz w:val="13"/>
          <w:szCs w:val="13"/>
          <w:b w:val="1"/>
          <w:bCs w:val="1"/>
          <w:color w:val="auto"/>
        </w:rPr>
        <w:t>Tenant’s Property</w:t>
      </w:r>
      <w:r>
        <w:rPr>
          <w:rFonts w:ascii="Arial" w:cs="Arial" w:eastAsia="Arial" w:hAnsi="Arial"/>
          <w:sz w:val="13"/>
          <w:szCs w:val="13"/>
          <w:color w:val="auto"/>
        </w:rPr>
        <w:t xml:space="preserve">”) shall at all times be and remain Tenant’s property. </w:t>
      </w:r>
      <w:r>
        <w:rPr>
          <w:rFonts w:ascii="Arial" w:cs="Arial" w:eastAsia="Arial" w:hAnsi="Arial"/>
          <w:sz w:val="13"/>
          <w:szCs w:val="13"/>
          <w:b w:val="1"/>
          <w:bCs w:val="1"/>
          <w:u w:val="single" w:color="auto"/>
          <w:color w:val="auto"/>
        </w:rPr>
        <w:t>Exhibit F</w:t>
      </w:r>
      <w:r>
        <w:rPr>
          <w:rFonts w:ascii="Arial" w:cs="Arial" w:eastAsia="Arial" w:hAnsi="Arial"/>
          <w:sz w:val="13"/>
          <w:szCs w:val="13"/>
          <w:color w:val="auto"/>
        </w:rPr>
        <w:t xml:space="preserve"> may be updated from time to time by agreement of the parties. Tenant may remove the Tenant’s Property from the Premises at any time, provided that Tenant repairs all damage caused by such removal. Landlord shall have no lien or other interest in the Tenant’s Property.</w:t>
      </w:r>
    </w:p>
    <w:p>
      <w:pPr>
        <w:spacing w:after="0" w:line="321" w:lineRule="exact"/>
        <w:rPr>
          <w:sz w:val="20"/>
          <w:szCs w:val="20"/>
          <w:color w:val="auto"/>
        </w:rPr>
      </w:pPr>
    </w:p>
    <w:p>
      <w:pPr>
        <w:ind w:left="6" w:hanging="6"/>
        <w:spacing w:after="0" w:line="267" w:lineRule="auto"/>
        <w:tabs>
          <w:tab w:leader="none" w:pos="163" w:val="left"/>
        </w:tabs>
        <w:numPr>
          <w:ilvl w:val="0"/>
          <w:numId w:val="2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 AGAINST LIENS. </w:t>
      </w:r>
      <w:r>
        <w:rPr>
          <w:rFonts w:ascii="Arial" w:cs="Arial" w:eastAsia="Arial" w:hAnsi="Arial"/>
          <w:sz w:val="15"/>
          <w:szCs w:val="15"/>
          <w:color w:val="auto"/>
        </w:rPr>
        <w:t>Tenant shall keep the Project and Premises free from any liens or encumbrances arising out of the work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Except as to Alterations as to which no notice is required under the second sentence of </w:t>
      </w:r>
      <w:r>
        <w:rPr>
          <w:rFonts w:ascii="Arial" w:cs="Arial" w:eastAsia="Arial" w:hAnsi="Arial"/>
          <w:sz w:val="15"/>
          <w:szCs w:val="15"/>
          <w:u w:val="single" w:color="auto"/>
          <w:color w:val="auto"/>
        </w:rPr>
        <w:t>Section 8.1</w:t>
      </w:r>
      <w:r>
        <w:rPr>
          <w:rFonts w:ascii="Arial" w:cs="Arial" w:eastAsia="Arial" w:hAnsi="Arial"/>
          <w:sz w:val="15"/>
          <w:szCs w:val="15"/>
          <w:color w:val="auto"/>
        </w:rPr>
        <w:t>, Tenant shall give Landlord notice at least ten (10) business days prior to the commencement of any such work on the Premises (or such additional time as may be necessary under applicable laws) to afford Landlord the opportunity of posting and recording appropriate notices of non-responsibility (to the extent applicable pursuant to then applicable laws). Tenant shall remove any such lien or encumbrance by bond or otherwise within ten (10) business days after notice by Landlord, and if Tenant shall fail to do so, Landlord may pay the amount necessary to remove such lien or encumbrance, without being responsible for investigating the validity thereof.</w:t>
      </w:r>
    </w:p>
    <w:p>
      <w:pPr>
        <w:sectPr>
          <w:pgSz w:w="11900" w:h="16838" w:orient="portrait"/>
          <w:cols w:equalWidth="0" w:num="1">
            <w:col w:w="9606"/>
          </w:cols>
          <w:pgMar w:left="1134" w:top="256" w:right="1159" w:bottom="1440" w:gutter="0" w:footer="0" w:header="0"/>
        </w:sectPr>
      </w:pPr>
    </w:p>
    <w:bookmarkStart w:id="374" w:name="page375"/>
    <w:bookmarkEnd w:id="37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10. INSURANCE.</w:t>
      </w:r>
    </w:p>
    <w:p>
      <w:pPr>
        <w:spacing w:after="0" w:line="193"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b w:val="1"/>
          <w:bCs w:val="1"/>
          <w:u w:val="single" w:color="auto"/>
          <w:color w:val="auto"/>
        </w:rPr>
        <w:t>Indemnification and Waiver</w:t>
      </w:r>
      <w:r>
        <w:rPr>
          <w:rFonts w:ascii="Arial" w:cs="Arial" w:eastAsia="Arial" w:hAnsi="Arial"/>
          <w:sz w:val="13"/>
          <w:szCs w:val="13"/>
          <w:color w:val="auto"/>
        </w:rPr>
        <w:t xml:space="preserve">. Except as provided in </w:t>
      </w:r>
      <w:r>
        <w:rPr>
          <w:rFonts w:ascii="Arial" w:cs="Arial" w:eastAsia="Arial" w:hAnsi="Arial"/>
          <w:sz w:val="13"/>
          <w:szCs w:val="13"/>
          <w:u w:val="single" w:color="auto"/>
          <w:color w:val="auto"/>
        </w:rPr>
        <w:t>Section 10.5</w:t>
      </w:r>
      <w:r>
        <w:rPr>
          <w:rFonts w:ascii="Arial" w:cs="Arial" w:eastAsia="Arial" w:hAnsi="Arial"/>
          <w:sz w:val="13"/>
          <w:szCs w:val="13"/>
          <w:color w:val="auto"/>
        </w:rPr>
        <w:t xml:space="preserve"> or to the extent due to the negligence, willful misconduct or violation of this Lease by Landlord or the Landlord Parties, Tenant hereby assumes all risk of damage to property in, upon or about the Premises from any cause whatsoever (including, but not limited to, any personal injuries resulting from a slip and fall in, upon or about the Premises) and agrees that Landlord, its partners, subpartners and their respective officers, agents, servants, employees, and independent contractors (collectively, “</w:t>
      </w:r>
      <w:r>
        <w:rPr>
          <w:rFonts w:ascii="Arial" w:cs="Arial" w:eastAsia="Arial" w:hAnsi="Arial"/>
          <w:sz w:val="13"/>
          <w:szCs w:val="13"/>
          <w:b w:val="1"/>
          <w:bCs w:val="1"/>
          <w:color w:val="auto"/>
        </w:rPr>
        <w:t>Landlord Parties</w:t>
      </w:r>
      <w:r>
        <w:rPr>
          <w:rFonts w:ascii="Arial" w:cs="Arial" w:eastAsia="Arial" w:hAnsi="Arial"/>
          <w:sz w:val="13"/>
          <w:szCs w:val="13"/>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but not limited to, a slip and fall), any acts, omissions or negligence of Tenant or of any person claiming by, through or under Tenant, or of the contractors, agents, servants, employees, invitees, guests or licensees of Tenant or any such person, in, on or about the Project or any breach of the terms of this Lease, either prior to, during, or after the expiration of the Lease Term, provided that the terms of the foregoing indemnity and release shall not apply to the negligence or willful misconduct of Landlord or its agents, employees, contractors, licensees or invitees, or Landlord’s violation of this Lease.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Notwithstanding anything to the contrary in this Lease, Landlord shall not be released or indemnified from, and shall indemnify, defend, protect and hold harmless Tenant from, all losses, damages, liabilities, claims, attorneys’ fees, costs and expenses arising from the gross negligence or willful misconduct of Landlord or its agents, contractors, licensees or invitees, or a violation of Landlord’s obligations or representations under this Lease. The provisions of this </w:t>
      </w:r>
      <w:r>
        <w:rPr>
          <w:rFonts w:ascii="Arial" w:cs="Arial" w:eastAsia="Arial" w:hAnsi="Arial"/>
          <w:sz w:val="13"/>
          <w:szCs w:val="13"/>
          <w:u w:val="single" w:color="auto"/>
          <w:color w:val="auto"/>
        </w:rPr>
        <w:t>Section 10.1</w:t>
      </w:r>
      <w:r>
        <w:rPr>
          <w:rFonts w:ascii="Arial" w:cs="Arial" w:eastAsia="Arial" w:hAnsi="Arial"/>
          <w:sz w:val="13"/>
          <w:szCs w:val="13"/>
          <w:color w:val="auto"/>
        </w:rPr>
        <w:t xml:space="preserve"> shall survive the expiration or sooner termination of this Lease with respect to any claims or liability arising in connection with any event occurring prior to such expiration or termination.</w:t>
      </w:r>
    </w:p>
    <w:p>
      <w:pPr>
        <w:spacing w:after="0" w:line="200" w:lineRule="exact"/>
        <w:rPr>
          <w:sz w:val="20"/>
          <w:szCs w:val="20"/>
          <w:color w:val="auto"/>
        </w:rPr>
      </w:pPr>
    </w:p>
    <w:p>
      <w:pPr>
        <w:spacing w:after="0" w:line="311" w:lineRule="exact"/>
        <w:rPr>
          <w:sz w:val="20"/>
          <w:szCs w:val="20"/>
          <w:color w:val="auto"/>
        </w:rPr>
      </w:pPr>
    </w:p>
    <w:p>
      <w:pPr>
        <w:ind w:right="20" w:firstLine="385"/>
        <w:spacing w:after="0" w:line="311"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b w:val="1"/>
          <w:bCs w:val="1"/>
          <w:u w:val="single" w:color="auto"/>
          <w:color w:val="auto"/>
        </w:rPr>
        <w:t>Tenant’s Compliance With Landlord’s Property Insurance</w:t>
      </w:r>
      <w:r>
        <w:rPr>
          <w:rFonts w:ascii="Arial" w:cs="Arial" w:eastAsia="Arial" w:hAnsi="Arial"/>
          <w:sz w:val="13"/>
          <w:szCs w:val="13"/>
          <w:color w:val="auto"/>
        </w:rPr>
        <w:t xml:space="preserve">. Landlord shall insure the Building, Tenant Improvements and any Alterations during the Lease Term against loss or damage under an “all risk” property insurance policy. Such coverage shall be in such amounts, from such companies, and on such other terms and conditions, as Landlord may from time to time reasonably determine. Additionally, at the option of Landlord, such insurance coverage may include the risks of earthquakes and/or flood damage and additional hazards, a rental loss endorsement and one or more loss payee endorsements in favor of the holders of any mortgages or deeds of trust encumbering the interest of Landlord in the Building or the ground or underlying lessors of the Building, or any portion thereof. The costs of such insurance shall be included in Operating Expenses, subject to the terms of </w:t>
      </w:r>
      <w:r>
        <w:rPr>
          <w:rFonts w:ascii="Arial" w:cs="Arial" w:eastAsia="Arial" w:hAnsi="Arial"/>
          <w:sz w:val="13"/>
          <w:szCs w:val="13"/>
          <w:u w:val="single" w:color="auto"/>
          <w:color w:val="auto"/>
        </w:rPr>
        <w:t>Section 4.2.4</w:t>
      </w:r>
      <w:r>
        <w:rPr>
          <w:rFonts w:ascii="Arial" w:cs="Arial" w:eastAsia="Arial" w:hAnsi="Arial"/>
          <w:sz w:val="13"/>
          <w:szCs w:val="13"/>
          <w:color w:val="auto"/>
        </w:rPr>
        <w:t>. Tenant shall, at Tenant’s expense, comply with all insurance company requirements pertaining to the use of the Premises. If Tenant’s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 Notwithstanding anything to the contrary in this Lease, Tenant shall not be required to comply with or cause the Premises to comply with any laws, rules, regulations or insurance requirements requiring the construction of alterations unless such compliance is necessitated solely due to Tenant’s particular use of the Premises.</w:t>
      </w:r>
    </w:p>
    <w:p>
      <w:pPr>
        <w:spacing w:after="0" w:line="321" w:lineRule="exact"/>
        <w:rPr>
          <w:sz w:val="20"/>
          <w:szCs w:val="20"/>
          <w:color w:val="auto"/>
        </w:rPr>
      </w:pPr>
    </w:p>
    <w:p>
      <w:pPr>
        <w:ind w:right="280" w:firstLine="385"/>
        <w:spacing w:after="0" w:line="27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Tenant shall maintain the following coverages in the following amounts during the Lease Term (except Tenant shall carry the insurance described in Section 10.3.1 during any period in which it enters the Premises).</w:t>
      </w:r>
    </w:p>
    <w:p>
      <w:pPr>
        <w:spacing w:after="0" w:line="153" w:lineRule="exact"/>
        <w:rPr>
          <w:sz w:val="20"/>
          <w:szCs w:val="20"/>
          <w:color w:val="auto"/>
        </w:rPr>
      </w:pPr>
    </w:p>
    <w:p>
      <w:pPr>
        <w:ind w:right="180" w:firstLine="866"/>
        <w:spacing w:after="0" w:line="256" w:lineRule="auto"/>
        <w:rPr>
          <w:sz w:val="20"/>
          <w:szCs w:val="20"/>
          <w:color w:val="auto"/>
        </w:rPr>
      </w:pPr>
      <w:r>
        <w:rPr>
          <w:rFonts w:ascii="Arial" w:cs="Arial" w:eastAsia="Arial" w:hAnsi="Arial"/>
          <w:sz w:val="16"/>
          <w:szCs w:val="16"/>
          <w:color w:val="auto"/>
        </w:rPr>
        <w:t>10.3.1 Commercial General Liability Insurance on an occurrence form covering the insured against claims of bodily injury and property damage (including loss of use thereof) arising out of Tenant’s operations, and contractual liabilities including a contractual coverage for limits of liability (which limits may be met together with umbrella liability insurance) of not less than:</w:t>
      </w:r>
    </w:p>
    <w:p>
      <w:pPr>
        <w:sectPr>
          <w:pgSz w:w="11900" w:h="16838" w:orient="portrait"/>
          <w:cols w:equalWidth="0" w:num="1">
            <w:col w:w="9600"/>
          </w:cols>
          <w:pgMar w:left="1140" w:top="252" w:right="1159" w:bottom="1440" w:gutter="0" w:footer="0" w:header="0"/>
        </w:sectPr>
      </w:pP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Bodily Injury and</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Property Damage Liability</w:t>
      </w:r>
    </w:p>
    <w:p>
      <w:pPr>
        <w:spacing w:after="0" w:line="4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Personal Injury Liability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$4,000,000 each occurrence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$4,000,000 annual aggregate</w:t>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$4,000,000 annual aggregate</w:t>
      </w:r>
    </w:p>
    <w:p>
      <w:pPr>
        <w:sectPr>
          <w:pgSz w:w="11900" w:h="16838" w:orient="portrait"/>
          <w:cols w:equalWidth="0" w:num="2">
            <w:col w:w="4260" w:space="720"/>
            <w:col w:w="4620"/>
          </w:cols>
          <w:pgMar w:left="1140" w:top="252" w:right="1159" w:bottom="1440" w:gutter="0" w:footer="0" w:header="0"/>
          <w:type w:val="continuous"/>
        </w:sectPr>
      </w:pPr>
    </w:p>
    <w:bookmarkStart w:id="375" w:name="page376"/>
    <w:bookmarkEnd w:id="375"/>
    <w:p>
      <w:pPr>
        <w:ind w:left="6" w:right="20" w:firstLine="866"/>
        <w:spacing w:after="0" w:line="24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10.3.2 Property Insurance covering all office furniture, business and trade fixtures, office and lab equipment, free-standing cabinet work, movable partitions, merchandise and all other items of Tenant’s property on the Premises installed by, for, or at the expense of Tenant. Such insurance shall be written on an “</w:t>
      </w:r>
      <w:r>
        <w:rPr>
          <w:rFonts w:ascii="Arial" w:cs="Arial" w:eastAsia="Arial" w:hAnsi="Arial"/>
          <w:sz w:val="16"/>
          <w:szCs w:val="16"/>
          <w:b w:val="1"/>
          <w:bCs w:val="1"/>
          <w:color w:val="auto"/>
        </w:rPr>
        <w:t>all risks</w:t>
      </w:r>
      <w:r>
        <w:rPr>
          <w:rFonts w:ascii="Arial" w:cs="Arial" w:eastAsia="Arial" w:hAnsi="Arial"/>
          <w:sz w:val="16"/>
          <w:szCs w:val="16"/>
          <w:color w:val="auto"/>
        </w:rPr>
        <w:t>” of physical loss or damage basis, for the full replacement cost value (subject to reasonable deductible amounts) new without deduction for depreciation of the covered items and in amounts that meet any co-insurance clauses of the policies of insurance and shall include coverage for damage or other loss caused by fire or other peril including, but not limited to, vandalism and malicious mischief, theft, water damage (excluding flood), including sprinkler leakage, bursting or stoppage of pipes, and explosion, and providing business interruption coverage for a period of ninety (90) days.</w:t>
      </w:r>
    </w:p>
    <w:p>
      <w:pPr>
        <w:spacing w:after="0" w:line="173" w:lineRule="exact"/>
        <w:rPr>
          <w:sz w:val="20"/>
          <w:szCs w:val="20"/>
          <w:color w:val="auto"/>
        </w:rPr>
      </w:pPr>
    </w:p>
    <w:p>
      <w:pPr>
        <w:ind w:left="6" w:firstLine="866"/>
        <w:spacing w:after="0" w:line="266" w:lineRule="auto"/>
        <w:rPr>
          <w:sz w:val="20"/>
          <w:szCs w:val="20"/>
          <w:color w:val="auto"/>
        </w:rPr>
      </w:pPr>
      <w:r>
        <w:rPr>
          <w:rFonts w:ascii="Arial" w:cs="Arial" w:eastAsia="Arial" w:hAnsi="Arial"/>
          <w:sz w:val="16"/>
          <w:szCs w:val="16"/>
          <w:color w:val="auto"/>
        </w:rPr>
        <w:t xml:space="preserve">10.3.3 Business Income Interruption for ninety (90) days plus Extra Expense insurance in such amounts as will reimburse Tenant for actual direct or indirect loss of earnings attributable to the risks outlined in </w:t>
      </w:r>
      <w:r>
        <w:rPr>
          <w:rFonts w:ascii="Arial" w:cs="Arial" w:eastAsia="Arial" w:hAnsi="Arial"/>
          <w:sz w:val="16"/>
          <w:szCs w:val="16"/>
          <w:u w:val="single" w:color="auto"/>
          <w:color w:val="auto"/>
        </w:rPr>
        <w:t>Section 10.3.2</w:t>
      </w:r>
      <w:r>
        <w:rPr>
          <w:rFonts w:ascii="Arial" w:cs="Arial" w:eastAsia="Arial" w:hAnsi="Arial"/>
          <w:sz w:val="16"/>
          <w:szCs w:val="16"/>
          <w:color w:val="auto"/>
        </w:rPr>
        <w:t xml:space="preserve"> above.</w:t>
      </w:r>
    </w:p>
    <w:p>
      <w:pPr>
        <w:spacing w:after="0" w:line="158" w:lineRule="exact"/>
        <w:rPr>
          <w:sz w:val="20"/>
          <w:szCs w:val="20"/>
          <w:color w:val="auto"/>
        </w:rPr>
      </w:pPr>
    </w:p>
    <w:p>
      <w:pPr>
        <w:ind w:left="6" w:right="200" w:firstLine="866"/>
        <w:spacing w:after="0" w:line="383" w:lineRule="auto"/>
        <w:rPr>
          <w:sz w:val="20"/>
          <w:szCs w:val="20"/>
          <w:color w:val="auto"/>
        </w:rPr>
      </w:pPr>
      <w:r>
        <w:rPr>
          <w:rFonts w:ascii="Arial" w:cs="Arial" w:eastAsia="Arial" w:hAnsi="Arial"/>
          <w:sz w:val="13"/>
          <w:szCs w:val="13"/>
          <w:color w:val="auto"/>
        </w:rPr>
        <w:t>10.3.4 Worker’s Compensation and Employer’s Liability or other similar insurance pursuant to all applicable state and local statutes and regulations. The policy shall include a waiver of subrogation in favor of Landlord, its employees, Lenders and any property manager or partners.</w:t>
      </w:r>
    </w:p>
    <w:p>
      <w:pPr>
        <w:spacing w:after="0" w:line="85" w:lineRule="exact"/>
        <w:rPr>
          <w:sz w:val="20"/>
          <w:szCs w:val="20"/>
          <w:color w:val="auto"/>
        </w:rPr>
      </w:pPr>
    </w:p>
    <w:p>
      <w:pPr>
        <w:ind w:left="6" w:right="20" w:firstLine="385"/>
        <w:spacing w:after="0" w:line="306" w:lineRule="auto"/>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b w:val="1"/>
          <w:bCs w:val="1"/>
          <w:u w:val="single" w:color="auto"/>
          <w:color w:val="auto"/>
        </w:rPr>
        <w:t>Form of Policies</w:t>
      </w:r>
      <w:r>
        <w:rPr>
          <w:rFonts w:ascii="Arial" w:cs="Arial" w:eastAsia="Arial" w:hAnsi="Arial"/>
          <w:sz w:val="13"/>
          <w:szCs w:val="13"/>
          <w:color w:val="auto"/>
        </w:rPr>
        <w:t>. The minimum limits of policies of insurance required of Tenant under this Lease shall in no event limit the liability of Tenant under this Lease. Such insurance shall (i) name Landlord, its subsidiaries and affiliates, its property manager (if any) and any other party the Landlord so specifies, as an additional insured on the liability insurance, including Landlord’s managing agent, if any; (ii) be issued by an insurance company having a rating of not less than A-:VII in Best’s Insurance Guide or which is otherwise acceptable to Landlord and authorized to do business in the State of California; and (iv) be primary insurance as to all claims thereunder and provide that any insurance carried by Landlord is excess and is non-contributing with any insurance required of Tenant. Tenant shall not cause said insurance to be canceled or coverage changed unless thirty</w:t>
      </w:r>
    </w:p>
    <w:p>
      <w:pPr>
        <w:spacing w:after="0" w:line="4" w:lineRule="exact"/>
        <w:rPr>
          <w:sz w:val="20"/>
          <w:szCs w:val="20"/>
          <w:color w:val="auto"/>
        </w:rPr>
      </w:pPr>
    </w:p>
    <w:p>
      <w:pPr>
        <w:ind w:left="6" w:right="120" w:hanging="6"/>
        <w:spacing w:after="0" w:line="268" w:lineRule="auto"/>
        <w:tabs>
          <w:tab w:leader="none" w:pos="307" w:val="left"/>
        </w:tabs>
        <w:numPr>
          <w:ilvl w:val="0"/>
          <w:numId w:val="259"/>
        </w:numPr>
        <w:rPr>
          <w:rFonts w:ascii="Arial" w:cs="Arial" w:eastAsia="Arial" w:hAnsi="Arial"/>
          <w:sz w:val="15"/>
          <w:szCs w:val="15"/>
          <w:color w:val="auto"/>
        </w:rPr>
      </w:pPr>
      <w:r>
        <w:rPr>
          <w:rFonts w:ascii="Arial" w:cs="Arial" w:eastAsia="Arial" w:hAnsi="Arial"/>
          <w:sz w:val="15"/>
          <w:szCs w:val="15"/>
          <w:color w:val="auto"/>
        </w:rPr>
        <w:t>days’ prior written notice shall have been given to Landlord and any mortgagee of Landlord (unless such cancellation is the result of non-payment of premiums, in which case note less than five (5) days’ notice shall be provided). Tenant shall deliver said policy or policies or certificates thereof to Landlord on or before the Lease Commencement Date and at least ten (10) days before the expiration dates thereof. In the event Tenant shall fail to procure such insurance, or to deliver such policies or certificate, Landlord may, at its option, procure such policies for the account of Tenant, and the cost thereof shall be paid to Landlord within five (5) days after delivery to Tenant of bills therefor.</w:t>
      </w:r>
    </w:p>
    <w:p>
      <w:pPr>
        <w:spacing w:after="0" w:line="153" w:lineRule="exact"/>
        <w:rPr>
          <w:sz w:val="20"/>
          <w:szCs w:val="20"/>
          <w:color w:val="auto"/>
        </w:rPr>
      </w:pPr>
    </w:p>
    <w:p>
      <w:pPr>
        <w:ind w:left="6" w:right="80" w:firstLine="385"/>
        <w:spacing w:after="0" w:line="25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u w:val="single" w:color="auto"/>
          <w:color w:val="auto"/>
        </w:rPr>
        <w:t>Subrogation</w:t>
      </w:r>
      <w:r>
        <w:rPr>
          <w:rFonts w:ascii="Arial" w:cs="Arial" w:eastAsia="Arial" w:hAnsi="Arial"/>
          <w:sz w:val="16"/>
          <w:szCs w:val="16"/>
          <w:color w:val="auto"/>
        </w:rPr>
        <w:t>. Landlord and Tenant hereby agree to look solely to, and seek recovery only from, their respective insurance carriers in the event of a property or business interruption loss to the extent that such coverage is agreed to be provided hereunder, notwithstanding the negligence of either party. Notwithstanding anything to the contrary in this Lease, the parties each hereby waive all rights and claims against each other for such losses, and waive all rights of subrogation of their respective insurers. The parties agree that their respective insurance policies do now, or shall, contain the waiver of subrogation.</w:t>
      </w:r>
    </w:p>
    <w:p>
      <w:pPr>
        <w:spacing w:after="0" w:line="166" w:lineRule="exact"/>
        <w:rPr>
          <w:sz w:val="20"/>
          <w:szCs w:val="20"/>
          <w:color w:val="auto"/>
        </w:rPr>
      </w:pPr>
    </w:p>
    <w:p>
      <w:pPr>
        <w:ind w:left="6" w:right="40" w:firstLine="385"/>
        <w:spacing w:after="0" w:line="252"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u w:val="single" w:color="auto"/>
          <w:color w:val="auto"/>
        </w:rPr>
        <w:t>Additional Insurance Obligations</w:t>
      </w:r>
      <w:r>
        <w:rPr>
          <w:rFonts w:ascii="Arial" w:cs="Arial" w:eastAsia="Arial" w:hAnsi="Arial"/>
          <w:sz w:val="16"/>
          <w:szCs w:val="16"/>
          <w:color w:val="auto"/>
        </w:rPr>
        <w:t xml:space="preserve">. Tenant shall carry and maintain during the entire Lease Term, at Tenant’s sole cost and expense, increased amounts of the insurance required to be carried by Tenant pursuant to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and such other reasonable types of insurance coverage and in such reasonable amounts covering the Premises and Tenant’s operations therein, as may be reasonably requested by Landlord or Landlord’s lender, but in no event in excess of the amounts and types of insurance then being required by landlords of buildings comparable to and in the vicinity of the Building.</w:t>
      </w:r>
    </w:p>
    <w:p>
      <w:pPr>
        <w:sectPr>
          <w:pgSz w:w="11900" w:h="16838" w:orient="portrait"/>
          <w:cols w:equalWidth="0" w:num="1">
            <w:col w:w="9626"/>
          </w:cols>
          <w:pgMar w:left="1134" w:top="256" w:right="1139" w:bottom="1440" w:gutter="0" w:footer="0" w:header="0"/>
        </w:sectPr>
      </w:pPr>
    </w:p>
    <w:bookmarkStart w:id="376" w:name="page377"/>
    <w:bookmarkEnd w:id="376"/>
    <w:p>
      <w:pPr>
        <w:ind w:right="100" w:firstLine="385"/>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10.7 </w:t>
      </w:r>
      <w:r>
        <w:rPr>
          <w:rFonts w:ascii="Arial" w:cs="Arial" w:eastAsia="Arial" w:hAnsi="Arial"/>
          <w:sz w:val="15"/>
          <w:szCs w:val="15"/>
          <w:b w:val="1"/>
          <w:bCs w:val="1"/>
          <w:u w:val="single" w:color="auto"/>
          <w:color w:val="auto"/>
        </w:rPr>
        <w:t>Construction Period</w:t>
      </w:r>
      <w:r>
        <w:rPr>
          <w:rFonts w:ascii="Arial" w:cs="Arial" w:eastAsia="Arial" w:hAnsi="Arial"/>
          <w:sz w:val="15"/>
          <w:szCs w:val="15"/>
          <w:color w:val="auto"/>
        </w:rPr>
        <w:t>: The term “Construction Period” shall mean the period from the date of this Lease to the date that Landlord completes construction of the Landlord’s Work (including any “</w:t>
      </w:r>
      <w:r>
        <w:rPr>
          <w:rFonts w:ascii="Arial" w:cs="Arial" w:eastAsia="Arial" w:hAnsi="Arial"/>
          <w:sz w:val="15"/>
          <w:szCs w:val="15"/>
          <w:b w:val="1"/>
          <w:bCs w:val="1"/>
          <w:color w:val="auto"/>
        </w:rPr>
        <w:t>Additional Base Building Items</w:t>
      </w:r>
      <w:r>
        <w:rPr>
          <w:rFonts w:ascii="Arial" w:cs="Arial" w:eastAsia="Arial" w:hAnsi="Arial"/>
          <w:sz w:val="15"/>
          <w:szCs w:val="15"/>
          <w:color w:val="auto"/>
        </w:rPr>
        <w:t xml:space="preserve">”, as defined in Section 3(f) of the Tenant Work Letter), and Common Areas, regardless of the occurrence of any Tenant Delay and without regard to the effect of any provision of this Lease pursuant to which the Premises are deemed to be Ready for Occupancy in advance of its actual occurrence. Notwithstanding any provision of this Lease to the contrary (including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during the Construction Period only, the following provisions shall be applicable:</w:t>
      </w:r>
    </w:p>
    <w:p>
      <w:pPr>
        <w:spacing w:after="0" w:line="155" w:lineRule="exact"/>
        <w:rPr>
          <w:sz w:val="20"/>
          <w:szCs w:val="20"/>
          <w:color w:val="auto"/>
        </w:rPr>
      </w:pPr>
    </w:p>
    <w:p>
      <w:pPr>
        <w:ind w:right="120" w:firstLine="866"/>
        <w:spacing w:after="0" w:line="250" w:lineRule="auto"/>
        <w:rPr>
          <w:sz w:val="20"/>
          <w:szCs w:val="20"/>
          <w:color w:val="auto"/>
        </w:rPr>
      </w:pPr>
      <w:r>
        <w:rPr>
          <w:rFonts w:ascii="Arial" w:cs="Arial" w:eastAsia="Arial" w:hAnsi="Arial"/>
          <w:sz w:val="16"/>
          <w:szCs w:val="16"/>
          <w:color w:val="auto"/>
        </w:rPr>
        <w:t>10.7.1 with respect to any indemnity obligation of Tenant arising at any time during the Construction Period only, (A) the term “Landlord Parties” shall mean and shall be limited to HCP Oyster Point III LLC, a Delaware limited liability company (or any entity that that succeeds to HCP Oyster Point III LLC’s interest as Landlord under the Lease) and shall not include any other person or entity; provided, however, that Landlord may include in any claim owed by Tenant to it any amount which Landlord shall pay or be obligated to indemnify any other person or entity, and (B) any indemnity obligation shall be limited to losses caused by, or arising as a result of any act or failure to act of, Tenant or Tenant’s employees, agents or contractors; and</w:t>
      </w:r>
    </w:p>
    <w:p>
      <w:pPr>
        <w:spacing w:after="0" w:line="171" w:lineRule="exact"/>
        <w:rPr>
          <w:sz w:val="20"/>
          <w:szCs w:val="20"/>
          <w:color w:val="auto"/>
        </w:rPr>
      </w:pPr>
    </w:p>
    <w:p>
      <w:pPr>
        <w:ind w:right="20" w:firstLine="866"/>
        <w:spacing w:after="0" w:line="266" w:lineRule="auto"/>
        <w:rPr>
          <w:sz w:val="20"/>
          <w:szCs w:val="20"/>
          <w:color w:val="auto"/>
        </w:rPr>
      </w:pPr>
      <w:r>
        <w:rPr>
          <w:rFonts w:ascii="Arial" w:cs="Arial" w:eastAsia="Arial" w:hAnsi="Arial"/>
          <w:sz w:val="15"/>
          <w:szCs w:val="15"/>
          <w:color w:val="auto"/>
        </w:rPr>
        <w:t>10.7.2 during the Construction Period only, Tenant’s liability under this Lease for Tenant’s actions or failures to act under the Lease during the Construction Period, including, without limitation, (A) Tenant’s indemnity obligations, plus (B) Base Rent and Additional Rent (as a consequence of Tenant Delay), plus (C) any and all other costs payable to Landlord or otherwise payable by Tenant under this Lease, which amount shall calculated to include (i) the accreted value of any payments previously made by Tenant plus (ii) the present value of the maximum amount that Tenant could be required to pay as of that point in time (whether or not construction is completed) discounted at Tenant’s incremental borrowing rate used to classify the Lease under ASC 840 (FAS 13), shall be limited to 89.9% of Landlord’s Project Costs determined as of the date of Landlord’s claim for such amount owed by Tenant. As used herein, “</w:t>
      </w:r>
      <w:r>
        <w:rPr>
          <w:rFonts w:ascii="Arial" w:cs="Arial" w:eastAsia="Arial" w:hAnsi="Arial"/>
          <w:sz w:val="15"/>
          <w:szCs w:val="15"/>
          <w:b w:val="1"/>
          <w:bCs w:val="1"/>
          <w:color w:val="auto"/>
        </w:rPr>
        <w:t>Landlord’s Project Costs</w:t>
      </w:r>
      <w:r>
        <w:rPr>
          <w:rFonts w:ascii="Arial" w:cs="Arial" w:eastAsia="Arial" w:hAnsi="Arial"/>
          <w:sz w:val="15"/>
          <w:szCs w:val="15"/>
          <w:color w:val="auto"/>
        </w:rPr>
        <w:t>” shall mean the amount capitalized in the Project by Landlord in accordance with GAAP, plus other costs related to the Project (including related site improvements and other Project costs) paid by Landlord to third parties other than lenders or owners of Landlord (excluding land acquisition costs and “Force Majeure Costs,” as that term is defined below, but including land carrying costs, such as interest or ground rent incurred during the Construction Period, and including all other costs incurred by Landlord in connection with the development and construction of the Project);</w:t>
      </w:r>
    </w:p>
    <w:p>
      <w:pPr>
        <w:spacing w:after="0" w:line="157" w:lineRule="exact"/>
        <w:rPr>
          <w:sz w:val="20"/>
          <w:szCs w:val="20"/>
          <w:color w:val="auto"/>
        </w:rPr>
      </w:pPr>
    </w:p>
    <w:p>
      <w:pPr>
        <w:ind w:firstLine="866"/>
        <w:spacing w:after="0" w:line="346" w:lineRule="auto"/>
        <w:rPr>
          <w:sz w:val="20"/>
          <w:szCs w:val="20"/>
          <w:color w:val="auto"/>
        </w:rPr>
      </w:pPr>
      <w:r>
        <w:rPr>
          <w:rFonts w:ascii="Arial" w:cs="Arial" w:eastAsia="Arial" w:hAnsi="Arial"/>
          <w:sz w:val="13"/>
          <w:szCs w:val="13"/>
          <w:color w:val="auto"/>
        </w:rPr>
        <w:t>10.7.3 “</w:t>
      </w:r>
      <w:r>
        <w:rPr>
          <w:rFonts w:ascii="Arial" w:cs="Arial" w:eastAsia="Arial" w:hAnsi="Arial"/>
          <w:sz w:val="13"/>
          <w:szCs w:val="13"/>
          <w:b w:val="1"/>
          <w:bCs w:val="1"/>
          <w:color w:val="auto"/>
        </w:rPr>
        <w:t>Force Majeure Costs</w:t>
      </w:r>
      <w:r>
        <w:rPr>
          <w:rFonts w:ascii="Arial" w:cs="Arial" w:eastAsia="Arial" w:hAnsi="Arial"/>
          <w:sz w:val="13"/>
          <w:szCs w:val="13"/>
          <w:color w:val="auto"/>
        </w:rPr>
        <w:t>” means the sum of (a) all costs and expenses that are incurred because the Building is damaged by a fire or other casualty event (including capitalized interest on such costs and expenses), less the amount of all insurance proceeds applied to restore the Building, and (b) any loss in fair market value of the Premises to the extent the same are not restored following a fire or other casualty event; and</w:t>
      </w:r>
    </w:p>
    <w:p>
      <w:pPr>
        <w:spacing w:after="0" w:line="11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10.7.4 the provisions of Section 21.1(H) of the Lease shall not apply during the Construction Period.</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10.8 For the avoidance of doubt, Landlord and Tenant agree that:</w:t>
      </w:r>
    </w:p>
    <w:p>
      <w:pPr>
        <w:spacing w:after="0" w:line="19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10.8.1 no claim by Landlord for Tenant’s repudiation of this Lease at any time shall be limited under this section; and</w:t>
      </w:r>
    </w:p>
    <w:p>
      <w:pPr>
        <w:spacing w:after="0" w:line="193" w:lineRule="exact"/>
        <w:rPr>
          <w:sz w:val="20"/>
          <w:szCs w:val="20"/>
          <w:color w:val="auto"/>
        </w:rPr>
      </w:pPr>
    </w:p>
    <w:p>
      <w:pPr>
        <w:ind w:right="100" w:firstLine="866"/>
        <w:spacing w:after="0" w:line="253" w:lineRule="auto"/>
        <w:rPr>
          <w:sz w:val="20"/>
          <w:szCs w:val="20"/>
          <w:color w:val="auto"/>
        </w:rPr>
      </w:pPr>
      <w:r>
        <w:rPr>
          <w:rFonts w:ascii="Arial" w:cs="Arial" w:eastAsia="Arial" w:hAnsi="Arial"/>
          <w:sz w:val="16"/>
          <w:szCs w:val="16"/>
          <w:color w:val="auto"/>
        </w:rPr>
        <w:t>10.8.2 for any claim other than under Section 10.8.1 above, if during the Construction Period Landlord makes any claim for any anticipatory breach by Tenant of any obligation under this Lease owed to Landlord for any period after the Construction Period and the amount payable by Tenant for such claim is limited by the provisions of Section 10.7.2 above, the entire amount (to the extent not theretofore paid) shall be payable promptly after the Construction Period; and</w:t>
      </w:r>
    </w:p>
    <w:p>
      <w:pPr>
        <w:spacing w:after="0" w:line="167"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10.8.3 following the end of the Construction Period, the terms of Section 10.7 shall be of no further force or effect.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DAMAGE AND DESTRUCTION.</w:t>
      </w:r>
    </w:p>
    <w:p>
      <w:pPr>
        <w:spacing w:after="0" w:line="193" w:lineRule="exact"/>
        <w:rPr>
          <w:sz w:val="20"/>
          <w:szCs w:val="20"/>
          <w:color w:val="auto"/>
        </w:rPr>
      </w:pPr>
    </w:p>
    <w:p>
      <w:pPr>
        <w:ind w:right="20" w:firstLine="385"/>
        <w:spacing w:after="0" w:line="277" w:lineRule="auto"/>
        <w:rPr>
          <w:sz w:val="20"/>
          <w:szCs w:val="20"/>
          <w:color w:val="auto"/>
        </w:rPr>
      </w:pPr>
      <w:r>
        <w:rPr>
          <w:rFonts w:ascii="Arial" w:cs="Arial" w:eastAsia="Arial" w:hAnsi="Arial"/>
          <w:sz w:val="15"/>
          <w:szCs w:val="15"/>
          <w:color w:val="auto"/>
        </w:rPr>
        <w:t xml:space="preserve">11.1 </w:t>
      </w:r>
      <w:r>
        <w:rPr>
          <w:rFonts w:ascii="Arial" w:cs="Arial" w:eastAsia="Arial" w:hAnsi="Arial"/>
          <w:sz w:val="15"/>
          <w:szCs w:val="15"/>
          <w:b w:val="1"/>
          <w:bCs w:val="1"/>
          <w:u w:val="single" w:color="auto"/>
          <w:color w:val="auto"/>
        </w:rPr>
        <w:t>Repair of Damage to Premises by Landlord</w:t>
      </w:r>
      <w:r>
        <w:rPr>
          <w:rFonts w:ascii="Arial" w:cs="Arial" w:eastAsia="Arial" w:hAnsi="Arial"/>
          <w:sz w:val="15"/>
          <w:szCs w:val="15"/>
          <w:color w:val="auto"/>
        </w:rPr>
        <w:t xml:space="preserve">. Tenant shall promptly notify Landlord of any damage to the Premises resulting from fire or any other casualty. If the Premises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Arial" w:cs="Arial" w:eastAsia="Arial" w:hAnsi="Arial"/>
          <w:sz w:val="15"/>
          <w:szCs w:val="15"/>
          <w:u w:val="single" w:color="auto"/>
          <w:color w:val="auto"/>
        </w:rPr>
        <w:t>Article 11</w:t>
      </w:r>
      <w:r>
        <w:rPr>
          <w:rFonts w:ascii="Arial" w:cs="Arial" w:eastAsia="Arial" w:hAnsi="Arial"/>
          <w:sz w:val="15"/>
          <w:szCs w:val="15"/>
          <w:color w:val="auto"/>
        </w:rPr>
        <w:t>, restore the Premises and such Common Areas. Such restoration shall be</w:t>
      </w:r>
    </w:p>
    <w:p>
      <w:pPr>
        <w:sectPr>
          <w:pgSz w:w="11900" w:h="16838" w:orient="portrait"/>
          <w:cols w:equalWidth="0" w:num="1">
            <w:col w:w="9620"/>
          </w:cols>
          <w:pgMar w:left="1140" w:top="252" w:right="1139" w:bottom="1440" w:gutter="0" w:footer="0" w:header="0"/>
        </w:sectPr>
      </w:pPr>
    </w:p>
    <w:bookmarkStart w:id="377" w:name="page378"/>
    <w:bookmarkEnd w:id="377"/>
    <w:p>
      <w:pPr>
        <w:ind w:left="6" w:right="2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to substantially the same condition of the Premises and the Common Areas prior to the casualty, except for modifications required by zoning and building codes and other laws or any other modifications to the Common Areas deemed desirable by Landlord, which are consistent with the character of the Project, provided that access to the Premises shall not be materially impaired.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damaged portions of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w:t>
      </w:r>
    </w:p>
    <w:p>
      <w:pPr>
        <w:spacing w:after="0" w:line="159" w:lineRule="exact"/>
        <w:rPr>
          <w:sz w:val="20"/>
          <w:szCs w:val="20"/>
          <w:color w:val="auto"/>
        </w:rPr>
      </w:pPr>
    </w:p>
    <w:p>
      <w:pPr>
        <w:ind w:left="6" w:firstLine="385"/>
        <w:spacing w:after="0" w:line="309"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b w:val="1"/>
          <w:bCs w:val="1"/>
          <w:u w:val="single" w:color="auto"/>
          <w:color w:val="auto"/>
        </w:rPr>
        <w:t>Landlord’s Option to Repair</w:t>
      </w:r>
      <w:r>
        <w:rPr>
          <w:rFonts w:ascii="Arial" w:cs="Arial" w:eastAsia="Arial" w:hAnsi="Arial"/>
          <w:sz w:val="13"/>
          <w:szCs w:val="13"/>
          <w:color w:val="auto"/>
        </w:rPr>
        <w:t xml:space="preserve">. Notwithstanding the terms of </w:t>
      </w:r>
      <w:r>
        <w:rPr>
          <w:rFonts w:ascii="Arial" w:cs="Arial" w:eastAsia="Arial" w:hAnsi="Arial"/>
          <w:sz w:val="13"/>
          <w:szCs w:val="13"/>
          <w:u w:val="single" w:color="auto"/>
          <w:color w:val="auto"/>
        </w:rPr>
        <w:t>Section 11.1</w:t>
      </w:r>
      <w:r>
        <w:rPr>
          <w:rFonts w:ascii="Arial" w:cs="Arial" w:eastAsia="Arial" w:hAnsi="Arial"/>
          <w:sz w:val="13"/>
          <w:szCs w:val="13"/>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shall be damaged by fire or other casualty or cause, and one or more of the following conditions is present: (i) in Landlord’s reasonable judgment, repairs cannot reasonably be completed within one (1) year after the date of discovery of the damage (when such repairs are made without the payment of overtime or other premiums); (ii) the damage is due to a risk that Landlord is not required to insure under this Lease, and the cost of restoration exceed five percent (5%) of the replacement cost of the Building (unless Tenant agrees to pay any uninsured amount in excess of such five percent (5%)); or (iii) the damage occurs during the last twelve (12) months of the Lease Term and will take more than sixty (60) days to restore; provided, however, that if Landlord does not elect to terminate this Lease pursuant to Landlord’s termination right as provided above, and the repairs cannot, in the reasonable opinion of Landlord, be completed within eight (8) months days after the date of discovery of the damage (or are not in fact completed within nine (9) months after the date of discovery of the damage), Tenant may elect, no earlier than sixty (60) days after the date of the damage and not later than ninety (90) days after the date of such damage, or within thirty (30) days after such repairs are not timely completed, to terminate this Lease by written notice to Landlord effective as of the date specified in the notice, which date shall not be less than thirty (30) days nor more than sixty (60) days after the date such notice is given by Tenant.</w:t>
      </w:r>
    </w:p>
    <w:p>
      <w:pPr>
        <w:spacing w:after="0" w:line="327" w:lineRule="exact"/>
        <w:rPr>
          <w:sz w:val="20"/>
          <w:szCs w:val="20"/>
          <w:color w:val="auto"/>
        </w:rPr>
      </w:pPr>
    </w:p>
    <w:p>
      <w:pPr>
        <w:ind w:left="6" w:right="60" w:firstLine="385"/>
        <w:spacing w:after="0" w:line="324"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b w:val="1"/>
          <w:bCs w:val="1"/>
          <w:u w:val="single" w:color="auto"/>
          <w:color w:val="auto"/>
        </w:rPr>
        <w:t>Waiver of Statutory Provisions</w:t>
      </w:r>
      <w:r>
        <w:rPr>
          <w:rFonts w:ascii="Arial" w:cs="Arial" w:eastAsia="Arial" w:hAnsi="Arial"/>
          <w:sz w:val="13"/>
          <w:szCs w:val="13"/>
          <w:color w:val="auto"/>
        </w:rPr>
        <w:t xml:space="preserve">. The provisions of this Lease, including this </w:t>
      </w:r>
      <w:r>
        <w:rPr>
          <w:rFonts w:ascii="Arial" w:cs="Arial" w:eastAsia="Arial" w:hAnsi="Arial"/>
          <w:sz w:val="13"/>
          <w:szCs w:val="13"/>
          <w:u w:val="single" w:color="auto"/>
          <w:color w:val="auto"/>
        </w:rPr>
        <w:t>Article 11</w:t>
      </w:r>
      <w:r>
        <w:rPr>
          <w:rFonts w:ascii="Arial" w:cs="Arial" w:eastAsia="Arial" w:hAnsi="Arial"/>
          <w:sz w:val="13"/>
          <w:szCs w:val="13"/>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23" w:lineRule="exact"/>
        <w:rPr>
          <w:sz w:val="20"/>
          <w:szCs w:val="20"/>
          <w:color w:val="auto"/>
        </w:rPr>
      </w:pPr>
    </w:p>
    <w:p>
      <w:pPr>
        <w:ind w:left="6" w:right="100" w:hanging="6"/>
        <w:spacing w:after="0" w:line="311" w:lineRule="auto"/>
        <w:tabs>
          <w:tab w:leader="none" w:pos="242" w:val="left"/>
        </w:tabs>
        <w:numPr>
          <w:ilvl w:val="0"/>
          <w:numId w:val="26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NONWAIVER. </w:t>
      </w:r>
      <w:r>
        <w:rPr>
          <w:rFonts w:ascii="Arial" w:cs="Arial" w:eastAsia="Arial" w:hAnsi="Arial"/>
          <w:sz w:val="13"/>
          <w:szCs w:val="13"/>
          <w:color w:val="auto"/>
        </w:rPr>
        <w:t>No provision of this Lease shall be deemed waived by either party hereto unless expressly waived in a writing signed thereby. The</w:t>
      </w:r>
      <w:r>
        <w:rPr>
          <w:rFonts w:ascii="Arial" w:cs="Arial" w:eastAsia="Arial" w:hAnsi="Arial"/>
          <w:sz w:val="13"/>
          <w:szCs w:val="13"/>
          <w:b w:val="1"/>
          <w:bCs w:val="1"/>
          <w:color w:val="auto"/>
        </w:rPr>
        <w:t xml:space="preserve"> </w:t>
      </w:r>
      <w:r>
        <w:rPr>
          <w:rFonts w:ascii="Arial" w:cs="Arial" w:eastAsia="Arial" w:hAnsi="Arial"/>
          <w:sz w:val="13"/>
          <w:szCs w:val="13"/>
          <w:color w:val="auto"/>
        </w:rPr>
        <w:t>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321" w:lineRule="exact"/>
        <w:rPr>
          <w:rFonts w:ascii="Arial" w:cs="Arial" w:eastAsia="Arial" w:hAnsi="Arial"/>
          <w:sz w:val="13"/>
          <w:szCs w:val="13"/>
          <w:b w:val="1"/>
          <w:bCs w:val="1"/>
          <w:color w:val="auto"/>
        </w:rPr>
      </w:pPr>
    </w:p>
    <w:p>
      <w:pPr>
        <w:ind w:left="6" w:right="20" w:hanging="6"/>
        <w:spacing w:after="0" w:line="272" w:lineRule="auto"/>
        <w:tabs>
          <w:tab w:leader="none" w:pos="242" w:val="left"/>
        </w:tabs>
        <w:numPr>
          <w:ilvl w:val="0"/>
          <w:numId w:val="2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If the whole or any part of the Premises shall be taken by power of eminent domain or condemned by any competent 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public or quasi-public use or purpose, or if any adjacent property</w:t>
      </w:r>
    </w:p>
    <w:p>
      <w:pPr>
        <w:sectPr>
          <w:pgSz w:w="11900" w:h="16838" w:orient="portrait"/>
          <w:cols w:equalWidth="0" w:num="1">
            <w:col w:w="9606"/>
          </w:cols>
          <w:pgMar w:left="1134" w:top="256" w:right="1159" w:bottom="1440" w:gutter="0" w:footer="0" w:header="0"/>
        </w:sectPr>
      </w:pPr>
    </w:p>
    <w:bookmarkStart w:id="378" w:name="page379"/>
    <w:bookmarkEnd w:id="378"/>
    <w:p>
      <w:pPr>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or street shall be so taken or condemned, or reconfigured or vacated by such authority in such manner as to require the use or reconstruction of any part of the Premises, or if Landlord shall grant a deed or other instrument in lieu of such taking by eminent domain or condemnation, Landlord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for moving expenses, for the unamortized value of any improvements paid for by Tenant and for the Lease “bonus value”, so long as such claims are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Article 13,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ASSIGNMENT AND SUBLETTING.</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b w:val="1"/>
          <w:bCs w:val="1"/>
          <w:u w:val="single" w:color="auto"/>
          <w:color w:val="auto"/>
        </w:rPr>
        <w:t>Transfers</w:t>
      </w:r>
      <w:r>
        <w:rPr>
          <w:rFonts w:ascii="Arial" w:cs="Arial" w:eastAsia="Arial" w:hAnsi="Arial"/>
          <w:sz w:val="13"/>
          <w:szCs w:val="13"/>
          <w:color w:val="auto"/>
        </w:rPr>
        <w:t>. Tenant shall not, without the prior written consent of Landlord, assign, mortgage, pledge, hypothecate, encumber, or permit any</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lien to attach to, or otherwise transfer, this Lease or any interest hereunder, permit any assignment, or other transfer of this Lease or any interest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hereunder by operation of law, sublet the Premises or any part thereof, or enter into any license or concession agreements or otherwise permit the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occupancy or use of the Premises or any part thereof by any persons other than Tenant and its employees and contractors (all of the foregoing are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hereinafter sometimes referred to collectively as “</w:t>
      </w:r>
      <w:r>
        <w:rPr>
          <w:rFonts w:ascii="Arial" w:cs="Arial" w:eastAsia="Arial" w:hAnsi="Arial"/>
          <w:sz w:val="15"/>
          <w:szCs w:val="15"/>
          <w:b w:val="1"/>
          <w:bCs w:val="1"/>
          <w:color w:val="auto"/>
        </w:rPr>
        <w:t>Transfers</w:t>
      </w:r>
      <w:r>
        <w:rPr>
          <w:rFonts w:ascii="Arial" w:cs="Arial" w:eastAsia="Arial" w:hAnsi="Arial"/>
          <w:sz w:val="15"/>
          <w:szCs w:val="15"/>
          <w:color w:val="auto"/>
        </w:rPr>
        <w:t>” and any person to whom any Transfer is made or sought to be made is hereinafter</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sometimes referred to as a “</w:t>
      </w:r>
      <w:r>
        <w:rPr>
          <w:rFonts w:ascii="Arial" w:cs="Arial" w:eastAsia="Arial" w:hAnsi="Arial"/>
          <w:sz w:val="13"/>
          <w:szCs w:val="13"/>
          <w:b w:val="1"/>
          <w:bCs w:val="1"/>
          <w:color w:val="auto"/>
        </w:rPr>
        <w:t>Transferee</w:t>
      </w:r>
      <w:r>
        <w:rPr>
          <w:rFonts w:ascii="Arial" w:cs="Arial" w:eastAsia="Arial" w:hAnsi="Arial"/>
          <w:sz w:val="13"/>
          <w:szCs w:val="13"/>
          <w:color w:val="auto"/>
        </w:rPr>
        <w:t>”). If Tenant desires Landlord’s consent to any Transfer, Tenant shall notify Landlord in writing, which notice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Transfer Notice</w:t>
      </w:r>
      <w:r>
        <w:rPr>
          <w:rFonts w:ascii="Arial" w:cs="Arial" w:eastAsia="Arial" w:hAnsi="Arial"/>
          <w:sz w:val="13"/>
          <w:szCs w:val="13"/>
          <w:color w:val="auto"/>
        </w:rPr>
        <w:t>”) shall include (i) the proposed effective date of the Transfer, which shall not be less than thirty (30) days nor more than one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hundred eighty (180) days after the date of delivery of the Transfer Notice, (ii) a description of the portion of the Premises to be transferred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Subject Space</w:t>
      </w:r>
      <w:r>
        <w:rPr>
          <w:rFonts w:ascii="Arial" w:cs="Arial" w:eastAsia="Arial" w:hAnsi="Arial"/>
          <w:sz w:val="13"/>
          <w:szCs w:val="13"/>
          <w:color w:val="auto"/>
        </w:rPr>
        <w:t>”), (iii) all of the terms of the proposed Transfer and the consideration therefor, including calculation of the “</w:t>
      </w:r>
      <w:r>
        <w:rPr>
          <w:rFonts w:ascii="Arial" w:cs="Arial" w:eastAsia="Arial" w:hAnsi="Arial"/>
          <w:sz w:val="13"/>
          <w:szCs w:val="13"/>
          <w:b w:val="1"/>
          <w:bCs w:val="1"/>
          <w:color w:val="auto"/>
        </w:rPr>
        <w:t>Transfer Premium</w:t>
      </w:r>
      <w:r>
        <w:rPr>
          <w:rFonts w:ascii="Arial" w:cs="Arial" w:eastAsia="Arial" w:hAnsi="Arial"/>
          <w:sz w:val="13"/>
          <w:szCs w:val="13"/>
          <w:color w:val="auto"/>
        </w:rPr>
        <w:t>”, as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that term is defined in </w:t>
      </w:r>
      <w:r>
        <w:rPr>
          <w:rFonts w:ascii="Arial" w:cs="Arial" w:eastAsia="Arial" w:hAnsi="Arial"/>
          <w:sz w:val="13"/>
          <w:szCs w:val="13"/>
          <w:u w:val="single" w:color="auto"/>
          <w:color w:val="auto"/>
        </w:rPr>
        <w:t>Section 14.3</w:t>
      </w:r>
      <w:r>
        <w:rPr>
          <w:rFonts w:ascii="Arial" w:cs="Arial" w:eastAsia="Arial" w:hAnsi="Arial"/>
          <w:sz w:val="13"/>
          <w:szCs w:val="13"/>
          <w:color w:val="auto"/>
        </w:rPr>
        <w:t xml:space="preserve"> below, in connection with such Transfer, the name and address of the proposed Transferee, and a copy of all existing</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executed and/or proposed documentation pertaining to the proposed Transfer, and (iv) current financial statements of the proposed Transferee certified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by an officer, partner or owner thereof, and any other information reasonably required by Landlord which will enable Landlord to determine the</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financial responsibility, character, and reputation of the proposed Transferee, nature of such Transferee’s business and proposed use of the Subject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Space. Any Transfer made without Landlord’s prior written consent shall, at Landlord’s option, be null, void and of no effect, and shall, at Landlord’s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option, constitute a default by Tenant under this Lease. Whether or not Landlord consents to any proposed Transfer, Tenant shall pay Landlord’s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reasonable review and processing fees, as well as any reasonable professional fees (including, without limitation, attorneys’, accountants’, architects’,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engineers’ and consultants’ fees) incurred by Landlord (not to exceed $3,500 in the aggregate for any particular Transfer), within thirty (30) days after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written request by Landlord.</w:t>
      </w:r>
    </w:p>
    <w:p>
      <w:pPr>
        <w:spacing w:after="0" w:line="178" w:lineRule="exact"/>
        <w:rPr>
          <w:sz w:val="20"/>
          <w:szCs w:val="20"/>
          <w:color w:val="auto"/>
        </w:rPr>
      </w:pPr>
    </w:p>
    <w:p>
      <w:pPr>
        <w:ind w:right="100" w:firstLine="385"/>
        <w:spacing w:after="0" w:line="25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b w:val="1"/>
          <w:bCs w:val="1"/>
          <w:u w:val="single" w:color="auto"/>
          <w:color w:val="auto"/>
        </w:rPr>
        <w:t>Landlord’s Consent</w:t>
      </w:r>
      <w:r>
        <w:rPr>
          <w:rFonts w:ascii="Arial" w:cs="Arial" w:eastAsia="Arial" w:hAnsi="Arial"/>
          <w:sz w:val="16"/>
          <w:szCs w:val="16"/>
          <w:color w:val="auto"/>
        </w:rPr>
        <w:t>. Landlord shall not unreasonably withhold or delay its consent to any proposed Transfer of the Subject Space to the Transferee on the terms specified in the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68" w:lineRule="exact"/>
        <w:rPr>
          <w:sz w:val="20"/>
          <w:szCs w:val="20"/>
          <w:color w:val="auto"/>
        </w:rPr>
      </w:pPr>
    </w:p>
    <w:p>
      <w:pPr>
        <w:ind w:left="860"/>
        <w:spacing w:after="0"/>
        <w:rPr>
          <w:sz w:val="20"/>
          <w:szCs w:val="20"/>
          <w:color w:val="auto"/>
        </w:rPr>
      </w:pPr>
      <w:r>
        <w:rPr>
          <w:rFonts w:ascii="Arial" w:cs="Arial" w:eastAsia="Arial" w:hAnsi="Arial"/>
          <w:sz w:val="13"/>
          <w:szCs w:val="13"/>
          <w:color w:val="auto"/>
        </w:rPr>
        <w:t>14.2.1 The Transferee is of a character or reputation or engaged in a business which is not consistent with the quality of the Building or the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Project;</w:t>
      </w:r>
    </w:p>
    <w:p>
      <w:pPr>
        <w:spacing w:after="0" w:line="18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14.2.2 The Transferee is either a governmental agency or instrumentality thereof;</w:t>
      </w:r>
    </w:p>
    <w:p>
      <w:pPr>
        <w:spacing w:after="0" w:line="193" w:lineRule="exact"/>
        <w:rPr>
          <w:sz w:val="20"/>
          <w:szCs w:val="20"/>
          <w:color w:val="auto"/>
        </w:rPr>
      </w:pPr>
    </w:p>
    <w:p>
      <w:pPr>
        <w:ind w:right="80" w:firstLine="866"/>
        <w:spacing w:after="0" w:line="266" w:lineRule="auto"/>
        <w:rPr>
          <w:sz w:val="20"/>
          <w:szCs w:val="20"/>
          <w:color w:val="auto"/>
        </w:rPr>
      </w:pPr>
      <w:r>
        <w:rPr>
          <w:rFonts w:ascii="Arial" w:cs="Arial" w:eastAsia="Arial" w:hAnsi="Arial"/>
          <w:sz w:val="16"/>
          <w:szCs w:val="16"/>
          <w:color w:val="auto"/>
        </w:rPr>
        <w:t>14.2.3 The Transferee is not a party of reasonable financial worth and/or financial stability in light of the responsibilities to be undertaken in connection with the Transfer on the date consent is requested; or</w:t>
      </w:r>
    </w:p>
    <w:p>
      <w:pPr>
        <w:sectPr>
          <w:pgSz w:w="11900" w:h="16838" w:orient="portrait"/>
          <w:cols w:equalWidth="0" w:num="1">
            <w:col w:w="9600"/>
          </w:cols>
          <w:pgMar w:left="1140" w:top="256" w:right="1159" w:bottom="1440" w:gutter="0" w:footer="0" w:header="0"/>
        </w:sectPr>
      </w:pPr>
    </w:p>
    <w:bookmarkStart w:id="379" w:name="page380"/>
    <w:bookmarkEnd w:id="379"/>
    <w:p>
      <w:pPr>
        <w:ind w:right="100" w:firstLine="866"/>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14.2.4 The proposed Transfer would cause a violation of another lease for space in the Project, or would give an occupant of the Project a right to cancel its lease.</w:t>
      </w:r>
    </w:p>
    <w:p>
      <w:pPr>
        <w:spacing w:after="0" w:line="158" w:lineRule="exact"/>
        <w:rPr>
          <w:sz w:val="20"/>
          <w:szCs w:val="20"/>
          <w:color w:val="auto"/>
        </w:rPr>
      </w:pPr>
    </w:p>
    <w:p>
      <w:pPr>
        <w:ind w:right="20" w:firstLine="385"/>
        <w:spacing w:after="0" w:line="265" w:lineRule="auto"/>
        <w:rPr>
          <w:sz w:val="20"/>
          <w:szCs w:val="20"/>
          <w:color w:val="auto"/>
        </w:rPr>
      </w:pPr>
      <w:r>
        <w:rPr>
          <w:rFonts w:ascii="Arial" w:cs="Arial" w:eastAsia="Arial" w:hAnsi="Arial"/>
          <w:sz w:val="15"/>
          <w:szCs w:val="15"/>
          <w:color w:val="auto"/>
        </w:rPr>
        <w:t xml:space="preserve">If Landlord consents to any Transfer pursuant to the terms of this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(and does not exercise any recapture rights Landlord may have under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of this Lease), Tenant may within six (6) months after Landlord’s consent, but not later than the expiration of said six-month period, enter into such Transfer of the Premises or portion thereof, upon substantially the same terms and conditions as are set forth in the Transfer Notice furnished by Tenant to Landlord pursuant to </w:t>
      </w:r>
      <w:r>
        <w:rPr>
          <w:rFonts w:ascii="Arial" w:cs="Arial" w:eastAsia="Arial" w:hAnsi="Arial"/>
          <w:sz w:val="15"/>
          <w:szCs w:val="15"/>
          <w:u w:val="single" w:color="auto"/>
          <w:color w:val="auto"/>
        </w:rPr>
        <w:t>Section 14.1</w:t>
      </w:r>
      <w:r>
        <w:rPr>
          <w:rFonts w:ascii="Arial" w:cs="Arial" w:eastAsia="Arial" w:hAnsi="Arial"/>
          <w:sz w:val="15"/>
          <w:szCs w:val="15"/>
          <w:color w:val="auto"/>
        </w:rPr>
        <w:t xml:space="preserve"> of this Lease, provided that if there are any changes in the terms and conditions from those specified in the Transfer Notice such that Landlord would initially have been entitled to refuse its consent to such Transfer under this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Tenant shall again submit the Transfer to Landlord for its approval and other action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xml:space="preserve"> (including Landlord’s right of recapture, if any, under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of this Lease). Notwithstanding anything to the contrary in this Lease, if Tenant or any proposed Transferee claims that Landlord has unreasonably withheld or delayed its consent under </w:t>
      </w:r>
      <w:r>
        <w:rPr>
          <w:rFonts w:ascii="Arial" w:cs="Arial" w:eastAsia="Arial" w:hAnsi="Arial"/>
          <w:sz w:val="15"/>
          <w:szCs w:val="15"/>
          <w:u w:val="single" w:color="auto"/>
          <w:color w:val="auto"/>
        </w:rPr>
        <w:t>Section 14.2</w:t>
      </w:r>
      <w:r>
        <w:rPr>
          <w:rFonts w:ascii="Arial" w:cs="Arial" w:eastAsia="Arial" w:hAnsi="Arial"/>
          <w:sz w:val="15"/>
          <w:szCs w:val="15"/>
          <w:color w:val="auto"/>
        </w:rPr>
        <w:t xml:space="preserve"> or otherwise has breached or acted unreasonably under this </w:t>
      </w:r>
      <w:r>
        <w:rPr>
          <w:rFonts w:ascii="Arial" w:cs="Arial" w:eastAsia="Arial" w:hAnsi="Arial"/>
          <w:sz w:val="15"/>
          <w:szCs w:val="15"/>
          <w:u w:val="single" w:color="auto"/>
          <w:color w:val="auto"/>
        </w:rPr>
        <w:t>Article 14</w:t>
      </w:r>
      <w:r>
        <w:rPr>
          <w:rFonts w:ascii="Arial" w:cs="Arial" w:eastAsia="Arial" w:hAnsi="Arial"/>
          <w:sz w:val="15"/>
          <w:szCs w:val="15"/>
          <w:color w:val="auto"/>
        </w:rPr>
        <w:t>, their sole remedies shall be a suit for contract damages (other than damages for injury to, or interference with, Tenant’s business including, without limitation, loss of profits, however occurring) or declaratory judgment and an injunction for the relief sought, and Tenant hereby waives all other remedies, including, without limitation, any right at law or equity to terminate this Lease, on its own behalf and, to the extent permitted under all applicable laws, on behalf of the proposed Transferee.</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b w:val="1"/>
          <w:bCs w:val="1"/>
          <w:u w:val="single" w:color="auto"/>
          <w:color w:val="auto"/>
        </w:rPr>
        <w:t>Transfer Premium</w:t>
      </w:r>
      <w:r>
        <w:rPr>
          <w:rFonts w:ascii="Arial" w:cs="Arial" w:eastAsia="Arial" w:hAnsi="Arial"/>
          <w:sz w:val="13"/>
          <w:szCs w:val="13"/>
          <w:color w:val="auto"/>
        </w:rPr>
        <w:t>. If Landlord consents to a Transfer, as a condition thereto which the parties hereby agree is reasonable, Tenant shall pay</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to Landlord fifty percent (50%) of any “</w:t>
      </w:r>
      <w:r>
        <w:rPr>
          <w:rFonts w:ascii="Arial" w:cs="Arial" w:eastAsia="Arial" w:hAnsi="Arial"/>
          <w:sz w:val="13"/>
          <w:szCs w:val="13"/>
          <w:b w:val="1"/>
          <w:bCs w:val="1"/>
          <w:color w:val="auto"/>
        </w:rPr>
        <w:t>Transfer Premium</w:t>
      </w:r>
      <w:r>
        <w:rPr>
          <w:rFonts w:ascii="Arial" w:cs="Arial" w:eastAsia="Arial" w:hAnsi="Arial"/>
          <w:sz w:val="13"/>
          <w:szCs w:val="13"/>
          <w:color w:val="auto"/>
        </w:rPr>
        <w:t xml:space="preserve">,” as that term is defined in this </w:t>
      </w:r>
      <w:r>
        <w:rPr>
          <w:rFonts w:ascii="Arial" w:cs="Arial" w:eastAsia="Arial" w:hAnsi="Arial"/>
          <w:sz w:val="13"/>
          <w:szCs w:val="13"/>
          <w:u w:val="single" w:color="auto"/>
          <w:color w:val="auto"/>
        </w:rPr>
        <w:t>Section 14.3</w:t>
      </w:r>
      <w:r>
        <w:rPr>
          <w:rFonts w:ascii="Arial" w:cs="Arial" w:eastAsia="Arial" w:hAnsi="Arial"/>
          <w:sz w:val="13"/>
          <w:szCs w:val="13"/>
          <w:color w:val="auto"/>
        </w:rPr>
        <w:t>, received by Tenant from such Transferee.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 Premium</w:t>
      </w:r>
      <w:r>
        <w:rPr>
          <w:rFonts w:ascii="Arial" w:cs="Arial" w:eastAsia="Arial" w:hAnsi="Arial"/>
          <w:sz w:val="13"/>
          <w:szCs w:val="13"/>
          <w:color w:val="auto"/>
        </w:rPr>
        <w:t>” shall mean all rent, additional rent or other consideration payable by such Transferee in connection with the Transfer in excess of</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the Rent and Additional Rent payable by Tenant under this Lease during the term of the Transfer on a per rentable square foot basis if less than all of the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Premises is transferred, and after deduction of (i) any costs of improvements made to the Subject Space in connection with such Transfer, (ii) brokerage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commissions paid in connection with such Transfer, and (iii) reasonable legal fees incurred in connection with such Transfer. “</w:t>
      </w:r>
      <w:r>
        <w:rPr>
          <w:rFonts w:ascii="Arial" w:cs="Arial" w:eastAsia="Arial" w:hAnsi="Arial"/>
          <w:sz w:val="13"/>
          <w:szCs w:val="13"/>
          <w:b w:val="1"/>
          <w:bCs w:val="1"/>
          <w:color w:val="auto"/>
        </w:rPr>
        <w:t>Transfer Premium</w:t>
      </w:r>
      <w:r>
        <w:rPr>
          <w:rFonts w:ascii="Arial" w:cs="Arial" w:eastAsia="Arial" w:hAnsi="Arial"/>
          <w:sz w:val="13"/>
          <w:szCs w:val="13"/>
          <w:color w:val="auto"/>
        </w:rPr>
        <w:t>” shall</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also include, but not be limited to, key money, bonus money or other cash consideration paid by Transferee to Tenant in connection with such Transfer,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and any payment in excess of fair market value for services rendered by Tenant to Transferee or for assets, fixtures, inventory, equipment, or furniture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transferred by Tenant to Transferee in connection with such Transfer. The determination of the amount of Landlord’s applicable share of the Transfer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Premium shall be made on a monthly basis as rent or other consideration is received by Tenant under the Transfer.</w:t>
      </w:r>
    </w:p>
    <w:p>
      <w:pPr>
        <w:spacing w:after="0" w:line="178"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b w:val="1"/>
          <w:bCs w:val="1"/>
          <w:u w:val="single" w:color="auto"/>
          <w:color w:val="auto"/>
        </w:rPr>
        <w:t>Landlord’s Option as to Subject Space</w:t>
      </w:r>
      <w:r>
        <w:rPr>
          <w:rFonts w:ascii="Arial" w:cs="Arial" w:eastAsia="Arial" w:hAnsi="Arial"/>
          <w:sz w:val="13"/>
          <w:szCs w:val="13"/>
          <w:color w:val="auto"/>
        </w:rPr>
        <w:t xml:space="preserve">. Notwithstanding anything to the contrary contained in this </w:t>
      </w:r>
      <w:r>
        <w:rPr>
          <w:rFonts w:ascii="Arial" w:cs="Arial" w:eastAsia="Arial" w:hAnsi="Arial"/>
          <w:sz w:val="13"/>
          <w:szCs w:val="13"/>
          <w:u w:val="single" w:color="auto"/>
          <w:color w:val="auto"/>
        </w:rPr>
        <w:t>Article 14</w:t>
      </w:r>
      <w:r>
        <w:rPr>
          <w:rFonts w:ascii="Arial" w:cs="Arial" w:eastAsia="Arial" w:hAnsi="Arial"/>
          <w:sz w:val="13"/>
          <w:szCs w:val="13"/>
          <w:color w:val="auto"/>
        </w:rPr>
        <w:t>, in the event Tenant contemplates a Transfer other than to a Permitted Transferee which, together with all prior Transfers then remaining in effect, would cause fifty percent (50%) or more of the Premises to be Transferred for more than fifty percent (50%) of the then remaining Lease Term (taking into account any extension of the Lease Term which has irrevocably exercised by Tenant), Tenant shall give Landlord notice (the “</w:t>
      </w:r>
      <w:r>
        <w:rPr>
          <w:rFonts w:ascii="Arial" w:cs="Arial" w:eastAsia="Arial" w:hAnsi="Arial"/>
          <w:sz w:val="13"/>
          <w:szCs w:val="13"/>
          <w:b w:val="1"/>
          <w:bCs w:val="1"/>
          <w:color w:val="auto"/>
        </w:rPr>
        <w:t>Intention to Transfer Notice</w:t>
      </w:r>
      <w:r>
        <w:rPr>
          <w:rFonts w:ascii="Arial" w:cs="Arial" w:eastAsia="Arial" w:hAnsi="Arial"/>
          <w:sz w:val="13"/>
          <w:szCs w:val="13"/>
          <w:color w:val="auto"/>
        </w:rPr>
        <w:t>”) of such contemplated Transfer (whether or not the contemplated Transferee or the terms of such contemplated Transfer have been determined). The Intention to Transfer Notice shall specify the portion of and amount of rentable square feet of the Premises which Tenant intends to Transfer in the subject Transfer (the “</w:t>
      </w:r>
      <w:r>
        <w:rPr>
          <w:rFonts w:ascii="Arial" w:cs="Arial" w:eastAsia="Arial" w:hAnsi="Arial"/>
          <w:sz w:val="13"/>
          <w:szCs w:val="13"/>
          <w:b w:val="1"/>
          <w:bCs w:val="1"/>
          <w:color w:val="auto"/>
        </w:rPr>
        <w:t>Contemplated Transfer Space</w:t>
      </w:r>
      <w:r>
        <w:rPr>
          <w:rFonts w:ascii="Arial" w:cs="Arial" w:eastAsia="Arial" w:hAnsi="Arial"/>
          <w:sz w:val="13"/>
          <w:szCs w:val="13"/>
          <w:color w:val="auto"/>
        </w:rPr>
        <w:t>”), the contemplated date of commencement of the Contemplated Transfer (the “</w:t>
      </w:r>
      <w:r>
        <w:rPr>
          <w:rFonts w:ascii="Arial" w:cs="Arial" w:eastAsia="Arial" w:hAnsi="Arial"/>
          <w:sz w:val="13"/>
          <w:szCs w:val="13"/>
          <w:b w:val="1"/>
          <w:bCs w:val="1"/>
          <w:color w:val="auto"/>
        </w:rPr>
        <w:t>Contemplated Effective Date</w:t>
      </w:r>
      <w:r>
        <w:rPr>
          <w:rFonts w:ascii="Arial" w:cs="Arial" w:eastAsia="Arial" w:hAnsi="Arial"/>
          <w:sz w:val="13"/>
          <w:szCs w:val="13"/>
          <w:color w:val="auto"/>
        </w:rPr>
        <w:t xml:space="preserve">”), and the contemplated length of the term of such contemplated Transfer. Thereafter, Landlord shall have the option, by giving written notice to Tenant within thirty (30) days after receipt of any Intention to Transfer Notice, to recapture the Contemplated Transfer Space. Such recapture shall cancel and terminate this Lease with respect to such Contemplated Transfer Space as of the Contemplated Effective Date. In the event of a recapture by Landlord, if this Lease shall be canceled with respect to less than the entire Premises, the Rent reserved herein shall be prorated on the basis of the number of rentable square feet retained by Tenant in proportion to the number of rentable square feet contained in the Premises, and this Lease as so amended shall continue thereafter in full force and effect, and upon request of either party, the parties shall execute written confirmation of the same. If Landlord declines, or fails to elect in a timely manner, to recapture such Contemplated Transfer Space under this </w:t>
      </w:r>
      <w:r>
        <w:rPr>
          <w:rFonts w:ascii="Arial" w:cs="Arial" w:eastAsia="Arial" w:hAnsi="Arial"/>
          <w:sz w:val="13"/>
          <w:szCs w:val="13"/>
          <w:u w:val="single" w:color="auto"/>
          <w:color w:val="auto"/>
        </w:rPr>
        <w:t>Section 14.4</w:t>
      </w:r>
      <w:r>
        <w:rPr>
          <w:rFonts w:ascii="Arial" w:cs="Arial" w:eastAsia="Arial" w:hAnsi="Arial"/>
          <w:sz w:val="13"/>
          <w:szCs w:val="13"/>
          <w:color w:val="auto"/>
        </w:rPr>
        <w:t xml:space="preserve">, then, subject to the other terms of this </w:t>
      </w:r>
      <w:r>
        <w:rPr>
          <w:rFonts w:ascii="Arial" w:cs="Arial" w:eastAsia="Arial" w:hAnsi="Arial"/>
          <w:sz w:val="13"/>
          <w:szCs w:val="13"/>
          <w:u w:val="single" w:color="auto"/>
          <w:color w:val="auto"/>
        </w:rPr>
        <w:t>Article 14</w:t>
      </w:r>
      <w:r>
        <w:rPr>
          <w:rFonts w:ascii="Arial" w:cs="Arial" w:eastAsia="Arial" w:hAnsi="Arial"/>
          <w:sz w:val="13"/>
          <w:szCs w:val="13"/>
          <w:color w:val="auto"/>
        </w:rPr>
        <w:t>, for a period of nine (9) months (the “</w:t>
      </w:r>
      <w:r>
        <w:rPr>
          <w:rFonts w:ascii="Arial" w:cs="Arial" w:eastAsia="Arial" w:hAnsi="Arial"/>
          <w:sz w:val="13"/>
          <w:szCs w:val="13"/>
          <w:b w:val="1"/>
          <w:bCs w:val="1"/>
          <w:color w:val="auto"/>
        </w:rPr>
        <w:t>Nine Month Period</w:t>
      </w:r>
      <w:r>
        <w:rPr>
          <w:rFonts w:ascii="Arial" w:cs="Arial" w:eastAsia="Arial" w:hAnsi="Arial"/>
          <w:sz w:val="13"/>
          <w:szCs w:val="13"/>
          <w:color w:val="auto"/>
        </w:rPr>
        <w:t xml:space="preserve">”) commencing on the last day of such thirty (30) day period, Landlord shall not have any right to recapture the Contemplated Transfer Space with respect to any Transfer made during the Nine Month Period, provided that any such Transfer is substantially on the terms set forth in the Intention to Transfer Notice, and provided further that any such Transfer shall be subject to the remaining terms of this </w:t>
      </w:r>
      <w:r>
        <w:rPr>
          <w:rFonts w:ascii="Arial" w:cs="Arial" w:eastAsia="Arial" w:hAnsi="Arial"/>
          <w:sz w:val="13"/>
          <w:szCs w:val="13"/>
          <w:u w:val="single" w:color="auto"/>
          <w:color w:val="auto"/>
        </w:rPr>
        <w:t>Article 14</w:t>
      </w:r>
      <w:r>
        <w:rPr>
          <w:rFonts w:ascii="Arial" w:cs="Arial" w:eastAsia="Arial" w:hAnsi="Arial"/>
          <w:sz w:val="13"/>
          <w:szCs w:val="13"/>
          <w:color w:val="auto"/>
        </w:rPr>
        <w:t>. If such a Transfer is not so consummated within the Nine Month Period (or if a</w:t>
      </w:r>
    </w:p>
    <w:p>
      <w:pPr>
        <w:sectPr>
          <w:pgSz w:w="11900" w:h="16838" w:orient="portrait"/>
          <w:cols w:equalWidth="0" w:num="1">
            <w:col w:w="9600"/>
          </w:cols>
          <w:pgMar w:left="1140" w:top="256" w:right="1159" w:bottom="1440" w:gutter="0" w:footer="0" w:header="0"/>
        </w:sectPr>
      </w:pPr>
    </w:p>
    <w:bookmarkStart w:id="380" w:name="page381"/>
    <w:bookmarkEnd w:id="380"/>
    <w:p>
      <w:pPr>
        <w:ind w:left="6" w:right="40"/>
        <w:spacing w:after="0" w:line="27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Transfer is so consummated, then upon the expiration of the term of any Transfer of such Contemplated Transfer Space consummated within such Nine Month Period), Tenant shall again be required to submit a new Intention to Transfer Notice to Landlord with respect any contemplated Transfer, as provided above in this </w:t>
      </w:r>
      <w:r>
        <w:rPr>
          <w:rFonts w:ascii="Arial" w:cs="Arial" w:eastAsia="Arial" w:hAnsi="Arial"/>
          <w:sz w:val="15"/>
          <w:szCs w:val="15"/>
          <w:u w:val="single" w:color="auto"/>
          <w:color w:val="auto"/>
        </w:rPr>
        <w:t>Section 14.4</w:t>
      </w:r>
      <w:r>
        <w:rPr>
          <w:rFonts w:ascii="Arial" w:cs="Arial" w:eastAsia="Arial" w:hAnsi="Arial"/>
          <w:sz w:val="15"/>
          <w:szCs w:val="15"/>
          <w:color w:val="auto"/>
        </w:rPr>
        <w:t xml:space="preserve">. Tenant shall not be required to provide a separate Intention to Transfer Notice and Tenant’s request for Landlord’s consent to a Transfer shall satisfy Tenant’s obligations in this </w:t>
      </w:r>
      <w:r>
        <w:rPr>
          <w:rFonts w:ascii="Arial" w:cs="Arial" w:eastAsia="Arial" w:hAnsi="Arial"/>
          <w:sz w:val="15"/>
          <w:szCs w:val="15"/>
          <w:u w:val="single" w:color="auto"/>
          <w:color w:val="auto"/>
        </w:rPr>
        <w:t>Section 14.4</w:t>
      </w:r>
      <w:r>
        <w:rPr>
          <w:rFonts w:ascii="Arial" w:cs="Arial" w:eastAsia="Arial" w:hAnsi="Arial"/>
          <w:sz w:val="15"/>
          <w:szCs w:val="15"/>
          <w:color w:val="auto"/>
        </w:rPr>
        <w:t>.</w:t>
      </w:r>
    </w:p>
    <w:p>
      <w:pPr>
        <w:spacing w:after="0" w:line="149" w:lineRule="exact"/>
        <w:rPr>
          <w:sz w:val="20"/>
          <w:szCs w:val="20"/>
          <w:color w:val="auto"/>
        </w:rPr>
      </w:pPr>
    </w:p>
    <w:p>
      <w:pPr>
        <w:ind w:left="6" w:right="160" w:firstLine="385"/>
        <w:spacing w:after="0" w:line="307" w:lineRule="auto"/>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b w:val="1"/>
          <w:bCs w:val="1"/>
          <w:u w:val="single" w:color="auto"/>
          <w:color w:val="auto"/>
        </w:rPr>
        <w:t>Effect of Transfer</w:t>
      </w:r>
      <w:r>
        <w:rPr>
          <w:rFonts w:ascii="Arial" w:cs="Arial" w:eastAsia="Arial" w:hAnsi="Arial"/>
          <w:sz w:val="13"/>
          <w:szCs w:val="13"/>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w:t>
      </w:r>
    </w:p>
    <w:p>
      <w:pPr>
        <w:spacing w:after="0" w:line="2" w:lineRule="exact"/>
        <w:rPr>
          <w:sz w:val="20"/>
          <w:szCs w:val="20"/>
          <w:color w:val="auto"/>
        </w:rPr>
      </w:pPr>
    </w:p>
    <w:p>
      <w:pPr>
        <w:ind w:left="6" w:right="40" w:hanging="6"/>
        <w:spacing w:after="0" w:line="318" w:lineRule="auto"/>
        <w:tabs>
          <w:tab w:leader="none" w:pos="229" w:val="left"/>
        </w:tabs>
        <w:numPr>
          <w:ilvl w:val="0"/>
          <w:numId w:val="261"/>
        </w:numPr>
        <w:rPr>
          <w:rFonts w:ascii="Arial" w:cs="Arial" w:eastAsia="Arial" w:hAnsi="Arial"/>
          <w:sz w:val="13"/>
          <w:szCs w:val="13"/>
          <w:color w:val="auto"/>
        </w:rPr>
      </w:pPr>
      <w:r>
        <w:rPr>
          <w:rFonts w:ascii="Arial" w:cs="Arial" w:eastAsia="Arial" w:hAnsi="Arial"/>
          <w:sz w:val="13"/>
          <w:szCs w:val="13"/>
          <w:color w:val="auto"/>
        </w:rPr>
        <w:t>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two percent (2%), Tenant shall pay Landlord’s costs of such audit.</w:t>
      </w:r>
    </w:p>
    <w:p>
      <w:pPr>
        <w:spacing w:after="0" w:line="126" w:lineRule="exact"/>
        <w:rPr>
          <w:sz w:val="20"/>
          <w:szCs w:val="20"/>
          <w:color w:val="auto"/>
        </w:rPr>
      </w:pPr>
    </w:p>
    <w:p>
      <w:pPr>
        <w:jc w:val="both"/>
        <w:ind w:left="6" w:right="440" w:firstLine="385"/>
        <w:spacing w:after="0" w:line="346" w:lineRule="auto"/>
        <w:rPr>
          <w:sz w:val="20"/>
          <w:szCs w:val="20"/>
          <w:color w:val="auto"/>
        </w:rPr>
      </w:pPr>
      <w:r>
        <w:rPr>
          <w:rFonts w:ascii="Arial" w:cs="Arial" w:eastAsia="Arial" w:hAnsi="Arial"/>
          <w:sz w:val="13"/>
          <w:szCs w:val="13"/>
          <w:color w:val="auto"/>
        </w:rPr>
        <w:t xml:space="preserve">14.6 </w:t>
      </w:r>
      <w:r>
        <w:rPr>
          <w:rFonts w:ascii="Arial" w:cs="Arial" w:eastAsia="Arial" w:hAnsi="Arial"/>
          <w:sz w:val="13"/>
          <w:szCs w:val="13"/>
          <w:b w:val="1"/>
          <w:bCs w:val="1"/>
          <w:u w:val="single" w:color="auto"/>
          <w:color w:val="auto"/>
        </w:rPr>
        <w:t>Additional Transfers</w:t>
      </w:r>
      <w:r>
        <w:rPr>
          <w:rFonts w:ascii="Arial" w:cs="Arial" w:eastAsia="Arial" w:hAnsi="Arial"/>
          <w:sz w:val="13"/>
          <w:szCs w:val="13"/>
          <w:color w:val="auto"/>
        </w:rPr>
        <w:t>. For purposes of this Lease, the term “</w:t>
      </w:r>
      <w:r>
        <w:rPr>
          <w:rFonts w:ascii="Arial" w:cs="Arial" w:eastAsia="Arial" w:hAnsi="Arial"/>
          <w:sz w:val="13"/>
          <w:szCs w:val="13"/>
          <w:b w:val="1"/>
          <w:bCs w:val="1"/>
          <w:color w:val="auto"/>
        </w:rPr>
        <w:t>Transfer</w:t>
      </w:r>
      <w:r>
        <w:rPr>
          <w:rFonts w:ascii="Arial" w:cs="Arial" w:eastAsia="Arial" w:hAnsi="Arial"/>
          <w:sz w:val="13"/>
          <w:szCs w:val="13"/>
          <w:color w:val="auto"/>
        </w:rPr>
        <w:t>” shall also include if Tenant is a partnership, the withdrawal or change, voluntary, involuntary or by operation of law, of fifty percent (50%) or more of the partners, or transfer of fifty percent (50%) or more of partnership interests, within a twelve (12)-month period, or the dissolution of the partnership without immediate reconstitution thereof.</w:t>
      </w:r>
    </w:p>
    <w:p>
      <w:pPr>
        <w:spacing w:after="0" w:line="108"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14.7 </w:t>
      </w:r>
      <w:r>
        <w:rPr>
          <w:rFonts w:ascii="Arial" w:cs="Arial" w:eastAsia="Arial" w:hAnsi="Arial"/>
          <w:sz w:val="13"/>
          <w:szCs w:val="13"/>
          <w:b w:val="1"/>
          <w:bCs w:val="1"/>
          <w:u w:val="single" w:color="auto"/>
          <w:color w:val="auto"/>
        </w:rPr>
        <w:t>Occurrence of Default</w:t>
      </w:r>
      <w:r>
        <w:rPr>
          <w:rFonts w:ascii="Arial" w:cs="Arial" w:eastAsia="Arial" w:hAnsi="Arial"/>
          <w:sz w:val="13"/>
          <w:szCs w:val="13"/>
          <w:color w:val="auto"/>
        </w:rPr>
        <w:t xml:space="preserve">.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Landlord is hereby irrevocably authorized, as Tenant’s agent and attorney-in-fact, to direct any Transferee to make all payments under or in connection with the Transfer directly to Landlord (which Landlord shall apply towards Tenant’s obligations under this 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Arial" w:cs="Arial" w:eastAsia="Arial" w:hAnsi="Arial"/>
          <w:sz w:val="13"/>
          <w:szCs w:val="13"/>
          <w:u w:val="single" w:color="auto"/>
          <w:color w:val="auto"/>
        </w:rPr>
        <w:t>Article 14</w:t>
      </w:r>
      <w:r>
        <w:rPr>
          <w:rFonts w:ascii="Arial" w:cs="Arial" w:eastAsia="Arial" w:hAnsi="Arial"/>
          <w:sz w:val="13"/>
          <w:szCs w:val="13"/>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321" w:lineRule="exact"/>
        <w:rPr>
          <w:sz w:val="20"/>
          <w:szCs w:val="20"/>
          <w:color w:val="auto"/>
        </w:rPr>
      </w:pPr>
    </w:p>
    <w:p>
      <w:pPr>
        <w:ind w:left="6" w:right="20" w:firstLine="385"/>
        <w:spacing w:after="0" w:line="311" w:lineRule="auto"/>
        <w:rPr>
          <w:sz w:val="20"/>
          <w:szCs w:val="20"/>
          <w:color w:val="auto"/>
        </w:rPr>
      </w:pPr>
      <w:r>
        <w:rPr>
          <w:rFonts w:ascii="Arial" w:cs="Arial" w:eastAsia="Arial" w:hAnsi="Arial"/>
          <w:sz w:val="13"/>
          <w:szCs w:val="13"/>
          <w:color w:val="auto"/>
        </w:rPr>
        <w:t xml:space="preserve">14.8 </w:t>
      </w:r>
      <w:r>
        <w:rPr>
          <w:rFonts w:ascii="Arial" w:cs="Arial" w:eastAsia="Arial" w:hAnsi="Arial"/>
          <w:sz w:val="13"/>
          <w:szCs w:val="13"/>
          <w:b w:val="1"/>
          <w:bCs w:val="1"/>
          <w:u w:val="single" w:color="auto"/>
          <w:color w:val="auto"/>
        </w:rPr>
        <w:t>Non-Transfers</w:t>
      </w:r>
      <w:r>
        <w:rPr>
          <w:rFonts w:ascii="Arial" w:cs="Arial" w:eastAsia="Arial" w:hAnsi="Arial"/>
          <w:sz w:val="13"/>
          <w:szCs w:val="13"/>
          <w:color w:val="auto"/>
        </w:rPr>
        <w:t xml:space="preserve">. Notwithstanding anything to the contrary contained in this </w:t>
      </w:r>
      <w:r>
        <w:rPr>
          <w:rFonts w:ascii="Arial" w:cs="Arial" w:eastAsia="Arial" w:hAnsi="Arial"/>
          <w:sz w:val="13"/>
          <w:szCs w:val="13"/>
          <w:u w:val="single" w:color="auto"/>
          <w:color w:val="auto"/>
        </w:rPr>
        <w:t>Article 14</w:t>
      </w:r>
      <w:r>
        <w:rPr>
          <w:rFonts w:ascii="Arial" w:cs="Arial" w:eastAsia="Arial" w:hAnsi="Arial"/>
          <w:sz w:val="13"/>
          <w:szCs w:val="13"/>
          <w:color w:val="auto"/>
        </w:rPr>
        <w:t>, (i) an assignment or subletting of all or a portion of the Premises to an affiliate of Tenant (an entity which is controlled by, controls, or is under common control with, Tenant), (ii) an assignment of the Premises to an entity which acquires all or substantially all of the assets or interests (partnership, stock or other) of Tenant, (iii) an assignment of the Premises to an entity which is the resulting entity of a merger or consolidation of Tenant with another entity, or (iv) a sale of corporate shares of capital stock in Tenant in connection with an initial public offering of Tenant’s stock on a nationally-recognized stock exchange (collectively, a “</w:t>
      </w:r>
      <w:r>
        <w:rPr>
          <w:rFonts w:ascii="Arial" w:cs="Arial" w:eastAsia="Arial" w:hAnsi="Arial"/>
          <w:sz w:val="13"/>
          <w:szCs w:val="13"/>
          <w:b w:val="1"/>
          <w:bCs w:val="1"/>
          <w:color w:val="auto"/>
        </w:rPr>
        <w:t>Permitted</w:t>
      </w:r>
      <w:r>
        <w:rPr>
          <w:rFonts w:ascii="Arial" w:cs="Arial" w:eastAsia="Arial" w:hAnsi="Arial"/>
          <w:sz w:val="13"/>
          <w:szCs w:val="13"/>
          <w:color w:val="auto"/>
        </w:rPr>
        <w:t xml:space="preserve"> </w:t>
      </w:r>
      <w:r>
        <w:rPr>
          <w:rFonts w:ascii="Arial" w:cs="Arial" w:eastAsia="Arial" w:hAnsi="Arial"/>
          <w:sz w:val="13"/>
          <w:szCs w:val="13"/>
          <w:b w:val="1"/>
          <w:bCs w:val="1"/>
          <w:color w:val="auto"/>
        </w:rPr>
        <w:t>Transferee</w:t>
      </w:r>
      <w:r>
        <w:rPr>
          <w:rFonts w:ascii="Arial" w:cs="Arial" w:eastAsia="Arial" w:hAnsi="Arial"/>
          <w:sz w:val="13"/>
          <w:szCs w:val="13"/>
          <w:color w:val="auto"/>
        </w:rPr>
        <w:t>”), shall not be deemed a Transfer under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Article 14</w:t>
      </w:r>
      <w:r>
        <w:rPr>
          <w:rFonts w:ascii="Arial" w:cs="Arial" w:eastAsia="Arial" w:hAnsi="Arial"/>
          <w:sz w:val="13"/>
          <w:szCs w:val="13"/>
          <w:color w:val="auto"/>
        </w:rPr>
        <w:t>, provided that (A) Tenant notifies Landlord of any such assignment or sublease and</w:t>
      </w:r>
      <w:r>
        <w:rPr>
          <w:rFonts w:ascii="Arial" w:cs="Arial" w:eastAsia="Arial" w:hAnsi="Arial"/>
          <w:sz w:val="13"/>
          <w:szCs w:val="13"/>
          <w:b w:val="1"/>
          <w:bCs w:val="1"/>
          <w:color w:val="auto"/>
        </w:rPr>
        <w:t xml:space="preserve"> </w:t>
      </w:r>
      <w:r>
        <w:rPr>
          <w:rFonts w:ascii="Arial" w:cs="Arial" w:eastAsia="Arial" w:hAnsi="Arial"/>
          <w:sz w:val="13"/>
          <w:szCs w:val="13"/>
          <w:color w:val="auto"/>
        </w:rPr>
        <w:t>promptly supplies Landlord with any documents or information requested by Landlord regarding such assignment or sublease or such affiliate, (B) such assignment or sublease is not a subterfuge by Tenant to avoid its obligations under this Lease, (C) such Permitted Transferee shall be of a character and reputation consistent with the quality of the Building, and (D) such Permitted Transferee described in subpart (ii) or (iii) above shall have a tangible net worth (not including goodwill as an asset) computed in accordance with generally accepted accounting principles (“</w:t>
      </w:r>
      <w:r>
        <w:rPr>
          <w:rFonts w:ascii="Arial" w:cs="Arial" w:eastAsia="Arial" w:hAnsi="Arial"/>
          <w:sz w:val="13"/>
          <w:szCs w:val="13"/>
          <w:b w:val="1"/>
          <w:bCs w:val="1"/>
          <w:color w:val="auto"/>
        </w:rPr>
        <w:t>Net Worth</w:t>
      </w:r>
      <w:r>
        <w:rPr>
          <w:rFonts w:ascii="Arial" w:cs="Arial" w:eastAsia="Arial" w:hAnsi="Arial"/>
          <w:sz w:val="13"/>
          <w:szCs w:val="13"/>
          <w:color w:val="auto"/>
        </w:rPr>
        <w:t>”) at least equal to the Net Worth of Tenant on the day immediately preceding the effective date of such assignment or sublease. An assignee of Tenant’s entire interest that is also a Permitted Transferee may also be known as a “</w:t>
      </w:r>
      <w:r>
        <w:rPr>
          <w:rFonts w:ascii="Arial" w:cs="Arial" w:eastAsia="Arial" w:hAnsi="Arial"/>
          <w:sz w:val="13"/>
          <w:szCs w:val="13"/>
          <w:b w:val="1"/>
          <w:bCs w:val="1"/>
          <w:color w:val="auto"/>
        </w:rPr>
        <w:t>Permitted</w:t>
      </w:r>
    </w:p>
    <w:p>
      <w:pPr>
        <w:sectPr>
          <w:pgSz w:w="11900" w:h="16838" w:orient="portrait"/>
          <w:cols w:equalWidth="0" w:num="1">
            <w:col w:w="9566"/>
          </w:cols>
          <w:pgMar w:left="1134" w:top="256" w:right="1199" w:bottom="1440" w:gutter="0" w:footer="0" w:header="0"/>
        </w:sectPr>
      </w:pPr>
    </w:p>
    <w:bookmarkStart w:id="381" w:name="page382"/>
    <w:bookmarkEnd w:id="381"/>
    <w:p>
      <w:pPr>
        <w:jc w:val="both"/>
        <w:ind w:right="300"/>
        <w:spacing w:after="0" w:line="346" w:lineRule="auto"/>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Assignee</w:t>
      </w:r>
      <w:r>
        <w:rPr>
          <w:rFonts w:ascii="Arial" w:cs="Arial" w:eastAsia="Arial" w:hAnsi="Arial"/>
          <w:sz w:val="13"/>
          <w:szCs w:val="13"/>
          <w:color w:val="auto"/>
        </w:rPr>
        <w:t>”. “</w:t>
      </w:r>
      <w:r>
        <w:rPr>
          <w:rFonts w:ascii="Arial" w:cs="Arial" w:eastAsia="Arial" w:hAnsi="Arial"/>
          <w:sz w:val="13"/>
          <w:szCs w:val="13"/>
          <w:b w:val="1"/>
          <w:bCs w:val="1"/>
          <w:color w:val="auto"/>
        </w:rPr>
        <w:t>Control</w:t>
      </w:r>
      <w:r>
        <w:rPr>
          <w:rFonts w:ascii="Arial" w:cs="Arial" w:eastAsia="Arial" w:hAnsi="Arial"/>
          <w:sz w:val="13"/>
          <w:szCs w:val="13"/>
          <w:color w:val="auto"/>
        </w:rPr>
        <w:t>,” as used in this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Section 14.8</w:t>
      </w:r>
      <w:r>
        <w:rPr>
          <w:rFonts w:ascii="Arial" w:cs="Arial" w:eastAsia="Arial" w:hAnsi="Arial"/>
          <w:sz w:val="13"/>
          <w:szCs w:val="13"/>
          <w:color w:val="auto"/>
        </w:rPr>
        <w:t>, shall mean the ownership, directly or indirectly, of at least fifty-one percent (51%) of the voting</w:t>
      </w:r>
      <w:r>
        <w:rPr>
          <w:rFonts w:ascii="Arial" w:cs="Arial" w:eastAsia="Arial" w:hAnsi="Arial"/>
          <w:sz w:val="13"/>
          <w:szCs w:val="13"/>
          <w:b w:val="1"/>
          <w:bCs w:val="1"/>
          <w:color w:val="auto"/>
        </w:rPr>
        <w:t xml:space="preserve"> </w:t>
      </w:r>
      <w:r>
        <w:rPr>
          <w:rFonts w:ascii="Arial" w:cs="Arial" w:eastAsia="Arial" w:hAnsi="Arial"/>
          <w:sz w:val="13"/>
          <w:szCs w:val="13"/>
          <w:color w:val="auto"/>
        </w:rPr>
        <w:t>securities of, or possession of the right to vote, in the ordinary direction of its affairs, of at least fifty-one percent (51%) of the voting interest in, any person or entity. No such permitted assignment or subletting shall serve to release Tenant from any of its obligations under this Lease.</w:t>
      </w:r>
    </w:p>
    <w:p>
      <w:pPr>
        <w:spacing w:after="0" w:line="108" w:lineRule="exact"/>
        <w:rPr>
          <w:sz w:val="20"/>
          <w:szCs w:val="20"/>
          <w:color w:val="auto"/>
        </w:rPr>
      </w:pPr>
    </w:p>
    <w:p>
      <w:pPr>
        <w:ind w:right="40" w:firstLine="385"/>
        <w:spacing w:after="0" w:line="313" w:lineRule="auto"/>
        <w:rPr>
          <w:sz w:val="20"/>
          <w:szCs w:val="20"/>
          <w:color w:val="auto"/>
        </w:rPr>
      </w:pPr>
      <w:r>
        <w:rPr>
          <w:rFonts w:ascii="Arial" w:cs="Arial" w:eastAsia="Arial" w:hAnsi="Arial"/>
          <w:sz w:val="13"/>
          <w:szCs w:val="13"/>
          <w:color w:val="auto"/>
        </w:rPr>
        <w:t xml:space="preserve">14.9 </w:t>
      </w:r>
      <w:r>
        <w:rPr>
          <w:rFonts w:ascii="Arial" w:cs="Arial" w:eastAsia="Arial" w:hAnsi="Arial"/>
          <w:sz w:val="13"/>
          <w:szCs w:val="13"/>
          <w:b w:val="1"/>
          <w:bCs w:val="1"/>
          <w:u w:val="single" w:color="auto"/>
          <w:color w:val="auto"/>
        </w:rPr>
        <w:t>Pre-Approved Assignee</w:t>
      </w:r>
      <w:r>
        <w:rPr>
          <w:rFonts w:ascii="Arial" w:cs="Arial" w:eastAsia="Arial" w:hAnsi="Arial"/>
          <w:sz w:val="13"/>
          <w:szCs w:val="13"/>
          <w:color w:val="auto"/>
        </w:rPr>
        <w:t>. In addition to the foregoing and consistent with the terms of Section 14.8 subparts (A) – (C) above, Landlord and Tenant hereby acknowledge and agree that Original Tenant shall have the one-time right to assign its interest in this Lease without Landlord’s additional consent or being subject to the terms of Sections 14.1-14.4 above, to an entity in which Tenant owns at least fifty percent (50%) of the preferred shares and which entity has closed an equity financing with a current and future commitment of at least Thirty Million Dollars ($30,000,000) in cash or cash equivalents, as determined in accordance with generally accepted accounting practices, consistently applied (“</w:t>
      </w:r>
      <w:r>
        <w:rPr>
          <w:rFonts w:ascii="Arial" w:cs="Arial" w:eastAsia="Arial" w:hAnsi="Arial"/>
          <w:sz w:val="13"/>
          <w:szCs w:val="13"/>
          <w:b w:val="1"/>
          <w:bCs w:val="1"/>
          <w:color w:val="auto"/>
        </w:rPr>
        <w:t>GAAP</w:t>
      </w:r>
      <w:r>
        <w:rPr>
          <w:rFonts w:ascii="Arial" w:cs="Arial" w:eastAsia="Arial" w:hAnsi="Arial"/>
          <w:sz w:val="13"/>
          <w:szCs w:val="13"/>
          <w:color w:val="auto"/>
        </w:rPr>
        <w:t>”) and as evidenced by reasonable supporting documentation provided to Landlord. Such assignment shall be pursuant to the assignment form attached hereto as Exhibit I or another materially consistent form prepared by Tenant and approved by Landlord, which approval shall not be unreasonably withheld or delayed. The assignee pursuant to such an assignment shall be considered a “Permitted Assignee” hereunder. Upon such assignment pursuant to the express terms of this Section 14.9, notwithstanding Sections 14.5(v) and 14.8 above, Tenant shall be released by Landlord from all liability under this Lease.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SURRENDER OF PREMISES; OWNERSHIP AND REMOVAL OF TRADE FIXTURES.</w:t>
      </w:r>
    </w:p>
    <w:p>
      <w:pPr>
        <w:spacing w:after="0" w:line="193" w:lineRule="exact"/>
        <w:rPr>
          <w:sz w:val="20"/>
          <w:szCs w:val="20"/>
          <w:color w:val="auto"/>
        </w:rPr>
      </w:pPr>
    </w:p>
    <w:p>
      <w:pPr>
        <w:ind w:firstLine="385"/>
        <w:spacing w:after="0" w:line="317" w:lineRule="auto"/>
        <w:rPr>
          <w:sz w:val="20"/>
          <w:szCs w:val="20"/>
          <w:color w:val="auto"/>
        </w:rPr>
      </w:pPr>
      <w:r>
        <w:rPr>
          <w:rFonts w:ascii="Arial" w:cs="Arial" w:eastAsia="Arial" w:hAnsi="Arial"/>
          <w:sz w:val="13"/>
          <w:szCs w:val="13"/>
          <w:color w:val="auto"/>
        </w:rPr>
        <w:t xml:space="preserve">15.1 </w:t>
      </w:r>
      <w:r>
        <w:rPr>
          <w:rFonts w:ascii="Arial" w:cs="Arial" w:eastAsia="Arial" w:hAnsi="Arial"/>
          <w:sz w:val="13"/>
          <w:szCs w:val="13"/>
          <w:b w:val="1"/>
          <w:bCs w:val="1"/>
          <w:u w:val="single" w:color="auto"/>
          <w:color w:val="auto"/>
        </w:rPr>
        <w:t>Surrender of Premises</w:t>
      </w:r>
      <w:r>
        <w:rPr>
          <w:rFonts w:ascii="Arial" w:cs="Arial" w:eastAsia="Arial" w:hAnsi="Arial"/>
          <w:sz w:val="13"/>
          <w:szCs w:val="13"/>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27" w:lineRule="exact"/>
        <w:rPr>
          <w:sz w:val="20"/>
          <w:szCs w:val="20"/>
          <w:color w:val="auto"/>
        </w:rPr>
      </w:pPr>
    </w:p>
    <w:p>
      <w:pPr>
        <w:ind w:right="20" w:firstLine="385"/>
        <w:spacing w:after="0" w:line="315"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b w:val="1"/>
          <w:bCs w:val="1"/>
          <w:u w:val="single" w:color="auto"/>
          <w:color w:val="auto"/>
        </w:rPr>
        <w:t>Removal of Tenant Property by Tenant</w:t>
      </w:r>
      <w:r>
        <w:rPr>
          <w:rFonts w:ascii="Arial" w:cs="Arial" w:eastAsia="Arial" w:hAnsi="Arial"/>
          <w:sz w:val="13"/>
          <w:szCs w:val="13"/>
          <w:color w:val="auto"/>
        </w:rPr>
        <w:t xml:space="preserve">. Upon the expiration of the Lease Term, or upon any earlier termination of this Lease, Tenant shall, subject to the provisions of this </w:t>
      </w:r>
      <w:r>
        <w:rPr>
          <w:rFonts w:ascii="Arial" w:cs="Arial" w:eastAsia="Arial" w:hAnsi="Arial"/>
          <w:sz w:val="13"/>
          <w:szCs w:val="13"/>
          <w:u w:val="single" w:color="auto"/>
          <w:color w:val="auto"/>
        </w:rPr>
        <w:t>Article 15</w:t>
      </w:r>
      <w:r>
        <w:rPr>
          <w:rFonts w:ascii="Arial" w:cs="Arial" w:eastAsia="Arial" w:hAnsi="Arial"/>
          <w:sz w:val="13"/>
          <w:szCs w:val="13"/>
          <w:color w:val="auto"/>
        </w:rPr>
        <w:t>, quit and surrender possession of the Premises to Landlord in as good order and condition as when Tenant took possession and as thereafter improved by Landlord and/or Tenant, reasonable wear and tear, damage caused by casualty, repairs required as a result of condemnation, and repairs which are specifically made the responsibility of Landlord hereunder excepted. Upon such expiration or termination, Tenant shall, without expense to Landlord, remove or cause to be removed from the Premises all debris and rubbish, and such items of furniture, equipment, free-standing cabinet work, movable partitions (but not demountable walls)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28" w:lineRule="exact"/>
        <w:rPr>
          <w:sz w:val="20"/>
          <w:szCs w:val="20"/>
          <w:color w:val="auto"/>
        </w:rPr>
      </w:pPr>
    </w:p>
    <w:p>
      <w:pPr>
        <w:ind w:right="120" w:firstLine="385"/>
        <w:spacing w:after="0" w:line="269" w:lineRule="auto"/>
        <w:rPr>
          <w:sz w:val="20"/>
          <w:szCs w:val="20"/>
          <w:color w:val="auto"/>
        </w:rPr>
      </w:pPr>
      <w:r>
        <w:rPr>
          <w:rFonts w:ascii="Arial" w:cs="Arial" w:eastAsia="Arial" w:hAnsi="Arial"/>
          <w:sz w:val="15"/>
          <w:szCs w:val="15"/>
          <w:color w:val="auto"/>
        </w:rPr>
        <w:t xml:space="preserve">15.3 </w:t>
      </w:r>
      <w:r>
        <w:rPr>
          <w:rFonts w:ascii="Arial" w:cs="Arial" w:eastAsia="Arial" w:hAnsi="Arial"/>
          <w:sz w:val="15"/>
          <w:szCs w:val="15"/>
          <w:b w:val="1"/>
          <w:bCs w:val="1"/>
          <w:u w:val="single" w:color="auto"/>
          <w:color w:val="auto"/>
        </w:rPr>
        <w:t>Environmental Assessment</w:t>
      </w:r>
      <w:r>
        <w:rPr>
          <w:rFonts w:ascii="Arial" w:cs="Arial" w:eastAsia="Arial" w:hAnsi="Arial"/>
          <w:sz w:val="15"/>
          <w:szCs w:val="15"/>
          <w:color w:val="auto"/>
        </w:rPr>
        <w:t xml:space="preserve">. In connection with its surrender of the Premises, Tenant shall submit to Landlord, at least fifteen (15) days prior to the expiration date of this Lease (or in the event of an earlier termination of this Lease, as soon as reasonably possible following such termination), an environmental Assessment of the Premises by a competent and experienced environmental engineer or engineering firm reasonably satisfactory to Landlord (pursuant to a contract approved by Landlord and providing that Landlord can rely on the Environmental Assessment). If such Environmental Assessment reveals that remediation or Clean-up is required under any Environmental Laws that Tenant is responsible for under this Lease, Tenant shall submit a remediation plan prepared by a recognized environmental consultant and shall be responsible for all costs of remediation and Clean-up, as more particularly provided in </w:t>
      </w:r>
      <w:r>
        <w:rPr>
          <w:rFonts w:ascii="Arial" w:cs="Arial" w:eastAsia="Arial" w:hAnsi="Arial"/>
          <w:sz w:val="15"/>
          <w:szCs w:val="15"/>
          <w:u w:val="single" w:color="auto"/>
          <w:color w:val="auto"/>
        </w:rPr>
        <w:t>Section 5.3</w:t>
      </w:r>
      <w:r>
        <w:rPr>
          <w:rFonts w:ascii="Arial" w:cs="Arial" w:eastAsia="Arial" w:hAnsi="Arial"/>
          <w:sz w:val="15"/>
          <w:szCs w:val="15"/>
          <w:color w:val="auto"/>
        </w:rPr>
        <w:t>, above.</w:t>
      </w:r>
    </w:p>
    <w:p>
      <w:pPr>
        <w:spacing w:after="0" w:line="156" w:lineRule="exact"/>
        <w:rPr>
          <w:sz w:val="20"/>
          <w:szCs w:val="20"/>
          <w:color w:val="auto"/>
        </w:rPr>
      </w:pPr>
    </w:p>
    <w:p>
      <w:pPr>
        <w:ind w:firstLine="385"/>
        <w:spacing w:after="0" w:line="259"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u w:val="single" w:color="auto"/>
          <w:color w:val="auto"/>
        </w:rPr>
        <w:t>Condition of the Building and Premises Upon Surrender</w:t>
      </w:r>
      <w:r>
        <w:rPr>
          <w:rFonts w:ascii="Arial" w:cs="Arial" w:eastAsia="Arial" w:hAnsi="Arial"/>
          <w:sz w:val="16"/>
          <w:szCs w:val="16"/>
          <w:color w:val="auto"/>
        </w:rPr>
        <w:t xml:space="preserve">. In addition to the above requirements of this </w:t>
      </w:r>
      <w:r>
        <w:rPr>
          <w:rFonts w:ascii="Arial" w:cs="Arial" w:eastAsia="Arial" w:hAnsi="Arial"/>
          <w:sz w:val="16"/>
          <w:szCs w:val="16"/>
          <w:u w:val="single" w:color="auto"/>
          <w:color w:val="auto"/>
        </w:rPr>
        <w:t>Article 15</w:t>
      </w:r>
      <w:r>
        <w:rPr>
          <w:rFonts w:ascii="Arial" w:cs="Arial" w:eastAsia="Arial" w:hAnsi="Arial"/>
          <w:sz w:val="16"/>
          <w:szCs w:val="16"/>
          <w:color w:val="auto"/>
        </w:rPr>
        <w:t>, upon the expiration of the Lease Term, or upon any earlier termination of this Lease, Tenant shall, surrender the Premises and Building with Tenant having complied with all of Tenant’s obligations under this Lease,</w:t>
      </w:r>
    </w:p>
    <w:p>
      <w:pPr>
        <w:sectPr>
          <w:pgSz w:w="11900" w:h="16838" w:orient="portrait"/>
          <w:cols w:equalWidth="0" w:num="1">
            <w:col w:w="9600"/>
          </w:cols>
          <w:pgMar w:left="1140" w:top="252" w:right="1159" w:bottom="1440" w:gutter="0" w:footer="0" w:header="0"/>
        </w:sectPr>
      </w:pPr>
    </w:p>
    <w:bookmarkStart w:id="382" w:name="page383"/>
    <w:bookmarkEnd w:id="382"/>
    <w:p>
      <w:pPr>
        <w:ind w:left="6" w:right="20"/>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including those relating to improvement, repair, maintenance, compliance with law, testing and other related obligations of Tenant set forth in </w:t>
      </w:r>
      <w:r>
        <w:rPr>
          <w:rFonts w:ascii="Arial" w:cs="Arial" w:eastAsia="Arial" w:hAnsi="Arial"/>
          <w:sz w:val="15"/>
          <w:szCs w:val="15"/>
          <w:u w:val="single" w:color="auto"/>
          <w:color w:val="auto"/>
        </w:rPr>
        <w:t>Article 7</w:t>
      </w:r>
      <w:r>
        <w:rPr>
          <w:rFonts w:ascii="Arial" w:cs="Arial" w:eastAsia="Arial" w:hAnsi="Arial"/>
          <w:sz w:val="15"/>
          <w:szCs w:val="15"/>
          <w:color w:val="auto"/>
        </w:rPr>
        <w:t xml:space="preserve"> of this Lease. In the event that the Building and Premises shall be surrendered in a condition which does not comply with the terms of this </w:t>
      </w:r>
      <w:r>
        <w:rPr>
          <w:rFonts w:ascii="Arial" w:cs="Arial" w:eastAsia="Arial" w:hAnsi="Arial"/>
          <w:sz w:val="15"/>
          <w:szCs w:val="15"/>
          <w:u w:val="single" w:color="auto"/>
          <w:color w:val="auto"/>
        </w:rPr>
        <w:t>Section 15.4</w:t>
      </w:r>
      <w:r>
        <w:rPr>
          <w:rFonts w:ascii="Arial" w:cs="Arial" w:eastAsia="Arial" w:hAnsi="Arial"/>
          <w:sz w:val="15"/>
          <w:szCs w:val="15"/>
          <w:color w:val="auto"/>
        </w:rPr>
        <w:t xml:space="preserve">, because Tenant failed to comply with its obligations set forth in Lease, then following thirty (30) days’ notice to Tenant, during which thirty (30) day period Tenant shall have the right to cure such noncompliance, Landlord shall be entitled to expend all reasonable costs in order to cause the same to comply with the required condition upon surrender and Tenant shall immediately reimburse Landlord for all such costs upon notice and, commencing on the later of the termination of this Lease and three (3) business days after Landlord’s delivery of notice of such failure and that it elects to treat such failure as a holdover, Tenant shall be deemed during the period that Tenant or Landlord, as the case may be, perform obligations relating to the Surrender Improvements to be in holdover under </w:t>
      </w:r>
      <w:r>
        <w:rPr>
          <w:rFonts w:ascii="Arial" w:cs="Arial" w:eastAsia="Arial" w:hAnsi="Arial"/>
          <w:sz w:val="15"/>
          <w:szCs w:val="15"/>
          <w:u w:val="single" w:color="auto"/>
          <w:color w:val="auto"/>
        </w:rPr>
        <w:t>Article 16</w:t>
      </w:r>
      <w:r>
        <w:rPr>
          <w:rFonts w:ascii="Arial" w:cs="Arial" w:eastAsia="Arial" w:hAnsi="Arial"/>
          <w:sz w:val="15"/>
          <w:szCs w:val="15"/>
          <w:color w:val="auto"/>
        </w:rPr>
        <w:t xml:space="preserve"> of this Lease.</w:t>
      </w:r>
    </w:p>
    <w:p>
      <w:pPr>
        <w:spacing w:after="0" w:line="159" w:lineRule="exact"/>
        <w:rPr>
          <w:sz w:val="20"/>
          <w:szCs w:val="20"/>
          <w:color w:val="auto"/>
        </w:rPr>
      </w:pPr>
    </w:p>
    <w:p>
      <w:pPr>
        <w:ind w:left="6" w:right="40" w:hanging="6"/>
        <w:spacing w:after="0" w:line="310" w:lineRule="auto"/>
        <w:tabs>
          <w:tab w:leader="none" w:pos="242" w:val="left"/>
        </w:tabs>
        <w:numPr>
          <w:ilvl w:val="0"/>
          <w:numId w:val="2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HOLDING OVER. </w:t>
      </w:r>
      <w:r>
        <w:rPr>
          <w:rFonts w:ascii="Arial" w:cs="Arial" w:eastAsia="Arial" w:hAnsi="Arial"/>
          <w:sz w:val="13"/>
          <w:szCs w:val="13"/>
          <w:color w:val="auto"/>
        </w:rPr>
        <w:t>If Tenant holds over after the expiration of the Lease Term or earlier termination thereof, with the express or implied consent of</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such tenancy shall be from month-to-month only, and shall not constitute a renewal hereof or an extension for any further term. If Tenant holds over after the expiration of the Lease Term of earlier termination thereof, without the express or implied consent of Landlord, such tenancy shall be deemed to be a tenancy by sufferance only, and shall not constitute a renewal hereof or an extension for any further term. In either case, Base Rent shall be payable at a monthly rate equal to one hundred fifty percent (150%) of the Base Rent applicable during the last rental period of the Lease Term under this Lease. Such month-to-month tenancy or tenancy by sufferance, as the case may be, shall be subject to every other applicable term, covenant and agreement contained herein. Nothing contained in this Article 16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Article 16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323" w:lineRule="exact"/>
        <w:rPr>
          <w:rFonts w:ascii="Arial" w:cs="Arial" w:eastAsia="Arial" w:hAnsi="Arial"/>
          <w:sz w:val="13"/>
          <w:szCs w:val="13"/>
          <w:b w:val="1"/>
          <w:bCs w:val="1"/>
          <w:color w:val="auto"/>
        </w:rPr>
      </w:pPr>
    </w:p>
    <w:p>
      <w:pPr>
        <w:ind w:left="6" w:right="20" w:hanging="6"/>
        <w:spacing w:after="0" w:line="311" w:lineRule="auto"/>
        <w:tabs>
          <w:tab w:leader="none" w:pos="242" w:val="left"/>
        </w:tabs>
        <w:numPr>
          <w:ilvl w:val="0"/>
          <w:numId w:val="262"/>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ESTOPPEL CERTIFICATES. </w:t>
      </w:r>
      <w:r>
        <w:rPr>
          <w:rFonts w:ascii="Arial" w:cs="Arial" w:eastAsia="Arial" w:hAnsi="Arial"/>
          <w:sz w:val="13"/>
          <w:szCs w:val="13"/>
          <w:color w:val="auto"/>
        </w:rPr>
        <w:t>Within ten (10) business days following a request in writing by Landlord, Tenant shall execute, acknowledge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deliver to Landlord an estoppel certificate, which, as submitted by Landlord, shall be substantially in the form of </w:t>
      </w:r>
      <w:r>
        <w:rPr>
          <w:rFonts w:ascii="Arial" w:cs="Arial" w:eastAsia="Arial" w:hAnsi="Arial"/>
          <w:sz w:val="13"/>
          <w:szCs w:val="13"/>
          <w:b w:val="1"/>
          <w:bCs w:val="1"/>
          <w:u w:val="single" w:color="auto"/>
          <w:color w:val="auto"/>
        </w:rPr>
        <w:t>Exhibit D</w:t>
      </w:r>
      <w:r>
        <w:rPr>
          <w:rFonts w:ascii="Arial" w:cs="Arial" w:eastAsia="Arial" w:hAnsi="Arial"/>
          <w:sz w:val="13"/>
          <w:szCs w:val="13"/>
          <w:color w:val="auto"/>
        </w:rPr>
        <w:t>, attached hereto (or such other form as may be reasonably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in connection with a sale or financing of the Building by Landlord, Landlord may require Tenant to provide Landlord with its most recent annual financial statement and annual financial statements of the preceding two (2) years. Such statements shall be prepared in accordance with generally accepted accounting principles and, if such is the normal practice of Tenant, shall be audited by an independent certified public accountant. Landlord shall hold such statements confidential.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32" w:lineRule="exact"/>
        <w:rPr>
          <w:rFonts w:ascii="Arial" w:cs="Arial" w:eastAsia="Arial" w:hAnsi="Arial"/>
          <w:sz w:val="13"/>
          <w:szCs w:val="13"/>
          <w:b w:val="1"/>
          <w:bCs w:val="1"/>
          <w:color w:val="auto"/>
        </w:rPr>
      </w:pPr>
    </w:p>
    <w:p>
      <w:pPr>
        <w:ind w:left="6" w:hanging="6"/>
        <w:spacing w:after="0" w:line="267" w:lineRule="auto"/>
        <w:tabs>
          <w:tab w:leader="none" w:pos="242" w:val="left"/>
        </w:tabs>
        <w:numPr>
          <w:ilvl w:val="0"/>
          <w:numId w:val="2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SUBORDINATION. </w:t>
      </w:r>
      <w:r>
        <w:rPr>
          <w:rFonts w:ascii="Arial" w:cs="Arial" w:eastAsia="Arial" w:hAnsi="Arial"/>
          <w:sz w:val="15"/>
          <w:szCs w:val="15"/>
          <w:color w:val="auto"/>
        </w:rPr>
        <w:t>Landlord hereby represents and warrants to Tenant that the Project is not currently subject to any ground lease, or to the lien of</w:t>
      </w:r>
      <w:r>
        <w:rPr>
          <w:rFonts w:ascii="Arial" w:cs="Arial" w:eastAsia="Arial" w:hAnsi="Arial"/>
          <w:sz w:val="15"/>
          <w:szCs w:val="15"/>
          <w:b w:val="1"/>
          <w:bCs w:val="1"/>
          <w:color w:val="auto"/>
        </w:rPr>
        <w:t xml:space="preserve"> </w:t>
      </w:r>
      <w:r>
        <w:rPr>
          <w:rFonts w:ascii="Arial" w:cs="Arial" w:eastAsia="Arial" w:hAnsi="Arial"/>
          <w:sz w:val="15"/>
          <w:szCs w:val="15"/>
          <w:color w:val="auto"/>
        </w:rPr>
        <w:t>any mortgage or deed of trust. This Lease shall be subject and subordinate to all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The subordination of this Lease to any such future ground or underlying leases of the Building or Project or to the lien of any mortgage, trust deed or other encumbrances, shall be subject to Tenant’s receipt of a commercially reasonable subordination, non-disturbance, and attornment agreement in favor of Tenant. Tenant covenants and agrees in the event any proceedings are brought for the foreclosure of any such mortgage or deed in</w:t>
      </w:r>
    </w:p>
    <w:p>
      <w:pPr>
        <w:sectPr>
          <w:pgSz w:w="11900" w:h="16838" w:orient="portrait"/>
          <w:cols w:equalWidth="0" w:num="1">
            <w:col w:w="9626"/>
          </w:cols>
          <w:pgMar w:left="1134" w:top="256" w:right="1139" w:bottom="1440" w:gutter="0" w:footer="0" w:header="0"/>
        </w:sectPr>
      </w:pPr>
    </w:p>
    <w:bookmarkStart w:id="383" w:name="page384"/>
    <w:bookmarkEnd w:id="383"/>
    <w:p>
      <w:pPr>
        <w:ind w:left="6" w:right="12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5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19. DEFAULTS; REMEDIES.</w:t>
      </w:r>
    </w:p>
    <w:p>
      <w:pPr>
        <w:spacing w:after="0" w:line="193"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19.1 </w:t>
      </w:r>
      <w:r>
        <w:rPr>
          <w:rFonts w:ascii="Arial" w:cs="Arial" w:eastAsia="Arial" w:hAnsi="Arial"/>
          <w:sz w:val="16"/>
          <w:szCs w:val="16"/>
          <w:b w:val="1"/>
          <w:bCs w:val="1"/>
          <w:u w:val="single" w:color="auto"/>
          <w:color w:val="auto"/>
        </w:rPr>
        <w:t>Events of Default</w:t>
      </w:r>
      <w:r>
        <w:rPr>
          <w:rFonts w:ascii="Arial" w:cs="Arial" w:eastAsia="Arial" w:hAnsi="Arial"/>
          <w:sz w:val="16"/>
          <w:szCs w:val="16"/>
          <w:color w:val="auto"/>
        </w:rPr>
        <w:t>. The occurrence of any of the following shall constitute a default of this Lease by Tenant:</w:t>
      </w:r>
    </w:p>
    <w:p>
      <w:pPr>
        <w:spacing w:after="0" w:line="197" w:lineRule="exact"/>
        <w:rPr>
          <w:sz w:val="20"/>
          <w:szCs w:val="20"/>
          <w:color w:val="auto"/>
        </w:rPr>
      </w:pPr>
    </w:p>
    <w:p>
      <w:pPr>
        <w:ind w:left="6" w:firstLine="866"/>
        <w:spacing w:after="0" w:line="266" w:lineRule="auto"/>
        <w:rPr>
          <w:sz w:val="20"/>
          <w:szCs w:val="20"/>
          <w:color w:val="auto"/>
        </w:rPr>
      </w:pPr>
      <w:r>
        <w:rPr>
          <w:rFonts w:ascii="Arial" w:cs="Arial" w:eastAsia="Arial" w:hAnsi="Arial"/>
          <w:sz w:val="16"/>
          <w:szCs w:val="16"/>
          <w:color w:val="auto"/>
        </w:rPr>
        <w:t>19.1.1 Any failure by Tenant to pay any Rent or any other charge required to be paid under this Lease, or any part thereof, when due unless such failure is cured within five (5) business days after notice; or</w:t>
      </w:r>
    </w:p>
    <w:p>
      <w:pPr>
        <w:spacing w:after="0" w:line="158" w:lineRule="exact"/>
        <w:rPr>
          <w:sz w:val="20"/>
          <w:szCs w:val="20"/>
          <w:color w:val="auto"/>
        </w:rPr>
      </w:pPr>
    </w:p>
    <w:p>
      <w:pPr>
        <w:ind w:left="6" w:right="80" w:firstLine="866"/>
        <w:spacing w:after="0" w:line="307" w:lineRule="auto"/>
        <w:rPr>
          <w:sz w:val="20"/>
          <w:szCs w:val="20"/>
          <w:color w:val="auto"/>
        </w:rPr>
      </w:pPr>
      <w:r>
        <w:rPr>
          <w:rFonts w:ascii="Arial" w:cs="Arial" w:eastAsia="Arial" w:hAnsi="Arial"/>
          <w:sz w:val="13"/>
          <w:szCs w:val="13"/>
          <w:color w:val="auto"/>
        </w:rPr>
        <w:t xml:space="preserve">19.1.2 Except where a specific time period is otherwise set forth for Tenant’s performance in this Lease, in which event the failure to perform by Tenant within such time period shall be a default by Tenant under this </w:t>
      </w:r>
      <w:r>
        <w:rPr>
          <w:rFonts w:ascii="Arial" w:cs="Arial" w:eastAsia="Arial" w:hAnsi="Arial"/>
          <w:sz w:val="13"/>
          <w:szCs w:val="13"/>
          <w:u w:val="single" w:color="auto"/>
          <w:color w:val="auto"/>
        </w:rPr>
        <w:t>Section 19.1.2</w:t>
      </w:r>
      <w:r>
        <w:rPr>
          <w:rFonts w:ascii="Arial" w:cs="Arial" w:eastAsia="Arial" w:hAnsi="Arial"/>
          <w:sz w:val="13"/>
          <w:szCs w:val="13"/>
          <w:color w:val="auto"/>
        </w:rPr>
        <w:t>, any failure by Tenant to observe or perform any other provision, covenant or condition of this Lease to be observed or performed by Tenant where such failure continues for thirty (30) days after written notice thereof from Landlord to Tenant; provided that if the nature of such default is such that the same cannot reasonably be cured within a thirty</w:t>
      </w:r>
    </w:p>
    <w:p>
      <w:pPr>
        <w:spacing w:after="0" w:line="1" w:lineRule="exact"/>
        <w:rPr>
          <w:sz w:val="20"/>
          <w:szCs w:val="20"/>
          <w:color w:val="auto"/>
        </w:rPr>
      </w:pPr>
    </w:p>
    <w:p>
      <w:pPr>
        <w:ind w:left="6" w:right="20" w:hanging="6"/>
        <w:spacing w:after="0" w:line="252" w:lineRule="auto"/>
        <w:tabs>
          <w:tab w:leader="none" w:pos="30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day period, Tenant shall not be deemed to be in default if it diligently commences such cure within such period and thereafter diligently proceeds to rectify and cure such default; or</w:t>
      </w:r>
    </w:p>
    <w:p>
      <w:pPr>
        <w:spacing w:after="0" w:line="168" w:lineRule="exact"/>
        <w:rPr>
          <w:sz w:val="20"/>
          <w:szCs w:val="20"/>
          <w:color w:val="auto"/>
        </w:rPr>
      </w:pPr>
    </w:p>
    <w:p>
      <w:pPr>
        <w:ind w:left="866"/>
        <w:spacing w:after="0"/>
        <w:rPr>
          <w:sz w:val="20"/>
          <w:szCs w:val="20"/>
          <w:color w:val="auto"/>
        </w:rPr>
      </w:pPr>
      <w:r>
        <w:rPr>
          <w:rFonts w:ascii="Arial" w:cs="Arial" w:eastAsia="Arial" w:hAnsi="Arial"/>
          <w:sz w:val="13"/>
          <w:szCs w:val="13"/>
          <w:color w:val="auto"/>
        </w:rPr>
        <w:t>19.1.3 Abandonment or vacation of all or a substantial portion of the Premises by Tenant while Tenant is in default under the Lease; or</w:t>
      </w:r>
    </w:p>
    <w:p>
      <w:pPr>
        <w:spacing w:after="0" w:line="228" w:lineRule="exact"/>
        <w:rPr>
          <w:sz w:val="20"/>
          <w:szCs w:val="20"/>
          <w:color w:val="auto"/>
        </w:rPr>
      </w:pPr>
    </w:p>
    <w:p>
      <w:pPr>
        <w:ind w:left="6" w:right="100" w:firstLine="866"/>
        <w:spacing w:after="0" w:line="266" w:lineRule="auto"/>
        <w:rPr>
          <w:sz w:val="20"/>
          <w:szCs w:val="20"/>
          <w:color w:val="auto"/>
        </w:rPr>
      </w:pPr>
      <w:r>
        <w:rPr>
          <w:rFonts w:ascii="Arial" w:cs="Arial" w:eastAsia="Arial" w:hAnsi="Arial"/>
          <w:sz w:val="16"/>
          <w:szCs w:val="16"/>
          <w:color w:val="auto"/>
        </w:rPr>
        <w:t xml:space="preserve">19.1.4 The failure by Tenant to observe or perform according to the provisions of </w:t>
      </w:r>
      <w:r>
        <w:rPr>
          <w:rFonts w:ascii="Arial" w:cs="Arial" w:eastAsia="Arial" w:hAnsi="Arial"/>
          <w:sz w:val="16"/>
          <w:szCs w:val="16"/>
          <w:u w:val="single" w:color="auto"/>
          <w:color w:val="auto"/>
        </w:rPr>
        <w:t>Articles 5</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18</w:t>
      </w:r>
      <w:r>
        <w:rPr>
          <w:rFonts w:ascii="Arial" w:cs="Arial" w:eastAsia="Arial" w:hAnsi="Arial"/>
          <w:sz w:val="16"/>
          <w:szCs w:val="16"/>
          <w:color w:val="auto"/>
        </w:rPr>
        <w:t xml:space="preserve"> of this Lease where such failure continues for more than five (5) business days after notice from Landlord.</w:t>
      </w:r>
    </w:p>
    <w:p>
      <w:pPr>
        <w:spacing w:after="0" w:line="154" w:lineRule="exact"/>
        <w:rPr>
          <w:sz w:val="20"/>
          <w:szCs w:val="20"/>
          <w:color w:val="auto"/>
        </w:rPr>
      </w:pPr>
    </w:p>
    <w:p>
      <w:pPr>
        <w:ind w:left="6" w:right="160" w:firstLine="385"/>
        <w:spacing w:after="0" w:line="284" w:lineRule="auto"/>
        <w:rPr>
          <w:sz w:val="20"/>
          <w:szCs w:val="20"/>
          <w:color w:val="auto"/>
        </w:rPr>
      </w:pPr>
      <w:r>
        <w:rPr>
          <w:rFonts w:ascii="Arial" w:cs="Arial" w:eastAsia="Arial" w:hAnsi="Arial"/>
          <w:sz w:val="15"/>
          <w:szCs w:val="15"/>
          <w:color w:val="auto"/>
        </w:rPr>
        <w:t xml:space="preserve">19.2 </w:t>
      </w:r>
      <w:r>
        <w:rPr>
          <w:rFonts w:ascii="Arial" w:cs="Arial" w:eastAsia="Arial" w:hAnsi="Arial"/>
          <w:sz w:val="15"/>
          <w:szCs w:val="15"/>
          <w:b w:val="1"/>
          <w:bCs w:val="1"/>
          <w:u w:val="single" w:color="auto"/>
          <w:color w:val="auto"/>
        </w:rPr>
        <w:t>Remedies Upon Default</w:t>
      </w:r>
      <w:r>
        <w:rPr>
          <w:rFonts w:ascii="Arial" w:cs="Arial" w:eastAsia="Arial" w:hAnsi="Arial"/>
          <w:sz w:val="15"/>
          <w:szCs w:val="15"/>
          <w:color w:val="auto"/>
        </w:rPr>
        <w:t>. Upon the occurrence of any event of default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46" w:lineRule="exact"/>
        <w:rPr>
          <w:sz w:val="20"/>
          <w:szCs w:val="20"/>
          <w:color w:val="auto"/>
        </w:rPr>
      </w:pPr>
    </w:p>
    <w:p>
      <w:pPr>
        <w:ind w:left="6" w:right="20" w:firstLine="866"/>
        <w:spacing w:after="0" w:line="275" w:lineRule="auto"/>
        <w:rPr>
          <w:sz w:val="20"/>
          <w:szCs w:val="20"/>
          <w:color w:val="auto"/>
        </w:rPr>
      </w:pPr>
      <w:r>
        <w:rPr>
          <w:rFonts w:ascii="Arial" w:cs="Arial" w:eastAsia="Arial" w:hAnsi="Arial"/>
          <w:sz w:val="15"/>
          <w:szCs w:val="15"/>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58" w:lineRule="exact"/>
        <w:rPr>
          <w:sz w:val="20"/>
          <w:szCs w:val="20"/>
          <w:color w:val="auto"/>
        </w:rPr>
      </w:pPr>
    </w:p>
    <w:p>
      <w:pPr>
        <w:ind w:left="1406" w:hanging="190"/>
        <w:spacing w:after="0"/>
        <w:tabs>
          <w:tab w:leader="none" w:pos="1406"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worth at the time of award of the unpaid rent which has been earned at the time of such termination; plus</w:t>
      </w:r>
    </w:p>
    <w:p>
      <w:pPr>
        <w:spacing w:after="0" w:line="98" w:lineRule="exact"/>
        <w:rPr>
          <w:rFonts w:ascii="Arial" w:cs="Arial" w:eastAsia="Arial" w:hAnsi="Arial"/>
          <w:sz w:val="16"/>
          <w:szCs w:val="16"/>
          <w:color w:val="auto"/>
        </w:rPr>
      </w:pPr>
    </w:p>
    <w:p>
      <w:pPr>
        <w:ind w:left="866" w:right="60" w:firstLine="350"/>
        <w:spacing w:after="0" w:line="300" w:lineRule="auto"/>
        <w:tabs>
          <w:tab w:leader="none" w:pos="1447" w:val="left"/>
        </w:tabs>
        <w:numPr>
          <w:ilvl w:val="0"/>
          <w:numId w:val="264"/>
        </w:numPr>
        <w:rPr>
          <w:rFonts w:ascii="Arial" w:cs="Arial" w:eastAsia="Arial" w:hAnsi="Arial"/>
          <w:sz w:val="15"/>
          <w:szCs w:val="15"/>
          <w:color w:val="auto"/>
        </w:rPr>
      </w:pPr>
      <w:r>
        <w:rPr>
          <w:rFonts w:ascii="Arial" w:cs="Arial" w:eastAsia="Arial" w:hAnsi="Arial"/>
          <w:sz w:val="15"/>
          <w:szCs w:val="15"/>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ectPr>
          <w:pgSz w:w="11900" w:h="16838" w:orient="portrait"/>
          <w:cols w:equalWidth="0" w:num="1">
            <w:col w:w="9606"/>
          </w:cols>
          <w:pgMar w:left="1134" w:top="256" w:right="1159" w:bottom="1440" w:gutter="0" w:footer="0" w:header="0"/>
        </w:sectPr>
      </w:pPr>
    </w:p>
    <w:bookmarkStart w:id="384" w:name="page385"/>
    <w:bookmarkEnd w:id="384"/>
    <w:p>
      <w:pPr>
        <w:ind w:left="866" w:right="40" w:firstLine="350"/>
        <w:spacing w:after="0" w:line="266" w:lineRule="auto"/>
        <w:tabs>
          <w:tab w:leader="none" w:pos="1491" w:val="left"/>
        </w:tabs>
        <w:numPr>
          <w:ilvl w:val="0"/>
          <w:numId w:val="2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worth at the time of award of the amount by which the unpaid rent for the balance of the Lease Term after the time of award exceeds the amount of such rental loss that Tenant proves could have been reasonably avoided; plus</w:t>
      </w:r>
    </w:p>
    <w:p>
      <w:pPr>
        <w:spacing w:after="0" w:line="63" w:lineRule="exact"/>
        <w:rPr>
          <w:rFonts w:ascii="Arial" w:cs="Arial" w:eastAsia="Arial" w:hAnsi="Arial"/>
          <w:sz w:val="16"/>
          <w:szCs w:val="16"/>
          <w:color w:val="auto"/>
        </w:rPr>
      </w:pPr>
    </w:p>
    <w:p>
      <w:pPr>
        <w:ind w:left="866" w:right="100" w:firstLine="350"/>
        <w:spacing w:after="0" w:line="272" w:lineRule="auto"/>
        <w:tabs>
          <w:tab w:leader="none" w:pos="1482" w:val="left"/>
        </w:tabs>
        <w:numPr>
          <w:ilvl w:val="0"/>
          <w:numId w:val="265"/>
        </w:numPr>
        <w:rPr>
          <w:rFonts w:ascii="Arial" w:cs="Arial" w:eastAsia="Arial" w:hAnsi="Arial"/>
          <w:sz w:val="15"/>
          <w:szCs w:val="15"/>
          <w:color w:val="auto"/>
        </w:rPr>
      </w:pPr>
      <w:r>
        <w:rPr>
          <w:rFonts w:ascii="Arial" w:cs="Arial" w:eastAsia="Arial" w:hAnsi="Arial"/>
          <w:sz w:val="15"/>
          <w:szCs w:val="15"/>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in each case to the extent allocable to the remaining Lease Term, brokerage commissions and advertising expenses incurred to obtain a new tenant, expenses of remodeling the Premises or any portion thereof for a new tenant, whether for the same or a different use, and any special concessions made to obtain a new tenant; and</w:t>
      </w:r>
    </w:p>
    <w:p>
      <w:pPr>
        <w:spacing w:after="0" w:line="60" w:lineRule="exact"/>
        <w:rPr>
          <w:rFonts w:ascii="Arial" w:cs="Arial" w:eastAsia="Arial" w:hAnsi="Arial"/>
          <w:sz w:val="15"/>
          <w:szCs w:val="15"/>
          <w:color w:val="auto"/>
        </w:rPr>
      </w:pPr>
    </w:p>
    <w:p>
      <w:pPr>
        <w:ind w:left="866" w:right="260" w:firstLine="350"/>
        <w:spacing w:after="0" w:line="266" w:lineRule="auto"/>
        <w:tabs>
          <w:tab w:leader="none" w:pos="143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154" w:lineRule="exact"/>
        <w:rPr>
          <w:sz w:val="20"/>
          <w:szCs w:val="20"/>
          <w:color w:val="auto"/>
        </w:rPr>
      </w:pPr>
    </w:p>
    <w:p>
      <w:pPr>
        <w:ind w:left="6" w:firstLine="385"/>
        <w:spacing w:after="0" w:line="273" w:lineRule="auto"/>
        <w:rPr>
          <w:sz w:val="20"/>
          <w:szCs w:val="20"/>
          <w:color w:val="auto"/>
        </w:rPr>
      </w:pPr>
      <w:r>
        <w:rPr>
          <w:rFonts w:ascii="Arial" w:cs="Arial" w:eastAsia="Arial" w:hAnsi="Arial"/>
          <w:sz w:val="15"/>
          <w:szCs w:val="15"/>
          <w:color w:val="auto"/>
        </w:rPr>
        <w:t>The term “</w:t>
      </w:r>
      <w:r>
        <w:rPr>
          <w:rFonts w:ascii="Arial" w:cs="Arial" w:eastAsia="Arial" w:hAnsi="Arial"/>
          <w:sz w:val="15"/>
          <w:szCs w:val="15"/>
          <w:b w:val="1"/>
          <w:bCs w:val="1"/>
          <w:color w:val="auto"/>
        </w:rPr>
        <w:t>rent</w:t>
      </w:r>
      <w:r>
        <w:rPr>
          <w:rFonts w:ascii="Arial" w:cs="Arial" w:eastAsia="Arial" w:hAnsi="Arial"/>
          <w:sz w:val="15"/>
          <w:szCs w:val="15"/>
          <w:color w:val="auto"/>
        </w:rPr>
        <w:t xml:space="preserve">” as used in this </w:t>
      </w:r>
      <w:r>
        <w:rPr>
          <w:rFonts w:ascii="Arial" w:cs="Arial" w:eastAsia="Arial" w:hAnsi="Arial"/>
          <w:sz w:val="15"/>
          <w:szCs w:val="15"/>
          <w:u w:val="single" w:color="auto"/>
          <w:color w:val="auto"/>
        </w:rPr>
        <w:t>Section 19.2</w:t>
      </w:r>
      <w:r>
        <w:rPr>
          <w:rFonts w:ascii="Arial" w:cs="Arial" w:eastAsia="Arial" w:hAnsi="Arial"/>
          <w:sz w:val="15"/>
          <w:szCs w:val="15"/>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5"/>
          <w:szCs w:val="15"/>
          <w:u w:val="single" w:color="auto"/>
          <w:color w:val="auto"/>
        </w:rPr>
        <w:t>Sections 19.2.1(i)</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(ii)</w:t>
      </w:r>
      <w:r>
        <w:rPr>
          <w:rFonts w:ascii="Arial" w:cs="Arial" w:eastAsia="Arial" w:hAnsi="Arial"/>
          <w:sz w:val="15"/>
          <w:szCs w:val="15"/>
          <w:color w:val="auto"/>
        </w:rPr>
        <w:t xml:space="preserve">, above, the “worth at the time of award” shall be computed by allowing interest at the rate set forth in </w:t>
      </w:r>
      <w:r>
        <w:rPr>
          <w:rFonts w:ascii="Arial" w:cs="Arial" w:eastAsia="Arial" w:hAnsi="Arial"/>
          <w:sz w:val="15"/>
          <w:szCs w:val="15"/>
          <w:u w:val="single" w:color="auto"/>
          <w:color w:val="auto"/>
        </w:rPr>
        <w:t>Article 25</w:t>
      </w:r>
      <w:r>
        <w:rPr>
          <w:rFonts w:ascii="Arial" w:cs="Arial" w:eastAsia="Arial" w:hAnsi="Arial"/>
          <w:sz w:val="15"/>
          <w:szCs w:val="15"/>
          <w:color w:val="auto"/>
        </w:rPr>
        <w:t xml:space="preserve"> of this Lease, but in no case greater than the maximum amount of such interest permitted by law. As used in </w:t>
      </w:r>
      <w:r>
        <w:rPr>
          <w:rFonts w:ascii="Arial" w:cs="Arial" w:eastAsia="Arial" w:hAnsi="Arial"/>
          <w:sz w:val="15"/>
          <w:szCs w:val="15"/>
          <w:u w:val="single" w:color="auto"/>
          <w:color w:val="auto"/>
        </w:rPr>
        <w:t>Section 19.2.1(iii)</w:t>
      </w:r>
      <w:r>
        <w:rPr>
          <w:rFonts w:ascii="Arial" w:cs="Arial" w:eastAsia="Arial" w:hAnsi="Arial"/>
          <w:sz w:val="15"/>
          <w:szCs w:val="15"/>
          <w:color w:val="auto"/>
        </w:rPr>
        <w:t xml:space="preserve"> above, the “</w:t>
      </w:r>
      <w:r>
        <w:rPr>
          <w:rFonts w:ascii="Arial" w:cs="Arial" w:eastAsia="Arial" w:hAnsi="Arial"/>
          <w:sz w:val="15"/>
          <w:szCs w:val="15"/>
          <w:b w:val="1"/>
          <w:bCs w:val="1"/>
          <w:color w:val="auto"/>
        </w:rPr>
        <w:t>worth at the time of award</w:t>
      </w:r>
      <w:r>
        <w:rPr>
          <w:rFonts w:ascii="Arial" w:cs="Arial" w:eastAsia="Arial" w:hAnsi="Arial"/>
          <w:sz w:val="15"/>
          <w:szCs w:val="15"/>
          <w:color w:val="auto"/>
        </w:rPr>
        <w:t>” shall be computed by discounting such amount at the discount rate of the Federal Reserve Bank of San Francisco at the time of award plus one percent (1%).</w:t>
      </w:r>
    </w:p>
    <w:p>
      <w:pPr>
        <w:spacing w:after="0" w:line="155" w:lineRule="exact"/>
        <w:rPr>
          <w:sz w:val="20"/>
          <w:szCs w:val="20"/>
          <w:color w:val="auto"/>
        </w:rPr>
      </w:pPr>
    </w:p>
    <w:p>
      <w:pPr>
        <w:ind w:left="6" w:right="20" w:firstLine="866"/>
        <w:spacing w:after="0" w:line="275" w:lineRule="auto"/>
        <w:rPr>
          <w:sz w:val="20"/>
          <w:szCs w:val="20"/>
          <w:color w:val="auto"/>
        </w:rPr>
      </w:pPr>
      <w:r>
        <w:rPr>
          <w:rFonts w:ascii="Arial" w:cs="Arial" w:eastAsia="Arial" w:hAnsi="Arial"/>
          <w:sz w:val="15"/>
          <w:szCs w:val="15"/>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53" w:lineRule="exact"/>
        <w:rPr>
          <w:sz w:val="20"/>
          <w:szCs w:val="20"/>
          <w:color w:val="auto"/>
        </w:rPr>
      </w:pPr>
    </w:p>
    <w:p>
      <w:pPr>
        <w:ind w:left="6" w:right="20" w:firstLine="866"/>
        <w:spacing w:after="0" w:line="253" w:lineRule="auto"/>
        <w:rPr>
          <w:sz w:val="20"/>
          <w:szCs w:val="20"/>
          <w:color w:val="auto"/>
        </w:rPr>
      </w:pPr>
      <w:r>
        <w:rPr>
          <w:rFonts w:ascii="Arial" w:cs="Arial" w:eastAsia="Arial" w:hAnsi="Arial"/>
          <w:sz w:val="16"/>
          <w:szCs w:val="16"/>
          <w:color w:val="auto"/>
        </w:rPr>
        <w:t xml:space="preserve">19.2.3 Landlord shall at all times have the rights and remedies (which shall be cumulative with each other and cumulative and in addition to those rights and remedies available under </w:t>
      </w:r>
      <w:r>
        <w:rPr>
          <w:rFonts w:ascii="Arial" w:cs="Arial" w:eastAsia="Arial" w:hAnsi="Arial"/>
          <w:sz w:val="16"/>
          <w:szCs w:val="16"/>
          <w:u w:val="single" w:color="auto"/>
          <w:color w:val="auto"/>
        </w:rPr>
        <w:t>Sections 19.2.1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19.2.2</w:t>
      </w:r>
      <w:r>
        <w:rPr>
          <w:rFonts w:ascii="Arial" w:cs="Arial" w:eastAsia="Arial" w:hAnsi="Arial"/>
          <w:sz w:val="16"/>
          <w:szCs w:val="16"/>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63" w:lineRule="exact"/>
        <w:rPr>
          <w:sz w:val="20"/>
          <w:szCs w:val="20"/>
          <w:color w:val="auto"/>
        </w:rPr>
      </w:pPr>
    </w:p>
    <w:p>
      <w:pPr>
        <w:ind w:left="6" w:right="40" w:firstLine="385"/>
        <w:spacing w:after="0" w:line="324" w:lineRule="auto"/>
        <w:rPr>
          <w:sz w:val="20"/>
          <w:szCs w:val="20"/>
          <w:color w:val="auto"/>
        </w:rPr>
      </w:pPr>
      <w:r>
        <w:rPr>
          <w:rFonts w:ascii="Arial" w:cs="Arial" w:eastAsia="Arial" w:hAnsi="Arial"/>
          <w:sz w:val="13"/>
          <w:szCs w:val="13"/>
          <w:color w:val="auto"/>
        </w:rPr>
        <w:t xml:space="preserve">19.3 </w:t>
      </w:r>
      <w:r>
        <w:rPr>
          <w:rFonts w:ascii="Arial" w:cs="Arial" w:eastAsia="Arial" w:hAnsi="Arial"/>
          <w:sz w:val="13"/>
          <w:szCs w:val="13"/>
          <w:b w:val="1"/>
          <w:bCs w:val="1"/>
          <w:u w:val="single" w:color="auto"/>
          <w:color w:val="auto"/>
        </w:rPr>
        <w:t>Subleases of Tenant</w:t>
      </w:r>
      <w:r>
        <w:rPr>
          <w:rFonts w:ascii="Arial" w:cs="Arial" w:eastAsia="Arial" w:hAnsi="Arial"/>
          <w:sz w:val="13"/>
          <w:szCs w:val="13"/>
          <w:color w:val="auto"/>
        </w:rPr>
        <w:t xml:space="preserve">. If Landlord elects to terminate this Lease on account of any default by Tenant, as set forth in this </w:t>
      </w:r>
      <w:r>
        <w:rPr>
          <w:rFonts w:ascii="Arial" w:cs="Arial" w:eastAsia="Arial" w:hAnsi="Arial"/>
          <w:sz w:val="13"/>
          <w:szCs w:val="13"/>
          <w:u w:val="single" w:color="auto"/>
          <w:color w:val="auto"/>
        </w:rPr>
        <w:t>Article 19</w:t>
      </w:r>
      <w:r>
        <w:rPr>
          <w:rFonts w:ascii="Arial" w:cs="Arial" w:eastAsia="Arial" w:hAnsi="Arial"/>
          <w:sz w:val="13"/>
          <w:szCs w:val="13"/>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23" w:lineRule="exact"/>
        <w:rPr>
          <w:sz w:val="20"/>
          <w:szCs w:val="20"/>
          <w:color w:val="auto"/>
        </w:rPr>
      </w:pPr>
    </w:p>
    <w:p>
      <w:pPr>
        <w:ind w:left="6" w:firstLine="385"/>
        <w:spacing w:after="0" w:line="254" w:lineRule="auto"/>
        <w:rPr>
          <w:sz w:val="20"/>
          <w:szCs w:val="20"/>
          <w:color w:val="auto"/>
        </w:rPr>
      </w:pPr>
      <w:r>
        <w:rPr>
          <w:rFonts w:ascii="Arial" w:cs="Arial" w:eastAsia="Arial" w:hAnsi="Arial"/>
          <w:sz w:val="16"/>
          <w:szCs w:val="16"/>
          <w:color w:val="auto"/>
        </w:rPr>
        <w:t xml:space="preserve">19.4 </w:t>
      </w:r>
      <w:r>
        <w:rPr>
          <w:rFonts w:ascii="Arial" w:cs="Arial" w:eastAsia="Arial" w:hAnsi="Arial"/>
          <w:sz w:val="16"/>
          <w:szCs w:val="16"/>
          <w:b w:val="1"/>
          <w:bCs w:val="1"/>
          <w:u w:val="single" w:color="auto"/>
          <w:color w:val="auto"/>
        </w:rPr>
        <w:t>Efforts to Relet</w:t>
      </w:r>
      <w:r>
        <w:rPr>
          <w:rFonts w:ascii="Arial" w:cs="Arial" w:eastAsia="Arial" w:hAnsi="Arial"/>
          <w:sz w:val="16"/>
          <w:szCs w:val="16"/>
          <w:color w:val="auto"/>
        </w:rPr>
        <w:t>. No re-entry, repairs, maintenance, changes, alterations and additions,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w:t>
      </w:r>
    </w:p>
    <w:p>
      <w:pPr>
        <w:spacing w:after="0" w:line="164" w:lineRule="exact"/>
        <w:rPr>
          <w:sz w:val="20"/>
          <w:szCs w:val="20"/>
          <w:color w:val="auto"/>
        </w:rPr>
      </w:pPr>
    </w:p>
    <w:p>
      <w:pPr>
        <w:ind w:left="6" w:right="20" w:hanging="6"/>
        <w:spacing w:after="0" w:line="273" w:lineRule="auto"/>
        <w:tabs>
          <w:tab w:leader="none" w:pos="242" w:val="left"/>
        </w:tabs>
        <w:numPr>
          <w:ilvl w:val="0"/>
          <w:numId w:val="26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COVENANT OF QUIET ENJOYMENT. </w:t>
      </w:r>
      <w:r>
        <w:rPr>
          <w:rFonts w:ascii="Arial" w:cs="Arial" w:eastAsia="Arial" w:hAnsi="Arial"/>
          <w:sz w:val="15"/>
          <w:szCs w:val="15"/>
          <w:color w:val="auto"/>
        </w:rPr>
        <w:t>Landlord covenants that Tenant, on paying the Rent, charges for services and other payments herein</w:t>
      </w:r>
      <w:r>
        <w:rPr>
          <w:rFonts w:ascii="Arial" w:cs="Arial" w:eastAsia="Arial" w:hAnsi="Arial"/>
          <w:sz w:val="15"/>
          <w:szCs w:val="15"/>
          <w:b w:val="1"/>
          <w:bCs w:val="1"/>
          <w:color w:val="auto"/>
        </w:rPr>
        <w:t xml:space="preserve"> </w:t>
      </w:r>
      <w:r>
        <w:rPr>
          <w:rFonts w:ascii="Arial" w:cs="Arial" w:eastAsia="Arial" w:hAnsi="Arial"/>
          <w:sz w:val="15"/>
          <w:szCs w:val="15"/>
          <w:color w:val="auto"/>
        </w:rPr>
        <w:t>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ectPr>
          <w:pgSz w:w="11900" w:h="16838" w:orient="portrait"/>
          <w:cols w:equalWidth="0" w:num="1">
            <w:col w:w="9606"/>
          </w:cols>
          <w:pgMar w:left="1134" w:top="256" w:right="1159" w:bottom="1440" w:gutter="0" w:footer="0" w:header="0"/>
        </w:sectPr>
      </w:pPr>
    </w:p>
    <w:bookmarkStart w:id="385" w:name="page386"/>
    <w:bookmarkEnd w:id="38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21. LETTER OF CREDIT.</w:t>
      </w:r>
    </w:p>
    <w:p>
      <w:pPr>
        <w:spacing w:after="0" w:line="193" w:lineRule="exact"/>
        <w:rPr>
          <w:sz w:val="20"/>
          <w:szCs w:val="20"/>
          <w:color w:val="auto"/>
        </w:rPr>
      </w:pPr>
    </w:p>
    <w:p>
      <w:pPr>
        <w:ind w:firstLine="385"/>
        <w:spacing w:after="0" w:line="305" w:lineRule="auto"/>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b w:val="1"/>
          <w:bCs w:val="1"/>
          <w:u w:val="single" w:color="auto"/>
          <w:color w:val="auto"/>
        </w:rPr>
        <w:t>Delivery of Letter of Credit</w:t>
      </w:r>
      <w:r>
        <w:rPr>
          <w:rFonts w:ascii="Arial" w:cs="Arial" w:eastAsia="Arial" w:hAnsi="Arial"/>
          <w:sz w:val="13"/>
          <w:szCs w:val="13"/>
          <w:color w:val="auto"/>
        </w:rPr>
        <w:t>. Tenant shall deliver to Landlord, within ten (10) business days following Tenant’s execution of this Lease, an unconditional, clean, irrevocable letter of credit (the “</w:t>
      </w:r>
      <w:r>
        <w:rPr>
          <w:rFonts w:ascii="Arial" w:cs="Arial" w:eastAsia="Arial" w:hAnsi="Arial"/>
          <w:sz w:val="13"/>
          <w:szCs w:val="13"/>
          <w:b w:val="1"/>
          <w:bCs w:val="1"/>
          <w:color w:val="auto"/>
        </w:rPr>
        <w:t>L-C</w:t>
      </w:r>
      <w:r>
        <w:rPr>
          <w:rFonts w:ascii="Arial" w:cs="Arial" w:eastAsia="Arial" w:hAnsi="Arial"/>
          <w:sz w:val="13"/>
          <w:szCs w:val="13"/>
          <w:color w:val="auto"/>
        </w:rPr>
        <w:t xml:space="preserve">”) in the amount set forth in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of the Lease Summary (the “</w:t>
      </w:r>
      <w:r>
        <w:rPr>
          <w:rFonts w:ascii="Arial" w:cs="Arial" w:eastAsia="Arial" w:hAnsi="Arial"/>
          <w:sz w:val="13"/>
          <w:szCs w:val="13"/>
          <w:b w:val="1"/>
          <w:bCs w:val="1"/>
          <w:color w:val="auto"/>
        </w:rPr>
        <w:t>L-C Amount</w:t>
      </w:r>
      <w:r>
        <w:rPr>
          <w:rFonts w:ascii="Arial" w:cs="Arial" w:eastAsia="Arial" w:hAnsi="Arial"/>
          <w:sz w:val="13"/>
          <w:szCs w:val="13"/>
          <w:color w:val="auto"/>
        </w:rPr>
        <w:t>”), which L-C shall be issued by a money-center, solvent and nationally recognized bank (a bank which accepts deposits, maintains accounts, has a local San Francisco Bay Area office which will negotiate a letter of credit, and whose deposits are insured by the FDIC) reasonably acceptable to Landlord (such approved, issuing bank being referred to herein as the “</w:t>
      </w:r>
      <w:r>
        <w:rPr>
          <w:rFonts w:ascii="Arial" w:cs="Arial" w:eastAsia="Arial" w:hAnsi="Arial"/>
          <w:sz w:val="13"/>
          <w:szCs w:val="13"/>
          <w:b w:val="1"/>
          <w:bCs w:val="1"/>
          <w:color w:val="auto"/>
        </w:rPr>
        <w:t>Bank</w:t>
      </w:r>
      <w:r>
        <w:rPr>
          <w:rFonts w:ascii="Arial" w:cs="Arial" w:eastAsia="Arial" w:hAnsi="Arial"/>
          <w:sz w:val="13"/>
          <w:szCs w:val="13"/>
          <w:color w:val="auto"/>
        </w:rPr>
        <w:t>”), which Bank must have a rating from Standard and Poors Corporation of A- or better (or any equivalent rating thereto from any successor or substitute rating service selected by Lessor) and a letter of credit issuer rating from Moody’s Investor Service of A3 or better (or any equivalent rating thereto from any successor rating agency thereto)) (collectively, the “</w:t>
      </w:r>
      <w:r>
        <w:rPr>
          <w:rFonts w:ascii="Arial" w:cs="Arial" w:eastAsia="Arial" w:hAnsi="Arial"/>
          <w:sz w:val="13"/>
          <w:szCs w:val="13"/>
          <w:b w:val="1"/>
          <w:bCs w:val="1"/>
          <w:color w:val="auto"/>
        </w:rPr>
        <w:t>Bank’s Credit Rating</w:t>
      </w:r>
      <w:r>
        <w:rPr>
          <w:rFonts w:ascii="Arial" w:cs="Arial" w:eastAsia="Arial" w:hAnsi="Arial"/>
          <w:sz w:val="13"/>
          <w:szCs w:val="13"/>
          <w:color w:val="auto"/>
        </w:rPr>
        <w:t xml:space="preserve"> </w:t>
      </w:r>
      <w:r>
        <w:rPr>
          <w:rFonts w:ascii="Arial" w:cs="Arial" w:eastAsia="Arial" w:hAnsi="Arial"/>
          <w:sz w:val="13"/>
          <w:szCs w:val="13"/>
          <w:b w:val="1"/>
          <w:bCs w:val="1"/>
          <w:color w:val="auto"/>
        </w:rPr>
        <w:t>Threshold</w:t>
      </w:r>
      <w:r>
        <w:rPr>
          <w:rFonts w:ascii="Arial" w:cs="Arial" w:eastAsia="Arial" w:hAnsi="Arial"/>
          <w:sz w:val="13"/>
          <w:szCs w:val="13"/>
          <w:color w:val="auto"/>
        </w:rPr>
        <w:t>”), and which L-C shall be in the form of</w:t>
      </w:r>
      <w:r>
        <w:rPr>
          <w:rFonts w:ascii="Arial" w:cs="Arial" w:eastAsia="Arial" w:hAnsi="Arial"/>
          <w:sz w:val="13"/>
          <w:szCs w:val="13"/>
          <w:b w:val="1"/>
          <w:bCs w:val="1"/>
          <w:color w:val="auto"/>
        </w:rPr>
        <w:t xml:space="preserve"> </w:t>
      </w:r>
      <w:r>
        <w:rPr>
          <w:rFonts w:ascii="Arial" w:cs="Arial" w:eastAsia="Arial" w:hAnsi="Arial"/>
          <w:sz w:val="13"/>
          <w:szCs w:val="13"/>
          <w:b w:val="1"/>
          <w:bCs w:val="1"/>
          <w:u w:val="single" w:color="auto"/>
          <w:color w:val="auto"/>
        </w:rPr>
        <w:t>Exhibit H</w:t>
      </w:r>
      <w:r>
        <w:rPr>
          <w:rFonts w:ascii="Arial" w:cs="Arial" w:eastAsia="Arial" w:hAnsi="Arial"/>
          <w:sz w:val="13"/>
          <w:szCs w:val="13"/>
          <w:color w:val="auto"/>
        </w:rPr>
        <w:t>, attached hereto, or another form reasonably acceptable to Landlord. Notwithstanding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Landlord hereby approves First Republic Bank as the Bank. Tenant shall pay all expenses, points and/or fees incurred by Tenant in obtaining the L-C. The L-C shall (i) be “callable” at sight, irrevocable and unconditional, (ii) be maintained in effect, whether through renewal or extension, for the period commencing on the date of this Lease and continuing until the date (the “</w:t>
      </w:r>
      <w:r>
        <w:rPr>
          <w:rFonts w:ascii="Arial" w:cs="Arial" w:eastAsia="Arial" w:hAnsi="Arial"/>
          <w:sz w:val="13"/>
          <w:szCs w:val="13"/>
          <w:b w:val="1"/>
          <w:bCs w:val="1"/>
          <w:color w:val="auto"/>
        </w:rPr>
        <w:t>L-C Expiration Date</w:t>
      </w:r>
      <w:r>
        <w:rPr>
          <w:rFonts w:ascii="Arial" w:cs="Arial" w:eastAsia="Arial" w:hAnsi="Arial"/>
          <w:sz w:val="13"/>
          <w:szCs w:val="13"/>
          <w:color w:val="auto"/>
        </w:rPr>
        <w:t>”) that is no less than sixty (60) days after the expiration of the Lease Term as the same may be extended, and Tenant shall deliver a new L-C or certificate of renewal or extension to Landlord at least thirty (30) days prior to the expiration of the L-C then held by Landlord, without any action whatsoever on the part of Landlord, (iii) be fully assignable by Landlord, its successors and assigns, (iv) permit partial draws and multiple presentations and drawings, and (v) be otherwise subject to the Uniform Customs and Practices for Documentary Credits (1993-Rev), International Chamber of Commerce Publication #500, or the International Standby Practices-ISP 98, International Chamber of Commerce Publication #590. Landlord, or its then managing agent, shall have the right to draw down an amount up to the face amount of the L-C if any of the following shall have occurred or be applicable: (A) such amount is due to Landlord under the terms and conditions of this Lease, and has not been paid within applicable notice and cure periods (or, if Landlord is prevented by law from providing notice, within the period for payment set forth in the Lease), or (B) Tenant has filed a voluntary petition under the U. S. Bankruptcy Code or any state bankruptcy code (collectively, “</w:t>
      </w:r>
      <w:r>
        <w:rPr>
          <w:rFonts w:ascii="Arial" w:cs="Arial" w:eastAsia="Arial" w:hAnsi="Arial"/>
          <w:sz w:val="13"/>
          <w:szCs w:val="13"/>
          <w:b w:val="1"/>
          <w:bCs w:val="1"/>
          <w:color w:val="auto"/>
        </w:rPr>
        <w:t>Bankruptcy Code</w:t>
      </w:r>
      <w:r>
        <w:rPr>
          <w:rFonts w:ascii="Arial" w:cs="Arial" w:eastAsia="Arial" w:hAnsi="Arial"/>
          <w:sz w:val="13"/>
          <w:szCs w:val="13"/>
          <w:color w:val="auto"/>
        </w:rPr>
        <w:t xml:space="preserve">”), or (C) an involuntary petition has been filed against Tenant under the Bankruptcy Code that is not dismissed within thirty (30) days, or (D) the Lease has been rejected, or is deemed rejected, under Section 365 of the U.S. Bankruptcy Code, following the filing of a voluntary petition by Tenant under the Bankruptcy Code, or the filing of an involuntary petition against Tenant under the Bankruptcy Code, or (E) the Bank has notified Landlord that the L-C will not be renewed or extended through the L-C Expiration Date, and Tenant has not provided a replacement L-C that satisfies the requirements of this Lease at least thirty (30) days prior to such expiration, or (F) Tenant is placed into receivership or conservatorship, or becomes subject to similar proceedings under Federal or State law, or (G) Tenant executes an assignment for the benefit of creditors, or (H) if (1) any of the Bank’s (other than First Republic Bank) Fitch Ratings (or other comparable ratings to the extent the Fitch Ratings are no longer available) have been reduced below the Bank’s Credit Rating Threshold, or (2) there is otherwise a material adverse change in the financial condition of the Bank, and Tenant has failed to provide Landlord with a replacement letter of credit, conforming in all respects to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(including, but not limited to, the requirements placed on the issuing Bank more particularly set forth in this </w:t>
      </w:r>
      <w:r>
        <w:rPr>
          <w:rFonts w:ascii="Arial" w:cs="Arial" w:eastAsia="Arial" w:hAnsi="Arial"/>
          <w:sz w:val="13"/>
          <w:szCs w:val="13"/>
          <w:u w:val="single" w:color="auto"/>
          <w:color w:val="auto"/>
        </w:rPr>
        <w:t>Section 21.1</w:t>
      </w:r>
      <w:r>
        <w:rPr>
          <w:rFonts w:ascii="Arial" w:cs="Arial" w:eastAsia="Arial" w:hAnsi="Arial"/>
          <w:sz w:val="13"/>
          <w:szCs w:val="13"/>
          <w:color w:val="auto"/>
        </w:rPr>
        <w:t xml:space="preserve"> above), in the amount of the applicable L-C Amount, within ten (10) days following Landlord’s written demand therefor (with no other notice or cure or grace period being applicable thereto, notwithstanding anything in this Lease to the contrary) (each of the foregoing being an “</w:t>
      </w:r>
      <w:r>
        <w:rPr>
          <w:rFonts w:ascii="Arial" w:cs="Arial" w:eastAsia="Arial" w:hAnsi="Arial"/>
          <w:sz w:val="13"/>
          <w:szCs w:val="13"/>
          <w:b w:val="1"/>
          <w:bCs w:val="1"/>
          <w:color w:val="auto"/>
        </w:rPr>
        <w:t>L-C Draw Event</w:t>
      </w:r>
      <w:r>
        <w:rPr>
          <w:rFonts w:ascii="Arial" w:cs="Arial" w:eastAsia="Arial" w:hAnsi="Arial"/>
          <w:sz w:val="13"/>
          <w:szCs w:val="13"/>
          <w:color w:val="auto"/>
        </w:rPr>
        <w:t xml:space="preserve">”). The L-C shall be honored by the Bank regardless of whether Tenant disputes Landlord’s right to draw upon the L-C. In addition, in the event the Bank is placed into receivership or conservatorship by the Federal Deposit Insurance Corporation or any successor or similar entity, then, effective as of the date such receivership or conservatorship occurs, said L-C shall be deemed to fail to meet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and, within ten (10) days following Landlord’s notice to Tenant of such receivership or conservatorship (the “</w:t>
      </w:r>
      <w:r>
        <w:rPr>
          <w:rFonts w:ascii="Arial" w:cs="Arial" w:eastAsia="Arial" w:hAnsi="Arial"/>
          <w:sz w:val="13"/>
          <w:szCs w:val="13"/>
          <w:b w:val="1"/>
          <w:bCs w:val="1"/>
          <w:color w:val="auto"/>
        </w:rPr>
        <w:t>L-C FDIC Replacement Notice</w:t>
      </w:r>
      <w:r>
        <w:rPr>
          <w:rFonts w:ascii="Arial" w:cs="Arial" w:eastAsia="Arial" w:hAnsi="Arial"/>
          <w:sz w:val="13"/>
          <w:szCs w:val="13"/>
          <w:color w:val="auto"/>
        </w:rPr>
        <w:t xml:space="preserve">”), Tenant shall replace such L-C with a substitute letter of credit from a different issuer (which issuer shall meet or exceed the Bank’s Credit Rating Threshold and shall otherwise be acceptable to Landlord in its reasonable discretion) and that complies in all respects with the requirements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If Tenant fails to replace such L-C with such conforming, substitute letter of credit pursuant to the terms and conditions of this </w:t>
      </w:r>
      <w:r>
        <w:rPr>
          <w:rFonts w:ascii="Arial" w:cs="Arial" w:eastAsia="Arial" w:hAnsi="Arial"/>
          <w:sz w:val="13"/>
          <w:szCs w:val="13"/>
          <w:u w:val="single" w:color="auto"/>
          <w:color w:val="auto"/>
        </w:rPr>
        <w:t>Section 21.1</w:t>
      </w:r>
      <w:r>
        <w:rPr>
          <w:rFonts w:ascii="Arial" w:cs="Arial" w:eastAsia="Arial" w:hAnsi="Arial"/>
          <w:sz w:val="13"/>
          <w:szCs w:val="13"/>
          <w:color w:val="auto"/>
        </w:rPr>
        <w:t>, then, notwithstanding anything in this Lease to the contrary, Landlord shall have the right to declare Tenant in default of this Lease for which there shall be no notice or grace or cure periods being applicable thereto (other than the aforesaid ten (10) day period). Tenant shall be responsible for the payment of any and all Tenant’s and Bank’s costs incurred with the review of any replacement L-C, which replacement is required pursuant to this Section or is otherwise requested by Tenant. In the event of an assignment by Tenant of its interest in the Lease (and</w:t>
      </w:r>
    </w:p>
    <w:p>
      <w:pPr>
        <w:sectPr>
          <w:pgSz w:w="11900" w:h="16838" w:orient="portrait"/>
          <w:cols w:equalWidth="0" w:num="1">
            <w:col w:w="9600"/>
          </w:cols>
          <w:pgMar w:left="1140" w:top="252" w:right="1159" w:bottom="1440" w:gutter="0" w:footer="0" w:header="0"/>
        </w:sectPr>
      </w:pPr>
    </w:p>
    <w:bookmarkStart w:id="386" w:name="page387"/>
    <w:bookmarkEnd w:id="386"/>
    <w:p>
      <w:pPr>
        <w:jc w:val="both"/>
        <w:ind w:left="6"/>
        <w:spacing w:after="0" w:line="3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irrespective of whether Landlord’s consent is required for such assignment), the acceptance of any replacement or substitute letter of credit by Landlord from the assignee shall be subject to Landlord’s prior written approval, in Landlord’s reasonable discretion, and the actual and reasonable attorney’s fees incurred by Landlord in connection with such determination shall be payable by Tenant to Landlord within ten (10) days of billing.</w:t>
      </w:r>
    </w:p>
    <w:p>
      <w:pPr>
        <w:spacing w:after="0" w:line="110" w:lineRule="exact"/>
        <w:rPr>
          <w:sz w:val="20"/>
          <w:szCs w:val="20"/>
          <w:color w:val="auto"/>
        </w:rPr>
      </w:pPr>
    </w:p>
    <w:p>
      <w:pPr>
        <w:ind w:left="6" w:firstLine="385"/>
        <w:spacing w:after="0" w:line="309"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b w:val="1"/>
          <w:bCs w:val="1"/>
          <w:u w:val="single" w:color="auto"/>
          <w:color w:val="auto"/>
        </w:rPr>
        <w:t>Application of L</w:t>
      </w:r>
      <w:r>
        <w:rPr>
          <w:rFonts w:ascii="Arial" w:cs="Arial" w:eastAsia="Arial" w:hAnsi="Arial"/>
          <w:sz w:val="13"/>
          <w:szCs w:val="13"/>
          <w:u w:val="single" w:color="auto"/>
          <w:color w:val="auto"/>
        </w:rPr>
        <w:t>-</w:t>
      </w:r>
      <w:r>
        <w:rPr>
          <w:rFonts w:ascii="Arial" w:cs="Arial" w:eastAsia="Arial" w:hAnsi="Arial"/>
          <w:sz w:val="13"/>
          <w:szCs w:val="13"/>
          <w:b w:val="1"/>
          <w:bCs w:val="1"/>
          <w:u w:val="single" w:color="auto"/>
          <w:color w:val="auto"/>
        </w:rPr>
        <w:t>C</w:t>
      </w:r>
      <w:r>
        <w:rPr>
          <w:rFonts w:ascii="Arial" w:cs="Arial" w:eastAsia="Arial" w:hAnsi="Arial"/>
          <w:sz w:val="13"/>
          <w:szCs w:val="13"/>
          <w:color w:val="auto"/>
        </w:rPr>
        <w:t xml:space="preserve">. Tenant hereby acknowledges and agrees that Landlord is entering into this Lease in material reliance upon the ability of Landlord to draw upon the L-C upon the occurrence of any L-C Draw Event. In the event of any L-C Draw Event, Landlord may, but without obligation to do so, and without notice to Tenant (except in connection with an L-C Draw Event under </w:t>
      </w:r>
      <w:r>
        <w:rPr>
          <w:rFonts w:ascii="Arial" w:cs="Arial" w:eastAsia="Arial" w:hAnsi="Arial"/>
          <w:sz w:val="13"/>
          <w:szCs w:val="13"/>
          <w:u w:val="single" w:color="auto"/>
          <w:color w:val="auto"/>
        </w:rPr>
        <w:t>Section 21.1(H)</w:t>
      </w:r>
      <w:r>
        <w:rPr>
          <w:rFonts w:ascii="Arial" w:cs="Arial" w:eastAsia="Arial" w:hAnsi="Arial"/>
          <w:sz w:val="13"/>
          <w:szCs w:val="13"/>
          <w:color w:val="auto"/>
        </w:rPr>
        <w:t xml:space="preserve"> above), draw upon the L-C, in part or in whole, in the amount necessary to cure any such L-C Draw Event and/or to compensate Landlord for any and all damages of any kind or nature sustained or which Landlord reasonably estimates that it will sustain resulting from Tenant’s breach or default of the Lease or other L-C Draw Event and/or to compensate Landlord for any and all damages arising out of, or incurred in connection with, the termination of this Lease, including, without limitation, those specifically identified in Section 1951.2 of the California Civil Code. The use, application or retention of the L-C, or any portion thereof, by Landlord shall not prevent Landlord from exercising any other right or remedy provided by this Lease or by any applicable law, it being intended that Landlord shall not first be required to proceed against the L-C, and such L-C shall not operate as a limitation on any recovery to which Landlord may otherwise be entitled. Tenant agrees and acknowledges that (i) the L-C constitutes a separate and independent contract between Landlord and the Bank, (ii) Tenant is not a third party beneficiary of such contract, (iii) Tenant has no property interest whatsoever in the L-C or the proceeds thereof, and (iv) in the event Tenant becomes a debtor under any chapter of the Bankruptcy Code, Tenant is placed into receivership or conservatorship, and/or there is an event of a receivership, conservatorship or a bankruptcy filing by, or on behalf of, Tenant, neither Tenant, any trustee, nor Tenant’s bankruptcy estate shall have any right to restrict or limit Landlord’s claim and/or rights to the L-C and/or the proceeds thereof by application of Section 502(b)(6) of the U. S. Bankruptcy Code or otherwise.</w:t>
      </w:r>
    </w:p>
    <w:p>
      <w:pPr>
        <w:spacing w:after="0" w:line="324" w:lineRule="exact"/>
        <w:rPr>
          <w:sz w:val="20"/>
          <w:szCs w:val="20"/>
          <w:color w:val="auto"/>
        </w:rPr>
      </w:pPr>
    </w:p>
    <w:p>
      <w:pPr>
        <w:ind w:left="6" w:right="60" w:firstLine="385"/>
        <w:spacing w:after="0" w:line="308"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b w:val="1"/>
          <w:bCs w:val="1"/>
          <w:u w:val="single" w:color="auto"/>
          <w:color w:val="auto"/>
        </w:rPr>
        <w:t>Maintenance of L-C by Tenant</w:t>
      </w:r>
      <w:r>
        <w:rPr>
          <w:rFonts w:ascii="Arial" w:cs="Arial" w:eastAsia="Arial" w:hAnsi="Arial"/>
          <w:sz w:val="13"/>
          <w:szCs w:val="13"/>
          <w:color w:val="auto"/>
        </w:rPr>
        <w:t xml:space="preserve">. If, as a result of any drawing by Landlord of all or any portion of the L-C, the amount of the L-C shall be less than the L-C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Tenant further covenants and warrants that it will neither assign nor encumber the L-C or any part thereof and that neither Landlord nor its successors or assigns will be bound by any such assignment, encumbrance, attempted assignment or attempted encumbrance. Without limiting the generality of the foregoing, if the L-C expires earlier than the L-C Expiration Date, Landlord will accept a renewal thereof (such renewal letter of credit to be in effect and delivered to Landlord, as applicable, not later than thirty (30) days prior to the expiration of the L-C), which shall be irrevocable and automatically renewable as above provided through the L-C Expiration Date upon the same terms as the expiring L-C or such other terms as may be acceptable to Landlord in its sole discretion. If Tenant exercises its option to extend the Lease Term pursuant to </w:t>
      </w:r>
      <w:r>
        <w:rPr>
          <w:rFonts w:ascii="Arial" w:cs="Arial" w:eastAsia="Arial" w:hAnsi="Arial"/>
          <w:sz w:val="13"/>
          <w:szCs w:val="13"/>
          <w:u w:val="single" w:color="auto"/>
          <w:color w:val="auto"/>
        </w:rPr>
        <w:t>Section 2.2</w:t>
      </w:r>
      <w:r>
        <w:rPr>
          <w:rFonts w:ascii="Arial" w:cs="Arial" w:eastAsia="Arial" w:hAnsi="Arial"/>
          <w:sz w:val="13"/>
          <w:szCs w:val="13"/>
          <w:color w:val="auto"/>
        </w:rPr>
        <w:t xml:space="preserve"> of this Lease then, not later than thirty (30) days prior to the commencement of the Option Term, Tenant shall deliver to Landlord a new L C or certificate of renewal or extension evidencing the L-C Expiration Date as thirty (30) days after the expiration of the Option Term. However, if the L-C is not timely renewed, or if Tenant fails to maintain the L-C in the amount and in accordance with the terms set forth in this </w:t>
      </w:r>
      <w:r>
        <w:rPr>
          <w:rFonts w:ascii="Arial" w:cs="Arial" w:eastAsia="Arial" w:hAnsi="Arial"/>
          <w:sz w:val="13"/>
          <w:szCs w:val="13"/>
          <w:u w:val="single" w:color="auto"/>
          <w:color w:val="auto"/>
        </w:rPr>
        <w:t>Article 21</w:t>
      </w:r>
      <w:r>
        <w:rPr>
          <w:rFonts w:ascii="Arial" w:cs="Arial" w:eastAsia="Arial" w:hAnsi="Arial"/>
          <w:sz w:val="13"/>
          <w:szCs w:val="13"/>
          <w:color w:val="auto"/>
        </w:rPr>
        <w:t xml:space="preserve">, Landlord shall have the right to present the L-C to the Bank in accordance with the terms of this </w:t>
      </w:r>
      <w:r>
        <w:rPr>
          <w:rFonts w:ascii="Arial" w:cs="Arial" w:eastAsia="Arial" w:hAnsi="Arial"/>
          <w:sz w:val="13"/>
          <w:szCs w:val="13"/>
          <w:u w:val="single" w:color="auto"/>
          <w:color w:val="auto"/>
        </w:rPr>
        <w:t>Article 21</w:t>
      </w:r>
      <w:r>
        <w:rPr>
          <w:rFonts w:ascii="Arial" w:cs="Arial" w:eastAsia="Arial" w:hAnsi="Arial"/>
          <w:sz w:val="13"/>
          <w:szCs w:val="13"/>
          <w:color w:val="auto"/>
        </w:rPr>
        <w:t>, and the proceeds of the L-C may be applied by Landlord against any Rent payable by Tenant under this Lease that is not paid when due and/or to pay for all losses and damages that Landlord has suffered or that Landlord reasonably estimates that it will suffer as a result of any breach or default by Tenant under this Lease. In the event Landlord elects to exercise its rights as provided above, (I) any unused proceeds shall constitute the property of Landlord (and not Tenant’s property or, in the event of a receivership, conservatorship, or a bankruptcy filing by, or on behalf of, Tenant, property of such receivership, conservatorship or Tenant’s bankruptcy estate) and need not be segregated from Landlord’s other assets, and</w:t>
      </w:r>
    </w:p>
    <w:p>
      <w:pPr>
        <w:spacing w:after="0" w:line="153" w:lineRule="exact"/>
        <w:rPr>
          <w:sz w:val="20"/>
          <w:szCs w:val="20"/>
          <w:color w:val="auto"/>
        </w:rPr>
      </w:pPr>
    </w:p>
    <w:p>
      <w:pPr>
        <w:ind w:left="6" w:hanging="6"/>
        <w:spacing w:after="0" w:line="311" w:lineRule="auto"/>
        <w:tabs>
          <w:tab w:leader="none" w:pos="255" w:val="left"/>
        </w:tabs>
        <w:numPr>
          <w:ilvl w:val="0"/>
          <w:numId w:val="267"/>
        </w:numPr>
        <w:rPr>
          <w:rFonts w:ascii="Arial" w:cs="Arial" w:eastAsia="Arial" w:hAnsi="Arial"/>
          <w:sz w:val="13"/>
          <w:szCs w:val="13"/>
          <w:color w:val="auto"/>
        </w:rPr>
      </w:pPr>
      <w:r>
        <w:rPr>
          <w:rFonts w:ascii="Arial" w:cs="Arial" w:eastAsia="Arial" w:hAnsi="Arial"/>
          <w:sz w:val="13"/>
          <w:szCs w:val="13"/>
          <w:color w:val="auto"/>
        </w:rPr>
        <w:t>Landlord agrees to pay to Tenant within thirty (30) days after the L-C Expiration Date the amount of any proceeds of the L-C received by Landlord and not applied against any Rent payable by Tenant under this Lease that was not paid when due or used to pay for any losses and/or damages suffered by Landlord (or reasonably estimated by Landlord that it will suffer) as a result of any breach or default by Tenant under this Lease; provided, however, that if prior to the L-C Expiration Date a voluntary petition is filed by Tenant, or an involuntary petition is filed against Tenant by any of Tenant’s creditors, under the Bankruptcy Code, then Landlord shall not be obligated to make such payment in the amount of the unused L-C proceeds until either all preference issues relating to payments under this Lease have been resolved in such bankruptcy or reorganization case or such bankruptcy or reorganization case has been dismissed. If Landlord draws on the L-C due to Tenant’s failure to timely renew or provide a replacement L-C, such failure shall not be considered a default under this Lease and Landlord shall return such cash proceeds upon Tenant’s presentation of a replacement L-C that satisfies the requirements of this Lease, subject to reasonable satisfaction of any preference risk to Landlord.</w:t>
      </w:r>
    </w:p>
    <w:p>
      <w:pPr>
        <w:sectPr>
          <w:pgSz w:w="11900" w:h="16838" w:orient="portrait"/>
          <w:cols w:equalWidth="0" w:num="1">
            <w:col w:w="9586"/>
          </w:cols>
          <w:pgMar w:left="1134" w:top="256" w:right="1179" w:bottom="1440" w:gutter="0" w:footer="0" w:header="0"/>
        </w:sectPr>
      </w:pPr>
    </w:p>
    <w:bookmarkStart w:id="387" w:name="page388"/>
    <w:bookmarkEnd w:id="387"/>
    <w:p>
      <w:pPr>
        <w:ind w:left="6" w:right="40" w:firstLine="385"/>
        <w:spacing w:after="0" w:line="31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21.4 </w:t>
      </w:r>
      <w:r>
        <w:rPr>
          <w:rFonts w:ascii="Arial" w:cs="Arial" w:eastAsia="Arial" w:hAnsi="Arial"/>
          <w:sz w:val="13"/>
          <w:szCs w:val="13"/>
          <w:b w:val="1"/>
          <w:bCs w:val="1"/>
          <w:u w:val="single" w:color="auto"/>
          <w:color w:val="auto"/>
        </w:rPr>
        <w:t>Transfer and Encumbrance</w:t>
      </w:r>
      <w:r>
        <w:rPr>
          <w:rFonts w:ascii="Arial" w:cs="Arial" w:eastAsia="Arial" w:hAnsi="Arial"/>
          <w:sz w:val="13"/>
          <w:szCs w:val="13"/>
          <w:color w:val="auto"/>
        </w:rPr>
        <w:t>. The L-C shall also provide that Landlord may, at any time and without notice to Tenant and without first obtaining Tenant’s consent thereto, transfer (one or more times) all or any portion of its interest in and to the L-C to another party, person or entity, regardless of whether or not such transfer is from or as a part of the assignment by Landlord of its rights and interests in and to this Lease. In the event of a transfer of Landlord’s interest in under this Lease, Landlord shall transfer the L-C, in whole or in part, to the transferee and thereupon Landlord shall, without any further agreement between the parties, be released by Tenant from all liability therefor, and it is agreed that the provisions hereof shall apply to every transfer or assignment of the whole of said L-C to a new landlord. In connection with any such transfer of the L-C by Landlord, Tenant shall, at Tenant’s sole cost and expense, execute and submit to the Bank such applications, documents and instruments as may be necessary to effectuate such transfer and, Tenant shall be responsible for paying the Bank’s transfer and processing fees in connection therewith; provided that, Landlord shall have the right (in its sole discretion), but not the obligation, to pay such fees on behalf of Tenant, in which case Tenant shall reimburse Landlord within ten (10) days after Tenant’s receipt of an invoice from Landlord therefor.</w:t>
      </w:r>
    </w:p>
    <w:p>
      <w:pPr>
        <w:spacing w:after="0" w:line="320" w:lineRule="exact"/>
        <w:rPr>
          <w:sz w:val="20"/>
          <w:szCs w:val="20"/>
          <w:color w:val="auto"/>
        </w:rPr>
      </w:pPr>
    </w:p>
    <w:p>
      <w:pPr>
        <w:jc w:val="both"/>
        <w:ind w:left="6" w:right="100" w:firstLine="385"/>
        <w:spacing w:after="0" w:line="307"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b w:val="1"/>
          <w:bCs w:val="1"/>
          <w:u w:val="single" w:color="auto"/>
          <w:color w:val="auto"/>
        </w:rPr>
        <w:t>L-C Not a Security Deposit</w:t>
      </w:r>
      <w:r>
        <w:rPr>
          <w:rFonts w:ascii="Arial" w:cs="Arial" w:eastAsia="Arial" w:hAnsi="Arial"/>
          <w:sz w:val="13"/>
          <w:szCs w:val="13"/>
          <w:color w:val="auto"/>
        </w:rPr>
        <w:t>. Landlord and Tenant (1) acknowledge and agree that in no event or circumstance shall the L-C or any renewal thereof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w:t>
      </w:r>
      <w:r>
        <w:rPr>
          <w:rFonts w:ascii="Arial" w:cs="Arial" w:eastAsia="Arial" w:hAnsi="Arial"/>
          <w:sz w:val="13"/>
          <w:szCs w:val="13"/>
          <w:b w:val="1"/>
          <w:bCs w:val="1"/>
          <w:u w:val="single" w:color="auto"/>
          <w:color w:val="auto"/>
        </w:rPr>
        <w:t>Security Deposit Laws</w:t>
      </w:r>
      <w:r>
        <w:rPr>
          <w:rFonts w:ascii="Arial" w:cs="Arial" w:eastAsia="Arial" w:hAnsi="Arial"/>
          <w:sz w:val="13"/>
          <w:szCs w:val="13"/>
          <w:u w:val="single" w:color="auto"/>
          <w:color w:val="auto"/>
        </w:rPr>
        <w:t>”</w:t>
      </w:r>
      <w:r>
        <w:rPr>
          <w:rFonts w:ascii="Arial" w:cs="Arial" w:eastAsia="Arial" w:hAnsi="Arial"/>
          <w:sz w:val="13"/>
          <w:szCs w:val="13"/>
          <w:color w:val="auto"/>
        </w:rPr>
        <w:t>), (2) acknowledge and agree that the L-C (including any renewal thereof or substitute therefor or any proceeds thereof) is not intended to serve as a security deposit, and the Security Deposit Laws shall have no applicability or relevancy thereto, and</w:t>
      </w:r>
    </w:p>
    <w:p>
      <w:pPr>
        <w:spacing w:after="0" w:line="2" w:lineRule="exact"/>
        <w:rPr>
          <w:sz w:val="20"/>
          <w:szCs w:val="20"/>
          <w:color w:val="auto"/>
        </w:rPr>
      </w:pPr>
    </w:p>
    <w:p>
      <w:pPr>
        <w:ind w:left="6" w:right="40" w:hanging="6"/>
        <w:spacing w:after="0" w:line="264" w:lineRule="auto"/>
        <w:tabs>
          <w:tab w:leader="none" w:pos="229" w:val="left"/>
        </w:tabs>
        <w:numPr>
          <w:ilvl w:val="0"/>
          <w:numId w:val="268"/>
        </w:numPr>
        <w:rPr>
          <w:rFonts w:ascii="Arial" w:cs="Arial" w:eastAsia="Arial" w:hAnsi="Arial"/>
          <w:sz w:val="15"/>
          <w:szCs w:val="15"/>
          <w:color w:val="auto"/>
        </w:rPr>
      </w:pPr>
      <w:r>
        <w:rPr>
          <w:rFonts w:ascii="Arial" w:cs="Arial" w:eastAsia="Arial" w:hAnsi="Arial"/>
          <w:sz w:val="15"/>
          <w:szCs w:val="15"/>
          <w:color w:val="auto"/>
        </w:rPr>
        <w:t xml:space="preserve">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w:t>
      </w:r>
      <w:r>
        <w:rPr>
          <w:rFonts w:ascii="Arial" w:cs="Arial" w:eastAsia="Arial" w:hAnsi="Arial"/>
          <w:sz w:val="15"/>
          <w:szCs w:val="15"/>
          <w:u w:val="single" w:color="auto"/>
          <w:color w:val="auto"/>
        </w:rPr>
        <w:t>Article 21</w:t>
      </w:r>
      <w:r>
        <w:rPr>
          <w:rFonts w:ascii="Arial" w:cs="Arial" w:eastAsia="Arial" w:hAnsi="Arial"/>
          <w:sz w:val="15"/>
          <w:szCs w:val="15"/>
          <w:color w:val="auto"/>
        </w:rPr>
        <w:t xml:space="preserve">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 Tenant agrees not to interfere in any way with any payment to Landlord of the proceeds of the L-C, either prior to or following a “draw” by Landlord of all or any portion of the L-C, regardless of whether any dispute exists between Tenant and Landlord as to Landlord’s right to draw down all or any portion of the L-C. No condition or term of this Lease shall be deemed to render the L-C conditional and thereby afford the Bank a justification for failing to honor a drawing upon such L-C in a timely manner. Tenant shall not request or instruct the Bank of any L-C to refrain from paying sight draft(s) drawn under such L-C.</w:t>
      </w:r>
    </w:p>
    <w:p>
      <w:pPr>
        <w:spacing w:after="0" w:line="159" w:lineRule="exact"/>
        <w:rPr>
          <w:sz w:val="20"/>
          <w:szCs w:val="20"/>
          <w:color w:val="auto"/>
        </w:rPr>
      </w:pPr>
    </w:p>
    <w:p>
      <w:pPr>
        <w:ind w:left="6" w:firstLine="385"/>
        <w:spacing w:after="0" w:line="26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b w:val="1"/>
          <w:bCs w:val="1"/>
          <w:u w:val="single" w:color="auto"/>
          <w:color w:val="auto"/>
        </w:rPr>
        <w:t>Remedy for Improper Drafts</w:t>
      </w:r>
      <w:r>
        <w:rPr>
          <w:rFonts w:ascii="Arial" w:cs="Arial" w:eastAsia="Arial" w:hAnsi="Arial"/>
          <w:sz w:val="15"/>
          <w:szCs w:val="15"/>
          <w:color w:val="auto"/>
        </w:rPr>
        <w:t>. Tenant’s sole remedy in connection with the improper presentment or payment of sight drafts drawn under any L-C shall be the right to obtain from Landlord a refund of the amount of any sight draft(s) that were improperly presented or the proceeds of which were misapplied, and reasonable actual out-of-pocket attorneys’ fees, provided that at the time of such refund, Tenant increases the amount of such L-C to the amount (if any) then required under the applicable provisions of this Lease. Tenant acknowledges that the presentment of sight drafts drawn under any L-C, or the Bank’s payment of sight drafts drawn under such L-C, could not under any circumstances cause Tenant injury that could not be remedied by an award of money damages, and that the recovery of money damages would be an adequate remedy therefor. In the event Tenant shall be entitled to a refund as aforesaid and Landlord shall fail to make such payment within ten (10) business days after demand, Tenant shall have the right to deduct the amount thereof from the next installment(s) of Base Rent.</w:t>
      </w:r>
    </w:p>
    <w:p>
      <w:pPr>
        <w:spacing w:after="0" w:line="157" w:lineRule="exact"/>
        <w:rPr>
          <w:sz w:val="20"/>
          <w:szCs w:val="20"/>
          <w:color w:val="auto"/>
        </w:rPr>
      </w:pPr>
    </w:p>
    <w:p>
      <w:pPr>
        <w:jc w:val="both"/>
        <w:ind w:left="6" w:right="200" w:hanging="6"/>
        <w:spacing w:after="0" w:line="259" w:lineRule="auto"/>
        <w:tabs>
          <w:tab w:leader="none" w:pos="242" w:val="left"/>
        </w:tabs>
        <w:numPr>
          <w:ilvl w:val="0"/>
          <w:numId w:val="2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COMMUNICATIONS AND COMPUTER LINE. </w:t>
      </w:r>
      <w:r>
        <w:rPr>
          <w:rFonts w:ascii="Arial" w:cs="Arial" w:eastAsia="Arial" w:hAnsi="Arial"/>
          <w:sz w:val="16"/>
          <w:szCs w:val="16"/>
          <w:color w:val="auto"/>
        </w:rPr>
        <w:t>Tenant may install, maintain, replace, remove or use any communications or computer wires</w:t>
      </w:r>
      <w:r>
        <w:rPr>
          <w:rFonts w:ascii="Arial" w:cs="Arial" w:eastAsia="Arial" w:hAnsi="Arial"/>
          <w:sz w:val="16"/>
          <w:szCs w:val="16"/>
          <w:b w:val="1"/>
          <w:bCs w:val="1"/>
          <w:color w:val="auto"/>
        </w:rPr>
        <w:t xml:space="preserve"> </w:t>
      </w:r>
      <w:r>
        <w:rPr>
          <w:rFonts w:ascii="Arial" w:cs="Arial" w:eastAsia="Arial" w:hAnsi="Arial"/>
          <w:sz w:val="16"/>
          <w:szCs w:val="16"/>
          <w:color w:val="auto"/>
        </w:rPr>
        <w:t>and cables serving the Premises (collectively, the “</w:t>
      </w:r>
      <w:r>
        <w:rPr>
          <w:rFonts w:ascii="Arial" w:cs="Arial" w:eastAsia="Arial" w:hAnsi="Arial"/>
          <w:sz w:val="16"/>
          <w:szCs w:val="16"/>
          <w:b w:val="1"/>
          <w:bCs w:val="1"/>
          <w:color w:val="auto"/>
        </w:rPr>
        <w:t>Lines</w:t>
      </w:r>
      <w:r>
        <w:rPr>
          <w:rFonts w:ascii="Arial" w:cs="Arial" w:eastAsia="Arial" w:hAnsi="Arial"/>
          <w:sz w:val="16"/>
          <w:szCs w:val="16"/>
          <w:color w:val="auto"/>
        </w:rPr>
        <w:t>”), provided that Tenant shall obtain Landlord’s prior written consent, use an experienced and qualified contractor approved in writing</w:t>
      </w:r>
    </w:p>
    <w:p>
      <w:pPr>
        <w:sectPr>
          <w:pgSz w:w="11900" w:h="16838" w:orient="portrait"/>
          <w:cols w:equalWidth="0" w:num="1">
            <w:col w:w="9626"/>
          </w:cols>
          <w:pgMar w:left="1134" w:top="252" w:right="1139" w:bottom="1440" w:gutter="0" w:footer="0" w:header="0"/>
        </w:sectPr>
      </w:pPr>
    </w:p>
    <w:bookmarkStart w:id="388" w:name="page389"/>
    <w:bookmarkEnd w:id="388"/>
    <w:p>
      <w:pPr>
        <w:ind w:left="6" w:right="16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by Landlord, and comply with all of the other provisions of Articles 7 and 8 of this Lease. Tenant shall pay all costs in connection therewith. Landlord reserves the right, upon notice to Tenant prior to the expiration or earlier termination of this Lease, to require that Tenant, at Tenant’s sole cost and expense, remove any Lines located in or serving the Premises prior to the expiration or earlier termination of this Lease.</w:t>
      </w:r>
    </w:p>
    <w:p>
      <w:pPr>
        <w:spacing w:after="0" w:line="145"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23. SIGNS.</w:t>
      </w:r>
    </w:p>
    <w:p>
      <w:pPr>
        <w:spacing w:after="0" w:line="193" w:lineRule="exact"/>
        <w:rPr>
          <w:sz w:val="20"/>
          <w:szCs w:val="20"/>
          <w:color w:val="auto"/>
        </w:rPr>
      </w:pPr>
    </w:p>
    <w:p>
      <w:pPr>
        <w:ind w:left="6" w:right="420" w:firstLine="385"/>
        <w:spacing w:after="0" w:line="315" w:lineRule="auto"/>
        <w:rPr>
          <w:sz w:val="20"/>
          <w:szCs w:val="20"/>
          <w:color w:val="auto"/>
        </w:rPr>
      </w:pPr>
      <w:r>
        <w:rPr>
          <w:rFonts w:ascii="Arial" w:cs="Arial" w:eastAsia="Arial" w:hAnsi="Arial"/>
          <w:sz w:val="13"/>
          <w:szCs w:val="13"/>
          <w:color w:val="auto"/>
        </w:rPr>
        <w:t xml:space="preserve">23.1 </w:t>
      </w:r>
      <w:r>
        <w:rPr>
          <w:rFonts w:ascii="Arial" w:cs="Arial" w:eastAsia="Arial" w:hAnsi="Arial"/>
          <w:sz w:val="13"/>
          <w:szCs w:val="13"/>
          <w:b w:val="1"/>
          <w:bCs w:val="1"/>
          <w:u w:val="single" w:color="auto"/>
          <w:color w:val="auto"/>
        </w:rPr>
        <w:t>Exterior Signage</w:t>
      </w:r>
      <w:r>
        <w:rPr>
          <w:rFonts w:ascii="Arial" w:cs="Arial" w:eastAsia="Arial" w:hAnsi="Arial"/>
          <w:sz w:val="13"/>
          <w:szCs w:val="13"/>
          <w:color w:val="auto"/>
        </w:rPr>
        <w:t>. Subject to Landlord’s prior written approval, which shall not be unreasonably withheld, conditioned or delayed, and provided all signs are in keeping with the quality, design and style of the Building and Project, Tenant, at its sole cost and expense, may install</w:t>
      </w:r>
    </w:p>
    <w:p>
      <w:pPr>
        <w:ind w:left="6" w:right="20" w:hanging="6"/>
        <w:spacing w:after="0" w:line="264" w:lineRule="auto"/>
        <w:tabs>
          <w:tab w:leader="none" w:pos="194" w:val="left"/>
        </w:tabs>
        <w:numPr>
          <w:ilvl w:val="0"/>
          <w:numId w:val="270"/>
        </w:numPr>
        <w:rPr>
          <w:rFonts w:ascii="Arial" w:cs="Arial" w:eastAsia="Arial" w:hAnsi="Arial"/>
          <w:sz w:val="15"/>
          <w:szCs w:val="15"/>
          <w:color w:val="auto"/>
        </w:rPr>
      </w:pPr>
      <w:r>
        <w:rPr>
          <w:rFonts w:ascii="Arial" w:cs="Arial" w:eastAsia="Arial" w:hAnsi="Arial"/>
          <w:sz w:val="15"/>
          <w:szCs w:val="15"/>
          <w:color w:val="auto"/>
        </w:rPr>
        <w:t>identification signage on the monument sign outside the front entrance to the Building (which monument sign shall be installed by Landlord at its sole cost prior to the Lease Commencement Date), (ii) internal directional and lobby identification signage, and (iii) signage in the elevator lobby on the floor containing the Premises (collectively, “</w:t>
      </w:r>
      <w:r>
        <w:rPr>
          <w:rFonts w:ascii="Arial" w:cs="Arial" w:eastAsia="Arial" w:hAnsi="Arial"/>
          <w:sz w:val="15"/>
          <w:szCs w:val="15"/>
          <w:b w:val="1"/>
          <w:bCs w:val="1"/>
          <w:color w:val="auto"/>
        </w:rPr>
        <w:t>Tenant Signage</w:t>
      </w:r>
      <w:r>
        <w:rPr>
          <w:rFonts w:ascii="Arial" w:cs="Arial" w:eastAsia="Arial" w:hAnsi="Arial"/>
          <w:sz w:val="15"/>
          <w:szCs w:val="15"/>
          <w:color w:val="auto"/>
        </w:rPr>
        <w:t xml:space="preserve">”); provided, however, in no event shall Tenant’s Signage include an “Objectionable Name,” as that term is defined in </w:t>
      </w:r>
      <w:r>
        <w:rPr>
          <w:rFonts w:ascii="Arial" w:cs="Arial" w:eastAsia="Arial" w:hAnsi="Arial"/>
          <w:sz w:val="15"/>
          <w:szCs w:val="15"/>
          <w:u w:val="single" w:color="auto"/>
          <w:color w:val="auto"/>
        </w:rPr>
        <w:t>Section 23.3</w:t>
      </w:r>
      <w:r>
        <w:rPr>
          <w:rFonts w:ascii="Arial" w:cs="Arial" w:eastAsia="Arial" w:hAnsi="Arial"/>
          <w:sz w:val="15"/>
          <w:szCs w:val="15"/>
          <w:color w:val="auto"/>
        </w:rPr>
        <w:t>, of this Lease. All such signage shall be subject to Tenant’s obtaining all required governmental approvals. All permitted signs shall be maintained by Tenant at its expense in a first-class and safe condition and appearance. Upon the expiration or earlier termination of this Lease, Tenant shall remove all of its signs at Tenant’s sole cost and expense. The graphics, materials, color, design, lettering, lighting, size, illumination, specifications and exact location of Tenant’s Signage (collectively, the “</w:t>
      </w:r>
      <w:r>
        <w:rPr>
          <w:rFonts w:ascii="Arial" w:cs="Arial" w:eastAsia="Arial" w:hAnsi="Arial"/>
          <w:sz w:val="15"/>
          <w:szCs w:val="15"/>
          <w:b w:val="1"/>
          <w:bCs w:val="1"/>
          <w:color w:val="auto"/>
        </w:rPr>
        <w:t>Sign Specifications</w:t>
      </w:r>
      <w:r>
        <w:rPr>
          <w:rFonts w:ascii="Arial" w:cs="Arial" w:eastAsia="Arial" w:hAnsi="Arial"/>
          <w:sz w:val="15"/>
          <w:szCs w:val="15"/>
          <w:color w:val="auto"/>
        </w:rPr>
        <w:t>”) shall be subject to the prior written approval of Landlord, which approval shall not be unreasonably withheld, conditioned or delayed, and shall be consistent and compatible with the quality and nature of the Project. Tenant hereby acknowledges that, notwithstanding Landlord’s approval of Tenant’s Signage, Landlord has made no representation or warranty to Tenant with respect to the probability of obtaining all necessary governmental approvals and permits for Tenant’s Signage. In the event Tenant does not receive the necessary governmental approvals and permits for Tenant’s Signage, Tenant’s and Landlord’s rights and obligations under the remaining terms of this Lease shall be unaffected. Except as required by applicable law, Landlord shall not install any other signage on the Building. If Landlord elects to install a multi-tenant identification sign at the entrance to the Project, Tenant shall be entitled to install its name on such sign (subject to availability on a pro-rata basis based on the relative square footages leased by the tenants of the Project), at Tenant’s sole cost and expense.</w:t>
      </w:r>
    </w:p>
    <w:p>
      <w:pPr>
        <w:spacing w:after="0" w:line="157" w:lineRule="exact"/>
        <w:rPr>
          <w:sz w:val="20"/>
          <w:szCs w:val="20"/>
          <w:color w:val="auto"/>
        </w:rPr>
      </w:pPr>
    </w:p>
    <w:p>
      <w:pPr>
        <w:ind w:left="6" w:right="40" w:firstLine="385"/>
        <w:spacing w:after="0" w:line="25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u w:val="single" w:color="auto"/>
          <w:color w:val="auto"/>
        </w:rPr>
        <w:t>Objectionable Name</w:t>
      </w:r>
      <w:r>
        <w:rPr>
          <w:rFonts w:ascii="Arial" w:cs="Arial" w:eastAsia="Arial" w:hAnsi="Arial"/>
          <w:sz w:val="16"/>
          <w:szCs w:val="16"/>
          <w:color w:val="auto"/>
        </w:rPr>
        <w:t>. Tenant’s Signage shall not include a name or logo which relates to an entity which is of a character or reputation, or is associated with a political faction or orientation, which is inconsistent with the quality of the Project, or which would otherwise reasonably offend a landlord of the Comparable Buildings (an “</w:t>
      </w:r>
      <w:r>
        <w:rPr>
          <w:rFonts w:ascii="Arial" w:cs="Arial" w:eastAsia="Arial" w:hAnsi="Arial"/>
          <w:sz w:val="16"/>
          <w:szCs w:val="16"/>
          <w:b w:val="1"/>
          <w:bCs w:val="1"/>
          <w:color w:val="auto"/>
        </w:rPr>
        <w:t>Objectionable Name</w:t>
      </w:r>
      <w:r>
        <w:rPr>
          <w:rFonts w:ascii="Arial" w:cs="Arial" w:eastAsia="Arial" w:hAnsi="Arial"/>
          <w:sz w:val="16"/>
          <w:szCs w:val="16"/>
          <w:color w:val="auto"/>
        </w:rPr>
        <w:t>”). Landlord agrees that “The Column Group, LLC” and “ TCG” are not Objectionable Names.</w:t>
      </w:r>
    </w:p>
    <w:p>
      <w:pPr>
        <w:spacing w:after="0" w:line="164" w:lineRule="exact"/>
        <w:rPr>
          <w:sz w:val="20"/>
          <w:szCs w:val="20"/>
          <w:color w:val="auto"/>
        </w:rPr>
      </w:pPr>
    </w:p>
    <w:p>
      <w:pPr>
        <w:ind w:left="6" w:right="220" w:firstLine="385"/>
        <w:spacing w:after="0" w:line="277" w:lineRule="auto"/>
        <w:rPr>
          <w:sz w:val="20"/>
          <w:szCs w:val="20"/>
          <w:color w:val="auto"/>
        </w:rPr>
      </w:pPr>
      <w:r>
        <w:rPr>
          <w:rFonts w:ascii="Arial" w:cs="Arial" w:eastAsia="Arial" w:hAnsi="Arial"/>
          <w:sz w:val="15"/>
          <w:szCs w:val="15"/>
          <w:color w:val="auto"/>
        </w:rPr>
        <w:t xml:space="preserve">23.3 </w:t>
      </w:r>
      <w:r>
        <w:rPr>
          <w:rFonts w:ascii="Arial" w:cs="Arial" w:eastAsia="Arial" w:hAnsi="Arial"/>
          <w:sz w:val="15"/>
          <w:szCs w:val="15"/>
          <w:b w:val="1"/>
          <w:bCs w:val="1"/>
          <w:u w:val="single" w:color="auto"/>
          <w:color w:val="auto"/>
        </w:rPr>
        <w:t>Prohibited Signage and Other Items</w:t>
      </w:r>
      <w:r>
        <w:rPr>
          <w:rFonts w:ascii="Arial" w:cs="Arial" w:eastAsia="Arial" w:hAnsi="Arial"/>
          <w:sz w:val="15"/>
          <w:szCs w:val="15"/>
          <w:color w:val="auto"/>
        </w:rPr>
        <w:t>. Any signs, notices, logos, pictures, names or advertisements which are installed and that have not been separately approved by Landlord may be removed without notice by Landlord at the sole expense of Tenant.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47" w:lineRule="exact"/>
        <w:rPr>
          <w:sz w:val="20"/>
          <w:szCs w:val="20"/>
          <w:color w:val="auto"/>
        </w:rPr>
      </w:pPr>
    </w:p>
    <w:p>
      <w:pPr>
        <w:ind w:left="6" w:hanging="6"/>
        <w:spacing w:after="0" w:line="312" w:lineRule="auto"/>
        <w:tabs>
          <w:tab w:leader="none" w:pos="242" w:val="left"/>
        </w:tabs>
        <w:numPr>
          <w:ilvl w:val="0"/>
          <w:numId w:val="27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COMPLIANCE WITH LAW. </w:t>
      </w:r>
      <w:r>
        <w:rPr>
          <w:rFonts w:ascii="Arial" w:cs="Arial" w:eastAsia="Arial" w:hAnsi="Arial"/>
          <w:sz w:val="13"/>
          <w:szCs w:val="13"/>
          <w:color w:val="auto"/>
        </w:rPr>
        <w:t>Tenant shall not do anything or suffer anything to be done in or about the Premises or the Project which will in any</w:t>
      </w:r>
      <w:r>
        <w:rPr>
          <w:rFonts w:ascii="Arial" w:cs="Arial" w:eastAsia="Arial" w:hAnsi="Arial"/>
          <w:sz w:val="13"/>
          <w:szCs w:val="13"/>
          <w:b w:val="1"/>
          <w:bCs w:val="1"/>
          <w:color w:val="auto"/>
        </w:rPr>
        <w:t xml:space="preserve"> </w:t>
      </w:r>
      <w:r>
        <w:rPr>
          <w:rFonts w:ascii="Arial" w:cs="Arial" w:eastAsia="Arial" w:hAnsi="Arial"/>
          <w:sz w:val="13"/>
          <w:szCs w:val="13"/>
          <w:color w:val="auto"/>
        </w:rPr>
        <w:t>way conflict with any law, statute, ordinance or other governmental rule, regulation or requirement now in force or which may hereafter be enacted or promulgated (specifically including the handicap access codes and Americans With Disabilities Act as locally enacted (“</w:t>
      </w:r>
      <w:r>
        <w:rPr>
          <w:rFonts w:ascii="Arial" w:cs="Arial" w:eastAsia="Arial" w:hAnsi="Arial"/>
          <w:sz w:val="13"/>
          <w:szCs w:val="13"/>
          <w:b w:val="1"/>
          <w:bCs w:val="1"/>
          <w:color w:val="auto"/>
        </w:rPr>
        <w:t>ADA</w:t>
      </w:r>
      <w:r>
        <w:rPr>
          <w:rFonts w:ascii="Arial" w:cs="Arial" w:eastAsia="Arial" w:hAnsi="Arial"/>
          <w:sz w:val="13"/>
          <w:szCs w:val="13"/>
          <w:color w:val="auto"/>
        </w:rPr>
        <w:t>”) and Environmental Laws) (collectively, “</w:t>
      </w:r>
      <w:r>
        <w:rPr>
          <w:rFonts w:ascii="Arial" w:cs="Arial" w:eastAsia="Arial" w:hAnsi="Arial"/>
          <w:sz w:val="13"/>
          <w:szCs w:val="13"/>
          <w:b w:val="1"/>
          <w:bCs w:val="1"/>
          <w:color w:val="auto"/>
        </w:rPr>
        <w:t>Applicable Laws</w:t>
      </w:r>
      <w:r>
        <w:rPr>
          <w:rFonts w:ascii="Arial" w:cs="Arial" w:eastAsia="Arial" w:hAnsi="Arial"/>
          <w:sz w:val="13"/>
          <w:szCs w:val="13"/>
          <w:color w:val="auto"/>
        </w:rPr>
        <w:t xml:space="preserve">”). At its sole cost and expense, Tenant shall promptly comply with all such governmental measures.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Tenant shall be responsible, at its sole cost and expense, to make all alterations to the Building and Premises as are required to comply with the governmental rules, regulations, requirements or standards described in this </w:t>
      </w:r>
      <w:r>
        <w:rPr>
          <w:rFonts w:ascii="Arial" w:cs="Arial" w:eastAsia="Arial" w:hAnsi="Arial"/>
          <w:sz w:val="13"/>
          <w:szCs w:val="13"/>
          <w:u w:val="single" w:color="auto"/>
          <w:color w:val="auto"/>
        </w:rPr>
        <w:t>Article 24</w:t>
      </w:r>
      <w:r>
        <w:rPr>
          <w:rFonts w:ascii="Arial" w:cs="Arial" w:eastAsia="Arial" w:hAnsi="Arial"/>
          <w:sz w:val="13"/>
          <w:szCs w:val="13"/>
          <w:color w:val="auto"/>
        </w:rPr>
        <w:t xml:space="preserve">.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Tenant’s obligations under this </w:t>
      </w:r>
      <w:r>
        <w:rPr>
          <w:rFonts w:ascii="Arial" w:cs="Arial" w:eastAsia="Arial" w:hAnsi="Arial"/>
          <w:sz w:val="13"/>
          <w:szCs w:val="13"/>
          <w:u w:val="single" w:color="auto"/>
          <w:color w:val="auto"/>
        </w:rPr>
        <w:t>Article 24</w:t>
      </w:r>
      <w:r>
        <w:rPr>
          <w:rFonts w:ascii="Arial" w:cs="Arial" w:eastAsia="Arial" w:hAnsi="Arial"/>
          <w:sz w:val="13"/>
          <w:szCs w:val="13"/>
          <w:color w:val="auto"/>
        </w:rPr>
        <w:t xml:space="preserve"> are subject to the limitation in </w:t>
      </w:r>
      <w:r>
        <w:rPr>
          <w:rFonts w:ascii="Arial" w:cs="Arial" w:eastAsia="Arial" w:hAnsi="Arial"/>
          <w:sz w:val="13"/>
          <w:szCs w:val="13"/>
          <w:u w:val="single" w:color="auto"/>
          <w:color w:val="auto"/>
        </w:rPr>
        <w:t>Section 10.2</w:t>
      </w:r>
      <w:r>
        <w:rPr>
          <w:rFonts w:ascii="Arial" w:cs="Arial" w:eastAsia="Arial" w:hAnsi="Arial"/>
          <w:sz w:val="13"/>
          <w:szCs w:val="13"/>
          <w:color w:val="auto"/>
        </w:rPr>
        <w:t>, above.</w:t>
      </w:r>
    </w:p>
    <w:p>
      <w:pPr>
        <w:sectPr>
          <w:pgSz w:w="11900" w:h="16838" w:orient="portrait"/>
          <w:cols w:equalWidth="0" w:num="1">
            <w:col w:w="9606"/>
          </w:cols>
          <w:pgMar w:left="1134" w:top="256" w:right="1159" w:bottom="1440" w:gutter="0" w:footer="0" w:header="0"/>
        </w:sectPr>
      </w:pPr>
    </w:p>
    <w:bookmarkStart w:id="389" w:name="page390"/>
    <w:bookmarkEnd w:id="389"/>
    <w:p>
      <w:pPr>
        <w:ind w:left="6" w:right="80" w:hanging="6"/>
        <w:spacing w:after="0" w:line="305" w:lineRule="auto"/>
        <w:tabs>
          <w:tab w:leader="none" w:pos="242" w:val="left"/>
        </w:tabs>
        <w:numPr>
          <w:ilvl w:val="0"/>
          <w:numId w:val="27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LATE CHARGES. </w:t>
      </w:r>
      <w:r>
        <w:rPr>
          <w:rFonts w:ascii="Arial" w:cs="Arial" w:eastAsia="Arial" w:hAnsi="Arial"/>
          <w:sz w:val="13"/>
          <w:szCs w:val="13"/>
          <w:color w:val="auto"/>
        </w:rPr>
        <w:t>If any installment of Rent or any other sum due from Tenant shall not be received by Landlord or Landlord’s designee within</w:t>
      </w:r>
      <w:r>
        <w:rPr>
          <w:rFonts w:ascii="Arial" w:cs="Arial" w:eastAsia="Arial" w:hAnsi="Arial"/>
          <w:sz w:val="13"/>
          <w:szCs w:val="13"/>
          <w:b w:val="1"/>
          <w:bCs w:val="1"/>
          <w:color w:val="auto"/>
        </w:rPr>
        <w:t xml:space="preserve"> </w:t>
      </w:r>
      <w:r>
        <w:rPr>
          <w:rFonts w:ascii="Arial" w:cs="Arial" w:eastAsia="Arial" w:hAnsi="Arial"/>
          <w:sz w:val="13"/>
          <w:szCs w:val="13"/>
          <w:color w:val="auto"/>
        </w:rPr>
        <w:t>five (5) business days after Tenant’s receipt of written notice from Landlord that said amount is delinquent, then Tenant shall pay to Landlord a late charge equal to five percent (5%) of the overdue amount plus any reasonable attorneys’ fees incurred by Landlord by reason of Tenant’s failure to pay Rent and/or other charges when due hereunder. The late charge shall be deemed Additional Rent and the right to require it shall be in addition to all of Landlord’s other rights and remedies hereunder or at law and shall not be construed as liquidated damages or as limiting Landlord’s remedies in any manner. In addition to the late charge described above, any Rent or other amounts owing hereunder which are not paid within ten (10) days after Tenant’s receipt of written notice that said amount is delinquent shall bear interest from the date when due until paid at a rate per annum equal to the lesser of (i) the annual “Bank Prime Loan” rate cited in the Federal Reserve Statistical Release Publication G.13(415), published on the first Tuesday of each calendar month (or such other comparable index as Landlord and Tenant shall reasonably agree upon if such rate ceases to be published) plus four</w:t>
      </w:r>
    </w:p>
    <w:p>
      <w:pPr>
        <w:spacing w:after="0" w:line="3" w:lineRule="exact"/>
        <w:rPr>
          <w:rFonts w:ascii="Arial" w:cs="Arial" w:eastAsia="Arial" w:hAnsi="Arial"/>
          <w:sz w:val="13"/>
          <w:szCs w:val="13"/>
          <w:b w:val="1"/>
          <w:bCs w:val="1"/>
          <w:color w:val="auto"/>
        </w:rPr>
      </w:pPr>
    </w:p>
    <w:p>
      <w:pPr>
        <w:ind w:left="6"/>
        <w:spacing w:after="0"/>
        <w:rPr>
          <w:rFonts w:ascii="Arial" w:cs="Arial" w:eastAsia="Arial" w:hAnsi="Arial"/>
          <w:sz w:val="13"/>
          <w:szCs w:val="13"/>
          <w:b w:val="1"/>
          <w:bCs w:val="1"/>
          <w:color w:val="auto"/>
        </w:rPr>
      </w:pPr>
      <w:r>
        <w:rPr>
          <w:rFonts w:ascii="Arial" w:cs="Arial" w:eastAsia="Arial" w:hAnsi="Arial"/>
          <w:sz w:val="16"/>
          <w:szCs w:val="16"/>
          <w:color w:val="auto"/>
        </w:rPr>
        <w:t>(4) percentage points, and (ii) the highest rate permitted by applicable law.</w:t>
      </w:r>
    </w:p>
    <w:p>
      <w:pPr>
        <w:spacing w:after="0" w:line="177" w:lineRule="exact"/>
        <w:rPr>
          <w:rFonts w:ascii="Arial" w:cs="Arial" w:eastAsia="Arial" w:hAnsi="Arial"/>
          <w:sz w:val="13"/>
          <w:szCs w:val="13"/>
          <w:b w:val="1"/>
          <w:bCs w:val="1"/>
          <w:color w:val="auto"/>
        </w:rPr>
      </w:pPr>
    </w:p>
    <w:p>
      <w:pPr>
        <w:ind w:left="226" w:hanging="226"/>
        <w:spacing w:after="0"/>
        <w:tabs>
          <w:tab w:leader="none" w:pos="226" w:val="left"/>
        </w:tabs>
        <w:numPr>
          <w:ilvl w:val="0"/>
          <w:numId w:val="272"/>
        </w:numPr>
        <w:rPr>
          <w:rFonts w:ascii="Arial" w:cs="Arial" w:eastAsia="Arial" w:hAnsi="Arial"/>
          <w:sz w:val="16"/>
          <w:szCs w:val="16"/>
          <w:b w:val="1"/>
          <w:bCs w:val="1"/>
          <w:color w:val="auto"/>
        </w:rPr>
      </w:pPr>
      <w:r>
        <w:rPr>
          <w:rFonts w:ascii="Arial" w:cs="Arial" w:eastAsia="Arial" w:hAnsi="Arial"/>
          <w:sz w:val="16"/>
          <w:szCs w:val="16"/>
          <w:b w:val="1"/>
          <w:bCs w:val="1"/>
          <w:color w:val="auto"/>
        </w:rPr>
        <w:t>LANDLORD’S RIGHT TO CURE DEFAULT; PAYMENTS BY TENANT.</w:t>
      </w:r>
    </w:p>
    <w:p>
      <w:pPr>
        <w:spacing w:after="0" w:line="193" w:lineRule="exact"/>
        <w:rPr>
          <w:sz w:val="20"/>
          <w:szCs w:val="20"/>
          <w:color w:val="auto"/>
        </w:rPr>
      </w:pPr>
    </w:p>
    <w:p>
      <w:pPr>
        <w:ind w:left="6" w:right="20" w:firstLine="385"/>
        <w:spacing w:after="0" w:line="324" w:lineRule="auto"/>
        <w:rPr>
          <w:sz w:val="20"/>
          <w:szCs w:val="20"/>
          <w:color w:val="auto"/>
        </w:rPr>
      </w:pPr>
      <w:r>
        <w:rPr>
          <w:rFonts w:ascii="Arial" w:cs="Arial" w:eastAsia="Arial" w:hAnsi="Arial"/>
          <w:sz w:val="13"/>
          <w:szCs w:val="13"/>
          <w:color w:val="auto"/>
        </w:rPr>
        <w:t xml:space="preserve">26.1 </w:t>
      </w:r>
      <w:r>
        <w:rPr>
          <w:rFonts w:ascii="Arial" w:cs="Arial" w:eastAsia="Arial" w:hAnsi="Arial"/>
          <w:sz w:val="13"/>
          <w:szCs w:val="13"/>
          <w:b w:val="1"/>
          <w:bCs w:val="1"/>
          <w:u w:val="single" w:color="auto"/>
          <w:color w:val="auto"/>
        </w:rPr>
        <w:t>Landlord’s Cure</w:t>
      </w:r>
      <w:r>
        <w:rPr>
          <w:rFonts w:ascii="Arial" w:cs="Arial" w:eastAsia="Arial" w:hAnsi="Arial"/>
          <w:sz w:val="13"/>
          <w:szCs w:val="13"/>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Arial" w:cs="Arial" w:eastAsia="Arial" w:hAnsi="Arial"/>
          <w:sz w:val="13"/>
          <w:szCs w:val="13"/>
          <w:u w:val="single" w:color="auto"/>
          <w:color w:val="auto"/>
        </w:rPr>
        <w:t>Section 19.1.2</w:t>
      </w:r>
      <w:r>
        <w:rPr>
          <w:rFonts w:ascii="Arial" w:cs="Arial" w:eastAsia="Arial" w:hAnsi="Arial"/>
          <w:sz w:val="13"/>
          <w:szCs w:val="13"/>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23" w:lineRule="exact"/>
        <w:rPr>
          <w:sz w:val="20"/>
          <w:szCs w:val="20"/>
          <w:color w:val="auto"/>
        </w:rPr>
      </w:pPr>
    </w:p>
    <w:p>
      <w:pPr>
        <w:ind w:left="6" w:right="20" w:firstLine="385"/>
        <w:spacing w:after="0" w:line="269" w:lineRule="auto"/>
        <w:rPr>
          <w:sz w:val="20"/>
          <w:szCs w:val="20"/>
          <w:color w:val="auto"/>
        </w:rPr>
      </w:pPr>
      <w:r>
        <w:rPr>
          <w:rFonts w:ascii="Arial" w:cs="Arial" w:eastAsia="Arial" w:hAnsi="Arial"/>
          <w:sz w:val="15"/>
          <w:szCs w:val="15"/>
          <w:color w:val="auto"/>
        </w:rPr>
        <w:t xml:space="preserve">26.2 </w:t>
      </w:r>
      <w:r>
        <w:rPr>
          <w:rFonts w:ascii="Arial" w:cs="Arial" w:eastAsia="Arial" w:hAnsi="Arial"/>
          <w:sz w:val="15"/>
          <w:szCs w:val="15"/>
          <w:b w:val="1"/>
          <w:bCs w:val="1"/>
          <w:u w:val="single" w:color="auto"/>
          <w:color w:val="auto"/>
        </w:rPr>
        <w:t>Tenant’s Reimbursement</w:t>
      </w:r>
      <w:r>
        <w:rPr>
          <w:rFonts w:ascii="Arial" w:cs="Arial" w:eastAsia="Arial" w:hAnsi="Arial"/>
          <w:sz w:val="15"/>
          <w:szCs w:val="15"/>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Arial" w:cs="Arial" w:eastAsia="Arial" w:hAnsi="Arial"/>
          <w:sz w:val="15"/>
          <w:szCs w:val="15"/>
          <w:u w:val="single" w:color="auto"/>
          <w:color w:val="auto"/>
        </w:rPr>
        <w:t>Section 26.1</w:t>
      </w:r>
      <w:r>
        <w:rPr>
          <w:rFonts w:ascii="Arial" w:cs="Arial" w:eastAsia="Arial" w:hAnsi="Arial"/>
          <w:sz w:val="15"/>
          <w:szCs w:val="15"/>
          <w:color w:val="auto"/>
        </w:rPr>
        <w:t xml:space="preserve">; (ii) sums equal to all losses, costs, liabilities, damages and expenses referred to in </w:t>
      </w:r>
      <w:r>
        <w:rPr>
          <w:rFonts w:ascii="Arial" w:cs="Arial" w:eastAsia="Arial" w:hAnsi="Arial"/>
          <w:sz w:val="15"/>
          <w:szCs w:val="15"/>
          <w:u w:val="single" w:color="auto"/>
          <w:color w:val="auto"/>
        </w:rPr>
        <w:t>Article 10</w:t>
      </w:r>
      <w:r>
        <w:rPr>
          <w:rFonts w:ascii="Arial" w:cs="Arial" w:eastAsia="Arial" w:hAnsi="Arial"/>
          <w:sz w:val="15"/>
          <w:szCs w:val="15"/>
          <w:color w:val="auto"/>
        </w:rPr>
        <w:t xml:space="preserve"> of this Lease; and (iii) subject to </w:t>
      </w:r>
      <w:r>
        <w:rPr>
          <w:rFonts w:ascii="Arial" w:cs="Arial" w:eastAsia="Arial" w:hAnsi="Arial"/>
          <w:sz w:val="15"/>
          <w:szCs w:val="15"/>
          <w:u w:val="single" w:color="auto"/>
          <w:color w:val="auto"/>
        </w:rPr>
        <w:t>Section 29.21</w:t>
      </w:r>
      <w:r>
        <w:rPr>
          <w:rFonts w:ascii="Arial" w:cs="Arial" w:eastAsia="Arial" w:hAnsi="Arial"/>
          <w:sz w:val="15"/>
          <w:szCs w:val="15"/>
          <w:color w:val="auto"/>
        </w:rPr>
        <w:t xml:space="preserve">,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Arial" w:cs="Arial" w:eastAsia="Arial" w:hAnsi="Arial"/>
          <w:sz w:val="15"/>
          <w:szCs w:val="15"/>
          <w:u w:val="single" w:color="auto"/>
          <w:color w:val="auto"/>
        </w:rPr>
        <w:t>Section 26.2</w:t>
      </w:r>
      <w:r>
        <w:rPr>
          <w:rFonts w:ascii="Arial" w:cs="Arial" w:eastAsia="Arial" w:hAnsi="Arial"/>
          <w:sz w:val="15"/>
          <w:szCs w:val="15"/>
          <w:color w:val="auto"/>
        </w:rPr>
        <w:t xml:space="preserve"> shall survive the expiration or sooner termination of the Lease Term.</w:t>
      </w:r>
    </w:p>
    <w:p>
      <w:pPr>
        <w:spacing w:after="0" w:line="156" w:lineRule="exact"/>
        <w:rPr>
          <w:sz w:val="20"/>
          <w:szCs w:val="20"/>
          <w:color w:val="auto"/>
        </w:rPr>
      </w:pPr>
    </w:p>
    <w:p>
      <w:pPr>
        <w:ind w:left="6" w:hanging="6"/>
        <w:spacing w:after="0" w:line="312" w:lineRule="auto"/>
        <w:tabs>
          <w:tab w:leader="none" w:pos="242" w:val="left"/>
        </w:tabs>
        <w:numPr>
          <w:ilvl w:val="0"/>
          <w:numId w:val="27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ENTRY BY LANDLORD. </w:t>
      </w:r>
      <w:r>
        <w:rPr>
          <w:rFonts w:ascii="Arial" w:cs="Arial" w:eastAsia="Arial" w:hAnsi="Arial"/>
          <w:sz w:val="13"/>
          <w:szCs w:val="13"/>
          <w:color w:val="auto"/>
        </w:rPr>
        <w:t>Landlord reserves the right at all reasonable times and upon reasonable notice to Tenant (except in the case of an</w:t>
      </w:r>
      <w:r>
        <w:rPr>
          <w:rFonts w:ascii="Arial" w:cs="Arial" w:eastAsia="Arial" w:hAnsi="Arial"/>
          <w:sz w:val="13"/>
          <w:szCs w:val="13"/>
          <w:b w:val="1"/>
          <w:bCs w:val="1"/>
          <w:color w:val="auto"/>
        </w:rPr>
        <w:t xml:space="preserve"> </w:t>
      </w:r>
      <w:r>
        <w:rPr>
          <w:rFonts w:ascii="Arial" w:cs="Arial" w:eastAsia="Arial" w:hAnsi="Arial"/>
          <w:sz w:val="13"/>
          <w:szCs w:val="13"/>
          <w:color w:val="auto"/>
        </w:rPr>
        <w:t>Emergency) to enter the Premises to (i) inspect them; (ii) show the Premises to prospective purchasers, or to current or prospective mortgagees, ground or underlying lessors or insurers or, during the last nine (9) months of the Lease Term, to prospective tenants; (iii) post notices of nonresponsibility (to the extent applicable pursuant to then applicable law); or (iv) repair the Premises or the Building, or for structural repairs to the Building or the Building’s systems and equipment as provided under the Lease. Landlord may make any such entries without the abatement of Rent, except as otherwise provided in this Lease, and may take such reasonable steps as required to accomplish the stated purposes.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Landlord shall use commercially reasonable efforts to minimize any interference with Tenant’s use of or access to the Premises in connection with any such entry, and shall comply with Tenant’s reasonable security measures. Landlord shall hold confidential any information regarding Tenant’s business that it may learn as a result of such entry.</w:t>
      </w:r>
    </w:p>
    <w:p>
      <w:pPr>
        <w:spacing w:after="0" w:line="320" w:lineRule="exact"/>
        <w:rPr>
          <w:rFonts w:ascii="Arial" w:cs="Arial" w:eastAsia="Arial" w:hAnsi="Arial"/>
          <w:sz w:val="13"/>
          <w:szCs w:val="13"/>
          <w:b w:val="1"/>
          <w:bCs w:val="1"/>
          <w:color w:val="auto"/>
        </w:rPr>
      </w:pPr>
    </w:p>
    <w:p>
      <w:pPr>
        <w:ind w:left="6" w:right="260" w:hanging="6"/>
        <w:spacing w:after="0" w:line="271" w:lineRule="auto"/>
        <w:tabs>
          <w:tab w:leader="none" w:pos="242" w:val="left"/>
        </w:tabs>
        <w:numPr>
          <w:ilvl w:val="0"/>
          <w:numId w:val="27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TENANT PARKING. </w:t>
      </w:r>
      <w:r>
        <w:rPr>
          <w:rFonts w:ascii="Arial" w:cs="Arial" w:eastAsia="Arial" w:hAnsi="Arial"/>
          <w:sz w:val="15"/>
          <w:szCs w:val="15"/>
          <w:color w:val="auto"/>
        </w:rPr>
        <w:t>Tenant shall have the right, without the payment of any parking charge or fee (other than as a reimbursement of operating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expenses to the extent allowed pursuant to the terms or </w:t>
      </w:r>
      <w:r>
        <w:rPr>
          <w:rFonts w:ascii="Arial" w:cs="Arial" w:eastAsia="Arial" w:hAnsi="Arial"/>
          <w:sz w:val="15"/>
          <w:szCs w:val="15"/>
          <w:u w:val="single" w:color="auto"/>
          <w:color w:val="auto"/>
        </w:rPr>
        <w:t>Article 4</w:t>
      </w:r>
      <w:r>
        <w:rPr>
          <w:rFonts w:ascii="Arial" w:cs="Arial" w:eastAsia="Arial" w:hAnsi="Arial"/>
          <w:sz w:val="15"/>
          <w:szCs w:val="15"/>
          <w:color w:val="auto"/>
        </w:rPr>
        <w:t xml:space="preserve"> of this Lease, above), commencing on the Lease Commencement Date, to use the amount of parking set forth in Section 9 of the Summary, in the on-site parking lot and garage which serves the Building. Tenant shall abide by all reasonable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parking facilities), and shall cooperate in seeing that</w:t>
      </w:r>
    </w:p>
    <w:p>
      <w:pPr>
        <w:sectPr>
          <w:pgSz w:w="11900" w:h="16838" w:orient="portrait"/>
          <w:cols w:equalWidth="0" w:num="1">
            <w:col w:w="9626"/>
          </w:cols>
          <w:pgMar w:left="1134" w:top="253" w:right="1139" w:bottom="1440" w:gutter="0" w:footer="0" w:header="0"/>
        </w:sectPr>
      </w:pPr>
    </w:p>
    <w:bookmarkStart w:id="390" w:name="page391"/>
    <w:bookmarkEnd w:id="390"/>
    <w:p>
      <w:pPr>
        <w:ind w:right="200"/>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Tenant’s employees and visitors also comply with such rules and regulations.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MISCELLANEOUS PROVISIONS.</w:t>
      </w:r>
    </w:p>
    <w:p>
      <w:pPr>
        <w:spacing w:after="0" w:line="193" w:lineRule="exact"/>
        <w:rPr>
          <w:sz w:val="20"/>
          <w:szCs w:val="20"/>
          <w:color w:val="auto"/>
        </w:rPr>
      </w:pPr>
    </w:p>
    <w:p>
      <w:pPr>
        <w:ind w:right="20" w:firstLine="385"/>
        <w:spacing w:after="0" w:line="254"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b w:val="1"/>
          <w:bCs w:val="1"/>
          <w:u w:val="single" w:color="auto"/>
          <w:color w:val="auto"/>
        </w:rPr>
        <w:t>Terms; Captions</w:t>
      </w:r>
      <w:r>
        <w:rPr>
          <w:rFonts w:ascii="Arial" w:cs="Arial" w:eastAsia="Arial" w:hAnsi="Arial"/>
          <w:sz w:val="16"/>
          <w:szCs w:val="16"/>
          <w:color w:val="auto"/>
        </w:rPr>
        <w:t>. The words “</w:t>
      </w:r>
      <w:r>
        <w:rPr>
          <w:rFonts w:ascii="Arial" w:cs="Arial" w:eastAsia="Arial" w:hAnsi="Arial"/>
          <w:sz w:val="16"/>
          <w:szCs w:val="16"/>
          <w:b w:val="1"/>
          <w:bCs w:val="1"/>
          <w:color w:val="auto"/>
        </w:rPr>
        <w:t>Landlord</w:t>
      </w:r>
      <w:r>
        <w:rPr>
          <w:rFonts w:ascii="Arial" w:cs="Arial" w:eastAsia="Arial" w:hAnsi="Arial"/>
          <w:sz w:val="16"/>
          <w:szCs w:val="16"/>
          <w:color w:val="auto"/>
        </w:rPr>
        <w:t>” and “</w:t>
      </w:r>
      <w:r>
        <w:rPr>
          <w:rFonts w:ascii="Arial" w:cs="Arial" w:eastAsia="Arial" w:hAnsi="Arial"/>
          <w:sz w:val="16"/>
          <w:szCs w:val="16"/>
          <w:b w:val="1"/>
          <w:bCs w:val="1"/>
          <w:color w:val="auto"/>
        </w:rPr>
        <w:t>Tenant</w:t>
      </w:r>
      <w:r>
        <w:rPr>
          <w:rFonts w:ascii="Arial" w:cs="Arial" w:eastAsia="Arial" w:hAnsi="Arial"/>
          <w:sz w:val="16"/>
          <w:szCs w:val="16"/>
          <w:color w:val="auto"/>
        </w:rPr>
        <w: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64" w:lineRule="exact"/>
        <w:rPr>
          <w:sz w:val="20"/>
          <w:szCs w:val="20"/>
          <w:color w:val="auto"/>
        </w:rPr>
      </w:pPr>
    </w:p>
    <w:p>
      <w:pPr>
        <w:ind w:right="160" w:firstLine="385"/>
        <w:spacing w:after="0" w:line="254"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b w:val="1"/>
          <w:bCs w:val="1"/>
          <w:u w:val="single" w:color="auto"/>
          <w:color w:val="auto"/>
        </w:rPr>
        <w:t>Binding Effect</w:t>
      </w:r>
      <w:r>
        <w:rPr>
          <w:rFonts w:ascii="Arial" w:cs="Arial" w:eastAsia="Arial" w:hAnsi="Arial"/>
          <w:sz w:val="16"/>
          <w:szCs w:val="16"/>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Arial" w:cs="Arial" w:eastAsia="Arial" w:hAnsi="Arial"/>
          <w:sz w:val="16"/>
          <w:szCs w:val="16"/>
          <w:u w:val="single" w:color="auto"/>
          <w:color w:val="auto"/>
        </w:rPr>
        <w:t>Article 14</w:t>
      </w:r>
      <w:r>
        <w:rPr>
          <w:rFonts w:ascii="Arial" w:cs="Arial" w:eastAsia="Arial" w:hAnsi="Arial"/>
          <w:sz w:val="16"/>
          <w:szCs w:val="16"/>
          <w:color w:val="auto"/>
        </w:rPr>
        <w:t xml:space="preserve"> of this Lease.</w:t>
      </w:r>
    </w:p>
    <w:p>
      <w:pPr>
        <w:spacing w:after="0" w:line="164" w:lineRule="exact"/>
        <w:rPr>
          <w:sz w:val="20"/>
          <w:szCs w:val="20"/>
          <w:color w:val="auto"/>
        </w:rPr>
      </w:pPr>
    </w:p>
    <w:p>
      <w:pPr>
        <w:ind w:right="20" w:firstLine="385"/>
        <w:spacing w:after="0" w:line="254" w:lineRule="auto"/>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u w:val="single" w:color="auto"/>
          <w:color w:val="auto"/>
        </w:rPr>
        <w:t>No Air Rights</w:t>
      </w:r>
      <w:r>
        <w:rPr>
          <w:rFonts w:ascii="Arial" w:cs="Arial" w:eastAsia="Arial" w:hAnsi="Arial"/>
          <w:sz w:val="16"/>
          <w:szCs w:val="16"/>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64" w:lineRule="exact"/>
        <w:rPr>
          <w:sz w:val="20"/>
          <w:szCs w:val="20"/>
          <w:color w:val="auto"/>
        </w:rPr>
      </w:pPr>
    </w:p>
    <w:p>
      <w:pPr>
        <w:ind w:right="20" w:firstLine="385"/>
        <w:spacing w:after="0" w:line="271" w:lineRule="auto"/>
        <w:rPr>
          <w:sz w:val="20"/>
          <w:szCs w:val="20"/>
          <w:color w:val="auto"/>
        </w:rPr>
      </w:pPr>
      <w:r>
        <w:rPr>
          <w:rFonts w:ascii="Arial" w:cs="Arial" w:eastAsia="Arial" w:hAnsi="Arial"/>
          <w:sz w:val="15"/>
          <w:szCs w:val="15"/>
          <w:color w:val="auto"/>
        </w:rPr>
        <w:t xml:space="preserve">29.4 </w:t>
      </w:r>
      <w:r>
        <w:rPr>
          <w:rFonts w:ascii="Arial" w:cs="Arial" w:eastAsia="Arial" w:hAnsi="Arial"/>
          <w:sz w:val="15"/>
          <w:szCs w:val="15"/>
          <w:b w:val="1"/>
          <w:bCs w:val="1"/>
          <w:u w:val="single" w:color="auto"/>
          <w:color w:val="auto"/>
        </w:rPr>
        <w:t>Modification of Lease</w:t>
      </w:r>
      <w:r>
        <w:rPr>
          <w:rFonts w:ascii="Arial" w:cs="Arial" w:eastAsia="Arial" w:hAnsi="Arial"/>
          <w:sz w:val="15"/>
          <w:szCs w:val="15"/>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or interfere with Tenant’s use of the Premises,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152" w:lineRule="exact"/>
        <w:rPr>
          <w:sz w:val="20"/>
          <w:szCs w:val="20"/>
          <w:color w:val="auto"/>
        </w:rPr>
      </w:pPr>
    </w:p>
    <w:p>
      <w:pPr>
        <w:ind w:firstLine="385"/>
        <w:spacing w:after="0" w:line="273" w:lineRule="auto"/>
        <w:rPr>
          <w:sz w:val="20"/>
          <w:szCs w:val="20"/>
          <w:color w:val="auto"/>
        </w:rPr>
      </w:pPr>
      <w:r>
        <w:rPr>
          <w:rFonts w:ascii="Arial" w:cs="Arial" w:eastAsia="Arial" w:hAnsi="Arial"/>
          <w:sz w:val="15"/>
          <w:szCs w:val="15"/>
          <w:color w:val="auto"/>
        </w:rPr>
        <w:t xml:space="preserve">29.5 </w:t>
      </w:r>
      <w:r>
        <w:rPr>
          <w:rFonts w:ascii="Arial" w:cs="Arial" w:eastAsia="Arial" w:hAnsi="Arial"/>
          <w:sz w:val="15"/>
          <w:szCs w:val="15"/>
          <w:b w:val="1"/>
          <w:bCs w:val="1"/>
          <w:u w:val="single" w:color="auto"/>
          <w:color w:val="auto"/>
        </w:rPr>
        <w:t>Transfer of Landlord’s Interest</w:t>
      </w:r>
      <w:r>
        <w:rPr>
          <w:rFonts w:ascii="Arial" w:cs="Arial" w:eastAsia="Arial" w:hAnsi="Arial"/>
          <w:sz w:val="15"/>
          <w:szCs w:val="15"/>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accruing after the date of transfer provided such transferee shall have fully assumed and agreed in writing to be liable for all obligations of this Lease to be performed by Landlord, including the return of any security deposit or L-C, and Tenant shall attorn to such transferee.</w:t>
      </w:r>
    </w:p>
    <w:p>
      <w:pPr>
        <w:spacing w:after="0" w:line="151" w:lineRule="exact"/>
        <w:rPr>
          <w:sz w:val="20"/>
          <w:szCs w:val="20"/>
          <w:color w:val="auto"/>
        </w:rPr>
      </w:pPr>
    </w:p>
    <w:p>
      <w:pPr>
        <w:ind w:right="260" w:firstLine="385"/>
        <w:spacing w:after="0" w:line="306" w:lineRule="auto"/>
        <w:rPr>
          <w:sz w:val="20"/>
          <w:szCs w:val="20"/>
          <w:color w:val="auto"/>
        </w:rPr>
      </w:pPr>
      <w:r>
        <w:rPr>
          <w:rFonts w:ascii="Arial" w:cs="Arial" w:eastAsia="Arial" w:hAnsi="Arial"/>
          <w:sz w:val="15"/>
          <w:szCs w:val="15"/>
          <w:color w:val="auto"/>
        </w:rPr>
        <w:t xml:space="preserve">29.6 </w:t>
      </w:r>
      <w:r>
        <w:rPr>
          <w:rFonts w:ascii="Arial" w:cs="Arial" w:eastAsia="Arial" w:hAnsi="Arial"/>
          <w:sz w:val="15"/>
          <w:szCs w:val="15"/>
          <w:b w:val="1"/>
          <w:bCs w:val="1"/>
          <w:u w:val="single" w:color="auto"/>
          <w:color w:val="auto"/>
        </w:rPr>
        <w:t>Prohibition Against Recording</w:t>
      </w:r>
      <w:r>
        <w:rPr>
          <w:rFonts w:ascii="Arial" w:cs="Arial" w:eastAsia="Arial" w:hAnsi="Arial"/>
          <w:sz w:val="15"/>
          <w:szCs w:val="15"/>
          <w:color w:val="auto"/>
        </w:rPr>
        <w:t xml:space="preserve">. Except as provided in </w:t>
      </w:r>
      <w:r>
        <w:rPr>
          <w:rFonts w:ascii="Arial" w:cs="Arial" w:eastAsia="Arial" w:hAnsi="Arial"/>
          <w:sz w:val="15"/>
          <w:szCs w:val="15"/>
          <w:u w:val="single" w:color="auto"/>
          <w:color w:val="auto"/>
        </w:rPr>
        <w:t>Section 29.4</w:t>
      </w:r>
      <w:r>
        <w:rPr>
          <w:rFonts w:ascii="Arial" w:cs="Arial" w:eastAsia="Arial" w:hAnsi="Arial"/>
          <w:sz w:val="15"/>
          <w:szCs w:val="15"/>
          <w:color w:val="auto"/>
        </w:rPr>
        <w:t xml:space="preserve"> of this Lease, neither this Lease, nor any memorandum, affidavit or other writing with respect thereto, shall be recorded by Tenant or by anyone acting through, under or on behalf of Tenant.</w:t>
      </w:r>
    </w:p>
    <w:p>
      <w:pPr>
        <w:spacing w:after="0" w:line="126" w:lineRule="exact"/>
        <w:rPr>
          <w:sz w:val="20"/>
          <w:szCs w:val="20"/>
          <w:color w:val="auto"/>
        </w:rPr>
      </w:pPr>
    </w:p>
    <w:p>
      <w:pPr>
        <w:ind w:right="40" w:firstLine="385"/>
        <w:spacing w:after="0" w:line="272" w:lineRule="auto"/>
        <w:rPr>
          <w:sz w:val="20"/>
          <w:szCs w:val="20"/>
          <w:color w:val="auto"/>
        </w:rPr>
      </w:pPr>
      <w:r>
        <w:rPr>
          <w:rFonts w:ascii="Arial" w:cs="Arial" w:eastAsia="Arial" w:hAnsi="Arial"/>
          <w:sz w:val="16"/>
          <w:szCs w:val="16"/>
          <w:color w:val="auto"/>
        </w:rPr>
        <w:t xml:space="preserve">29.7 </w:t>
      </w:r>
      <w:r>
        <w:rPr>
          <w:rFonts w:ascii="Arial" w:cs="Arial" w:eastAsia="Arial" w:hAnsi="Arial"/>
          <w:sz w:val="16"/>
          <w:szCs w:val="16"/>
          <w:b w:val="1"/>
          <w:bCs w:val="1"/>
          <w:u w:val="single" w:color="auto"/>
          <w:color w:val="auto"/>
        </w:rPr>
        <w:t>Landlord’s Title</w:t>
      </w:r>
      <w:r>
        <w:rPr>
          <w:rFonts w:ascii="Arial" w:cs="Arial" w:eastAsia="Arial" w:hAnsi="Arial"/>
          <w:sz w:val="16"/>
          <w:szCs w:val="16"/>
          <w:color w:val="auto"/>
        </w:rPr>
        <w:t>. Landlord’s title is and always shall be paramount to the title of Tenant. Nothing herein contained shall empower Tenant to do any act which can, shall or may encumber the title of Landlord.</w:t>
      </w:r>
    </w:p>
    <w:p>
      <w:pPr>
        <w:spacing w:after="0" w:line="149" w:lineRule="exact"/>
        <w:rPr>
          <w:sz w:val="20"/>
          <w:szCs w:val="20"/>
          <w:color w:val="auto"/>
        </w:rPr>
      </w:pPr>
    </w:p>
    <w:p>
      <w:pPr>
        <w:ind w:right="160" w:firstLine="385"/>
        <w:spacing w:after="0" w:line="306" w:lineRule="auto"/>
        <w:rPr>
          <w:sz w:val="20"/>
          <w:szCs w:val="20"/>
          <w:color w:val="auto"/>
        </w:rPr>
      </w:pPr>
      <w:r>
        <w:rPr>
          <w:rFonts w:ascii="Arial" w:cs="Arial" w:eastAsia="Arial" w:hAnsi="Arial"/>
          <w:sz w:val="15"/>
          <w:szCs w:val="15"/>
          <w:color w:val="auto"/>
        </w:rPr>
        <w:t xml:space="preserve">29.8 </w:t>
      </w:r>
      <w:r>
        <w:rPr>
          <w:rFonts w:ascii="Arial" w:cs="Arial" w:eastAsia="Arial" w:hAnsi="Arial"/>
          <w:sz w:val="15"/>
          <w:szCs w:val="15"/>
          <w:b w:val="1"/>
          <w:bCs w:val="1"/>
          <w:u w:val="single" w:color="auto"/>
          <w:color w:val="auto"/>
        </w:rPr>
        <w:t>Relationship of Parties</w:t>
      </w:r>
      <w:r>
        <w:rPr>
          <w:rFonts w:ascii="Arial" w:cs="Arial" w:eastAsia="Arial" w:hAnsi="Arial"/>
          <w:sz w:val="15"/>
          <w:szCs w:val="15"/>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26" w:lineRule="exact"/>
        <w:rPr>
          <w:sz w:val="20"/>
          <w:szCs w:val="20"/>
          <w:color w:val="auto"/>
        </w:rPr>
      </w:pPr>
    </w:p>
    <w:p>
      <w:pPr>
        <w:ind w:right="240" w:firstLine="385"/>
        <w:spacing w:after="0" w:line="272" w:lineRule="auto"/>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u w:val="single" w:color="auto"/>
          <w:color w:val="auto"/>
        </w:rPr>
        <w:t>Payment under Protest</w:t>
      </w:r>
      <w:r>
        <w:rPr>
          <w:rFonts w:ascii="Arial" w:cs="Arial" w:eastAsia="Arial" w:hAnsi="Arial"/>
          <w:sz w:val="16"/>
          <w:szCs w:val="16"/>
          <w:color w:val="auto"/>
        </w:rPr>
        <w:t xml:space="preserve">. If Tenant in good faith disputes any amounts billed by Landlord, other than (i) Base Rent, (ii) Tenant’s Share of Direct Expenses (as to which Tenant may exercise its rights under </w:t>
      </w:r>
      <w:r>
        <w:rPr>
          <w:rFonts w:ascii="Arial" w:cs="Arial" w:eastAsia="Arial" w:hAnsi="Arial"/>
          <w:sz w:val="16"/>
          <w:szCs w:val="16"/>
          <w:u w:val="single" w:color="auto"/>
          <w:color w:val="auto"/>
        </w:rPr>
        <w:t>Section 4.6</w:t>
      </w:r>
      <w:r>
        <w:rPr>
          <w:rFonts w:ascii="Arial" w:cs="Arial" w:eastAsia="Arial" w:hAnsi="Arial"/>
          <w:sz w:val="16"/>
          <w:szCs w:val="16"/>
          <w:color w:val="auto"/>
        </w:rPr>
        <w:t>,</w:t>
      </w:r>
    </w:p>
    <w:p>
      <w:pPr>
        <w:sectPr>
          <w:pgSz w:w="11900" w:h="16838" w:orient="portrait"/>
          <w:cols w:equalWidth="0" w:num="1">
            <w:col w:w="9560"/>
          </w:cols>
          <w:pgMar w:left="1140" w:top="256" w:right="1199" w:bottom="1440" w:gutter="0" w:footer="0" w:header="0"/>
        </w:sectPr>
      </w:pPr>
    </w:p>
    <w:bookmarkStart w:id="391" w:name="page392"/>
    <w:bookmarkEnd w:id="391"/>
    <w:p>
      <w:pPr>
        <w:spacing w:after="0" w:line="31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above), Tenant may make payment of such amounts under protest, and reserve all of its rights with respect to such amounts (the “</w:t>
      </w:r>
      <w:r>
        <w:rPr>
          <w:rFonts w:ascii="Arial" w:cs="Arial" w:eastAsia="Arial" w:hAnsi="Arial"/>
          <w:sz w:val="13"/>
          <w:szCs w:val="13"/>
          <w:b w:val="1"/>
          <w:bCs w:val="1"/>
          <w:color w:val="auto"/>
        </w:rPr>
        <w:t>Disputed Amounts</w:t>
      </w:r>
      <w:r>
        <w:rPr>
          <w:rFonts w:ascii="Arial" w:cs="Arial" w:eastAsia="Arial" w:hAnsi="Arial"/>
          <w:sz w:val="13"/>
          <w:szCs w:val="13"/>
          <w:color w:val="auto"/>
        </w:rPr>
        <w:t xml:space="preserve">”). Landlord and Tenant shall meet and confer to discuss the Disputed Amounts and attempt, in good faith, to resolve the particular dispute. If, despite such good faith efforts, Landlord and Tenant are unable to reach agreement regarding the Disputed Amounts, either party may submit the matter to binding arbitration under the JAMS Streamlined Arbitration Rules &amp; Procedures. The non-prevailing party, as determined by JAMS, will be responsible to pay all fees and costs incurred in connection with the JAMS procedure, as well as all other costs and expenses, including reasonable attorneys’ fees, incurred by the prevailing party. This </w:t>
      </w:r>
      <w:r>
        <w:rPr>
          <w:rFonts w:ascii="Arial" w:cs="Arial" w:eastAsia="Arial" w:hAnsi="Arial"/>
          <w:sz w:val="13"/>
          <w:szCs w:val="13"/>
          <w:u w:val="single" w:color="auto"/>
          <w:color w:val="auto"/>
        </w:rPr>
        <w:t>Section 29.9</w:t>
      </w:r>
      <w:r>
        <w:rPr>
          <w:rFonts w:ascii="Arial" w:cs="Arial" w:eastAsia="Arial" w:hAnsi="Arial"/>
          <w:sz w:val="13"/>
          <w:szCs w:val="13"/>
          <w:color w:val="auto"/>
        </w:rPr>
        <w:t xml:space="preserve"> shall not apply to claims relating to Landlord’s exercise of any unlawful detainer rights pursuant to California law or rights or remedies used by Landlord to gain possession of the Premises or terminate Lessee’s right of possession to the Premises.</w:t>
      </w:r>
    </w:p>
    <w:p>
      <w:pPr>
        <w:spacing w:after="0" w:line="127" w:lineRule="exact"/>
        <w:rPr>
          <w:sz w:val="20"/>
          <w:szCs w:val="20"/>
          <w:color w:val="auto"/>
        </w:rPr>
      </w:pPr>
    </w:p>
    <w:p>
      <w:pPr>
        <w:ind w:right="60" w:firstLine="385"/>
        <w:spacing w:after="0" w:line="272" w:lineRule="auto"/>
        <w:rPr>
          <w:sz w:val="20"/>
          <w:szCs w:val="20"/>
          <w:color w:val="auto"/>
        </w:rPr>
      </w:pPr>
      <w:r>
        <w:rPr>
          <w:rFonts w:ascii="Arial" w:cs="Arial" w:eastAsia="Arial" w:hAnsi="Arial"/>
          <w:sz w:val="16"/>
          <w:szCs w:val="16"/>
          <w:color w:val="auto"/>
        </w:rPr>
        <w:t xml:space="preserve">29.10 </w:t>
      </w:r>
      <w:r>
        <w:rPr>
          <w:rFonts w:ascii="Arial" w:cs="Arial" w:eastAsia="Arial" w:hAnsi="Arial"/>
          <w:sz w:val="16"/>
          <w:szCs w:val="16"/>
          <w:b w:val="1"/>
          <w:bCs w:val="1"/>
          <w:u w:val="single" w:color="auto"/>
          <w:color w:val="auto"/>
        </w:rPr>
        <w:t>Time of Essence</w:t>
      </w:r>
      <w:r>
        <w:rPr>
          <w:rFonts w:ascii="Arial" w:cs="Arial" w:eastAsia="Arial" w:hAnsi="Arial"/>
          <w:sz w:val="16"/>
          <w:szCs w:val="16"/>
          <w:color w:val="auto"/>
        </w:rPr>
        <w:t>. Time is of the essence with respect to the performance of every provision of this Lease in which time of performance is a factor.</w:t>
      </w:r>
    </w:p>
    <w:p>
      <w:pPr>
        <w:spacing w:after="0" w:line="149" w:lineRule="exact"/>
        <w:rPr>
          <w:sz w:val="20"/>
          <w:szCs w:val="20"/>
          <w:color w:val="auto"/>
        </w:rPr>
      </w:pPr>
    </w:p>
    <w:p>
      <w:pPr>
        <w:ind w:right="160" w:firstLine="385"/>
        <w:spacing w:after="0" w:line="254" w:lineRule="auto"/>
        <w:rPr>
          <w:sz w:val="20"/>
          <w:szCs w:val="20"/>
          <w:color w:val="auto"/>
        </w:rPr>
      </w:pPr>
      <w:r>
        <w:rPr>
          <w:rFonts w:ascii="Arial" w:cs="Arial" w:eastAsia="Arial" w:hAnsi="Arial"/>
          <w:sz w:val="16"/>
          <w:szCs w:val="16"/>
          <w:color w:val="auto"/>
        </w:rPr>
        <w:t xml:space="preserve">29.11 </w:t>
      </w:r>
      <w:r>
        <w:rPr>
          <w:rFonts w:ascii="Arial" w:cs="Arial" w:eastAsia="Arial" w:hAnsi="Arial"/>
          <w:sz w:val="16"/>
          <w:szCs w:val="16"/>
          <w:b w:val="1"/>
          <w:bCs w:val="1"/>
          <w:u w:val="single" w:color="auto"/>
          <w:color w:val="auto"/>
        </w:rPr>
        <w:t>Partial Invalidity</w:t>
      </w:r>
      <w:r>
        <w:rPr>
          <w:rFonts w:ascii="Arial" w:cs="Arial" w:eastAsia="Arial" w:hAnsi="Arial"/>
          <w:sz w:val="16"/>
          <w:szCs w:val="16"/>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64" w:lineRule="exact"/>
        <w:rPr>
          <w:sz w:val="20"/>
          <w:szCs w:val="20"/>
          <w:color w:val="auto"/>
        </w:rPr>
      </w:pPr>
    </w:p>
    <w:p>
      <w:pPr>
        <w:ind w:right="200" w:firstLine="385"/>
        <w:spacing w:after="0" w:line="254" w:lineRule="auto"/>
        <w:rPr>
          <w:sz w:val="20"/>
          <w:szCs w:val="20"/>
          <w:color w:val="auto"/>
        </w:rPr>
      </w:pPr>
      <w:r>
        <w:rPr>
          <w:rFonts w:ascii="Arial" w:cs="Arial" w:eastAsia="Arial" w:hAnsi="Arial"/>
          <w:sz w:val="16"/>
          <w:szCs w:val="16"/>
          <w:color w:val="auto"/>
        </w:rPr>
        <w:t xml:space="preserve">29.12 </w:t>
      </w:r>
      <w:r>
        <w:rPr>
          <w:rFonts w:ascii="Arial" w:cs="Arial" w:eastAsia="Arial" w:hAnsi="Arial"/>
          <w:sz w:val="16"/>
          <w:szCs w:val="16"/>
          <w:b w:val="1"/>
          <w:bCs w:val="1"/>
          <w:u w:val="single" w:color="auto"/>
          <w:color w:val="auto"/>
        </w:rPr>
        <w:t>No Warranty</w:t>
      </w:r>
      <w:r>
        <w:rPr>
          <w:rFonts w:ascii="Arial" w:cs="Arial" w:eastAsia="Arial" w:hAnsi="Arial"/>
          <w:sz w:val="16"/>
          <w:szCs w:val="16"/>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64" w:lineRule="exact"/>
        <w:rPr>
          <w:sz w:val="20"/>
          <w:szCs w:val="20"/>
          <w:color w:val="auto"/>
        </w:rPr>
      </w:pPr>
    </w:p>
    <w:p>
      <w:pPr>
        <w:ind w:right="20" w:firstLine="385"/>
        <w:spacing w:after="0" w:line="309" w:lineRule="auto"/>
        <w:rPr>
          <w:sz w:val="20"/>
          <w:szCs w:val="20"/>
          <w:color w:val="auto"/>
        </w:rPr>
      </w:pPr>
      <w:r>
        <w:rPr>
          <w:rFonts w:ascii="Arial" w:cs="Arial" w:eastAsia="Arial" w:hAnsi="Arial"/>
          <w:sz w:val="13"/>
          <w:szCs w:val="13"/>
          <w:color w:val="auto"/>
        </w:rPr>
        <w:t xml:space="preserve">29.13 </w:t>
      </w:r>
      <w:r>
        <w:rPr>
          <w:rFonts w:ascii="Arial" w:cs="Arial" w:eastAsia="Arial" w:hAnsi="Arial"/>
          <w:sz w:val="13"/>
          <w:szCs w:val="13"/>
          <w:b w:val="1"/>
          <w:bCs w:val="1"/>
          <w:u w:val="single" w:color="auto"/>
          <w:color w:val="auto"/>
        </w:rPr>
        <w:t>Landlord Exculpation</w:t>
      </w:r>
      <w:r>
        <w:rPr>
          <w:rFonts w:ascii="Arial" w:cs="Arial" w:eastAsia="Arial" w:hAnsi="Arial"/>
          <w:sz w:val="13"/>
          <w:szCs w:val="13"/>
          <w:color w:val="auto"/>
        </w:rPr>
        <w:t xml:space="preserve">.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the lesser of (a) the interest of Landlord in the Project or (b) the equity interest Landlord would have in the Project if the Project were encumbered by third-party debt in an amount equal to eighty percent (80%) of the value of the Project (as such value is determined by Landlord), including any rental, condemnation, sales and insurance proceeds received by Landlord or the Landlord Parties in connection with the Project, Building or Premises. No Landlord Parties (other than Landlord) shall have any personal liability therefor, and Tenant hereby expressly waives and releases such liability on behalf of itself and all persons claiming by, through or under Tenant. The limitations of liability contained in this </w:t>
      </w:r>
      <w:r>
        <w:rPr>
          <w:rFonts w:ascii="Arial" w:cs="Arial" w:eastAsia="Arial" w:hAnsi="Arial"/>
          <w:sz w:val="13"/>
          <w:szCs w:val="13"/>
          <w:u w:val="single" w:color="auto"/>
          <w:color w:val="auto"/>
        </w:rPr>
        <w:t>Section 29.13</w:t>
      </w:r>
      <w:r>
        <w:rPr>
          <w:rFonts w:ascii="Arial" w:cs="Arial" w:eastAsia="Arial" w:hAnsi="Arial"/>
          <w:sz w:val="13"/>
          <w:szCs w:val="13"/>
          <w:color w:val="auto"/>
        </w:rPr>
        <w:t xml:space="preserve"> shall inure to the benefit of Landlord’s and the Landlord Parties’ present and future partners,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or loss to inventory, scientific research, scientific experiments, laboratory animals, products, specimens, samples, and/or scientific, business, accounting and other records of every kind and description kept at the premises and any and all income derived or derivable therefrom.</w:t>
      </w:r>
    </w:p>
    <w:p>
      <w:pPr>
        <w:spacing w:after="0" w:line="324" w:lineRule="exact"/>
        <w:rPr>
          <w:sz w:val="20"/>
          <w:szCs w:val="20"/>
          <w:color w:val="auto"/>
        </w:rPr>
      </w:pPr>
    </w:p>
    <w:p>
      <w:pPr>
        <w:ind w:right="40" w:firstLine="385"/>
        <w:spacing w:after="0" w:line="273" w:lineRule="auto"/>
        <w:rPr>
          <w:sz w:val="20"/>
          <w:szCs w:val="20"/>
          <w:color w:val="auto"/>
        </w:rPr>
      </w:pPr>
      <w:r>
        <w:rPr>
          <w:rFonts w:ascii="Arial" w:cs="Arial" w:eastAsia="Arial" w:hAnsi="Arial"/>
          <w:sz w:val="15"/>
          <w:szCs w:val="15"/>
          <w:color w:val="auto"/>
        </w:rPr>
        <w:t xml:space="preserve">29.14 </w:t>
      </w:r>
      <w:r>
        <w:rPr>
          <w:rFonts w:ascii="Arial" w:cs="Arial" w:eastAsia="Arial" w:hAnsi="Arial"/>
          <w:sz w:val="15"/>
          <w:szCs w:val="15"/>
          <w:b w:val="1"/>
          <w:bCs w:val="1"/>
          <w:u w:val="single" w:color="auto"/>
          <w:color w:val="auto"/>
        </w:rPr>
        <w:t>Entire Agreement</w:t>
      </w:r>
      <w:r>
        <w:rPr>
          <w:rFonts w:ascii="Arial" w:cs="Arial" w:eastAsia="Arial" w:hAnsi="Arial"/>
          <w:sz w:val="15"/>
          <w:szCs w:val="15"/>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ectPr>
          <w:pgSz w:w="11900" w:h="16838" w:orient="portrait"/>
          <w:cols w:equalWidth="0" w:num="1">
            <w:col w:w="9600"/>
          </w:cols>
          <w:pgMar w:left="1140" w:top="252" w:right="1159" w:bottom="1440" w:gutter="0" w:footer="0" w:header="0"/>
        </w:sectPr>
      </w:pPr>
    </w:p>
    <w:bookmarkStart w:id="392" w:name="page393"/>
    <w:bookmarkEnd w:id="392"/>
    <w:p>
      <w:pPr>
        <w:ind w:left="6" w:right="60" w:firstLine="385"/>
        <w:spacing w:after="0" w:line="346"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29.15 </w:t>
      </w:r>
      <w:r>
        <w:rPr>
          <w:rFonts w:ascii="Arial" w:cs="Arial" w:eastAsia="Arial" w:hAnsi="Arial"/>
          <w:sz w:val="13"/>
          <w:szCs w:val="13"/>
          <w:b w:val="1"/>
          <w:bCs w:val="1"/>
          <w:u w:val="single" w:color="auto"/>
          <w:color w:val="auto"/>
        </w:rPr>
        <w:t>Right to Lease</w:t>
      </w:r>
      <w:r>
        <w:rPr>
          <w:rFonts w:ascii="Arial" w:cs="Arial" w:eastAsia="Arial" w:hAnsi="Arial"/>
          <w:sz w:val="13"/>
          <w:szCs w:val="13"/>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08" w:lineRule="exact"/>
        <w:rPr>
          <w:sz w:val="20"/>
          <w:szCs w:val="20"/>
          <w:color w:val="auto"/>
        </w:rPr>
      </w:pPr>
    </w:p>
    <w:p>
      <w:pPr>
        <w:ind w:left="6" w:right="40" w:firstLine="385"/>
        <w:spacing w:after="0" w:line="317" w:lineRule="auto"/>
        <w:rPr>
          <w:sz w:val="20"/>
          <w:szCs w:val="20"/>
          <w:color w:val="auto"/>
        </w:rPr>
      </w:pPr>
      <w:r>
        <w:rPr>
          <w:rFonts w:ascii="Arial" w:cs="Arial" w:eastAsia="Arial" w:hAnsi="Arial"/>
          <w:sz w:val="13"/>
          <w:szCs w:val="13"/>
          <w:color w:val="auto"/>
        </w:rPr>
        <w:t xml:space="preserve">29.16 </w:t>
      </w:r>
      <w:r>
        <w:rPr>
          <w:rFonts w:ascii="Arial" w:cs="Arial" w:eastAsia="Arial" w:hAnsi="Arial"/>
          <w:sz w:val="13"/>
          <w:szCs w:val="13"/>
          <w:b w:val="1"/>
          <w:bCs w:val="1"/>
          <w:u w:val="single" w:color="auto"/>
          <w:color w:val="auto"/>
        </w:rPr>
        <w:t>Force Majeure</w:t>
      </w:r>
      <w:r>
        <w:rPr>
          <w:rFonts w:ascii="Arial" w:cs="Arial" w:eastAsia="Arial" w:hAnsi="Arial"/>
          <w:sz w:val="13"/>
          <w:szCs w:val="13"/>
          <w:color w:val="auto"/>
        </w:rPr>
        <w:t>. Any prevention, delay or stoppage due to strikes, lockouts, labor disputes, acts of God, acts of war, terrorist acts, inability to obtain services, labor, or materials or reasonable substitutes therefor, governmental actions, civil commotions, fire or other casualty, and other causes beyond the reasonable control of the party obligated to perform, except with respect to the obligations imposed with regard to Rent and other charges to be paid by Tenant pursuant to this Lease (collectively, a “</w:t>
      </w:r>
      <w:r>
        <w:rPr>
          <w:rFonts w:ascii="Arial" w:cs="Arial" w:eastAsia="Arial" w:hAnsi="Arial"/>
          <w:sz w:val="13"/>
          <w:szCs w:val="13"/>
          <w:b w:val="1"/>
          <w:bCs w:val="1"/>
          <w:color w:val="auto"/>
        </w:rPr>
        <w:t>Force Majeure</w:t>
      </w:r>
      <w:r>
        <w:rPr>
          <w:rFonts w:ascii="Arial" w:cs="Arial" w:eastAsia="Arial" w:hAnsi="Arial"/>
          <w:sz w:val="13"/>
          <w:szCs w:val="13"/>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 provided, however, the foregoing delays shall not apply to Tenant’s termination rights hereunder.</w:t>
      </w:r>
    </w:p>
    <w:p>
      <w:pPr>
        <w:spacing w:after="0" w:line="12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29.17 </w:t>
      </w:r>
      <w:r>
        <w:rPr>
          <w:rFonts w:ascii="Arial" w:cs="Arial" w:eastAsia="Arial" w:hAnsi="Arial"/>
          <w:sz w:val="16"/>
          <w:szCs w:val="16"/>
          <w:b w:val="1"/>
          <w:bCs w:val="1"/>
          <w:u w:val="single" w:color="auto"/>
          <w:color w:val="auto"/>
        </w:rPr>
        <w:t>Intentionally Omitted</w:t>
      </w:r>
      <w:r>
        <w:rPr>
          <w:rFonts w:ascii="Arial" w:cs="Arial" w:eastAsia="Arial" w:hAnsi="Arial"/>
          <w:sz w:val="16"/>
          <w:szCs w:val="16"/>
          <w:color w:val="auto"/>
        </w:rPr>
        <w:t>.</w:t>
      </w:r>
    </w:p>
    <w:p>
      <w:pPr>
        <w:spacing w:after="0" w:line="193" w:lineRule="exact"/>
        <w:rPr>
          <w:sz w:val="20"/>
          <w:szCs w:val="20"/>
          <w:color w:val="auto"/>
        </w:rPr>
      </w:pPr>
    </w:p>
    <w:p>
      <w:pPr>
        <w:ind w:left="6" w:firstLine="385"/>
        <w:spacing w:after="0" w:line="306" w:lineRule="auto"/>
        <w:rPr>
          <w:sz w:val="20"/>
          <w:szCs w:val="20"/>
          <w:color w:val="auto"/>
        </w:rPr>
      </w:pPr>
      <w:r>
        <w:rPr>
          <w:rFonts w:ascii="Arial" w:cs="Arial" w:eastAsia="Arial" w:hAnsi="Arial"/>
          <w:sz w:val="13"/>
          <w:szCs w:val="13"/>
          <w:color w:val="auto"/>
        </w:rPr>
        <w:t xml:space="preserve">29.18 </w:t>
      </w:r>
      <w:r>
        <w:rPr>
          <w:rFonts w:ascii="Arial" w:cs="Arial" w:eastAsia="Arial" w:hAnsi="Arial"/>
          <w:sz w:val="13"/>
          <w:szCs w:val="13"/>
          <w:b w:val="1"/>
          <w:bCs w:val="1"/>
          <w:u w:val="single" w:color="auto"/>
          <w:color w:val="auto"/>
        </w:rPr>
        <w:t>Notices</w:t>
      </w:r>
      <w:r>
        <w:rPr>
          <w:rFonts w:ascii="Arial" w:cs="Arial" w:eastAsia="Arial" w:hAnsi="Arial"/>
          <w:sz w:val="13"/>
          <w:szCs w:val="13"/>
          <w:color w:val="auto"/>
        </w:rPr>
        <w:t>. All notices, demands, statements, designations, approvals or other communications (collectively, “</w:t>
      </w:r>
      <w:r>
        <w:rPr>
          <w:rFonts w:ascii="Arial" w:cs="Arial" w:eastAsia="Arial" w:hAnsi="Arial"/>
          <w:sz w:val="13"/>
          <w:szCs w:val="13"/>
          <w:b w:val="1"/>
          <w:bCs w:val="1"/>
          <w:color w:val="auto"/>
        </w:rPr>
        <w:t>Notices</w:t>
      </w:r>
      <w:r>
        <w:rPr>
          <w:rFonts w:ascii="Arial" w:cs="Arial" w:eastAsia="Arial" w:hAnsi="Arial"/>
          <w:sz w:val="13"/>
          <w:szCs w:val="13"/>
          <w:color w:val="auto"/>
        </w:rPr>
        <w:t>”) given or required to be given by either party to the other hereunder or by law shall be in writing, shall be (A) sent by United States certified or registered mail, postage prepaid, return receipt requested (“</w:t>
      </w:r>
      <w:r>
        <w:rPr>
          <w:rFonts w:ascii="Arial" w:cs="Arial" w:eastAsia="Arial" w:hAnsi="Arial"/>
          <w:sz w:val="13"/>
          <w:szCs w:val="13"/>
          <w:b w:val="1"/>
          <w:bCs w:val="1"/>
          <w:color w:val="auto"/>
        </w:rPr>
        <w:t>Mail</w:t>
      </w:r>
      <w:r>
        <w:rPr>
          <w:rFonts w:ascii="Arial" w:cs="Arial" w:eastAsia="Arial" w:hAnsi="Arial"/>
          <w:sz w:val="13"/>
          <w:szCs w:val="13"/>
          <w:color w:val="auto"/>
        </w:rPr>
        <w:t xml:space="preserve">”), (B) delivered by a nationally recognized overnight courier, or (C) delivered personally. Any Notice shall be sent, transmitted, or delivered, as the case may be, to Tenant at the appropriate address set forth in </w:t>
      </w:r>
      <w:r>
        <w:rPr>
          <w:rFonts w:ascii="Arial" w:cs="Arial" w:eastAsia="Arial" w:hAnsi="Arial"/>
          <w:sz w:val="13"/>
          <w:szCs w:val="13"/>
          <w:u w:val="single" w:color="auto"/>
          <w:color w:val="auto"/>
        </w:rPr>
        <w:t>Section 10</w:t>
      </w:r>
      <w:r>
        <w:rPr>
          <w:rFonts w:ascii="Arial" w:cs="Arial" w:eastAsia="Arial" w:hAnsi="Arial"/>
          <w:sz w:val="13"/>
          <w:szCs w:val="13"/>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(i) three (3) business days after the date it is posted if sent by Mail,</w:t>
      </w:r>
    </w:p>
    <w:p>
      <w:pPr>
        <w:spacing w:after="0" w:line="4" w:lineRule="exact"/>
        <w:rPr>
          <w:sz w:val="20"/>
          <w:szCs w:val="20"/>
          <w:color w:val="auto"/>
        </w:rPr>
      </w:pPr>
    </w:p>
    <w:p>
      <w:pPr>
        <w:ind w:left="6" w:right="60" w:hanging="6"/>
        <w:spacing w:after="0" w:line="252" w:lineRule="auto"/>
        <w:tabs>
          <w:tab w:leader="none" w:pos="237"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date the overnight courier delivery is made, or (iii) the date personal delivery is made. As of the date of this Lease, any Notices to Landlord must be sent, transmitted, or delivered, as the case may be, to the following addresses:</w:t>
      </w:r>
    </w:p>
    <w:p>
      <w:pPr>
        <w:spacing w:after="0" w:line="74"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HCP, Inc.</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1920 Main Street, Suite 1200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Irvine, CA 92614</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Legal Department</w:t>
      </w:r>
    </w:p>
    <w:p>
      <w:pPr>
        <w:spacing w:after="0" w:line="88"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with a copy to:</w:t>
      </w:r>
    </w:p>
    <w:p>
      <w:pPr>
        <w:spacing w:after="0" w:line="99"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HCP Life Science Estates</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950 Tower Lane, Suite 1650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Foster City, CA 94404</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Jonathan M. Bergschneider</w:t>
      </w:r>
    </w:p>
    <w:p>
      <w:pPr>
        <w:spacing w:after="0" w:line="88"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and</w:t>
      </w:r>
    </w:p>
    <w:p>
      <w:pPr>
        <w:spacing w:after="0" w:line="99"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Allen Matkins Leck Gamble Mallory &amp; Natsis LLP</w:t>
      </w:r>
    </w:p>
    <w:p>
      <w:pPr>
        <w:spacing w:after="0" w:line="16"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1901 Avenue of the Stars, Suite 1800</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Los Angeles, California 90067</w:t>
      </w:r>
    </w:p>
    <w:p>
      <w:pPr>
        <w:spacing w:after="0" w:line="5" w:lineRule="exact"/>
        <w:rPr>
          <w:sz w:val="20"/>
          <w:szCs w:val="20"/>
          <w:color w:val="auto"/>
        </w:rPr>
      </w:pPr>
    </w:p>
    <w:p>
      <w:pPr>
        <w:ind w:left="1586"/>
        <w:spacing w:after="0"/>
        <w:rPr>
          <w:sz w:val="20"/>
          <w:szCs w:val="20"/>
          <w:color w:val="auto"/>
        </w:rPr>
      </w:pPr>
      <w:r>
        <w:rPr>
          <w:rFonts w:ascii="Arial" w:cs="Arial" w:eastAsia="Arial" w:hAnsi="Arial"/>
          <w:sz w:val="16"/>
          <w:szCs w:val="16"/>
          <w:color w:val="auto"/>
        </w:rPr>
        <w:t>Attention: Anton N. Natsis, Esq.</w:t>
      </w:r>
    </w:p>
    <w:p>
      <w:pPr>
        <w:spacing w:after="0" w:line="178"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29.19 </w:t>
      </w:r>
      <w:r>
        <w:rPr>
          <w:rFonts w:ascii="Arial" w:cs="Arial" w:eastAsia="Arial" w:hAnsi="Arial"/>
          <w:sz w:val="13"/>
          <w:szCs w:val="13"/>
          <w:b w:val="1"/>
          <w:bCs w:val="1"/>
          <w:u w:val="single" w:color="auto"/>
          <w:color w:val="auto"/>
        </w:rPr>
        <w:t>Joint and Several</w:t>
      </w:r>
      <w:r>
        <w:rPr>
          <w:rFonts w:ascii="Arial" w:cs="Arial" w:eastAsia="Arial" w:hAnsi="Arial"/>
          <w:sz w:val="13"/>
          <w:szCs w:val="13"/>
          <w:color w:val="auto"/>
        </w:rPr>
        <w:t>. If there is more than one tenant, the obligations imposed upon Tenant under this Lease shall be joint and several.</w:t>
      </w:r>
    </w:p>
    <w:p>
      <w:pPr>
        <w:spacing w:after="0" w:line="228" w:lineRule="exact"/>
        <w:rPr>
          <w:sz w:val="20"/>
          <w:szCs w:val="20"/>
          <w:color w:val="auto"/>
        </w:rPr>
      </w:pPr>
    </w:p>
    <w:p>
      <w:pPr>
        <w:ind w:left="6" w:firstLine="385"/>
        <w:spacing w:after="0" w:line="259" w:lineRule="auto"/>
        <w:rPr>
          <w:sz w:val="20"/>
          <w:szCs w:val="20"/>
          <w:color w:val="auto"/>
        </w:rPr>
      </w:pPr>
      <w:r>
        <w:rPr>
          <w:rFonts w:ascii="Arial" w:cs="Arial" w:eastAsia="Arial" w:hAnsi="Arial"/>
          <w:sz w:val="16"/>
          <w:szCs w:val="16"/>
          <w:color w:val="auto"/>
        </w:rPr>
        <w:t xml:space="preserve">29.20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If Tenant is a corporation, trust or partnership,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w:t>
      </w:r>
    </w:p>
    <w:p>
      <w:pPr>
        <w:sectPr>
          <w:pgSz w:w="11900" w:h="16838" w:orient="portrait"/>
          <w:cols w:equalWidth="0" w:num="1">
            <w:col w:w="9626"/>
          </w:cols>
          <w:pgMar w:left="1134" w:top="252" w:right="1139" w:bottom="1440" w:gutter="0" w:footer="0" w:header="0"/>
        </w:sectPr>
      </w:pPr>
    </w:p>
    <w:bookmarkStart w:id="393" w:name="page394"/>
    <w:bookmarkEnd w:id="393"/>
    <w:p>
      <w:pPr>
        <w:ind w:right="80" w:firstLine="385"/>
        <w:spacing w:after="0" w:line="25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29.21 </w:t>
      </w:r>
      <w:r>
        <w:rPr>
          <w:rFonts w:ascii="Arial" w:cs="Arial" w:eastAsia="Arial" w:hAnsi="Arial"/>
          <w:sz w:val="16"/>
          <w:szCs w:val="16"/>
          <w:b w:val="1"/>
          <w:bCs w:val="1"/>
          <w:u w:val="single" w:color="auto"/>
          <w:color w:val="auto"/>
        </w:rPr>
        <w:t>Attorneys’ Fees</w:t>
      </w:r>
      <w:r>
        <w:rPr>
          <w:rFonts w:ascii="Arial" w:cs="Arial" w:eastAsia="Arial" w:hAnsi="Arial"/>
          <w:sz w:val="16"/>
          <w:szCs w:val="16"/>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to the prevailing party by the other party, which obligation on the part of the other party shall be deemed to have accrued on the date of the commencement of such action and shall be enforceable whether or not the action is prosecuted to judgment.</w:t>
      </w:r>
    </w:p>
    <w:p>
      <w:pPr>
        <w:spacing w:after="0" w:line="166" w:lineRule="exact"/>
        <w:rPr>
          <w:sz w:val="20"/>
          <w:szCs w:val="20"/>
          <w:color w:val="auto"/>
        </w:rPr>
      </w:pPr>
    </w:p>
    <w:p>
      <w:pPr>
        <w:ind w:right="40" w:firstLine="385"/>
        <w:spacing w:after="0" w:line="266" w:lineRule="auto"/>
        <w:rPr>
          <w:sz w:val="20"/>
          <w:szCs w:val="20"/>
          <w:color w:val="auto"/>
        </w:rPr>
      </w:pPr>
      <w:r>
        <w:rPr>
          <w:rFonts w:ascii="Arial" w:cs="Arial" w:eastAsia="Arial" w:hAnsi="Arial"/>
          <w:sz w:val="15"/>
          <w:szCs w:val="15"/>
          <w:color w:val="auto"/>
        </w:rPr>
        <w:t xml:space="preserve">29.22 </w:t>
      </w:r>
      <w:r>
        <w:rPr>
          <w:rFonts w:ascii="Arial" w:cs="Arial" w:eastAsia="Arial" w:hAnsi="Arial"/>
          <w:sz w:val="15"/>
          <w:szCs w:val="15"/>
          <w:b w:val="1"/>
          <w:bCs w:val="1"/>
          <w:u w:val="single" w:color="auto"/>
          <w:color w:val="auto"/>
        </w:rPr>
        <w:t>Governing Law; WAIVER OF TRIAL BY JURY</w:t>
      </w:r>
      <w:r>
        <w:rPr>
          <w:rFonts w:ascii="Arial" w:cs="Arial" w:eastAsia="Arial" w:hAnsi="Arial"/>
          <w:sz w:val="15"/>
          <w:szCs w:val="15"/>
          <w:color w:val="auto"/>
        </w:rPr>
        <w:t>. This Lease shall be construed and enforced in accordance with the laws of the State of California. IN ANY ACTION OR PROCEEDING ARISING HEREFROM, LANDLORD AND TENANT HEREBY CONSENT TO (I) THE JURISDICTION OF ANY COMPETENT COURT WITHIN THE STATE OF CALIFORNIA, (II) SERVICE OF PROCESS BY ANY MEANS AUTHORIZED BY CALIFORNIA LAW, AND (III) IN THE INTEREST OF SAVING TIME AND EXPENSE, TRIAL WITHOUT A JURY IN ANY ACTION, PROCEEDING OR COUNTERCLAIM BROUGHT BY EITHER OF THE PARTIES HERETO AGAINST THE OTHER OR THEIR SUCCESSORS IN RESPECT OF ANY MATTER ARISING OUT OF OR IN CONNECTION WITH THIS LEASE, THE RELATIONSHIP OF LANDLORD AND TENANT, TENANT’S USE OR OCCUPANCY OF THE PREMISES, AND/OR ANY CLAIM FOR INJURY OR DAMAGE, OR ANY EMERGENCY OR STATUTORY REMEDY. IN THE EVENT LANDLORD COMMENCES ANY SUMMARY PROCEEDINGS OR ACTION FOR NONPAYMENT OF BASE RENT OR ADDITIONAL RENT, TENANT SHALL NOT INTERPOSE ANY COUNTERCLAIM OF ANY NATURE OR DESCRIPTION (UNLESS SUCH COUNTERCLAIM SHALL BE MANDATORY) IN ANY SUCH PROCEEDING OR ACTION, BUT SHALL BE RELEGATED TO AN INDEPENDENT ACTION AT LAW.</w:t>
      </w:r>
    </w:p>
    <w:p>
      <w:pPr>
        <w:spacing w:after="0" w:line="161" w:lineRule="exact"/>
        <w:rPr>
          <w:sz w:val="20"/>
          <w:szCs w:val="20"/>
          <w:color w:val="auto"/>
        </w:rPr>
      </w:pPr>
    </w:p>
    <w:p>
      <w:pPr>
        <w:ind w:right="100" w:firstLine="385"/>
        <w:spacing w:after="0" w:line="306" w:lineRule="auto"/>
        <w:rPr>
          <w:sz w:val="20"/>
          <w:szCs w:val="20"/>
          <w:color w:val="auto"/>
        </w:rPr>
      </w:pPr>
      <w:r>
        <w:rPr>
          <w:rFonts w:ascii="Arial" w:cs="Arial" w:eastAsia="Arial" w:hAnsi="Arial"/>
          <w:sz w:val="15"/>
          <w:szCs w:val="15"/>
          <w:color w:val="auto"/>
        </w:rPr>
        <w:t xml:space="preserve">29.23 </w:t>
      </w:r>
      <w:r>
        <w:rPr>
          <w:rFonts w:ascii="Arial" w:cs="Arial" w:eastAsia="Arial" w:hAnsi="Arial"/>
          <w:sz w:val="15"/>
          <w:szCs w:val="15"/>
          <w:b w:val="1"/>
          <w:bCs w:val="1"/>
          <w:u w:val="single" w:color="auto"/>
          <w:color w:val="auto"/>
        </w:rPr>
        <w:t>Submission of Lease</w:t>
      </w:r>
      <w:r>
        <w:rPr>
          <w:rFonts w:ascii="Arial" w:cs="Arial" w:eastAsia="Arial" w:hAnsi="Arial"/>
          <w:sz w:val="15"/>
          <w:szCs w:val="15"/>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26" w:lineRule="exact"/>
        <w:rPr>
          <w:sz w:val="20"/>
          <w:szCs w:val="20"/>
          <w:color w:val="auto"/>
        </w:rPr>
      </w:pPr>
    </w:p>
    <w:p>
      <w:pPr>
        <w:ind w:right="60" w:firstLine="385"/>
        <w:spacing w:after="0" w:line="317" w:lineRule="auto"/>
        <w:rPr>
          <w:sz w:val="20"/>
          <w:szCs w:val="20"/>
          <w:color w:val="auto"/>
        </w:rPr>
      </w:pPr>
      <w:r>
        <w:rPr>
          <w:rFonts w:ascii="Arial" w:cs="Arial" w:eastAsia="Arial" w:hAnsi="Arial"/>
          <w:sz w:val="13"/>
          <w:szCs w:val="13"/>
          <w:color w:val="auto"/>
        </w:rPr>
        <w:t xml:space="preserve">29.24 </w:t>
      </w:r>
      <w:r>
        <w:rPr>
          <w:rFonts w:ascii="Arial" w:cs="Arial" w:eastAsia="Arial" w:hAnsi="Arial"/>
          <w:sz w:val="13"/>
          <w:szCs w:val="13"/>
          <w:b w:val="1"/>
          <w:bCs w:val="1"/>
          <w:u w:val="single" w:color="auto"/>
          <w:color w:val="auto"/>
        </w:rPr>
        <w:t>Brokers</w:t>
      </w:r>
      <w:r>
        <w:rPr>
          <w:rFonts w:ascii="Arial" w:cs="Arial" w:eastAsia="Arial" w:hAnsi="Arial"/>
          <w:sz w:val="13"/>
          <w:szCs w:val="13"/>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Arial" w:cs="Arial" w:eastAsia="Arial" w:hAnsi="Arial"/>
          <w:sz w:val="13"/>
          <w:szCs w:val="13"/>
          <w:u w:val="single" w:color="auto"/>
          <w:color w:val="auto"/>
        </w:rPr>
        <w:t>Section 12</w:t>
      </w:r>
      <w:r>
        <w:rPr>
          <w:rFonts w:ascii="Arial" w:cs="Arial" w:eastAsia="Arial" w:hAnsi="Arial"/>
          <w:sz w:val="13"/>
          <w:szCs w:val="13"/>
          <w:color w:val="auto"/>
        </w:rPr>
        <w:t xml:space="preserve"> of the Summary (the “</w:t>
      </w:r>
      <w:r>
        <w:rPr>
          <w:rFonts w:ascii="Arial" w:cs="Arial" w:eastAsia="Arial" w:hAnsi="Arial"/>
          <w:sz w:val="13"/>
          <w:szCs w:val="13"/>
          <w:b w:val="1"/>
          <w:bCs w:val="1"/>
          <w:color w:val="auto"/>
        </w:rPr>
        <w:t>Brokers</w:t>
      </w:r>
      <w:r>
        <w:rPr>
          <w:rFonts w:ascii="Arial" w:cs="Arial" w:eastAsia="Arial" w:hAnsi="Arial"/>
          <w:sz w:val="13"/>
          <w:szCs w:val="13"/>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Arial" w:cs="Arial" w:eastAsia="Arial" w:hAnsi="Arial"/>
          <w:sz w:val="13"/>
          <w:szCs w:val="13"/>
          <w:u w:val="single" w:color="auto"/>
          <w:color w:val="auto"/>
        </w:rPr>
        <w:t>Section 29.24</w:t>
      </w:r>
      <w:r>
        <w:rPr>
          <w:rFonts w:ascii="Arial" w:cs="Arial" w:eastAsia="Arial" w:hAnsi="Arial"/>
          <w:sz w:val="13"/>
          <w:szCs w:val="13"/>
          <w:color w:val="auto"/>
        </w:rPr>
        <w:t xml:space="preserve"> shall survive the expiration or earlier termination of the Lease Term.</w:t>
      </w:r>
    </w:p>
    <w:p>
      <w:pPr>
        <w:spacing w:after="0" w:line="127" w:lineRule="exact"/>
        <w:rPr>
          <w:sz w:val="20"/>
          <w:szCs w:val="20"/>
          <w:color w:val="auto"/>
        </w:rPr>
      </w:pPr>
    </w:p>
    <w:p>
      <w:pPr>
        <w:ind w:firstLine="385"/>
        <w:spacing w:after="0" w:line="254" w:lineRule="auto"/>
        <w:rPr>
          <w:sz w:val="20"/>
          <w:szCs w:val="20"/>
          <w:color w:val="auto"/>
        </w:rPr>
      </w:pPr>
      <w:r>
        <w:rPr>
          <w:rFonts w:ascii="Arial" w:cs="Arial" w:eastAsia="Arial" w:hAnsi="Arial"/>
          <w:sz w:val="16"/>
          <w:szCs w:val="16"/>
          <w:color w:val="auto"/>
        </w:rPr>
        <w:t xml:space="preserve">29.25 </w:t>
      </w:r>
      <w:r>
        <w:rPr>
          <w:rFonts w:ascii="Arial" w:cs="Arial" w:eastAsia="Arial" w:hAnsi="Arial"/>
          <w:sz w:val="16"/>
          <w:szCs w:val="16"/>
          <w:b w:val="1"/>
          <w:bCs w:val="1"/>
          <w:u w:val="single" w:color="auto"/>
          <w:color w:val="auto"/>
        </w:rPr>
        <w:t>Independent Covenants</w:t>
      </w:r>
      <w:r>
        <w:rPr>
          <w:rFonts w:ascii="Arial" w:cs="Arial" w:eastAsia="Arial" w:hAnsi="Arial"/>
          <w:sz w:val="16"/>
          <w:szCs w:val="16"/>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29.26 </w:t>
      </w:r>
      <w:r>
        <w:rPr>
          <w:rFonts w:ascii="Arial" w:cs="Arial" w:eastAsia="Arial" w:hAnsi="Arial"/>
          <w:sz w:val="13"/>
          <w:szCs w:val="13"/>
          <w:b w:val="1"/>
          <w:bCs w:val="1"/>
          <w:u w:val="single" w:color="auto"/>
          <w:color w:val="auto"/>
        </w:rPr>
        <w:t>Project or Building Name, Address and Signage</w:t>
      </w:r>
      <w:r>
        <w:rPr>
          <w:rFonts w:ascii="Arial" w:cs="Arial" w:eastAsia="Arial" w:hAnsi="Arial"/>
          <w:sz w:val="13"/>
          <w:szCs w:val="13"/>
          <w:color w:val="auto"/>
        </w:rPr>
        <w:t>. Landlord shall have the right at any time to change the name and/or address of the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Project or Building (and Landlord shall reimburse Tenant its actual, reasonable costs incurred as a result of such change, if any) and, subject to</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Section 23.1</w:t>
      </w:r>
      <w:r>
        <w:rPr>
          <w:rFonts w:ascii="Arial" w:cs="Arial" w:eastAsia="Arial" w:hAnsi="Arial"/>
          <w:sz w:val="13"/>
          <w:szCs w:val="13"/>
          <w:color w:val="auto"/>
        </w:rPr>
        <w:t>, to install, affix and maintain any and all signs on the exterior and on the interior of the Project or Building as Landlord may, in Landlord’s</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sole discretion, desire. Tenant shall not use the name of the Project or Building or use pictures or illustrations of the Project or Building in advertising or</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other publicity or for any purpose other than as the address of the business to be conducted by Tenant in the Premises, without the prior written consent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of Landlord.</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 xml:space="preserve">29.27 </w:t>
      </w:r>
      <w:r>
        <w:rPr>
          <w:rFonts w:ascii="Arial" w:cs="Arial" w:eastAsia="Arial" w:hAnsi="Arial"/>
          <w:sz w:val="13"/>
          <w:szCs w:val="13"/>
          <w:b w:val="1"/>
          <w:bCs w:val="1"/>
          <w:u w:val="single" w:color="auto"/>
          <w:color w:val="auto"/>
        </w:rPr>
        <w:t>Counterparts</w:t>
      </w:r>
      <w:r>
        <w:rPr>
          <w:rFonts w:ascii="Arial" w:cs="Arial" w:eastAsia="Arial" w:hAnsi="Arial"/>
          <w:sz w:val="13"/>
          <w:szCs w:val="13"/>
          <w:color w:val="auto"/>
        </w:rPr>
        <w:t>. This Lease may be executed in counterparts with the same effect as if both parties hereto had executed the same document.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Both counterparts shall be construed together and shall constitute a single lease.</w:t>
      </w:r>
    </w:p>
    <w:p>
      <w:pPr>
        <w:spacing w:after="0" w:line="178" w:lineRule="exact"/>
        <w:rPr>
          <w:sz w:val="20"/>
          <w:szCs w:val="20"/>
          <w:color w:val="auto"/>
        </w:rPr>
      </w:pPr>
    </w:p>
    <w:p>
      <w:pPr>
        <w:ind w:right="380" w:firstLine="385"/>
        <w:spacing w:after="0" w:line="272" w:lineRule="auto"/>
        <w:rPr>
          <w:sz w:val="20"/>
          <w:szCs w:val="20"/>
          <w:color w:val="auto"/>
        </w:rPr>
      </w:pPr>
      <w:r>
        <w:rPr>
          <w:rFonts w:ascii="Arial" w:cs="Arial" w:eastAsia="Arial" w:hAnsi="Arial"/>
          <w:sz w:val="16"/>
          <w:szCs w:val="16"/>
          <w:color w:val="auto"/>
        </w:rPr>
        <w:t xml:space="preserve">29.28 </w:t>
      </w:r>
      <w:r>
        <w:rPr>
          <w:rFonts w:ascii="Arial" w:cs="Arial" w:eastAsia="Arial" w:hAnsi="Arial"/>
          <w:sz w:val="16"/>
          <w:szCs w:val="16"/>
          <w:b w:val="1"/>
          <w:bCs w:val="1"/>
          <w:u w:val="single" w:color="auto"/>
          <w:color w:val="auto"/>
        </w:rPr>
        <w:t>Good Faith</w:t>
      </w:r>
      <w:r>
        <w:rPr>
          <w:rFonts w:ascii="Arial" w:cs="Arial" w:eastAsia="Arial" w:hAnsi="Arial"/>
          <w:sz w:val="16"/>
          <w:szCs w:val="16"/>
          <w:color w:val="auto"/>
        </w:rPr>
        <w:t>. Except (i) for matters for which there is a standard of consent or discretion specifically set forth in this Lease; (ii) matters which could have an adverse effect on the Building Structure or the Building</w:t>
      </w:r>
    </w:p>
    <w:p>
      <w:pPr>
        <w:sectPr>
          <w:pgSz w:w="11900" w:h="16838" w:orient="portrait"/>
          <w:cols w:equalWidth="0" w:num="1">
            <w:col w:w="9620"/>
          </w:cols>
          <w:pgMar w:left="1140" w:top="252" w:right="1139" w:bottom="1440" w:gutter="0" w:footer="0" w:header="0"/>
        </w:sectPr>
      </w:pPr>
    </w:p>
    <w:bookmarkStart w:id="394" w:name="page395"/>
    <w:bookmarkEnd w:id="394"/>
    <w:p>
      <w:pPr>
        <w:ind w:right="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Systems, or which could affect the exterior appearance of the Building, or (iii) matters covered by Article 4 (Additional Rent), or Article 19 (Defaults; Remedies) of this Lease (collectively, the “</w:t>
      </w:r>
      <w:r>
        <w:rPr>
          <w:rFonts w:ascii="Arial" w:cs="Arial" w:eastAsia="Arial" w:hAnsi="Arial"/>
          <w:sz w:val="16"/>
          <w:szCs w:val="16"/>
          <w:b w:val="1"/>
          <w:bCs w:val="1"/>
          <w:color w:val="auto"/>
        </w:rPr>
        <w:t>Excepted Matters</w:t>
      </w:r>
      <w:r>
        <w:rPr>
          <w:rFonts w:ascii="Arial" w:cs="Arial" w:eastAsia="Arial" w:hAnsi="Arial"/>
          <w:sz w:val="16"/>
          <w:szCs w:val="16"/>
          <w:color w:val="auto"/>
        </w:rPr>
        <w:t>”), any time the consent of Landlord or Tenant is required, such consent shall not be unreasonably withheld or delayed, and, except with regard to the Excepted Matters, whenever this Lease grants Landlord or Tenant the right to take action, exercise discretion, establish rules and regulations or make an allocation or other determination, Landlord and Tenant shall act reasonably and in good faith.</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29.29 </w:t>
      </w:r>
      <w:r>
        <w:rPr>
          <w:rFonts w:ascii="Arial" w:cs="Arial" w:eastAsia="Arial" w:hAnsi="Arial"/>
          <w:sz w:val="16"/>
          <w:szCs w:val="16"/>
          <w:b w:val="1"/>
          <w:bCs w:val="1"/>
          <w:u w:val="single" w:color="auto"/>
          <w:color w:val="auto"/>
        </w:rPr>
        <w:t>Development of the Project</w:t>
      </w:r>
      <w:r>
        <w:rPr>
          <w:rFonts w:ascii="Arial" w:cs="Arial" w:eastAsia="Arial" w:hAnsi="Arial"/>
          <w:sz w:val="16"/>
          <w:szCs w:val="16"/>
          <w:color w:val="auto"/>
        </w:rPr>
        <w:t>.</w:t>
      </w:r>
    </w:p>
    <w:p>
      <w:pPr>
        <w:spacing w:after="0" w:line="193" w:lineRule="exact"/>
        <w:rPr>
          <w:sz w:val="20"/>
          <w:szCs w:val="20"/>
          <w:color w:val="auto"/>
        </w:rPr>
      </w:pPr>
    </w:p>
    <w:p>
      <w:pPr>
        <w:ind w:right="100" w:firstLine="866"/>
        <w:spacing w:after="0" w:line="320" w:lineRule="auto"/>
        <w:rPr>
          <w:sz w:val="20"/>
          <w:szCs w:val="20"/>
          <w:color w:val="auto"/>
        </w:rPr>
      </w:pPr>
      <w:r>
        <w:rPr>
          <w:rFonts w:ascii="Arial" w:cs="Arial" w:eastAsia="Arial" w:hAnsi="Arial"/>
          <w:sz w:val="13"/>
          <w:szCs w:val="13"/>
          <w:color w:val="auto"/>
        </w:rPr>
        <w:t xml:space="preserve">29.29.1 </w:t>
      </w:r>
      <w:r>
        <w:rPr>
          <w:rFonts w:ascii="Arial" w:cs="Arial" w:eastAsia="Arial" w:hAnsi="Arial"/>
          <w:sz w:val="13"/>
          <w:szCs w:val="13"/>
          <w:b w:val="1"/>
          <w:bCs w:val="1"/>
          <w:u w:val="single" w:color="auto"/>
          <w:color w:val="auto"/>
        </w:rPr>
        <w:t>Subdivision</w:t>
      </w:r>
      <w:r>
        <w:rPr>
          <w:rFonts w:ascii="Arial" w:cs="Arial" w:eastAsia="Arial" w:hAnsi="Arial"/>
          <w:sz w:val="13"/>
          <w:szCs w:val="13"/>
          <w:color w:val="auto"/>
        </w:rPr>
        <w:t>. Landlord reserves the right to subdivide all or a portion of the buildings and Common Areas, so long as the same does not interfere with Tenant’s use of or access to the Premises or Tenant’s parking rights. Tenant agrees to execute and deliver, upon demand by Landlord and in the form requested by Landlord, any additional documents needed to conform this Lease to the circumstances resulting from a subdivision and any all maps in connection therewith, so long as the same does not increase Tenant’s obligations or decrease Tenant’s rights under this Lease. Notwithstanding anything to the contrary set forth in this Lease, the separate ownership of any buildings and/or Common Areas by an entity other than Landlord shall not affect the calculation of Direct Expenses or Tenant’s payment of Tenant’s Share of Direct Expenses.</w:t>
      </w:r>
    </w:p>
    <w:p>
      <w:pPr>
        <w:spacing w:after="0" w:line="125" w:lineRule="exact"/>
        <w:rPr>
          <w:sz w:val="20"/>
          <w:szCs w:val="20"/>
          <w:color w:val="auto"/>
        </w:rPr>
      </w:pPr>
    </w:p>
    <w:p>
      <w:pPr>
        <w:ind w:firstLine="866"/>
        <w:spacing w:after="0" w:line="320" w:lineRule="auto"/>
        <w:rPr>
          <w:sz w:val="20"/>
          <w:szCs w:val="20"/>
          <w:color w:val="auto"/>
        </w:rPr>
      </w:pPr>
      <w:r>
        <w:rPr>
          <w:rFonts w:ascii="Arial" w:cs="Arial" w:eastAsia="Arial" w:hAnsi="Arial"/>
          <w:sz w:val="13"/>
          <w:szCs w:val="13"/>
          <w:color w:val="auto"/>
        </w:rPr>
        <w:t xml:space="preserve">29.29.2 </w:t>
      </w:r>
      <w:r>
        <w:rPr>
          <w:rFonts w:ascii="Arial" w:cs="Arial" w:eastAsia="Arial" w:hAnsi="Arial"/>
          <w:sz w:val="13"/>
          <w:szCs w:val="13"/>
          <w:b w:val="1"/>
          <w:bCs w:val="1"/>
          <w:u w:val="single" w:color="auto"/>
          <w:color w:val="auto"/>
        </w:rPr>
        <w:t>Construction of Property and Other Improvements</w:t>
      </w:r>
      <w:r>
        <w:rPr>
          <w:rFonts w:ascii="Arial" w:cs="Arial" w:eastAsia="Arial" w:hAnsi="Arial"/>
          <w:sz w:val="13"/>
          <w:szCs w:val="13"/>
          <w:color w:val="auto"/>
        </w:rPr>
        <w:t>. Tenant acknowledges that portions of the Project may be under construction following Tenant’s occupancy of the Premises, and that such construction may result in levels of noise, dust, obstruction of access, etc. which are in excess of that present in a fully constructed project. Tenant hereby waives any and all rent offsets or claims of constructive eviction which may arise in connection with such construction, so long as the same does not interfere with Tenant’s use of or access to the Premises or Tenant’s parking rights. Landlord acknowledges that Tenant will have in the Premises a large vivarium with sensitivity to noise and vibration, and agrees that it shall use commercially reasonable efforts to minimize and mitigate noise and vibrations in connection with any such construction.</w:t>
      </w:r>
    </w:p>
    <w:p>
      <w:pPr>
        <w:spacing w:after="0" w:line="125" w:lineRule="exact"/>
        <w:rPr>
          <w:sz w:val="20"/>
          <w:szCs w:val="20"/>
          <w:color w:val="auto"/>
        </w:rPr>
      </w:pPr>
    </w:p>
    <w:p>
      <w:pPr>
        <w:ind w:firstLine="385"/>
        <w:spacing w:after="0" w:line="277" w:lineRule="auto"/>
        <w:rPr>
          <w:sz w:val="20"/>
          <w:szCs w:val="20"/>
          <w:color w:val="auto"/>
        </w:rPr>
      </w:pPr>
      <w:r>
        <w:rPr>
          <w:rFonts w:ascii="Arial" w:cs="Arial" w:eastAsia="Arial" w:hAnsi="Arial"/>
          <w:sz w:val="15"/>
          <w:szCs w:val="15"/>
          <w:color w:val="auto"/>
        </w:rPr>
        <w:t xml:space="preserve">29.30 </w:t>
      </w:r>
      <w:r>
        <w:rPr>
          <w:rFonts w:ascii="Arial" w:cs="Arial" w:eastAsia="Arial" w:hAnsi="Arial"/>
          <w:sz w:val="15"/>
          <w:szCs w:val="15"/>
          <w:b w:val="1"/>
          <w:bCs w:val="1"/>
          <w:u w:val="single" w:color="auto"/>
          <w:color w:val="auto"/>
        </w:rPr>
        <w:t>No Violation</w:t>
      </w:r>
      <w:r>
        <w:rPr>
          <w:rFonts w:ascii="Arial" w:cs="Arial" w:eastAsia="Arial" w:hAnsi="Arial"/>
          <w:sz w:val="15"/>
          <w:szCs w:val="15"/>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47" w:lineRule="exact"/>
        <w:rPr>
          <w:sz w:val="20"/>
          <w:szCs w:val="20"/>
          <w:color w:val="auto"/>
        </w:rPr>
      </w:pPr>
    </w:p>
    <w:p>
      <w:pPr>
        <w:ind w:firstLine="385"/>
        <w:spacing w:after="0" w:line="317" w:lineRule="auto"/>
        <w:rPr>
          <w:sz w:val="20"/>
          <w:szCs w:val="20"/>
          <w:color w:val="auto"/>
        </w:rPr>
      </w:pPr>
      <w:r>
        <w:rPr>
          <w:rFonts w:ascii="Arial" w:cs="Arial" w:eastAsia="Arial" w:hAnsi="Arial"/>
          <w:sz w:val="13"/>
          <w:szCs w:val="13"/>
          <w:color w:val="auto"/>
        </w:rPr>
        <w:t xml:space="preserve">29.31 </w:t>
      </w:r>
      <w:r>
        <w:rPr>
          <w:rFonts w:ascii="Arial" w:cs="Arial" w:eastAsia="Arial" w:hAnsi="Arial"/>
          <w:sz w:val="13"/>
          <w:szCs w:val="13"/>
          <w:b w:val="1"/>
          <w:bCs w:val="1"/>
          <w:u w:val="single" w:color="auto"/>
          <w:color w:val="auto"/>
        </w:rPr>
        <w:t>Transportation Management</w:t>
      </w:r>
      <w:r>
        <w:rPr>
          <w:rFonts w:ascii="Arial" w:cs="Arial" w:eastAsia="Arial" w:hAnsi="Arial"/>
          <w:sz w:val="13"/>
          <w:szCs w:val="13"/>
          <w:color w:val="auto"/>
        </w:rPr>
        <w:t>. Tenant shall fully comply with all present or future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 Such programs may include, without limitation: (i) restrictions on the number of peak-hour vehicle trips generated by Tenant; (ii) increased vehicle occupancy; (iii) implementation of an in-house ridesharing program and an employee transportation coordinator; (iv) working with employees and any Project, Building or area-wide ridesharing program manager; (v) instituting employer-sponsored incentives (financial or in-kind) to encourage employees to rideshare; and (vi) utilizing flexible work shifts for employees.</w:t>
      </w:r>
    </w:p>
    <w:p>
      <w:pPr>
        <w:sectPr>
          <w:pgSz w:w="11900" w:h="16838" w:orient="portrait"/>
          <w:cols w:equalWidth="0" w:num="1">
            <w:col w:w="9560"/>
          </w:cols>
          <w:pgMar w:left="1140" w:top="256" w:right="1199" w:bottom="1440" w:gutter="0" w:footer="0" w:header="0"/>
        </w:sectPr>
      </w:pPr>
    </w:p>
    <w:bookmarkStart w:id="395" w:name="page396"/>
    <w:bookmarkEnd w:id="395"/>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 WITNESS WHEREOF, Landlord and Tenant have caused this Lease to be executed the day and date first above written.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3"/>
          </w:tcPr>
          <w:p>
            <w:pPr>
              <w:spacing w:after="0"/>
              <w:rPr>
                <w:sz w:val="20"/>
                <w:szCs w:val="20"/>
                <w:color w:val="auto"/>
              </w:rPr>
            </w:pPr>
            <w:r>
              <w:rPr>
                <w:rFonts w:ascii="Arial" w:cs="Arial" w:eastAsia="Arial" w:hAnsi="Arial"/>
                <w:sz w:val="16"/>
                <w:szCs w:val="16"/>
                <w:color w:val="auto"/>
              </w:rPr>
              <w:t>LANDLORD:</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TENANT:</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380"/>
        </w:trPr>
        <w:tc>
          <w:tcPr>
            <w:tcW w:w="4400" w:type="dxa"/>
            <w:vAlign w:val="bottom"/>
            <w:gridSpan w:val="3"/>
          </w:tcPr>
          <w:p>
            <w:pPr>
              <w:spacing w:after="0"/>
              <w:rPr>
                <w:sz w:val="20"/>
                <w:szCs w:val="20"/>
                <w:color w:val="auto"/>
              </w:rPr>
            </w:pPr>
            <w:r>
              <w:rPr>
                <w:rFonts w:ascii="Arial" w:cs="Arial" w:eastAsia="Arial" w:hAnsi="Arial"/>
                <w:sz w:val="16"/>
                <w:szCs w:val="16"/>
                <w:color w:val="auto"/>
              </w:rPr>
              <w:t>HCP OYSTER POINT III LLC,</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THE COLUMN GROUP, LLC,</w:t>
            </w:r>
          </w:p>
        </w:tc>
      </w:tr>
      <w:tr>
        <w:trPr>
          <w:trHeight w:val="200"/>
        </w:trPr>
        <w:tc>
          <w:tcPr>
            <w:tcW w:w="4400" w:type="dxa"/>
            <w:vAlign w:val="bottom"/>
            <w:gridSpan w:val="3"/>
          </w:tcPr>
          <w:p>
            <w:pPr>
              <w:spacing w:after="0"/>
              <w:rPr>
                <w:sz w:val="20"/>
                <w:szCs w:val="20"/>
                <w:color w:val="auto"/>
              </w:rPr>
            </w:pPr>
            <w:r>
              <w:rPr>
                <w:rFonts w:ascii="Arial" w:cs="Arial" w:eastAsia="Arial" w:hAnsi="Arial"/>
                <w:sz w:val="16"/>
                <w:szCs w:val="16"/>
                <w:color w:val="auto"/>
              </w:rPr>
              <w:t>a Delaware limited liability company</w:t>
            </w:r>
          </w:p>
        </w:tc>
        <w:tc>
          <w:tcPr>
            <w:tcW w:w="5220" w:type="dxa"/>
            <w:vAlign w:val="bottom"/>
            <w:gridSpan w:val="5"/>
          </w:tcPr>
          <w:p>
            <w:pPr>
              <w:ind w:left="620"/>
              <w:spacing w:after="0"/>
              <w:rPr>
                <w:sz w:val="20"/>
                <w:szCs w:val="20"/>
                <w:color w:val="auto"/>
              </w:rPr>
            </w:pPr>
            <w:r>
              <w:rPr>
                <w:rFonts w:ascii="Arial" w:cs="Arial" w:eastAsia="Arial" w:hAnsi="Arial"/>
                <w:sz w:val="16"/>
                <w:szCs w:val="16"/>
                <w:color w:val="auto"/>
              </w:rPr>
              <w:t>a Delaware limited liability company</w:t>
            </w:r>
          </w:p>
        </w:tc>
      </w:tr>
      <w:tr>
        <w:trPr>
          <w:trHeight w:val="389"/>
        </w:trPr>
        <w:tc>
          <w:tcPr>
            <w:tcW w:w="4400" w:type="dxa"/>
            <w:vAlign w:val="bottom"/>
            <w:gridSpan w:val="3"/>
          </w:tcPr>
          <w:p>
            <w:pPr>
              <w:spacing w:after="0"/>
              <w:rPr>
                <w:sz w:val="20"/>
                <w:szCs w:val="20"/>
                <w:color w:val="auto"/>
              </w:rPr>
            </w:pPr>
            <w:r>
              <w:rPr>
                <w:rFonts w:ascii="Arial" w:cs="Arial" w:eastAsia="Arial" w:hAnsi="Arial"/>
                <w:sz w:val="16"/>
                <w:szCs w:val="16"/>
                <w:color w:val="auto"/>
              </w:rPr>
              <w:t>By:  /s/ Jonathan M. Bergschneider</w:t>
            </w: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By:</w:t>
            </w:r>
          </w:p>
        </w:tc>
        <w:tc>
          <w:tcPr>
            <w:tcW w:w="4040" w:type="dxa"/>
            <w:vAlign w:val="bottom"/>
            <w:gridSpan w:val="3"/>
          </w:tcPr>
          <w:p>
            <w:pPr>
              <w:spacing w:after="0"/>
              <w:rPr>
                <w:sz w:val="20"/>
                <w:szCs w:val="20"/>
                <w:color w:val="auto"/>
              </w:rPr>
            </w:pPr>
            <w:r>
              <w:rPr>
                <w:rFonts w:ascii="Arial" w:cs="Arial" w:eastAsia="Arial" w:hAnsi="Arial"/>
                <w:sz w:val="16"/>
                <w:szCs w:val="16"/>
                <w:color w:val="auto"/>
              </w:rPr>
              <w:t>/s/ David V. Goeddel</w:t>
            </w:r>
          </w:p>
        </w:tc>
      </w:tr>
      <w:tr>
        <w:trPr>
          <w:trHeight w:val="181"/>
        </w:trPr>
        <w:tc>
          <w:tcPr>
            <w:tcW w:w="380" w:type="dxa"/>
            <w:vAlign w:val="bottom"/>
          </w:tcPr>
          <w:p>
            <w:pPr>
              <w:spacing w:after="0"/>
              <w:rPr>
                <w:sz w:val="15"/>
                <w:szCs w:val="15"/>
                <w:color w:val="auto"/>
              </w:rPr>
            </w:pPr>
          </w:p>
        </w:tc>
        <w:tc>
          <w:tcPr>
            <w:tcW w:w="402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auto"/>
              </w:rPr>
              <w:t>Jonathan M. Bergschneider</w:t>
            </w:r>
          </w:p>
        </w:tc>
        <w:tc>
          <w:tcPr>
            <w:tcW w:w="1180" w:type="dxa"/>
            <w:vAlign w:val="bottom"/>
            <w:gridSpan w:val="2"/>
          </w:tcPr>
          <w:p>
            <w:pPr>
              <w:ind w:left="620"/>
              <w:spacing w:after="0" w:line="181" w:lineRule="exact"/>
              <w:rPr>
                <w:sz w:val="20"/>
                <w:szCs w:val="20"/>
                <w:color w:val="auto"/>
              </w:rPr>
            </w:pPr>
            <w:r>
              <w:rPr>
                <w:rFonts w:ascii="Arial" w:cs="Arial" w:eastAsia="Arial" w:hAnsi="Arial"/>
                <w:sz w:val="16"/>
                <w:szCs w:val="16"/>
                <w:color w:val="auto"/>
              </w:rPr>
              <w:t>Name:</w:t>
            </w:r>
          </w:p>
        </w:tc>
        <w:tc>
          <w:tcPr>
            <w:tcW w:w="20" w:type="dxa"/>
            <w:vAlign w:val="bottom"/>
          </w:tcPr>
          <w:p>
            <w:pPr>
              <w:spacing w:after="0"/>
              <w:rPr>
                <w:sz w:val="15"/>
                <w:szCs w:val="15"/>
                <w:color w:val="auto"/>
              </w:rPr>
            </w:pPr>
          </w:p>
        </w:tc>
        <w:tc>
          <w:tcPr>
            <w:tcW w:w="4020" w:type="dxa"/>
            <w:vAlign w:val="bottom"/>
            <w:tcBorders>
              <w:top w:val="single" w:sz="8" w:color="auto"/>
            </w:tcBorders>
            <w:gridSpan w:val="2"/>
          </w:tcPr>
          <w:p>
            <w:pPr>
              <w:spacing w:after="0" w:line="181" w:lineRule="exact"/>
              <w:rPr>
                <w:sz w:val="20"/>
                <w:szCs w:val="20"/>
                <w:color w:val="auto"/>
              </w:rPr>
            </w:pPr>
            <w:r>
              <w:rPr>
                <w:rFonts w:ascii="Arial" w:cs="Arial" w:eastAsia="Arial" w:hAnsi="Arial"/>
                <w:sz w:val="16"/>
                <w:szCs w:val="16"/>
                <w:color w:val="auto"/>
              </w:rPr>
              <w:t>David V. Goeddel</w:t>
            </w:r>
          </w:p>
        </w:tc>
      </w:tr>
      <w:tr>
        <w:trPr>
          <w:trHeight w:val="200"/>
        </w:trPr>
        <w:tc>
          <w:tcPr>
            <w:tcW w:w="380" w:type="dxa"/>
            <w:vAlign w:val="bottom"/>
          </w:tcPr>
          <w:p>
            <w:pPr>
              <w:spacing w:after="0"/>
              <w:rPr>
                <w:sz w:val="17"/>
                <w:szCs w:val="17"/>
                <w:color w:val="auto"/>
              </w:rPr>
            </w:pPr>
          </w:p>
        </w:tc>
        <w:tc>
          <w:tcPr>
            <w:tcW w:w="4020" w:type="dxa"/>
            <w:vAlign w:val="bottom"/>
            <w:gridSpan w:val="2"/>
          </w:tcPr>
          <w:p>
            <w:pPr>
              <w:spacing w:after="0"/>
              <w:rPr>
                <w:sz w:val="20"/>
                <w:szCs w:val="20"/>
                <w:color w:val="auto"/>
              </w:rPr>
            </w:pPr>
            <w:r>
              <w:rPr>
                <w:rFonts w:ascii="Arial" w:cs="Arial" w:eastAsia="Arial" w:hAnsi="Arial"/>
                <w:sz w:val="16"/>
                <w:szCs w:val="16"/>
                <w:color w:val="auto"/>
              </w:rPr>
              <w:t>Executive Vice President</w:t>
            </w: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Its:</w:t>
            </w:r>
          </w:p>
        </w:tc>
        <w:tc>
          <w:tcPr>
            <w:tcW w:w="4040" w:type="dxa"/>
            <w:vAlign w:val="bottom"/>
            <w:gridSpan w:val="3"/>
          </w:tcPr>
          <w:p>
            <w:pPr>
              <w:spacing w:after="0"/>
              <w:rPr>
                <w:sz w:val="20"/>
                <w:szCs w:val="20"/>
                <w:color w:val="auto"/>
              </w:rPr>
            </w:pPr>
            <w:r>
              <w:rPr>
                <w:rFonts w:ascii="Arial" w:cs="Arial" w:eastAsia="Arial" w:hAnsi="Arial"/>
                <w:sz w:val="16"/>
                <w:szCs w:val="16"/>
                <w:color w:val="auto"/>
              </w:rPr>
              <w:t>Managing Director</w:t>
            </w:r>
          </w:p>
        </w:tc>
      </w:tr>
      <w:tr>
        <w:trPr>
          <w:trHeight w:val="377"/>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By:</w:t>
            </w:r>
          </w:p>
        </w:tc>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James Evangelista</w:t>
            </w:r>
          </w:p>
        </w:tc>
      </w:tr>
      <w:tr>
        <w:trPr>
          <w:trHeight w:val="181"/>
        </w:trPr>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ind w:left="620"/>
              <w:spacing w:after="0" w:line="181" w:lineRule="exact"/>
              <w:rPr>
                <w:sz w:val="20"/>
                <w:szCs w:val="20"/>
                <w:color w:val="auto"/>
              </w:rPr>
            </w:pPr>
            <w:r>
              <w:rPr>
                <w:rFonts w:ascii="Arial" w:cs="Arial" w:eastAsia="Arial" w:hAnsi="Arial"/>
                <w:sz w:val="16"/>
                <w:szCs w:val="16"/>
                <w:color w:val="auto"/>
              </w:rPr>
              <w:t>Name:</w:t>
            </w:r>
          </w:p>
        </w:tc>
        <w:tc>
          <w:tcPr>
            <w:tcW w:w="4040" w:type="dxa"/>
            <w:vAlign w:val="bottom"/>
            <w:gridSpan w:val="3"/>
          </w:tcPr>
          <w:p>
            <w:pPr>
              <w:spacing w:after="0" w:line="181" w:lineRule="exact"/>
              <w:rPr>
                <w:sz w:val="20"/>
                <w:szCs w:val="20"/>
                <w:color w:val="auto"/>
              </w:rPr>
            </w:pPr>
            <w:r>
              <w:rPr>
                <w:rFonts w:ascii="Arial" w:cs="Arial" w:eastAsia="Arial" w:hAnsi="Arial"/>
                <w:sz w:val="16"/>
                <w:szCs w:val="16"/>
                <w:color w:val="auto"/>
              </w:rPr>
              <w:t>James Evangelista</w:t>
            </w:r>
          </w:p>
        </w:tc>
      </w:tr>
      <w:tr>
        <w:trPr>
          <w:trHeight w:val="200"/>
        </w:trPr>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80" w:type="dxa"/>
            <w:vAlign w:val="bottom"/>
            <w:gridSpan w:val="2"/>
          </w:tcPr>
          <w:p>
            <w:pPr>
              <w:ind w:left="620"/>
              <w:spacing w:after="0"/>
              <w:rPr>
                <w:sz w:val="20"/>
                <w:szCs w:val="20"/>
                <w:color w:val="auto"/>
              </w:rPr>
            </w:pPr>
            <w:r>
              <w:rPr>
                <w:rFonts w:ascii="Arial" w:cs="Arial" w:eastAsia="Arial" w:hAnsi="Arial"/>
                <w:sz w:val="16"/>
                <w:szCs w:val="16"/>
                <w:color w:val="auto"/>
              </w:rPr>
              <w:t>Its:</w:t>
            </w:r>
          </w:p>
        </w:tc>
        <w:tc>
          <w:tcPr>
            <w:tcW w:w="4040" w:type="dxa"/>
            <w:vAlign w:val="bottom"/>
            <w:gridSpan w:val="3"/>
          </w:tcPr>
          <w:p>
            <w:pPr>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9620"/>
          </w:cols>
          <w:pgMar w:left="1140" w:top="256" w:right="1139" w:bottom="1440" w:gutter="0" w:footer="0" w:header="0"/>
        </w:sectPr>
      </w:pPr>
    </w:p>
    <w:bookmarkStart w:id="396" w:name="page397"/>
    <w:bookmarkEnd w:id="396"/>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A</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15"/>
          <w:szCs w:val="15"/>
          <w:b w:val="1"/>
          <w:bCs w:val="1"/>
          <w:u w:val="single" w:color="auto"/>
          <w:color w:val="auto"/>
        </w:rPr>
        <w:t>OUTLINE OF PREMISES; PROJECT SITE PLAN</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5"/>
          <w:szCs w:val="15"/>
          <w:color w:val="auto"/>
        </w:rPr>
        <w:t>**floor plan below is representative to show the outline of Premises and is not a final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932180</wp:posOffset>
            </wp:positionH>
            <wp:positionV relativeFrom="paragraph">
              <wp:posOffset>153035</wp:posOffset>
            </wp:positionV>
            <wp:extent cx="3855720" cy="50984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855720" cy="509841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397" w:name="page398"/>
    <w:bookmarkEnd w:id="397"/>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TENANT WORK LETTER</w:t>
      </w:r>
    </w:p>
    <w:p>
      <w:pPr>
        <w:spacing w:after="0" w:line="193" w:lineRule="exact"/>
        <w:rPr>
          <w:sz w:val="20"/>
          <w:szCs w:val="20"/>
          <w:color w:val="auto"/>
        </w:rPr>
      </w:pPr>
    </w:p>
    <w:p>
      <w:pPr>
        <w:ind w:left="540" w:hanging="162"/>
        <w:spacing w:after="0"/>
        <w:tabs>
          <w:tab w:leader="none" w:pos="540" w:val="left"/>
        </w:tabs>
        <w:numPr>
          <w:ilvl w:val="0"/>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Defined Terms</w:t>
      </w:r>
      <w:r>
        <w:rPr>
          <w:rFonts w:ascii="Arial" w:cs="Arial" w:eastAsia="Arial" w:hAnsi="Arial"/>
          <w:sz w:val="16"/>
          <w:szCs w:val="16"/>
          <w:color w:val="auto"/>
        </w:rPr>
        <w:t>. As used in this Tenant Work Letter, the following capitalized terms have the following meanings:</w:t>
      </w:r>
    </w:p>
    <w:p>
      <w:pPr>
        <w:spacing w:after="0" w:line="193" w:lineRule="exact"/>
        <w:rPr>
          <w:rFonts w:ascii="Arial" w:cs="Arial" w:eastAsia="Arial" w:hAnsi="Arial"/>
          <w:sz w:val="16"/>
          <w:szCs w:val="16"/>
          <w:color w:val="auto"/>
        </w:rPr>
      </w:pPr>
    </w:p>
    <w:p>
      <w:pPr>
        <w:ind w:right="40" w:firstLine="860"/>
        <w:spacing w:after="0" w:line="259" w:lineRule="auto"/>
        <w:tabs>
          <w:tab w:leader="none" w:pos="1079"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Approved TI Plans</w:t>
      </w:r>
      <w:r>
        <w:rPr>
          <w:rFonts w:ascii="Arial" w:cs="Arial" w:eastAsia="Arial" w:hAnsi="Arial"/>
          <w:sz w:val="16"/>
          <w:szCs w:val="16"/>
          <w:color w:val="auto"/>
        </w:rPr>
        <w:t>: Plans and specifications prepared by the applicable Architect for the Tenant Improvements and approved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and Tenant in accordance with Paragraph 2 of this Tenant Work Letter, subject to further modification from time to time to the extent provided in and in accordance with such Paragraph 2.</w:t>
      </w:r>
    </w:p>
    <w:p>
      <w:pPr>
        <w:spacing w:after="0" w:line="158" w:lineRule="exact"/>
        <w:rPr>
          <w:rFonts w:ascii="Arial" w:cs="Arial" w:eastAsia="Arial" w:hAnsi="Arial"/>
          <w:sz w:val="16"/>
          <w:szCs w:val="16"/>
          <w:color w:val="auto"/>
        </w:rPr>
      </w:pPr>
    </w:p>
    <w:p>
      <w:pPr>
        <w:ind w:right="540" w:firstLine="860"/>
        <w:spacing w:after="0" w:line="272" w:lineRule="auto"/>
        <w:tabs>
          <w:tab w:leader="none" w:pos="1088"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Architect</w:t>
      </w:r>
      <w:r>
        <w:rPr>
          <w:rFonts w:ascii="Arial" w:cs="Arial" w:eastAsia="Arial" w:hAnsi="Arial"/>
          <w:sz w:val="16"/>
          <w:szCs w:val="16"/>
          <w:color w:val="auto"/>
        </w:rPr>
        <w:t>: Landlord shall engage DGA with respect to any Tenant Improvements which Landlord is to cause to be constructed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Tenant Work Letter.</w:t>
      </w:r>
    </w:p>
    <w:p>
      <w:pPr>
        <w:spacing w:after="0" w:line="148" w:lineRule="exact"/>
        <w:rPr>
          <w:rFonts w:ascii="Arial" w:cs="Arial" w:eastAsia="Arial" w:hAnsi="Arial"/>
          <w:sz w:val="16"/>
          <w:szCs w:val="16"/>
          <w:color w:val="auto"/>
        </w:rPr>
      </w:pPr>
    </w:p>
    <w:p>
      <w:pPr>
        <w:ind w:left="1080" w:hanging="220"/>
        <w:spacing w:after="0"/>
        <w:tabs>
          <w:tab w:leader="none" w:pos="1080"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 Change Request</w:t>
      </w:r>
      <w:r>
        <w:rPr>
          <w:rFonts w:ascii="Arial" w:cs="Arial" w:eastAsia="Arial" w:hAnsi="Arial"/>
          <w:sz w:val="16"/>
          <w:szCs w:val="16"/>
          <w:color w:val="auto"/>
        </w:rPr>
        <w:t>: See definition in Paragraph 2(c)(ii) hereof.</w:t>
      </w:r>
    </w:p>
    <w:p>
      <w:pPr>
        <w:spacing w:after="0" w:line="193" w:lineRule="exact"/>
        <w:rPr>
          <w:rFonts w:ascii="Arial" w:cs="Arial" w:eastAsia="Arial" w:hAnsi="Arial"/>
          <w:sz w:val="16"/>
          <w:szCs w:val="16"/>
          <w:color w:val="auto"/>
        </w:rPr>
      </w:pPr>
    </w:p>
    <w:p>
      <w:pPr>
        <w:ind w:left="1080" w:hanging="220"/>
        <w:spacing w:after="0"/>
        <w:tabs>
          <w:tab w:leader="none" w:pos="1080"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Final TI Working Drawings</w:t>
      </w:r>
      <w:r>
        <w:rPr>
          <w:rFonts w:ascii="Arial" w:cs="Arial" w:eastAsia="Arial" w:hAnsi="Arial"/>
          <w:sz w:val="16"/>
          <w:szCs w:val="16"/>
          <w:color w:val="auto"/>
        </w:rPr>
        <w:t>: See definition in Paragraph 2(a) hereof.</w:t>
      </w:r>
    </w:p>
    <w:p>
      <w:pPr>
        <w:spacing w:after="0" w:line="193" w:lineRule="exact"/>
        <w:rPr>
          <w:rFonts w:ascii="Arial" w:cs="Arial" w:eastAsia="Arial" w:hAnsi="Arial"/>
          <w:sz w:val="16"/>
          <w:szCs w:val="16"/>
          <w:color w:val="auto"/>
        </w:rPr>
      </w:pPr>
    </w:p>
    <w:p>
      <w:pPr>
        <w:ind w:right="420" w:firstLine="860"/>
        <w:spacing w:after="0" w:line="272" w:lineRule="auto"/>
        <w:tabs>
          <w:tab w:leader="none" w:pos="1079"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 Contractor</w:t>
      </w:r>
      <w:r>
        <w:rPr>
          <w:rFonts w:ascii="Arial" w:cs="Arial" w:eastAsia="Arial" w:hAnsi="Arial"/>
          <w:sz w:val="16"/>
          <w:szCs w:val="16"/>
          <w:color w:val="auto"/>
        </w:rPr>
        <w:t>: The general contractor reasonably selected by Landlord with respect to Landlord’s TI Work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2(c) below. Tenant shall have no right to direct or control such General Contractor.</w:t>
      </w:r>
    </w:p>
    <w:p>
      <w:pPr>
        <w:spacing w:after="0" w:line="148" w:lineRule="exact"/>
        <w:rPr>
          <w:rFonts w:ascii="Arial" w:cs="Arial" w:eastAsia="Arial" w:hAnsi="Arial"/>
          <w:sz w:val="16"/>
          <w:szCs w:val="16"/>
          <w:color w:val="auto"/>
        </w:rPr>
      </w:pPr>
    </w:p>
    <w:p>
      <w:pPr>
        <w:ind w:right="220" w:firstLine="860"/>
        <w:spacing w:after="0" w:line="272" w:lineRule="auto"/>
        <w:tabs>
          <w:tab w:leader="none" w:pos="1062"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TI Work</w:t>
      </w:r>
      <w:r>
        <w:rPr>
          <w:rFonts w:ascii="Arial" w:cs="Arial" w:eastAsia="Arial" w:hAnsi="Arial"/>
          <w:sz w:val="16"/>
          <w:szCs w:val="16"/>
          <w:color w:val="auto"/>
        </w:rPr>
        <w:t>: Any Tenant Improvements which Landlord is to construct or install pursuant to this Tenant Work Letter or by</w:t>
      </w:r>
      <w:r>
        <w:rPr>
          <w:rFonts w:ascii="Arial" w:cs="Arial" w:eastAsia="Arial" w:hAnsi="Arial"/>
          <w:sz w:val="16"/>
          <w:szCs w:val="16"/>
          <w:b w:val="1"/>
          <w:bCs w:val="1"/>
          <w:color w:val="auto"/>
        </w:rPr>
        <w:t xml:space="preserve"> </w:t>
      </w:r>
      <w:r>
        <w:rPr>
          <w:rFonts w:ascii="Arial" w:cs="Arial" w:eastAsia="Arial" w:hAnsi="Arial"/>
          <w:sz w:val="16"/>
          <w:szCs w:val="16"/>
          <w:color w:val="auto"/>
        </w:rPr>
        <w:t>mutual agreement of Landlord and Tenant from time to time.</w:t>
      </w:r>
    </w:p>
    <w:p>
      <w:pPr>
        <w:spacing w:after="0" w:line="148" w:lineRule="exact"/>
        <w:rPr>
          <w:rFonts w:ascii="Arial" w:cs="Arial" w:eastAsia="Arial" w:hAnsi="Arial"/>
          <w:sz w:val="16"/>
          <w:szCs w:val="16"/>
          <w:color w:val="auto"/>
        </w:rPr>
      </w:pPr>
    </w:p>
    <w:p>
      <w:pPr>
        <w:ind w:right="220" w:firstLine="860"/>
        <w:spacing w:after="0" w:line="259" w:lineRule="auto"/>
        <w:tabs>
          <w:tab w:leader="none" w:pos="1088"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Project Manager</w:t>
      </w:r>
      <w:r>
        <w:rPr>
          <w:rFonts w:ascii="Arial" w:cs="Arial" w:eastAsia="Arial" w:hAnsi="Arial"/>
          <w:sz w:val="16"/>
          <w:szCs w:val="16"/>
          <w:color w:val="auto"/>
        </w:rPr>
        <w:t>. Project Management Advisors, Inc., or any other project manager designated by Landlord in its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from time to time to act in a supervisory, oversight, project management or other similar capacity on behalf of Landlord in connection with the design and/or construction of the Tenant Improvements.</w:t>
      </w:r>
    </w:p>
    <w:p>
      <w:pPr>
        <w:spacing w:after="0" w:line="158" w:lineRule="exact"/>
        <w:rPr>
          <w:rFonts w:ascii="Arial" w:cs="Arial" w:eastAsia="Arial" w:hAnsi="Arial"/>
          <w:sz w:val="16"/>
          <w:szCs w:val="16"/>
          <w:color w:val="auto"/>
        </w:rPr>
      </w:pPr>
    </w:p>
    <w:p>
      <w:pPr>
        <w:ind w:firstLine="860"/>
        <w:spacing w:after="0" w:line="346" w:lineRule="auto"/>
        <w:tabs>
          <w:tab w:leader="none" w:pos="1088" w:val="left"/>
        </w:tabs>
        <w:numPr>
          <w:ilvl w:val="1"/>
          <w:numId w:val="275"/>
        </w:numPr>
        <w:rPr>
          <w:rFonts w:ascii="Arial" w:cs="Arial" w:eastAsia="Arial" w:hAnsi="Arial"/>
          <w:sz w:val="13"/>
          <w:szCs w:val="13"/>
          <w:color w:val="auto"/>
        </w:rPr>
      </w:pPr>
      <w:r>
        <w:rPr>
          <w:rFonts w:ascii="Arial" w:cs="Arial" w:eastAsia="Arial" w:hAnsi="Arial"/>
          <w:sz w:val="13"/>
          <w:szCs w:val="13"/>
          <w:b w:val="1"/>
          <w:bCs w:val="1"/>
          <w:u w:val="single" w:color="auto"/>
          <w:color w:val="auto"/>
        </w:rPr>
        <w:t>Punch List Work</w:t>
      </w:r>
      <w:r>
        <w:rPr>
          <w:rFonts w:ascii="Arial" w:cs="Arial" w:eastAsia="Arial" w:hAnsi="Arial"/>
          <w:sz w:val="13"/>
          <w:szCs w:val="13"/>
          <w:color w:val="auto"/>
        </w:rPr>
        <w:t>: Minor corrections of construction or decoration details, and minor mechanical adjustments, that are required in</w:t>
      </w:r>
      <w:r>
        <w:rPr>
          <w:rFonts w:ascii="Arial" w:cs="Arial" w:eastAsia="Arial" w:hAnsi="Arial"/>
          <w:sz w:val="13"/>
          <w:szCs w:val="13"/>
          <w:b w:val="1"/>
          <w:bCs w:val="1"/>
          <w:color w:val="auto"/>
        </w:rPr>
        <w:t xml:space="preserve"> </w:t>
      </w:r>
      <w:r>
        <w:rPr>
          <w:rFonts w:ascii="Arial" w:cs="Arial" w:eastAsia="Arial" w:hAnsi="Arial"/>
          <w:sz w:val="13"/>
          <w:szCs w:val="13"/>
          <w:color w:val="auto"/>
        </w:rPr>
        <w:t>order to cause any applicable portion of the Tenant Improvements or Landlord’s Work as constructed to conform to the Approved TI Plans or this Tenant Work Letter in all material respects and that do not materially interfere with Tenant’s use or occupancy of the Building and the Premises.</w:t>
      </w:r>
    </w:p>
    <w:p>
      <w:pPr>
        <w:spacing w:after="0" w:line="107" w:lineRule="exact"/>
        <w:rPr>
          <w:rFonts w:ascii="Arial" w:cs="Arial" w:eastAsia="Arial" w:hAnsi="Arial"/>
          <w:sz w:val="13"/>
          <w:szCs w:val="13"/>
          <w:color w:val="auto"/>
        </w:rPr>
      </w:pPr>
    </w:p>
    <w:p>
      <w:pPr>
        <w:ind w:left="1040" w:hanging="180"/>
        <w:spacing w:after="0"/>
        <w:tabs>
          <w:tab w:leader="none" w:pos="1040" w:val="left"/>
        </w:tabs>
        <w:numPr>
          <w:ilvl w:val="1"/>
          <w:numId w:val="275"/>
        </w:numPr>
        <w:rPr>
          <w:rFonts w:ascii="Arial" w:cs="Arial" w:eastAsia="Arial" w:hAnsi="Arial"/>
          <w:sz w:val="16"/>
          <w:szCs w:val="16"/>
          <w:color w:val="auto"/>
        </w:rPr>
      </w:pPr>
      <w:r>
        <w:rPr>
          <w:rFonts w:ascii="Arial" w:cs="Arial" w:eastAsia="Arial" w:hAnsi="Arial"/>
          <w:sz w:val="16"/>
          <w:szCs w:val="16"/>
          <w:b w:val="1"/>
          <w:bCs w:val="1"/>
          <w:u w:val="single" w:color="auto"/>
          <w:color w:val="auto"/>
        </w:rPr>
        <w:t>Substantial Completion Certificate</w:t>
      </w:r>
      <w:r>
        <w:rPr>
          <w:rFonts w:ascii="Arial" w:cs="Arial" w:eastAsia="Arial" w:hAnsi="Arial"/>
          <w:sz w:val="16"/>
          <w:szCs w:val="16"/>
          <w:color w:val="auto"/>
        </w:rPr>
        <w:t>: See definition in Paragraph 3(a) hereof.</w:t>
      </w:r>
    </w:p>
    <w:p>
      <w:pPr>
        <w:spacing w:after="0" w:line="193" w:lineRule="exact"/>
        <w:rPr>
          <w:rFonts w:ascii="Arial" w:cs="Arial" w:eastAsia="Arial" w:hAnsi="Arial"/>
          <w:sz w:val="16"/>
          <w:szCs w:val="16"/>
          <w:color w:val="auto"/>
        </w:rPr>
      </w:pPr>
    </w:p>
    <w:p>
      <w:pPr>
        <w:ind w:right="60" w:firstLine="860"/>
        <w:spacing w:after="0" w:line="306" w:lineRule="auto"/>
        <w:tabs>
          <w:tab w:leader="none" w:pos="1053" w:val="left"/>
        </w:tabs>
        <w:numPr>
          <w:ilvl w:val="1"/>
          <w:numId w:val="275"/>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Delay</w:t>
      </w:r>
      <w:r>
        <w:rPr>
          <w:rFonts w:ascii="Arial" w:cs="Arial" w:eastAsia="Arial" w:hAnsi="Arial"/>
          <w:sz w:val="15"/>
          <w:szCs w:val="15"/>
          <w:color w:val="auto"/>
        </w:rPr>
        <w:t>: Any of the following types of delay in the completion of construction of Landlord’s TI Work (but in each instance, only</w:t>
      </w:r>
      <w:r>
        <w:rPr>
          <w:rFonts w:ascii="Arial" w:cs="Arial" w:eastAsia="Arial" w:hAnsi="Arial"/>
          <w:sz w:val="15"/>
          <w:szCs w:val="15"/>
          <w:b w:val="1"/>
          <w:bCs w:val="1"/>
          <w:color w:val="auto"/>
        </w:rPr>
        <w:t xml:space="preserve"> </w:t>
      </w:r>
      <w:r>
        <w:rPr>
          <w:rFonts w:ascii="Arial" w:cs="Arial" w:eastAsia="Arial" w:hAnsi="Arial"/>
          <w:sz w:val="15"/>
          <w:szCs w:val="15"/>
          <w:color w:val="auto"/>
        </w:rPr>
        <w:t>to the extent that any of the following has actually and proximately caused substantial completion of Landlord’s TI Work to be delayed):</w:t>
      </w:r>
    </w:p>
    <w:p>
      <w:pPr>
        <w:spacing w:after="0" w:line="35" w:lineRule="exact"/>
        <w:rPr>
          <w:rFonts w:ascii="Arial" w:cs="Arial" w:eastAsia="Arial" w:hAnsi="Arial"/>
          <w:sz w:val="15"/>
          <w:szCs w:val="15"/>
          <w:color w:val="auto"/>
        </w:rPr>
      </w:pPr>
    </w:p>
    <w:p>
      <w:pPr>
        <w:ind w:left="860" w:right="80" w:firstLine="350"/>
        <w:spacing w:after="0" w:line="256" w:lineRule="auto"/>
        <w:tabs>
          <w:tab w:leader="none" w:pos="1398" w:val="left"/>
        </w:tabs>
        <w:numPr>
          <w:ilvl w:val="2"/>
          <w:numId w:val="275"/>
        </w:numPr>
        <w:rPr>
          <w:rFonts w:ascii="Arial" w:cs="Arial" w:eastAsia="Arial" w:hAnsi="Arial"/>
          <w:sz w:val="16"/>
          <w:szCs w:val="16"/>
          <w:color w:val="auto"/>
        </w:rPr>
      </w:pPr>
      <w:r>
        <w:rPr>
          <w:rFonts w:ascii="Arial" w:cs="Arial" w:eastAsia="Arial" w:hAnsi="Arial"/>
          <w:sz w:val="16"/>
          <w:szCs w:val="16"/>
          <w:color w:val="auto"/>
        </w:rPr>
        <w:t>Any delay resulting from Tenant’s failure to furnish, in a timely manner, information reasonably requested by Landlord or by Landlord’s Project Manager in connection with the design or construction of Landlord’s TI Work, or from Tenant’s failure to approve in a timely manner any matters requiring approval by Tenant;</w:t>
      </w:r>
    </w:p>
    <w:p>
      <w:pPr>
        <w:spacing w:after="0" w:line="71" w:lineRule="exact"/>
        <w:rPr>
          <w:rFonts w:ascii="Arial" w:cs="Arial" w:eastAsia="Arial" w:hAnsi="Arial"/>
          <w:sz w:val="16"/>
          <w:szCs w:val="16"/>
          <w:color w:val="auto"/>
        </w:rPr>
      </w:pPr>
    </w:p>
    <w:p>
      <w:pPr>
        <w:ind w:left="1240" w:firstLine="339"/>
        <w:spacing w:after="0" w:line="300" w:lineRule="auto"/>
        <w:tabs>
          <w:tab w:leader="none" w:pos="1806" w:val="left"/>
        </w:tabs>
        <w:numPr>
          <w:ilvl w:val="4"/>
          <w:numId w:val="275"/>
        </w:numPr>
        <w:rPr>
          <w:rFonts w:ascii="Arial" w:cs="Arial" w:eastAsia="Arial" w:hAnsi="Arial"/>
          <w:sz w:val="15"/>
          <w:szCs w:val="15"/>
          <w:color w:val="auto"/>
        </w:rPr>
      </w:pPr>
      <w:r>
        <w:rPr>
          <w:rFonts w:ascii="Arial" w:cs="Arial" w:eastAsia="Arial" w:hAnsi="Arial"/>
          <w:sz w:val="15"/>
          <w:szCs w:val="15"/>
          <w:color w:val="auto"/>
        </w:rPr>
        <w:t>Any delay resulting from Tenant Change Requests initiated by Tenant, including any delay resulting from the need to revise any drawings or obtain further governmental approvals as a result of any such Tenant Change Request; or</w:t>
      </w:r>
    </w:p>
    <w:p>
      <w:pPr>
        <w:spacing w:after="0" w:line="40" w:lineRule="exact"/>
        <w:rPr>
          <w:rFonts w:ascii="Arial" w:cs="Arial" w:eastAsia="Arial" w:hAnsi="Arial"/>
          <w:sz w:val="15"/>
          <w:szCs w:val="15"/>
          <w:color w:val="auto"/>
        </w:rPr>
      </w:pPr>
    </w:p>
    <w:p>
      <w:pPr>
        <w:ind w:left="1240" w:right="20" w:firstLine="339"/>
        <w:spacing w:after="0" w:line="308" w:lineRule="auto"/>
        <w:tabs>
          <w:tab w:leader="none" w:pos="1850" w:val="left"/>
        </w:tabs>
        <w:numPr>
          <w:ilvl w:val="4"/>
          <w:numId w:val="275"/>
        </w:numPr>
        <w:rPr>
          <w:rFonts w:ascii="Arial" w:cs="Arial" w:eastAsia="Arial" w:hAnsi="Arial"/>
          <w:sz w:val="13"/>
          <w:szCs w:val="13"/>
          <w:color w:val="auto"/>
        </w:rPr>
      </w:pPr>
      <w:r>
        <w:rPr>
          <w:rFonts w:ascii="Arial" w:cs="Arial" w:eastAsia="Arial" w:hAnsi="Arial"/>
          <w:sz w:val="13"/>
          <w:szCs w:val="13"/>
          <w:color w:val="auto"/>
        </w:rPr>
        <w:t>Any delay caused by Tenant (or Tenant’s contractors, agents or employees) materially interfering with the performance of Landlord’s TI Work, provided that Landlord shall have given Tenant prompt notice of such material interference and, before the first time a Tenant Delay is deemed to have occurred as a result of such delay, such interference has continued for more than twenty-four</w:t>
      </w:r>
    </w:p>
    <w:p>
      <w:pPr>
        <w:spacing w:after="0" w:line="1" w:lineRule="exact"/>
        <w:rPr>
          <w:rFonts w:ascii="Arial" w:cs="Arial" w:eastAsia="Arial" w:hAnsi="Arial"/>
          <w:sz w:val="13"/>
          <w:szCs w:val="13"/>
          <w:color w:val="auto"/>
        </w:rPr>
      </w:pPr>
    </w:p>
    <w:p>
      <w:pPr>
        <w:ind w:left="1540" w:hanging="296"/>
        <w:spacing w:after="0"/>
        <w:tabs>
          <w:tab w:leader="none" w:pos="1540" w:val="left"/>
        </w:tabs>
        <w:numPr>
          <w:ilvl w:val="3"/>
          <w:numId w:val="275"/>
        </w:numPr>
        <w:rPr>
          <w:rFonts w:ascii="Arial" w:cs="Arial" w:eastAsia="Arial" w:hAnsi="Arial"/>
          <w:sz w:val="16"/>
          <w:szCs w:val="16"/>
          <w:color w:val="auto"/>
        </w:rPr>
      </w:pPr>
      <w:r>
        <w:rPr>
          <w:rFonts w:ascii="Arial" w:cs="Arial" w:eastAsia="Arial" w:hAnsi="Arial"/>
          <w:sz w:val="16"/>
          <w:szCs w:val="16"/>
          <w:color w:val="auto"/>
        </w:rPr>
        <w:t>hours after Tenant’s receipt of such notice.</w:t>
      </w:r>
    </w:p>
    <w:p>
      <w:pPr>
        <w:sectPr>
          <w:pgSz w:w="11900" w:h="16838" w:orient="portrait"/>
          <w:cols w:equalWidth="0" w:num="1">
            <w:col w:w="9600"/>
          </w:cols>
          <w:pgMar w:left="1140" w:top="252" w:right="1159" w:bottom="1440" w:gutter="0" w:footer="0" w:header="0"/>
        </w:sectPr>
      </w:pPr>
    </w:p>
    <w:bookmarkStart w:id="398" w:name="page399"/>
    <w:bookmarkEnd w:id="398"/>
    <w:p>
      <w:pPr>
        <w:ind w:left="-300" w:right="280" w:firstLine="860"/>
        <w:spacing w:after="0" w:line="259" w:lineRule="auto"/>
        <w:tabs>
          <w:tab w:leader="none" w:pos="788" w:val="left"/>
        </w:tabs>
        <w:numPr>
          <w:ilvl w:val="1"/>
          <w:numId w:val="276"/>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Improvements</w:t>
      </w:r>
      <w:r>
        <w:rPr>
          <w:rFonts w:ascii="Arial" w:cs="Arial" w:eastAsia="Arial" w:hAnsi="Arial"/>
          <w:sz w:val="16"/>
          <w:szCs w:val="16"/>
          <w:color w:val="auto"/>
        </w:rPr>
        <w:t>: The improvements to or within the Building shown on the Approved TI Plans from time to time and to be</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constructed by Landlord pursuant to the Lease and this Tenant Work Letter. The term “Tenant Improvements” does not include the improvements existing in the Building and Premises at the date of execution of the Lease.</w:t>
      </w:r>
    </w:p>
    <w:p>
      <w:pPr>
        <w:spacing w:after="0" w:line="158" w:lineRule="exact"/>
        <w:rPr>
          <w:rFonts w:ascii="Arial" w:cs="Arial" w:eastAsia="Arial" w:hAnsi="Arial"/>
          <w:sz w:val="16"/>
          <w:szCs w:val="16"/>
          <w:color w:val="auto"/>
        </w:rPr>
      </w:pPr>
    </w:p>
    <w:p>
      <w:pPr>
        <w:jc w:val="both"/>
        <w:ind w:left="-300" w:right="120" w:firstLine="860"/>
        <w:spacing w:after="0" w:line="254" w:lineRule="auto"/>
        <w:tabs>
          <w:tab w:leader="none" w:pos="753" w:val="left"/>
        </w:tabs>
        <w:numPr>
          <w:ilvl w:val="1"/>
          <w:numId w:val="276"/>
        </w:numPr>
        <w:rPr>
          <w:rFonts w:ascii="Arial" w:cs="Arial" w:eastAsia="Arial" w:hAnsi="Arial"/>
          <w:sz w:val="16"/>
          <w:szCs w:val="16"/>
          <w:color w:val="auto"/>
        </w:rPr>
      </w:pPr>
      <w:r>
        <w:rPr>
          <w:rFonts w:ascii="Arial" w:cs="Arial" w:eastAsia="Arial" w:hAnsi="Arial"/>
          <w:sz w:val="16"/>
          <w:szCs w:val="16"/>
          <w:b w:val="1"/>
          <w:bCs w:val="1"/>
          <w:u w:val="single" w:color="auto"/>
          <w:color w:val="auto"/>
        </w:rPr>
        <w:t>Unavoidable Delays</w:t>
      </w:r>
      <w:r>
        <w:rPr>
          <w:rFonts w:ascii="Arial" w:cs="Arial" w:eastAsia="Arial" w:hAnsi="Arial"/>
          <w:sz w:val="16"/>
          <w:szCs w:val="16"/>
          <w:color w:val="auto"/>
        </w:rPr>
        <w:t>: Delays due to acts of God, acts of public agencies, labor disputes, strikes, fires, freight embargoes, inability</w:t>
      </w:r>
      <w:r>
        <w:rPr>
          <w:rFonts w:ascii="Arial" w:cs="Arial" w:eastAsia="Arial" w:hAnsi="Arial"/>
          <w:sz w:val="16"/>
          <w:szCs w:val="16"/>
          <w:b w:val="1"/>
          <w:bCs w:val="1"/>
          <w:color w:val="auto"/>
        </w:rPr>
        <w:t xml:space="preserve"> </w:t>
      </w:r>
      <w:r>
        <w:rPr>
          <w:rFonts w:ascii="Arial" w:cs="Arial" w:eastAsia="Arial" w:hAnsi="Arial"/>
          <w:sz w:val="16"/>
          <w:szCs w:val="16"/>
          <w:color w:val="auto"/>
        </w:rPr>
        <w:t>(despite the exercise of due diligence) to obtain supplies, materials, fuels or permits, or other causes or contingencies (excluding financial inability) beyond the reasonable control of Landlord or Tenant, as applicable. Landlord shall use commercially reasonable efforts to provide Tenant with prompt notice of any Unavoidable Delays.</w:t>
      </w:r>
    </w:p>
    <w:p>
      <w:pPr>
        <w:spacing w:after="0" w:line="168" w:lineRule="exact"/>
        <w:rPr>
          <w:rFonts w:ascii="Arial" w:cs="Arial" w:eastAsia="Arial" w:hAnsi="Arial"/>
          <w:sz w:val="16"/>
          <w:szCs w:val="16"/>
          <w:color w:val="auto"/>
        </w:rPr>
      </w:pPr>
    </w:p>
    <w:p>
      <w:pPr>
        <w:ind w:left="820" w:hanging="260"/>
        <w:spacing w:after="0"/>
        <w:tabs>
          <w:tab w:leader="none" w:pos="820" w:val="left"/>
        </w:tabs>
        <w:numPr>
          <w:ilvl w:val="1"/>
          <w:numId w:val="276"/>
        </w:numPr>
        <w:rPr>
          <w:rFonts w:ascii="Arial" w:cs="Arial" w:eastAsia="Arial" w:hAnsi="Arial"/>
          <w:sz w:val="16"/>
          <w:szCs w:val="16"/>
          <w:color w:val="auto"/>
        </w:rPr>
      </w:pPr>
      <w:r>
        <w:rPr>
          <w:rFonts w:ascii="Arial" w:cs="Arial" w:eastAsia="Arial" w:hAnsi="Arial"/>
          <w:sz w:val="16"/>
          <w:szCs w:val="16"/>
          <w:color w:val="auto"/>
        </w:rPr>
        <w:t>Capitalized terms not otherwise defined in this Tenant Work Letter shall have the definitions set forth in the Lease.</w:t>
      </w:r>
    </w:p>
    <w:p>
      <w:pPr>
        <w:spacing w:after="0" w:line="189" w:lineRule="exact"/>
        <w:rPr>
          <w:rFonts w:ascii="Arial" w:cs="Arial" w:eastAsia="Arial" w:hAnsi="Arial"/>
          <w:sz w:val="16"/>
          <w:szCs w:val="16"/>
          <w:color w:val="auto"/>
        </w:rPr>
      </w:pPr>
    </w:p>
    <w:p>
      <w:pPr>
        <w:ind w:left="-300" w:right="380" w:firstLine="378"/>
        <w:spacing w:after="0" w:line="272" w:lineRule="auto"/>
        <w:tabs>
          <w:tab w:leader="none" w:pos="242" w:val="left"/>
        </w:tabs>
        <w:numPr>
          <w:ilvl w:val="0"/>
          <w:numId w:val="277"/>
        </w:numPr>
        <w:rPr>
          <w:rFonts w:ascii="Arial" w:cs="Arial" w:eastAsia="Arial" w:hAnsi="Arial"/>
          <w:sz w:val="16"/>
          <w:szCs w:val="16"/>
          <w:color w:val="auto"/>
        </w:rPr>
      </w:pPr>
      <w:r>
        <w:rPr>
          <w:rFonts w:ascii="Arial" w:cs="Arial" w:eastAsia="Arial" w:hAnsi="Arial"/>
          <w:sz w:val="16"/>
          <w:szCs w:val="16"/>
          <w:b w:val="1"/>
          <w:bCs w:val="1"/>
          <w:u w:val="single" w:color="auto"/>
          <w:color w:val="auto"/>
        </w:rPr>
        <w:t>Plans and Construction</w:t>
      </w:r>
      <w:r>
        <w:rPr>
          <w:rFonts w:ascii="Arial" w:cs="Arial" w:eastAsia="Arial" w:hAnsi="Arial"/>
          <w:sz w:val="16"/>
          <w:szCs w:val="16"/>
          <w:color w:val="auto"/>
        </w:rPr>
        <w:t>. Landlord and Tenant shall comply with the procedures set forth in this Paragraph 2 in preparing, delivering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approving matters relating to the Tenant Improvements.</w:t>
      </w:r>
    </w:p>
    <w:p>
      <w:pPr>
        <w:spacing w:after="0" w:line="152" w:lineRule="exact"/>
        <w:rPr>
          <w:rFonts w:ascii="Arial" w:cs="Arial" w:eastAsia="Arial" w:hAnsi="Arial"/>
          <w:sz w:val="16"/>
          <w:szCs w:val="16"/>
          <w:color w:val="auto"/>
        </w:rPr>
      </w:pPr>
    </w:p>
    <w:p>
      <w:pPr>
        <w:ind w:left="-300" w:firstLine="860"/>
        <w:spacing w:after="0" w:line="264" w:lineRule="auto"/>
        <w:tabs>
          <w:tab w:leader="none" w:pos="779" w:val="left"/>
        </w:tabs>
        <w:numPr>
          <w:ilvl w:val="1"/>
          <w:numId w:val="277"/>
        </w:numPr>
        <w:rPr>
          <w:rFonts w:ascii="Arial" w:cs="Arial" w:eastAsia="Arial" w:hAnsi="Arial"/>
          <w:sz w:val="15"/>
          <w:szCs w:val="15"/>
          <w:color w:val="auto"/>
        </w:rPr>
      </w:pPr>
      <w:r>
        <w:rPr>
          <w:rFonts w:ascii="Arial" w:cs="Arial" w:eastAsia="Arial" w:hAnsi="Arial"/>
          <w:sz w:val="15"/>
          <w:szCs w:val="15"/>
          <w:u w:val="single" w:color="auto"/>
          <w:color w:val="auto"/>
        </w:rPr>
        <w:t>Approved Plans and Working Drawings for Tenant Improvements</w:t>
      </w:r>
      <w:r>
        <w:rPr>
          <w:rFonts w:ascii="Arial" w:cs="Arial" w:eastAsia="Arial" w:hAnsi="Arial"/>
          <w:sz w:val="15"/>
          <w:szCs w:val="15"/>
          <w:color w:val="auto"/>
        </w:rPr>
        <w:t>. Tenant shall promptly and diligently work with the Architect to cause to be prepared and delivered to Landlord for approval (which approval shall not be unreasonably withheld, conditioned or delayed by Landlord) proposed schematic plans and outline specifications for the Tenant Improvements. Following mutual approval of such proposed schematic plans and outline specifications by Landlord and by Tenant (as so approved, the “</w:t>
      </w:r>
      <w:r>
        <w:rPr>
          <w:rFonts w:ascii="Arial" w:cs="Arial" w:eastAsia="Arial" w:hAnsi="Arial"/>
          <w:sz w:val="15"/>
          <w:szCs w:val="15"/>
          <w:b w:val="1"/>
          <w:bCs w:val="1"/>
          <w:color w:val="auto"/>
        </w:rPr>
        <w:t>Approved Schematic Plans</w:t>
      </w:r>
      <w:r>
        <w:rPr>
          <w:rFonts w:ascii="Arial" w:cs="Arial" w:eastAsia="Arial" w:hAnsi="Arial"/>
          <w:sz w:val="15"/>
          <w:szCs w:val="15"/>
          <w:color w:val="auto"/>
        </w:rPr>
        <w:t>”), Tenant shall then work with the Architect to cause to be prepared, promptly and diligently (assuming timely delivery by Landlord of any information and decisions required to be furnished or made by Landlord in order to permit preparation of final working drawings, all of which information and decisions Landlord will deliver promptly and with reasonable diligence), and delivered to Landlord for approval (which approval shall not be unreasonably withheld, conditioned or delayed by Landlord) final detailed working drawings and specifications for the Tenant Improvements, including (without limitation) any applicable life safety, mechanical, electrical and plumbing working drawings and final architectural drawings (collectively, “</w:t>
      </w:r>
      <w:r>
        <w:rPr>
          <w:rFonts w:ascii="Arial" w:cs="Arial" w:eastAsia="Arial" w:hAnsi="Arial"/>
          <w:sz w:val="15"/>
          <w:szCs w:val="15"/>
          <w:b w:val="1"/>
          <w:bCs w:val="1"/>
          <w:color w:val="auto"/>
        </w:rPr>
        <w:t>Final TI Working Drawings</w:t>
      </w:r>
      <w:r>
        <w:rPr>
          <w:rFonts w:ascii="Arial" w:cs="Arial" w:eastAsia="Arial" w:hAnsi="Arial"/>
          <w:sz w:val="15"/>
          <w:szCs w:val="15"/>
          <w:color w:val="auto"/>
        </w:rPr>
        <w:t xml:space="preserve">”), which Final TI Working Drawings shall substantially conform to the Approved Schematic Plans. Upon receipt from Tenant of proposed schematic plans and outline specifications, proposed Final TI Working Drawings, any other plans and specifications, or any revisions or resubmittals of any of the foregoing, as applicable, Landlord shall promptly and diligently (and in all events within 10 business days after receipt in the case of an initial submittal of schematic plans and outline specifications or proposed Final TI Working Drawings, and within 7 business days after receipt in the case of any other plans and specifications or any revisions or resubmittals of any of the foregoing) either approve such proposed schematic plans and outline specifications or proposed Final TI Working Drawings, as applicable, or set forth in writing with particularity any changes necessary to bring the aspects of such proposed schematic plans and outline specifications or proposed Final TI Working Drawings into a form which will be reasonably acceptable to Landlord. Upon approval of the Final TI Working Drawings by Landlord and Tenant, the Final TI Working Drawings shall constitute the </w:t>
      </w:r>
      <w:r>
        <w:rPr>
          <w:rFonts w:ascii="Arial" w:cs="Arial" w:eastAsia="Arial" w:hAnsi="Arial"/>
          <w:sz w:val="15"/>
          <w:szCs w:val="15"/>
          <w:b w:val="1"/>
          <w:bCs w:val="1"/>
          <w:color w:val="auto"/>
        </w:rPr>
        <w:t>“Approved TI</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Plans,” </w:t>
      </w:r>
      <w:r>
        <w:rPr>
          <w:rFonts w:ascii="Arial" w:cs="Arial" w:eastAsia="Arial" w:hAnsi="Arial"/>
          <w:sz w:val="15"/>
          <w:szCs w:val="15"/>
          <w:color w:val="auto"/>
        </w:rPr>
        <w:t>superseding (to the extent of any inconsistencies) any inconsistent features of the previously existing Approved Schematic Plans.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respond to any request for information or approval of plans or drawings from Landlord or Architect within five (5) business days. Tenant acknowledges that the Tenant Improvements will include the items set forth on </w:t>
      </w:r>
      <w:r>
        <w:rPr>
          <w:rFonts w:ascii="Arial" w:cs="Arial" w:eastAsia="Arial" w:hAnsi="Arial"/>
          <w:sz w:val="15"/>
          <w:szCs w:val="15"/>
          <w:u w:val="single" w:color="auto"/>
          <w:color w:val="auto"/>
        </w:rPr>
        <w:t>Schedule 2</w:t>
      </w:r>
      <w:r>
        <w:rPr>
          <w:rFonts w:ascii="Arial" w:cs="Arial" w:eastAsia="Arial" w:hAnsi="Arial"/>
          <w:sz w:val="15"/>
          <w:szCs w:val="15"/>
          <w:color w:val="auto"/>
        </w:rPr>
        <w:t xml:space="preserve"> to this Exhibit B, in order to allow the Premises to achieve a LEED “Silver” certification level.</w:t>
      </w:r>
    </w:p>
    <w:p>
      <w:pPr>
        <w:spacing w:after="0" w:line="161" w:lineRule="exact"/>
        <w:rPr>
          <w:rFonts w:ascii="Arial" w:cs="Arial" w:eastAsia="Arial" w:hAnsi="Arial"/>
          <w:sz w:val="15"/>
          <w:szCs w:val="15"/>
          <w:color w:val="auto"/>
        </w:rPr>
      </w:pPr>
    </w:p>
    <w:p>
      <w:pPr>
        <w:ind w:left="-300" w:right="120" w:firstLine="860"/>
        <w:spacing w:after="0" w:line="269" w:lineRule="auto"/>
        <w:tabs>
          <w:tab w:leader="none" w:pos="788" w:val="left"/>
        </w:tabs>
        <w:numPr>
          <w:ilvl w:val="1"/>
          <w:numId w:val="277"/>
        </w:numPr>
        <w:rPr>
          <w:rFonts w:ascii="Arial" w:cs="Arial" w:eastAsia="Arial" w:hAnsi="Arial"/>
          <w:sz w:val="15"/>
          <w:szCs w:val="15"/>
          <w:color w:val="auto"/>
        </w:rPr>
      </w:pPr>
      <w:r>
        <w:rPr>
          <w:rFonts w:ascii="Arial" w:cs="Arial" w:eastAsia="Arial" w:hAnsi="Arial"/>
          <w:sz w:val="15"/>
          <w:szCs w:val="15"/>
          <w:u w:val="single" w:color="auto"/>
          <w:color w:val="auto"/>
        </w:rPr>
        <w:t>Cost of Improvements</w:t>
      </w:r>
      <w:r>
        <w:rPr>
          <w:rFonts w:ascii="Arial" w:cs="Arial" w:eastAsia="Arial" w:hAnsi="Arial"/>
          <w:sz w:val="15"/>
          <w:szCs w:val="15"/>
          <w:color w:val="auto"/>
        </w:rPr>
        <w:t>. “</w:t>
      </w:r>
      <w:r>
        <w:rPr>
          <w:rFonts w:ascii="Arial" w:cs="Arial" w:eastAsia="Arial" w:hAnsi="Arial"/>
          <w:sz w:val="15"/>
          <w:szCs w:val="15"/>
          <w:b w:val="1"/>
          <w:bCs w:val="1"/>
          <w:color w:val="auto"/>
        </w:rPr>
        <w:t>Cost of Improvement</w:t>
      </w:r>
      <w:r>
        <w:rPr>
          <w:rFonts w:ascii="Arial" w:cs="Arial" w:eastAsia="Arial" w:hAnsi="Arial"/>
          <w:sz w:val="15"/>
          <w:szCs w:val="15"/>
          <w:color w:val="auto"/>
        </w:rPr>
        <w:t>” shall mean, with respect to any item or component for which a cost must be determined in order to allocate such cost, or an increase in such cost, to Tenant pursuant to this Tenant Work Letter, the sum of the following (unless otherwise agreed in writing by Landlord and Tenant with respect to any specific item or component or any category of items or components): (i) all sums paid to contractors or subcontractors for labor and materials furnished in connection with construction of such item or component; (ii) all costs, expenses, payments, fees and charges (other than penalties) paid to or at the direction of any city, county or other governmental or quasi-governmental authority or agency which are required to be paid in order to obtain all necessary governmental permits, licenses, inspections and approvals relating to construction of such item</w:t>
      </w:r>
    </w:p>
    <w:p>
      <w:pPr>
        <w:sectPr>
          <w:pgSz w:w="11900" w:h="16838" w:orient="portrait"/>
          <w:cols w:equalWidth="0" w:num="1">
            <w:col w:w="9280"/>
          </w:cols>
          <w:pgMar w:left="1440" w:top="252" w:right="1179" w:bottom="1440" w:gutter="0" w:footer="0" w:header="0"/>
        </w:sectPr>
      </w:pPr>
    </w:p>
    <w:bookmarkStart w:id="399" w:name="page400"/>
    <w:bookmarkEnd w:id="399"/>
    <w:p>
      <w:pPr>
        <w:ind w:left="6" w:right="180"/>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component; (iii) engineering and architectural fees for services rendered in connection with the design and construction of such item or component (including, but not limited to, the Architect for such item or component and an electrical engineer, mechanical engineer, structural engineer and civil engineer, if applicable); (iv) sales and use taxes; (v) testing and inspection costs; (vi) the cost of power, water and other utility facilities and the cost of collection and removal of debris required in connection with construction of such item or component; (vii) costs for builder’s risk insurance; and</w:t>
      </w:r>
    </w:p>
    <w:p>
      <w:pPr>
        <w:spacing w:after="0" w:line="1" w:lineRule="exact"/>
        <w:rPr>
          <w:sz w:val="20"/>
          <w:szCs w:val="20"/>
          <w:color w:val="auto"/>
        </w:rPr>
      </w:pPr>
    </w:p>
    <w:p>
      <w:pPr>
        <w:jc w:val="both"/>
        <w:ind w:left="6" w:right="140" w:hanging="6"/>
        <w:spacing w:after="0" w:line="249" w:lineRule="auto"/>
        <w:tabs>
          <w:tab w:leader="none" w:pos="3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all other “hard” and “soft” costs incurred in the construction of such item or component in accordance with the Approved TI Plans (if applicable) and this Tenant Work Letter;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Cost of Improvements shall not include any internal or third-party costs incurred by Landlord except as provided in </w:t>
      </w:r>
      <w:r>
        <w:rPr>
          <w:rFonts w:ascii="Arial" w:cs="Arial" w:eastAsia="Arial" w:hAnsi="Arial"/>
          <w:sz w:val="16"/>
          <w:szCs w:val="16"/>
          <w:u w:val="single" w:color="auto"/>
          <w:color w:val="auto"/>
        </w:rPr>
        <w:t>Section 2(e)</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6" w:right="40" w:firstLine="860"/>
        <w:spacing w:after="0" w:line="309" w:lineRule="auto"/>
        <w:tabs>
          <w:tab w:leader="none" w:pos="1085" w:val="left"/>
        </w:tabs>
        <w:numPr>
          <w:ilvl w:val="1"/>
          <w:numId w:val="278"/>
        </w:numPr>
        <w:rPr>
          <w:rFonts w:ascii="Arial" w:cs="Arial" w:eastAsia="Arial" w:hAnsi="Arial"/>
          <w:sz w:val="13"/>
          <w:szCs w:val="13"/>
          <w:color w:val="auto"/>
        </w:rPr>
      </w:pPr>
      <w:r>
        <w:rPr>
          <w:rFonts w:ascii="Arial" w:cs="Arial" w:eastAsia="Arial" w:hAnsi="Arial"/>
          <w:sz w:val="13"/>
          <w:szCs w:val="13"/>
          <w:b w:val="1"/>
          <w:bCs w:val="1"/>
          <w:u w:val="single" w:color="auto"/>
          <w:color w:val="auto"/>
        </w:rPr>
        <w:t>Construction of Landlord’s TI Work</w:t>
      </w:r>
      <w:r>
        <w:rPr>
          <w:rFonts w:ascii="Arial" w:cs="Arial" w:eastAsia="Arial" w:hAnsi="Arial"/>
          <w:sz w:val="13"/>
          <w:szCs w:val="13"/>
          <w:color w:val="auto"/>
        </w:rPr>
        <w:t>. Following completion of the Approved TI Plans, Landlord shall apply for and use reasonable</w:t>
      </w:r>
      <w:r>
        <w:rPr>
          <w:rFonts w:ascii="Arial" w:cs="Arial" w:eastAsia="Arial" w:hAnsi="Arial"/>
          <w:sz w:val="13"/>
          <w:szCs w:val="13"/>
          <w:b w:val="1"/>
          <w:bCs w:val="1"/>
          <w:color w:val="auto"/>
        </w:rPr>
        <w:t xml:space="preserve"> </w:t>
      </w:r>
      <w:r>
        <w:rPr>
          <w:rFonts w:ascii="Arial" w:cs="Arial" w:eastAsia="Arial" w:hAnsi="Arial"/>
          <w:sz w:val="13"/>
          <w:szCs w:val="13"/>
          <w:color w:val="auto"/>
        </w:rPr>
        <w:t>efforts to obtain the necessary permits and approvals to allow construction of all Tenant Improvements. Upon receipt of such permits and approvals, Landlord shall, at Tenant’s expense (subject to Landlord’s payment of the Tenant Improvement Allowance and, to the extent requested by Tenant, the First Additional TI Allowance and Second Additional TI Allowance), construct and complete the Tenant Improvements substantially in accordance with the Approved TI Plans, subject to Unavoidable Delays and Tenant Delays (if any). Such construction of the Tenant Improvements and Landlord’s Work shall be performed in a neat, good and workmanlike manner, free of defects, using new materials and equipment of good quality, and shall materially conform to all applicable laws, rules, regulations, codes, ordinances, requirements, covenants, conditions and restrictions applicable thereto in force at the time such work is completed. Landlord shall cause Hathaway Dinwiddie (so long as obtaining such bid does not delay the commencement of Landlord’s TI Work), Landmark Builders and any other potential general contractors requested by Tenant and reasonably approved by Landlord to bid on general conditions and fee for construction of the Tenant Improvements and provide an estimate for the direct cost of the Tenant Improvements. All bids will be opened together with Landlord selecting the general contractor to construct the Tenant Improvements, subject to the reasonable approval of Tenant. Tenant shall also have the right to approve all subcontractors engaged by the General Contractor, which subcontractors shall be competitively bid and which approval shall not be unreasonably withheld, conditioned or delayed. Landlord shall enter into a stipulated sum or guaranteed maximum price construction contract with the General Contractor in the amount of the construction costs approved by Landlord and Tenant.</w:t>
      </w:r>
    </w:p>
    <w:p>
      <w:pPr>
        <w:spacing w:after="0" w:line="327" w:lineRule="exact"/>
        <w:rPr>
          <w:rFonts w:ascii="Arial" w:cs="Arial" w:eastAsia="Arial" w:hAnsi="Arial"/>
          <w:sz w:val="13"/>
          <w:szCs w:val="13"/>
          <w:color w:val="auto"/>
        </w:rPr>
      </w:pPr>
    </w:p>
    <w:p>
      <w:pPr>
        <w:ind w:left="1086" w:hanging="220"/>
        <w:spacing w:after="0"/>
        <w:tabs>
          <w:tab w:leader="none" w:pos="1086" w:val="left"/>
        </w:tabs>
        <w:numPr>
          <w:ilvl w:val="1"/>
          <w:numId w:val="278"/>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w:t>
      </w:r>
      <w:r>
        <w:rPr>
          <w:rFonts w:ascii="Arial" w:cs="Arial" w:eastAsia="Arial" w:hAnsi="Arial"/>
          <w:sz w:val="16"/>
          <w:szCs w:val="16"/>
          <w:color w:val="auto"/>
        </w:rPr>
        <w:t>.</w:t>
      </w:r>
    </w:p>
    <w:p>
      <w:pPr>
        <w:spacing w:after="0" w:line="102" w:lineRule="exact"/>
        <w:rPr>
          <w:rFonts w:ascii="Arial" w:cs="Arial" w:eastAsia="Arial" w:hAnsi="Arial"/>
          <w:sz w:val="16"/>
          <w:szCs w:val="16"/>
          <w:color w:val="auto"/>
        </w:rPr>
      </w:pPr>
    </w:p>
    <w:p>
      <w:pPr>
        <w:ind w:left="866" w:firstLine="350"/>
        <w:spacing w:after="0" w:line="312" w:lineRule="auto"/>
        <w:tabs>
          <w:tab w:leader="none" w:pos="1404" w:val="left"/>
        </w:tabs>
        <w:numPr>
          <w:ilvl w:val="2"/>
          <w:numId w:val="278"/>
        </w:numPr>
        <w:rPr>
          <w:rFonts w:ascii="Arial" w:cs="Arial" w:eastAsia="Arial" w:hAnsi="Arial"/>
          <w:sz w:val="13"/>
          <w:szCs w:val="13"/>
          <w:color w:val="auto"/>
        </w:rPr>
      </w:pPr>
      <w:r>
        <w:rPr>
          <w:rFonts w:ascii="Arial" w:cs="Arial" w:eastAsia="Arial" w:hAnsi="Arial"/>
          <w:sz w:val="13"/>
          <w:szCs w:val="13"/>
          <w:color w:val="auto"/>
        </w:rPr>
        <w:t>If Landlord determines at any time that changes in the Final TI Working Drawings or in any other aspect of the Approved TI Plans relating to any item of Landlord’s TI Work are required as a result of applicable law or governmental requirements, or are required at the insistence of any other third party whose approval may be required with respect to the Tenant Improvements, or are required as a result of unanticipated conditions encountered in the course of construction, then Landlord shall promptly (A) advise Tenant of such circumstances and (B) at Tenant’s sole cost and expense, subject to Landlord’s payment of the Tenant Improvement Allowance and, to the extent requested by Tenant, the First Additional TI Allowance and Second Additional TI Allowance, cause revised Final TI Working Drawings to be prepared by the Architect and submitted to Tenant, for Tenant’s approval, which shall not be unreasonably withheld. Failure of Tenant to deliver to Landlord written notice of disapproval and specification of such required changes on or before any deadline reasonably specified by Landlord (which shall not be less than three (3) business days after delivery thereof to Tenant) shall constitute and be deemed to be a Tenant Delay to the extent Landlord is delayed in completing Landlord’s TI Work.</w:t>
      </w:r>
    </w:p>
    <w:p>
      <w:pPr>
        <w:spacing w:after="0" w:line="231" w:lineRule="exact"/>
        <w:rPr>
          <w:rFonts w:ascii="Arial" w:cs="Arial" w:eastAsia="Arial" w:hAnsi="Arial"/>
          <w:sz w:val="13"/>
          <w:szCs w:val="13"/>
          <w:color w:val="auto"/>
        </w:rPr>
      </w:pPr>
    </w:p>
    <w:p>
      <w:pPr>
        <w:ind w:left="866" w:right="20" w:firstLine="350"/>
        <w:spacing w:after="0" w:line="315" w:lineRule="auto"/>
        <w:tabs>
          <w:tab w:leader="none" w:pos="1447" w:val="left"/>
        </w:tabs>
        <w:numPr>
          <w:ilvl w:val="2"/>
          <w:numId w:val="278"/>
        </w:numPr>
        <w:rPr>
          <w:rFonts w:ascii="Arial" w:cs="Arial" w:eastAsia="Arial" w:hAnsi="Arial"/>
          <w:sz w:val="13"/>
          <w:szCs w:val="13"/>
          <w:color w:val="auto"/>
        </w:rPr>
      </w:pPr>
      <w:r>
        <w:rPr>
          <w:rFonts w:ascii="Arial" w:cs="Arial" w:eastAsia="Arial" w:hAnsi="Arial"/>
          <w:sz w:val="13"/>
          <w:szCs w:val="13"/>
          <w:color w:val="auto"/>
        </w:rPr>
        <w:t>If Tenant at any time desires any changes, alterations or additions to the Final TI Working Drawings, Tenant shall submit a detailed written request to Landlord specifying such changes, alterations or additions (a “</w:t>
      </w:r>
      <w:r>
        <w:rPr>
          <w:rFonts w:ascii="Arial" w:cs="Arial" w:eastAsia="Arial" w:hAnsi="Arial"/>
          <w:sz w:val="13"/>
          <w:szCs w:val="13"/>
          <w:b w:val="1"/>
          <w:bCs w:val="1"/>
          <w:color w:val="auto"/>
        </w:rPr>
        <w:t>Tenant Change Request</w:t>
      </w:r>
      <w:r>
        <w:rPr>
          <w:rFonts w:ascii="Arial" w:cs="Arial" w:eastAsia="Arial" w:hAnsi="Arial"/>
          <w:sz w:val="13"/>
          <w:szCs w:val="13"/>
          <w:color w:val="auto"/>
        </w:rPr>
        <w:t>”). Upon receipt of any such request, Landlord shall promptly notify Tenant of (A) whether the matters proposed in the Tenant Change Request are approved by Landlord (which approval shall not be unreasonably withheld, conditioned or delayed by Landlord), (B) Landlord’s estimate of the number of days of delay, if any, which shall be caused in the construction of the Tenant Improvements by such Tenant Change Request if implemented (including, without limitation, delays due to the need to obtain any revised plans or drawings and any governmental approvals), and (C) Landlord’s estimate of the increase, if any, which shall occur in the cost of design, permitting, project management and construction of the Tenant Improvements affected by such Tenant Change Request if such Tenant Change</w:t>
      </w:r>
    </w:p>
    <w:p>
      <w:pPr>
        <w:sectPr>
          <w:pgSz w:w="11900" w:h="16838" w:orient="portrait"/>
          <w:cols w:equalWidth="0" w:num="1">
            <w:col w:w="9626"/>
          </w:cols>
          <w:pgMar w:left="1134" w:top="256" w:right="1139" w:bottom="1440" w:gutter="0" w:footer="0" w:header="0"/>
        </w:sectPr>
      </w:pPr>
    </w:p>
    <w:bookmarkStart w:id="400" w:name="page401"/>
    <w:bookmarkEnd w:id="400"/>
    <w:p>
      <w:pPr>
        <w:ind w:left="560"/>
        <w:spacing w:after="0" w:line="26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Request is implemented (including, but not limited to, any costs of compliance with laws or governmental regulations that become applicable because of the implementation of the Tenant Change Request). If Landlord approves the Tenant Change Request and Tenant notifies Landlord in writing, within three (3) business days after receipt of such notice from Landlord, of Tenant’s approval of the Tenant Change Request (including the estimated delays and cost increases, if any, described in Landlord’s notice), then Landlord shall cause such Tenant Change Request to be implemented and Tenant shall be responsible for all actual costs or cost increases resulting from or attributable to the implementation of the Tenant Change Request, and any delays resulting therefrom shall be deemed to be a Tenant Delay (subject to Landlord’s payment of the Tenant Improvement Allowance and, to the extent requested by Tenant, the First Additional TI Allowance and Second Additional TI Allowance). If Tenant fails to notify Landlord in writing of Tenant’s approval of such Tenant Change Request within said three (3) business day period, then such Tenant Change Request shall be deemed to be withdrawn and shall be of no further effect.</w:t>
      </w:r>
    </w:p>
    <w:p>
      <w:pPr>
        <w:spacing w:after="0" w:line="159" w:lineRule="exact"/>
        <w:rPr>
          <w:sz w:val="20"/>
          <w:szCs w:val="20"/>
          <w:color w:val="auto"/>
        </w:rPr>
      </w:pPr>
    </w:p>
    <w:p>
      <w:pPr>
        <w:ind w:left="-300" w:firstLine="860"/>
        <w:spacing w:after="0" w:line="311" w:lineRule="auto"/>
        <w:tabs>
          <w:tab w:leader="none" w:pos="779" w:val="left"/>
        </w:tabs>
        <w:numPr>
          <w:ilvl w:val="1"/>
          <w:numId w:val="279"/>
        </w:numPr>
        <w:rPr>
          <w:rFonts w:ascii="Arial" w:cs="Arial" w:eastAsia="Arial" w:hAnsi="Arial"/>
          <w:sz w:val="13"/>
          <w:szCs w:val="13"/>
          <w:color w:val="auto"/>
        </w:rPr>
      </w:pPr>
      <w:r>
        <w:rPr>
          <w:rFonts w:ascii="Arial" w:cs="Arial" w:eastAsia="Arial" w:hAnsi="Arial"/>
          <w:sz w:val="13"/>
          <w:szCs w:val="13"/>
          <w:b w:val="1"/>
          <w:bCs w:val="1"/>
          <w:u w:val="single" w:color="auto"/>
          <w:color w:val="auto"/>
        </w:rPr>
        <w:t>Project Management</w:t>
      </w:r>
      <w:r>
        <w:rPr>
          <w:rFonts w:ascii="Arial" w:cs="Arial" w:eastAsia="Arial" w:hAnsi="Arial"/>
          <w:sz w:val="13"/>
          <w:szCs w:val="13"/>
          <w:color w:val="auto"/>
        </w:rPr>
        <w:t>. Unless and until revoked by Landlord by written notice delivered to Tenant, Landlord hereby (i) delegates to</w:t>
      </w:r>
      <w:r>
        <w:rPr>
          <w:rFonts w:ascii="Arial" w:cs="Arial" w:eastAsia="Arial" w:hAnsi="Arial"/>
          <w:sz w:val="13"/>
          <w:szCs w:val="13"/>
          <w:b w:val="1"/>
          <w:bCs w:val="1"/>
          <w:color w:val="auto"/>
        </w:rPr>
        <w:t xml:space="preserve"> </w:t>
      </w:r>
      <w:r>
        <w:rPr>
          <w:rFonts w:ascii="Arial" w:cs="Arial" w:eastAsia="Arial" w:hAnsi="Arial"/>
          <w:sz w:val="13"/>
          <w:szCs w:val="13"/>
          <w:color w:val="auto"/>
        </w:rPr>
        <w:t>Project Manager the authority to exercise all approval rights, supervisory rights and other rights or powers of Landlord under this Tenant Work Letter with respect to the design and construction of the Tenant Improvements, and (ii) requests that Tenant work with Project Manager with respect to any logistical or other coordination matters arising in the course of construction of the Tenant Improvements, including monitoring Tenant’s compliance with its obligations under this Tenant Work Letter and under the Lease with respect to the design and construction of the Tenant Improvements. Tenant acknowledges the foregoing delegation and request, and agrees to cooperate reasonably with Project Manager as Landlord’s representative pursuant to such delegation and request. Fees and charges of Project Manager for such services shall be at Tenant’s sole expense, subject to Landlord’s payment of the Tenant Improvement Allowance and, to the extent requested by Tenant, the First Additional TI Allowance and Second Additional TI Allowance. Such fees shall not exceed $3.71 per RSF of the Premises (i.e., $120,092.70); provided that in the event Tenant elects to utilize all or any portion of the First Additional TI Allowance or Second Additional TI Allowance pursuant to the terms of Sections 4(b) and 4(c) below, such fees to the Project Manager shall increase by an amount equal to the product of (A) 2.65% and (B) the amount of the First Additional TI Allowance and Second Additional TI Allowance and/or Tenant Funds which Tenant elects to utilize.</w:t>
      </w:r>
    </w:p>
    <w:p>
      <w:pPr>
        <w:spacing w:after="0" w:line="321" w:lineRule="exact"/>
        <w:rPr>
          <w:rFonts w:ascii="Arial" w:cs="Arial" w:eastAsia="Arial" w:hAnsi="Arial"/>
          <w:sz w:val="13"/>
          <w:szCs w:val="13"/>
          <w:color w:val="auto"/>
        </w:rPr>
      </w:pPr>
    </w:p>
    <w:p>
      <w:pPr>
        <w:ind w:left="240" w:hanging="162"/>
        <w:spacing w:after="0"/>
        <w:tabs>
          <w:tab w:leader="none" w:pos="240" w:val="left"/>
        </w:tabs>
        <w:numPr>
          <w:ilvl w:val="0"/>
          <w:numId w:val="280"/>
        </w:numPr>
        <w:rPr>
          <w:rFonts w:ascii="Arial" w:cs="Arial" w:eastAsia="Arial" w:hAnsi="Arial"/>
          <w:sz w:val="16"/>
          <w:szCs w:val="16"/>
          <w:color w:val="auto"/>
        </w:rPr>
      </w:pPr>
      <w:r>
        <w:rPr>
          <w:rFonts w:ascii="Arial" w:cs="Arial" w:eastAsia="Arial" w:hAnsi="Arial"/>
          <w:sz w:val="16"/>
          <w:szCs w:val="16"/>
          <w:b w:val="1"/>
          <w:bCs w:val="1"/>
          <w:u w:val="single" w:color="auto"/>
          <w:color w:val="auto"/>
        </w:rPr>
        <w:t>Completion</w:t>
      </w:r>
      <w:r>
        <w:rPr>
          <w:rFonts w:ascii="Arial" w:cs="Arial" w:eastAsia="Arial" w:hAnsi="Arial"/>
          <w:sz w:val="16"/>
          <w:szCs w:val="16"/>
          <w:color w:val="auto"/>
        </w:rPr>
        <w:t>.</w:t>
      </w:r>
    </w:p>
    <w:p>
      <w:pPr>
        <w:spacing w:after="0" w:line="197" w:lineRule="exact"/>
        <w:rPr>
          <w:rFonts w:ascii="Arial" w:cs="Arial" w:eastAsia="Arial" w:hAnsi="Arial"/>
          <w:sz w:val="16"/>
          <w:szCs w:val="16"/>
          <w:color w:val="auto"/>
        </w:rPr>
      </w:pPr>
    </w:p>
    <w:p>
      <w:pPr>
        <w:ind w:left="-300" w:right="20" w:firstLine="860"/>
        <w:spacing w:after="0" w:line="310" w:lineRule="auto"/>
        <w:tabs>
          <w:tab w:leader="none" w:pos="779" w:val="left"/>
        </w:tabs>
        <w:numPr>
          <w:ilvl w:val="1"/>
          <w:numId w:val="280"/>
        </w:numPr>
        <w:rPr>
          <w:rFonts w:ascii="Arial" w:cs="Arial" w:eastAsia="Arial" w:hAnsi="Arial"/>
          <w:sz w:val="13"/>
          <w:szCs w:val="13"/>
          <w:color w:val="auto"/>
        </w:rPr>
      </w:pPr>
      <w:r>
        <w:rPr>
          <w:rFonts w:ascii="Arial" w:cs="Arial" w:eastAsia="Arial" w:hAnsi="Arial"/>
          <w:sz w:val="13"/>
          <w:szCs w:val="13"/>
          <w:color w:val="auto"/>
        </w:rPr>
        <w:t xml:space="preserve">When Landlord receives written certification from Architect that construction of the Tenant Improvements and Landlord’s Work has been completed in accordance with the Approved TI Plans and </w:t>
      </w:r>
      <w:r>
        <w:rPr>
          <w:rFonts w:ascii="Arial" w:cs="Arial" w:eastAsia="Arial" w:hAnsi="Arial"/>
          <w:sz w:val="13"/>
          <w:szCs w:val="13"/>
          <w:u w:val="single" w:color="auto"/>
          <w:color w:val="auto"/>
        </w:rPr>
        <w:t>Section 3(e)</w:t>
      </w:r>
      <w:r>
        <w:rPr>
          <w:rFonts w:ascii="Arial" w:cs="Arial" w:eastAsia="Arial" w:hAnsi="Arial"/>
          <w:sz w:val="13"/>
          <w:szCs w:val="13"/>
          <w:color w:val="auto"/>
        </w:rPr>
        <w:t xml:space="preserve"> below (except for Punch List Work), Landlord shall prepare and deliver to Tenant a certificate (or separate certificates for the Tenant Improvements and Landlord’s Work) signed by Landlord, Architect and General Contractor (the “</w:t>
      </w:r>
      <w:r>
        <w:rPr>
          <w:rFonts w:ascii="Arial" w:cs="Arial" w:eastAsia="Arial" w:hAnsi="Arial"/>
          <w:sz w:val="13"/>
          <w:szCs w:val="13"/>
          <w:b w:val="1"/>
          <w:bCs w:val="1"/>
          <w:color w:val="auto"/>
        </w:rPr>
        <w:t>Substantial Completion Certificate</w:t>
      </w:r>
      <w:r>
        <w:rPr>
          <w:rFonts w:ascii="Arial" w:cs="Arial" w:eastAsia="Arial" w:hAnsi="Arial"/>
          <w:sz w:val="13"/>
          <w:szCs w:val="13"/>
          <w:color w:val="auto"/>
        </w:rPr>
        <w:t>”) (i) certifying that the construction of the Tenant Improvements and Landlord’s Work has been substantially completed in a good and workmanlike manner in accordance with the Approved TI Plans and Section 3(e) below in all material respects, subject only to completion of Punch List Work, and specifying the date of that completion, and (ii) certifying that the Tenant Improvements and Landlord’s Work comply in all material respects with all laws, rules, regulations, codes, ordinances, requirements, covenants, conditions and restrictions applicable thereto at the time of such delivery. Upon receipt by Tenant of the Substantial Completion Certificate and tender of possession of the Premises by Landlord to Tenant, and receipt of any certificate of occupancy or its legal equivalent, or other required sign-offs from any applicable governmental authority, allowing the legal occupancy of the Premises, the Tenant Improvements will be deemed delivered to Tenant and “Ready for Occupancy” for all purposes of the Lease (subject to Landlord’s continuing obligations with respect to any Punch List Work, and to any other express obligations of Landlord under the Lease or this Tenant Work Letter with respect to such Tenant Improvements).</w:t>
      </w:r>
    </w:p>
    <w:p>
      <w:pPr>
        <w:spacing w:after="0" w:line="328" w:lineRule="exact"/>
        <w:rPr>
          <w:rFonts w:ascii="Arial" w:cs="Arial" w:eastAsia="Arial" w:hAnsi="Arial"/>
          <w:sz w:val="13"/>
          <w:szCs w:val="13"/>
          <w:color w:val="auto"/>
        </w:rPr>
      </w:pPr>
    </w:p>
    <w:p>
      <w:pPr>
        <w:ind w:left="-300" w:right="40" w:firstLine="860"/>
        <w:spacing w:after="0" w:line="319" w:lineRule="auto"/>
        <w:tabs>
          <w:tab w:leader="none" w:pos="788" w:val="left"/>
        </w:tabs>
        <w:numPr>
          <w:ilvl w:val="1"/>
          <w:numId w:val="280"/>
        </w:numPr>
        <w:rPr>
          <w:rFonts w:ascii="Arial" w:cs="Arial" w:eastAsia="Arial" w:hAnsi="Arial"/>
          <w:sz w:val="13"/>
          <w:szCs w:val="13"/>
          <w:color w:val="auto"/>
        </w:rPr>
      </w:pPr>
      <w:r>
        <w:rPr>
          <w:rFonts w:ascii="Arial" w:cs="Arial" w:eastAsia="Arial" w:hAnsi="Arial"/>
          <w:sz w:val="13"/>
          <w:szCs w:val="13"/>
          <w:color w:val="auto"/>
        </w:rPr>
        <w:t>Immediately prior to delivery of the Substantial Completion Certificate for the Tenant Improvements, Project Manager or other representatives of Landlord shall conduct one or more “walkthroughs” of the Building with Tenant and Tenant’s representatives, to identify any items of Punch List Work that may require correction and to prepare a joint punch list reflecting any such items, following which Landlord shall diligently complete the Punch List Work reflected in such joint punch list. The Punch List Work shall be attached to the Substantial Completion Certificate, and shall not include damage caused by Tenant or any of Tenant’s agents in connection with any work performed by Tenant in the Premises, or required as a result of Tenant’s move-in to the Premises. At any time within thirty (30) days after delivery of such Substantial Completion Certificate, Tenant shall</w:t>
      </w:r>
    </w:p>
    <w:p>
      <w:pPr>
        <w:sectPr>
          <w:pgSz w:w="11900" w:h="16838" w:orient="portrait"/>
          <w:cols w:equalWidth="0" w:num="1">
            <w:col w:w="9300"/>
          </w:cols>
          <w:pgMar w:left="1440" w:top="256" w:right="1159" w:bottom="1440" w:gutter="0" w:footer="0" w:header="0"/>
        </w:sectPr>
      </w:pPr>
    </w:p>
    <w:bookmarkStart w:id="401" w:name="page402"/>
    <w:bookmarkEnd w:id="401"/>
    <w:p>
      <w:pPr>
        <w:ind w:right="120"/>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be entitled to submit one or more lists to Landlord supplementing such joint punch list by specifying any additional items of Punch List Work to be performed on the applicable Tenant Improvements and Landlord’s Work, and upon receipt of such list(s), Landlord shall diligently complete such additional Punch List Work. Promptly after Landlord provides Tenant with the Substantial Completion Certificate and completes all applicable Punch List Work for the Building, Landlord shall cause the recordation of a Notice of Completion (as defined in the California Civil Code) with respect to the Tenant Improvements.</w:t>
      </w:r>
    </w:p>
    <w:p>
      <w:pPr>
        <w:spacing w:after="0" w:line="170" w:lineRule="exact"/>
        <w:rPr>
          <w:sz w:val="20"/>
          <w:szCs w:val="20"/>
          <w:color w:val="auto"/>
        </w:rPr>
      </w:pPr>
    </w:p>
    <w:p>
      <w:pPr>
        <w:ind w:firstLine="860"/>
        <w:spacing w:after="0" w:line="253" w:lineRule="auto"/>
        <w:tabs>
          <w:tab w:leader="none" w:pos="1079" w:val="left"/>
        </w:tabs>
        <w:numPr>
          <w:ilvl w:val="1"/>
          <w:numId w:val="281"/>
        </w:numPr>
        <w:rPr>
          <w:rFonts w:ascii="Arial" w:cs="Arial" w:eastAsia="Arial" w:hAnsi="Arial"/>
          <w:sz w:val="16"/>
          <w:szCs w:val="16"/>
          <w:color w:val="auto"/>
        </w:rPr>
      </w:pPr>
      <w:r>
        <w:rPr>
          <w:rFonts w:ascii="Arial" w:cs="Arial" w:eastAsia="Arial" w:hAnsi="Arial"/>
          <w:sz w:val="16"/>
          <w:szCs w:val="16"/>
          <w:color w:val="auto"/>
        </w:rPr>
        <w:t>All construction, product and equipment warranties and guaranties obtained by Landlord with respect to the Tenant Improvements and Landlord’s Work shall, to the extent reasonably obtainable, include a provision that such warranties and guaranties shall also run to the benefit of Tenant, and Landlord shall cooperate with Tenant in a commercially reasonable manner to assist in enforcing all such warranties and guaranties for the benefit of Tenant.</w:t>
      </w:r>
    </w:p>
    <w:p>
      <w:pPr>
        <w:spacing w:after="0" w:line="167" w:lineRule="exact"/>
        <w:rPr>
          <w:rFonts w:ascii="Arial" w:cs="Arial" w:eastAsia="Arial" w:hAnsi="Arial"/>
          <w:sz w:val="16"/>
          <w:szCs w:val="16"/>
          <w:color w:val="auto"/>
        </w:rPr>
      </w:pPr>
    </w:p>
    <w:p>
      <w:pPr>
        <w:jc w:val="both"/>
        <w:ind w:right="20" w:firstLine="860"/>
        <w:spacing w:after="0" w:line="275" w:lineRule="auto"/>
        <w:tabs>
          <w:tab w:leader="none" w:pos="1088" w:val="left"/>
        </w:tabs>
        <w:numPr>
          <w:ilvl w:val="1"/>
          <w:numId w:val="281"/>
        </w:numPr>
        <w:rPr>
          <w:rFonts w:ascii="Arial" w:cs="Arial" w:eastAsia="Arial" w:hAnsi="Arial"/>
          <w:sz w:val="15"/>
          <w:szCs w:val="15"/>
          <w:color w:val="auto"/>
        </w:rPr>
      </w:pPr>
      <w:r>
        <w:rPr>
          <w:rFonts w:ascii="Arial" w:cs="Arial" w:eastAsia="Arial" w:hAnsi="Arial"/>
          <w:sz w:val="15"/>
          <w:szCs w:val="15"/>
          <w:color w:val="auto"/>
        </w:rPr>
        <w:t xml:space="preserve">Notwithstanding any other provisions of this Tenant Work Letter or of the Lease, if Landlord is delayed in substantially completing any of the Tenant Improvements as a result of any Tenant Delay, and if the Lease Commencement Date is being determined under clause (i) of </w:t>
      </w:r>
      <w:r>
        <w:rPr>
          <w:rFonts w:ascii="Arial" w:cs="Arial" w:eastAsia="Arial" w:hAnsi="Arial"/>
          <w:sz w:val="15"/>
          <w:szCs w:val="15"/>
          <w:u w:val="single" w:color="auto"/>
          <w:color w:val="auto"/>
        </w:rPr>
        <w:t>Section 3.2</w:t>
      </w:r>
      <w:r>
        <w:rPr>
          <w:rFonts w:ascii="Arial" w:cs="Arial" w:eastAsia="Arial" w:hAnsi="Arial"/>
          <w:sz w:val="15"/>
          <w:szCs w:val="15"/>
          <w:color w:val="auto"/>
        </w:rPr>
        <w:t xml:space="preserve"> of the Lease Summary, then notwithstanding any other provision of the Lease to the contrary, then the Premises shall be deemed to have been Ready for Occupancy on the date the Premises would have been Ready for Occupancy absent such Tenant Delay.</w:t>
      </w:r>
    </w:p>
    <w:p>
      <w:pPr>
        <w:spacing w:after="0" w:line="152" w:lineRule="exact"/>
        <w:rPr>
          <w:rFonts w:ascii="Arial" w:cs="Arial" w:eastAsia="Arial" w:hAnsi="Arial"/>
          <w:sz w:val="15"/>
          <w:szCs w:val="15"/>
          <w:color w:val="auto"/>
        </w:rPr>
      </w:pPr>
    </w:p>
    <w:p>
      <w:pPr>
        <w:ind w:right="20" w:firstLine="860"/>
        <w:spacing w:after="0" w:line="343" w:lineRule="auto"/>
        <w:tabs>
          <w:tab w:leader="none" w:pos="1079" w:val="left"/>
        </w:tabs>
        <w:numPr>
          <w:ilvl w:val="1"/>
          <w:numId w:val="281"/>
        </w:numPr>
        <w:rPr>
          <w:rFonts w:ascii="Arial" w:cs="Arial" w:eastAsia="Arial" w:hAnsi="Arial"/>
          <w:sz w:val="13"/>
          <w:szCs w:val="13"/>
          <w:color w:val="auto"/>
        </w:rPr>
      </w:pPr>
      <w:r>
        <w:rPr>
          <w:rFonts w:ascii="Arial" w:cs="Arial" w:eastAsia="Arial" w:hAnsi="Arial"/>
          <w:sz w:val="13"/>
          <w:szCs w:val="13"/>
          <w:color w:val="auto"/>
        </w:rPr>
        <w:t>Notwithstanding any other provisions of this Tenant Work Letter or of the Lease, Landlord shall be responsible, at Landlord’s sole cost and expense, and without deduction from the Tenant Improvement Allowance, to construct and deliver the Base Building and “Warm Shell” components of the Premises (“</w:t>
      </w:r>
      <w:r>
        <w:rPr>
          <w:rFonts w:ascii="Arial" w:cs="Arial" w:eastAsia="Arial" w:hAnsi="Arial"/>
          <w:sz w:val="13"/>
          <w:szCs w:val="13"/>
          <w:b w:val="1"/>
          <w:bCs w:val="1"/>
          <w:color w:val="auto"/>
        </w:rPr>
        <w:t>Landlord’s Work</w:t>
      </w:r>
      <w:r>
        <w:rPr>
          <w:rFonts w:ascii="Arial" w:cs="Arial" w:eastAsia="Arial" w:hAnsi="Arial"/>
          <w:sz w:val="13"/>
          <w:szCs w:val="13"/>
          <w:color w:val="auto"/>
        </w:rPr>
        <w:t xml:space="preserve">”), which shall consist of the items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 xml:space="preserve"> to this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(the “</w:t>
      </w:r>
      <w:r>
        <w:rPr>
          <w:rFonts w:ascii="Arial" w:cs="Arial" w:eastAsia="Arial" w:hAnsi="Arial"/>
          <w:sz w:val="13"/>
          <w:szCs w:val="13"/>
          <w:b w:val="1"/>
          <w:bCs w:val="1"/>
          <w:color w:val="auto"/>
        </w:rPr>
        <w:t>Warm Shell Schedule</w:t>
      </w:r>
      <w:r>
        <w:rPr>
          <w:rFonts w:ascii="Arial" w:cs="Arial" w:eastAsia="Arial" w:hAnsi="Arial"/>
          <w:sz w:val="13"/>
          <w:szCs w:val="13"/>
          <w:color w:val="auto"/>
        </w:rPr>
        <w:t>”).</w:t>
      </w:r>
    </w:p>
    <w:p>
      <w:pPr>
        <w:spacing w:after="0" w:line="109" w:lineRule="exact"/>
        <w:rPr>
          <w:rFonts w:ascii="Arial" w:cs="Arial" w:eastAsia="Arial" w:hAnsi="Arial"/>
          <w:sz w:val="13"/>
          <w:szCs w:val="13"/>
          <w:color w:val="auto"/>
        </w:rPr>
      </w:pPr>
    </w:p>
    <w:p>
      <w:pPr>
        <w:ind w:firstLine="860"/>
        <w:spacing w:after="0" w:line="266" w:lineRule="auto"/>
        <w:tabs>
          <w:tab w:leader="none" w:pos="1062" w:val="left"/>
        </w:tabs>
        <w:numPr>
          <w:ilvl w:val="1"/>
          <w:numId w:val="281"/>
        </w:numPr>
        <w:rPr>
          <w:rFonts w:ascii="Arial" w:cs="Arial" w:eastAsia="Arial" w:hAnsi="Arial"/>
          <w:sz w:val="15"/>
          <w:szCs w:val="15"/>
          <w:color w:val="auto"/>
        </w:rPr>
      </w:pPr>
      <w:r>
        <w:rPr>
          <w:rFonts w:ascii="Arial" w:cs="Arial" w:eastAsia="Arial" w:hAnsi="Arial"/>
          <w:sz w:val="15"/>
          <w:szCs w:val="15"/>
          <w:b w:val="1"/>
          <w:bCs w:val="1"/>
          <w:u w:val="single" w:color="auto"/>
          <w:color w:val="auto"/>
        </w:rPr>
        <w:t>Construction of Additional Base Building Items</w:t>
      </w:r>
      <w:r>
        <w:rPr>
          <w:rFonts w:ascii="Arial" w:cs="Arial" w:eastAsia="Arial" w:hAnsi="Arial"/>
          <w:sz w:val="15"/>
          <w:szCs w:val="15"/>
          <w:color w:val="auto"/>
        </w:rPr>
        <w:t>. To the extent that the Final TI Working Drawings contain any structural items, or</w:t>
      </w:r>
      <w:r>
        <w:rPr>
          <w:rFonts w:ascii="Arial" w:cs="Arial" w:eastAsia="Arial" w:hAnsi="Arial"/>
          <w:sz w:val="15"/>
          <w:szCs w:val="15"/>
          <w:b w:val="1"/>
          <w:bCs w:val="1"/>
          <w:color w:val="auto"/>
        </w:rPr>
        <w:t xml:space="preserve"> </w:t>
      </w:r>
      <w:r>
        <w:rPr>
          <w:rFonts w:ascii="Arial" w:cs="Arial" w:eastAsia="Arial" w:hAnsi="Arial"/>
          <w:sz w:val="15"/>
          <w:szCs w:val="15"/>
          <w:color w:val="auto"/>
        </w:rPr>
        <w:t>items which would not reasonably be categorized as “normal tenant improvements” under applicable GAAP standards (the “</w:t>
      </w:r>
      <w:r>
        <w:rPr>
          <w:rFonts w:ascii="Arial" w:cs="Arial" w:eastAsia="Arial" w:hAnsi="Arial"/>
          <w:sz w:val="15"/>
          <w:szCs w:val="15"/>
          <w:b w:val="1"/>
          <w:bCs w:val="1"/>
          <w:color w:val="auto"/>
        </w:rPr>
        <w:t>Additional Base Building</w:t>
      </w:r>
      <w:r>
        <w:rPr>
          <w:rFonts w:ascii="Arial" w:cs="Arial" w:eastAsia="Arial" w:hAnsi="Arial"/>
          <w:sz w:val="15"/>
          <w:szCs w:val="15"/>
          <w:color w:val="auto"/>
        </w:rPr>
        <w:t xml:space="preserve"> </w:t>
      </w:r>
      <w:r>
        <w:rPr>
          <w:rFonts w:ascii="Arial" w:cs="Arial" w:eastAsia="Arial" w:hAnsi="Arial"/>
          <w:sz w:val="15"/>
          <w:szCs w:val="15"/>
          <w:b w:val="1"/>
          <w:bCs w:val="1"/>
          <w:color w:val="auto"/>
        </w:rPr>
        <w:t>Items</w:t>
      </w:r>
      <w:r>
        <w:rPr>
          <w:rFonts w:ascii="Arial" w:cs="Arial" w:eastAsia="Arial" w:hAnsi="Arial"/>
          <w:sz w:val="15"/>
          <w:szCs w:val="15"/>
          <w:color w:val="auto"/>
        </w:rPr>
        <w:t>”), then such Additional Base Building Items shall not be constructed as a part of the Landlord’s TI Work or the Tenant Improvements, but instead</w:t>
      </w:r>
      <w:r>
        <w:rPr>
          <w:rFonts w:ascii="Arial" w:cs="Arial" w:eastAsia="Arial" w:hAnsi="Arial"/>
          <w:sz w:val="15"/>
          <w:szCs w:val="15"/>
          <w:b w:val="1"/>
          <w:bCs w:val="1"/>
          <w:color w:val="auto"/>
        </w:rPr>
        <w:t xml:space="preserve"> </w:t>
      </w:r>
      <w:r>
        <w:rPr>
          <w:rFonts w:ascii="Arial" w:cs="Arial" w:eastAsia="Arial" w:hAnsi="Arial"/>
          <w:sz w:val="15"/>
          <w:szCs w:val="15"/>
          <w:color w:val="auto"/>
        </w:rPr>
        <w:t>will be constructed by Landlord as a part of the Landlord’s Work. The cost of construction of the Additional Base Building Items (the “</w:t>
      </w:r>
      <w:r>
        <w:rPr>
          <w:rFonts w:ascii="Arial" w:cs="Arial" w:eastAsia="Arial" w:hAnsi="Arial"/>
          <w:sz w:val="15"/>
          <w:szCs w:val="15"/>
          <w:b w:val="1"/>
          <w:bCs w:val="1"/>
          <w:color w:val="auto"/>
        </w:rPr>
        <w:t>Additional Base</w:t>
      </w:r>
      <w:r>
        <w:rPr>
          <w:rFonts w:ascii="Arial" w:cs="Arial" w:eastAsia="Arial" w:hAnsi="Arial"/>
          <w:sz w:val="15"/>
          <w:szCs w:val="15"/>
          <w:color w:val="auto"/>
        </w:rPr>
        <w:t xml:space="preserve"> </w:t>
      </w:r>
      <w:r>
        <w:rPr>
          <w:rFonts w:ascii="Arial" w:cs="Arial" w:eastAsia="Arial" w:hAnsi="Arial"/>
          <w:sz w:val="15"/>
          <w:szCs w:val="15"/>
          <w:b w:val="1"/>
          <w:bCs w:val="1"/>
          <w:color w:val="auto"/>
        </w:rPr>
        <w:t>Building Costs</w:t>
      </w:r>
      <w:r>
        <w:rPr>
          <w:rFonts w:ascii="Arial" w:cs="Arial" w:eastAsia="Arial" w:hAnsi="Arial"/>
          <w:sz w:val="15"/>
          <w:szCs w:val="15"/>
          <w:color w:val="auto"/>
        </w:rPr>
        <w:t>”) shall be borne by Landlord. Before commencing construction thereof, Landlord shall obtain a reasonable, good faith bid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Additional Base Building Items from the General Contractor, which bid shall take into account all reasonable factors, including, without limitation, reasonable contingencies in connection therewith, Landlord shall notify Tenant of the amount of such bid (the “</w:t>
      </w:r>
      <w:r>
        <w:rPr>
          <w:rFonts w:ascii="Arial" w:cs="Arial" w:eastAsia="Arial" w:hAnsi="Arial"/>
          <w:sz w:val="15"/>
          <w:szCs w:val="15"/>
          <w:b w:val="1"/>
          <w:bCs w:val="1"/>
          <w:color w:val="auto"/>
        </w:rPr>
        <w:t>Estimated Base Building Costs</w:t>
      </w:r>
      <w:r>
        <w:rPr>
          <w:rFonts w:ascii="Arial" w:cs="Arial" w:eastAsia="Arial" w:hAnsi="Arial"/>
          <w:sz w:val="15"/>
          <w:szCs w:val="15"/>
          <w:color w:val="auto"/>
        </w:rPr>
        <w:t>”), and the amount of the Tenant Improvement Allowance shall be reduced by the amount of the Estimated Base Building Costs. Landlord shall have the right to disapprove any aspect of the Final TI Working Drawing that would result in Additional Base Building Costs in excess of the then remaining Tenant Improvement Allowance, so that, while the Tenant Improvement Allowance may be reduced, under no circumstances would Tenant be required to pay for any Additional Base Building Items with its own funds.</w:t>
      </w:r>
    </w:p>
    <w:p>
      <w:pPr>
        <w:spacing w:after="0" w:line="160" w:lineRule="exact"/>
        <w:rPr>
          <w:rFonts w:ascii="Arial" w:cs="Arial" w:eastAsia="Arial" w:hAnsi="Arial"/>
          <w:sz w:val="15"/>
          <w:szCs w:val="15"/>
          <w:color w:val="auto"/>
        </w:rPr>
      </w:pPr>
    </w:p>
    <w:p>
      <w:pPr>
        <w:ind w:left="540" w:hanging="162"/>
        <w:spacing w:after="0"/>
        <w:tabs>
          <w:tab w:leader="none" w:pos="540" w:val="left"/>
        </w:tabs>
        <w:numPr>
          <w:ilvl w:val="0"/>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of Costs</w:t>
      </w:r>
      <w:r>
        <w:rPr>
          <w:rFonts w:ascii="Arial" w:cs="Arial" w:eastAsia="Arial" w:hAnsi="Arial"/>
          <w:sz w:val="16"/>
          <w:szCs w:val="16"/>
          <w:color w:val="auto"/>
        </w:rPr>
        <w:t>.</w:t>
      </w:r>
    </w:p>
    <w:p>
      <w:pPr>
        <w:spacing w:after="0" w:line="193" w:lineRule="exact"/>
        <w:rPr>
          <w:rFonts w:ascii="Arial" w:cs="Arial" w:eastAsia="Arial" w:hAnsi="Arial"/>
          <w:sz w:val="16"/>
          <w:szCs w:val="16"/>
          <w:color w:val="auto"/>
        </w:rPr>
      </w:pPr>
    </w:p>
    <w:p>
      <w:pPr>
        <w:ind w:firstLine="860"/>
        <w:spacing w:after="0" w:line="266" w:lineRule="auto"/>
        <w:tabs>
          <w:tab w:leader="none" w:pos="1079" w:val="left"/>
        </w:tabs>
        <w:numPr>
          <w:ilvl w:val="1"/>
          <w:numId w:val="282"/>
        </w:numPr>
        <w:rPr>
          <w:rFonts w:ascii="Arial" w:cs="Arial" w:eastAsia="Arial" w:hAnsi="Arial"/>
          <w:sz w:val="15"/>
          <w:szCs w:val="15"/>
          <w:color w:val="auto"/>
        </w:rPr>
      </w:pPr>
      <w:r>
        <w:rPr>
          <w:rFonts w:ascii="Arial" w:cs="Arial" w:eastAsia="Arial" w:hAnsi="Arial"/>
          <w:sz w:val="15"/>
          <w:szCs w:val="15"/>
          <w:b w:val="1"/>
          <w:bCs w:val="1"/>
          <w:u w:val="single" w:color="auto"/>
          <w:color w:val="auto"/>
        </w:rPr>
        <w:t>Tenant Improvement Allowance</w:t>
      </w:r>
      <w:r>
        <w:rPr>
          <w:rFonts w:ascii="Arial" w:cs="Arial" w:eastAsia="Arial" w:hAnsi="Arial"/>
          <w:sz w:val="15"/>
          <w:szCs w:val="15"/>
          <w:color w:val="auto"/>
        </w:rPr>
        <w:t>. Subject to any restrictions, conditions or limitations expressly set forth in this Tenant Work Letter or</w:t>
      </w:r>
      <w:r>
        <w:rPr>
          <w:rFonts w:ascii="Arial" w:cs="Arial" w:eastAsia="Arial" w:hAnsi="Arial"/>
          <w:sz w:val="15"/>
          <w:szCs w:val="15"/>
          <w:b w:val="1"/>
          <w:bCs w:val="1"/>
          <w:color w:val="auto"/>
        </w:rPr>
        <w:t xml:space="preserve"> </w:t>
      </w:r>
      <w:r>
        <w:rPr>
          <w:rFonts w:ascii="Arial" w:cs="Arial" w:eastAsia="Arial" w:hAnsi="Arial"/>
          <w:sz w:val="15"/>
          <w:szCs w:val="15"/>
          <w:color w:val="auto"/>
        </w:rPr>
        <w:t>in the Lease or as otherwise expressly provided by mutual written agreement of Landlord and Tenant, the cost of construction of the Tenant Improvements shall be paid or reimbursed by Landlord up to a maximum amount equal to $4,531,800.00 (the “</w:t>
      </w:r>
      <w:r>
        <w:rPr>
          <w:rFonts w:ascii="Arial" w:cs="Arial" w:eastAsia="Arial" w:hAnsi="Arial"/>
          <w:sz w:val="15"/>
          <w:szCs w:val="15"/>
          <w:b w:val="1"/>
          <w:bCs w:val="1"/>
          <w:color w:val="auto"/>
        </w:rPr>
        <w:t>Tenant Improvement Allowance</w:t>
      </w:r>
      <w:r>
        <w:rPr>
          <w:rFonts w:ascii="Arial" w:cs="Arial" w:eastAsia="Arial" w:hAnsi="Arial"/>
          <w:sz w:val="15"/>
          <w:szCs w:val="15"/>
          <w:color w:val="auto"/>
        </w:rPr>
        <w:t>”), which amount is being made available by Landlord to be applied towards the Cost of Improvements for the construction of the Tenant Improvements in the Premises. Tenant shall be responsible, at its sole cost and expense, for payment of the entire Cost of Improvements of the Tenant Improvements in excess of the Tenant Improvement Allowance, including (but not limited to) any costs or cost increases incurred as a result of delays (unless caused by Landlord), governmental requirements or unanticipated conditions (unless caused by Landlord), and for payment of any and all costs and expenses relating to any alterations, additions, improvements, furniture, furnishings, equipment, fixtures and personal property items which are not eligible for application of Tenant Improvement Allowance funds under the restrictions expressly set forth below in this paragraph, but Tenant shall be entitled to use or apply the entire Tenant Improvement Allowance toward the Cost of Improvements of the Tenant Improvements (subject to any applicable restrictions, conditions, limitations, reductions or charges set forth in the Lease or in this Tenant Work Letter) prior to being required to expend any of Tenant’s own funds for the Tenant Improvements. The funding of the Tenant</w:t>
      </w:r>
    </w:p>
    <w:p>
      <w:pPr>
        <w:sectPr>
          <w:pgSz w:w="11900" w:h="16838" w:orient="portrait"/>
          <w:cols w:equalWidth="0" w:num="1">
            <w:col w:w="9620"/>
          </w:cols>
          <w:pgMar w:left="1140" w:top="256" w:right="1139" w:bottom="1440" w:gutter="0" w:footer="0" w:header="0"/>
        </w:sectPr>
      </w:pPr>
    </w:p>
    <w:bookmarkStart w:id="402" w:name="page403"/>
    <w:bookmarkEnd w:id="402"/>
    <w:p>
      <w:pPr>
        <w:ind w:left="6"/>
        <w:spacing w:after="0" w:line="30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Improvement Allowance shall be made on a monthly basis or at other convenient intervals mutually approved by Landlord and Tenant and in all other respects shall be based on such commercially reasonable disbursement conditions and procedures as Landlord, Project Manager and Landlord’s lender (if any) may reasonably prescribe. Notwithstanding the foregoing provisions, under no circumstances shall the Tenant Improvement Allowance or any portion thereof be used or useable by Tenant for any moving or relocation expenses of Tenant, or for any Cost of Improvement (or any other cost or expense) associated with any moveable furniture or trade fixtures, personal property or any other item or element which, under the applicable provisions of the Lease, will not become Landlord’s property and remain with the Building upon expiration or termination of the Lease; provided, however, Tenant shall be permitted to use the Tenant Improvement Allowance, First Additional TI Allowance and Second Additional TI Allowance toward the purchase of a cagewash, autoclave and glasswash (which shall become Landlord’s property upon expiration of the Lease). Notwithstanding anything to the contrary herein, the Tenant Improvements shall not include (and Landlord shall be solely responsible for and the Tenant Improvement Allowance shall not be used for) the following: (a) costs incurred due to the presence of any Hazardous Materials in the Premises, if any, but with respect to removal and remediation of any such Hazardous Materials, only to the extent such removal or remediation is required by Applicable Laws enforced as of the date of this Lease for improvements in the Premises generally (as opposed to the specific Tenant Improvements) and to the extent the same required in order to allow Tenant to obtain a certificate of occupancy or its legal equivalent, for the Premises for the Permitted Use assuming a normal and customary occupancy density; (b) costs to bring the Project into compliance with Applicable Laws to the extent required in order to allow Tenant to obtain a certificate of occupancy or its legal equivalent, for the Premises for the Permitted Use assuming a normal and customary office occupancy density;</w:t>
      </w:r>
    </w:p>
    <w:p>
      <w:pPr>
        <w:spacing w:after="0" w:line="155" w:lineRule="exact"/>
        <w:rPr>
          <w:sz w:val="20"/>
          <w:szCs w:val="20"/>
          <w:color w:val="auto"/>
        </w:rPr>
      </w:pPr>
    </w:p>
    <w:p>
      <w:pPr>
        <w:ind w:left="6" w:right="20" w:hanging="6"/>
        <w:spacing w:after="0" w:line="266" w:lineRule="auto"/>
        <w:tabs>
          <w:tab w:leader="none" w:pos="220" w:val="left"/>
        </w:tabs>
        <w:numPr>
          <w:ilvl w:val="0"/>
          <w:numId w:val="283"/>
        </w:numPr>
        <w:rPr>
          <w:rFonts w:ascii="Arial" w:cs="Arial" w:eastAsia="Arial" w:hAnsi="Arial"/>
          <w:sz w:val="15"/>
          <w:szCs w:val="15"/>
          <w:color w:val="auto"/>
        </w:rPr>
      </w:pPr>
      <w:r>
        <w:rPr>
          <w:rFonts w:ascii="Arial" w:cs="Arial" w:eastAsia="Arial" w:hAnsi="Arial"/>
          <w:sz w:val="15"/>
          <w:szCs w:val="15"/>
          <w:color w:val="auto"/>
        </w:rPr>
        <w:t>construction costs in excess of the contract amount stated in the contract with the General Contractor, as approved by Tenant (not to be unreasonably withheld), except for increases set forth in change orders approved by Tenant; (d) wages, labor and overhead for overtime and premium time unless approved by Tenant (which approval shall not be unreasonably withheld, conditioned or delayed); (e) attorneys’ fees incurred in connection with negotiation of construction contracts, and attorneys’ fees, experts’ fees and other costs in connection with disputes with third parties; (f) interest and other costs of financing construction costs; (g) costs incurred as a consequence construction defects or default by a contractor; (h) costs as a consequence of casualties; (i) penalties and late charges attributable to Landlord’s failure to pay construction costs, and (j) costs due to compliance with the soil management plan for the Project or its appendices.</w:t>
      </w:r>
    </w:p>
    <w:p>
      <w:pPr>
        <w:spacing w:after="0" w:line="155" w:lineRule="exact"/>
        <w:rPr>
          <w:rFonts w:ascii="Arial" w:cs="Arial" w:eastAsia="Arial" w:hAnsi="Arial"/>
          <w:sz w:val="15"/>
          <w:szCs w:val="15"/>
          <w:color w:val="auto"/>
        </w:rPr>
      </w:pPr>
    </w:p>
    <w:p>
      <w:pPr>
        <w:ind w:left="6" w:firstLine="860"/>
        <w:spacing w:after="0" w:line="312" w:lineRule="auto"/>
        <w:tabs>
          <w:tab w:leader="none" w:pos="1094" w:val="left"/>
        </w:tabs>
        <w:numPr>
          <w:ilvl w:val="1"/>
          <w:numId w:val="283"/>
        </w:numPr>
        <w:rPr>
          <w:rFonts w:ascii="Arial" w:cs="Arial" w:eastAsia="Arial" w:hAnsi="Arial"/>
          <w:sz w:val="13"/>
          <w:szCs w:val="13"/>
          <w:color w:val="auto"/>
        </w:rPr>
      </w:pPr>
      <w:r>
        <w:rPr>
          <w:rFonts w:ascii="Arial" w:cs="Arial" w:eastAsia="Arial" w:hAnsi="Arial"/>
          <w:sz w:val="13"/>
          <w:szCs w:val="13"/>
          <w:b w:val="1"/>
          <w:bCs w:val="1"/>
          <w:u w:val="single" w:color="auto"/>
          <w:color w:val="auto"/>
        </w:rPr>
        <w:t>First Additional TI Allowance</w:t>
      </w:r>
      <w:r>
        <w:rPr>
          <w:rFonts w:ascii="Arial" w:cs="Arial" w:eastAsia="Arial" w:hAnsi="Arial"/>
          <w:sz w:val="13"/>
          <w:szCs w:val="13"/>
          <w:color w:val="auto"/>
        </w:rPr>
        <w:t>. In addition to the Tenant Improvement Allowance, Tenant shall have the right, by written notice to</w:t>
      </w:r>
      <w:r>
        <w:rPr>
          <w:rFonts w:ascii="Arial" w:cs="Arial" w:eastAsia="Arial" w:hAnsi="Arial"/>
          <w:sz w:val="13"/>
          <w:szCs w:val="13"/>
          <w:b w:val="1"/>
          <w:bCs w:val="1"/>
          <w:color w:val="auto"/>
        </w:rPr>
        <w:t xml:space="preserve"> </w:t>
      </w:r>
      <w:r>
        <w:rPr>
          <w:rFonts w:ascii="Arial" w:cs="Arial" w:eastAsia="Arial" w:hAnsi="Arial"/>
          <w:sz w:val="13"/>
          <w:szCs w:val="13"/>
          <w:color w:val="auto"/>
        </w:rPr>
        <w:t>Landlord given on or before the Lease Commencement Date, to use up to $20.00 per RSF of the Premises (i.e., up to $647,400.00) (the “</w:t>
      </w:r>
      <w:r>
        <w:rPr>
          <w:rFonts w:ascii="Arial" w:cs="Arial" w:eastAsia="Arial" w:hAnsi="Arial"/>
          <w:sz w:val="13"/>
          <w:szCs w:val="13"/>
          <w:b w:val="1"/>
          <w:bCs w:val="1"/>
          <w:color w:val="auto"/>
        </w:rPr>
        <w:t>First</w:t>
      </w:r>
      <w:r>
        <w:rPr>
          <w:rFonts w:ascii="Arial" w:cs="Arial" w:eastAsia="Arial" w:hAnsi="Arial"/>
          <w:sz w:val="13"/>
          <w:szCs w:val="13"/>
          <w:color w:val="auto"/>
        </w:rPr>
        <w:t xml:space="preserve"> </w:t>
      </w:r>
      <w:r>
        <w:rPr>
          <w:rFonts w:ascii="Arial" w:cs="Arial" w:eastAsia="Arial" w:hAnsi="Arial"/>
          <w:sz w:val="13"/>
          <w:szCs w:val="13"/>
          <w:b w:val="1"/>
          <w:bCs w:val="1"/>
          <w:color w:val="auto"/>
        </w:rPr>
        <w:t>Additional TI Allowance</w:t>
      </w:r>
      <w:r>
        <w:rPr>
          <w:rFonts w:ascii="Arial" w:cs="Arial" w:eastAsia="Arial" w:hAnsi="Arial"/>
          <w:sz w:val="13"/>
          <w:szCs w:val="13"/>
          <w:color w:val="auto"/>
        </w:rPr>
        <w:t>”) towards the payment of the costs of the Tenant Improvement Allowance Items. In the event Tenant exercises its right to use</w:t>
      </w:r>
      <w:r>
        <w:rPr>
          <w:rFonts w:ascii="Arial" w:cs="Arial" w:eastAsia="Arial" w:hAnsi="Arial"/>
          <w:sz w:val="13"/>
          <w:szCs w:val="13"/>
          <w:b w:val="1"/>
          <w:bCs w:val="1"/>
          <w:color w:val="auto"/>
        </w:rPr>
        <w:t xml:space="preserve"> </w:t>
      </w:r>
      <w:r>
        <w:rPr>
          <w:rFonts w:ascii="Arial" w:cs="Arial" w:eastAsia="Arial" w:hAnsi="Arial"/>
          <w:sz w:val="13"/>
          <w:szCs w:val="13"/>
          <w:color w:val="auto"/>
        </w:rPr>
        <w:t>all or any portion of the First Additional TI Allowance, Tenant shall be required to pay Landlord, commencing on the date the Tenant Improvements are completed (the “</w:t>
      </w:r>
      <w:r>
        <w:rPr>
          <w:rFonts w:ascii="Arial" w:cs="Arial" w:eastAsia="Arial" w:hAnsi="Arial"/>
          <w:sz w:val="13"/>
          <w:szCs w:val="13"/>
          <w:b w:val="1"/>
          <w:bCs w:val="1"/>
          <w:color w:val="auto"/>
        </w:rPr>
        <w:t>Additional Payment Commencement Date</w:t>
      </w:r>
      <w:r>
        <w:rPr>
          <w:rFonts w:ascii="Arial" w:cs="Arial" w:eastAsia="Arial" w:hAnsi="Arial"/>
          <w:sz w:val="13"/>
          <w:szCs w:val="13"/>
          <w:color w:val="auto"/>
        </w:rPr>
        <w:t>”), the “First Additional TI Allowance Payment,” as that term is defined below, in consideration of Landlord provision of the First Additional TI Allowance. The “</w:t>
      </w:r>
      <w:r>
        <w:rPr>
          <w:rFonts w:ascii="Arial" w:cs="Arial" w:eastAsia="Arial" w:hAnsi="Arial"/>
          <w:sz w:val="13"/>
          <w:szCs w:val="13"/>
          <w:b w:val="1"/>
          <w:bCs w:val="1"/>
          <w:color w:val="auto"/>
        </w:rPr>
        <w:t>First Additional TI Allowance Payment</w:t>
      </w:r>
      <w:r>
        <w:rPr>
          <w:rFonts w:ascii="Arial" w:cs="Arial" w:eastAsia="Arial" w:hAnsi="Arial"/>
          <w:sz w:val="13"/>
          <w:szCs w:val="13"/>
          <w:color w:val="auto"/>
        </w:rPr>
        <w:t xml:space="preserve">” shall be determined as the missing component of an annuity, which annuity shall have (i) the amount of the First Additional TI Allowance utilized by Tenant as the present value amount, (ii) a number equal to the number of full calendar months then remaining in the Lease Term as the number of payments, (iii) a monthly interest factor equal to eighty-three one-hundredths percent (0.83%), which is equal to ten percent (10%) divided by twelve (12) months per year, and (iv) the First Additional TI Allowance Payment as the missing component of the annuity. Following the calculation of the First Additional TI Allowance Payment, Landlord and Tenant will enter into a lease amendment in the form of </w:t>
      </w:r>
      <w:r>
        <w:rPr>
          <w:rFonts w:ascii="Arial" w:cs="Arial" w:eastAsia="Arial" w:hAnsi="Arial"/>
          <w:sz w:val="13"/>
          <w:szCs w:val="13"/>
          <w:b w:val="1"/>
          <w:bCs w:val="1"/>
          <w:u w:val="single" w:color="auto"/>
          <w:color w:val="auto"/>
        </w:rPr>
        <w:t>Exhibit G</w:t>
      </w:r>
      <w:r>
        <w:rPr>
          <w:rFonts w:ascii="Arial" w:cs="Arial" w:eastAsia="Arial" w:hAnsi="Arial"/>
          <w:sz w:val="13"/>
          <w:szCs w:val="13"/>
          <w:color w:val="auto"/>
        </w:rPr>
        <w:t xml:space="preserve"> attached hereto, to confirm the amount thereof.</w:t>
      </w:r>
    </w:p>
    <w:p>
      <w:pPr>
        <w:spacing w:after="0" w:line="320" w:lineRule="exact"/>
        <w:rPr>
          <w:rFonts w:ascii="Arial" w:cs="Arial" w:eastAsia="Arial" w:hAnsi="Arial"/>
          <w:sz w:val="13"/>
          <w:szCs w:val="13"/>
          <w:color w:val="auto"/>
        </w:rPr>
      </w:pPr>
    </w:p>
    <w:p>
      <w:pPr>
        <w:ind w:left="6" w:firstLine="860"/>
        <w:spacing w:after="0" w:line="267" w:lineRule="auto"/>
        <w:tabs>
          <w:tab w:leader="none" w:pos="1085" w:val="left"/>
        </w:tabs>
        <w:numPr>
          <w:ilvl w:val="1"/>
          <w:numId w:val="283"/>
        </w:numPr>
        <w:rPr>
          <w:rFonts w:ascii="Arial" w:cs="Arial" w:eastAsia="Arial" w:hAnsi="Arial"/>
          <w:sz w:val="15"/>
          <w:szCs w:val="15"/>
          <w:color w:val="auto"/>
        </w:rPr>
      </w:pPr>
      <w:r>
        <w:rPr>
          <w:rFonts w:ascii="Arial" w:cs="Arial" w:eastAsia="Arial" w:hAnsi="Arial"/>
          <w:sz w:val="15"/>
          <w:szCs w:val="15"/>
          <w:b w:val="1"/>
          <w:bCs w:val="1"/>
          <w:u w:val="single" w:color="auto"/>
          <w:color w:val="auto"/>
        </w:rPr>
        <w:t>Second Additional TI Allowance</w:t>
      </w:r>
      <w:r>
        <w:rPr>
          <w:rFonts w:ascii="Arial" w:cs="Arial" w:eastAsia="Arial" w:hAnsi="Arial"/>
          <w:sz w:val="15"/>
          <w:szCs w:val="15"/>
          <w:color w:val="auto"/>
        </w:rPr>
        <w:t>. In addition to the Tenant Improvement Allowance, Tenant shall have the right, by written notice to</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given on or before the Lease Commencement Date, to use up to $20.00 per RSF of the Premises (i.e., up to $647,400.00) (the “</w:t>
      </w:r>
      <w:r>
        <w:rPr>
          <w:rFonts w:ascii="Arial" w:cs="Arial" w:eastAsia="Arial" w:hAnsi="Arial"/>
          <w:sz w:val="15"/>
          <w:szCs w:val="15"/>
          <w:b w:val="1"/>
          <w:bCs w:val="1"/>
          <w:color w:val="auto"/>
        </w:rPr>
        <w:t>Second</w:t>
      </w:r>
      <w:r>
        <w:rPr>
          <w:rFonts w:ascii="Arial" w:cs="Arial" w:eastAsia="Arial" w:hAnsi="Arial"/>
          <w:sz w:val="15"/>
          <w:szCs w:val="15"/>
          <w:color w:val="auto"/>
        </w:rPr>
        <w:t xml:space="preserve"> </w:t>
      </w:r>
      <w:r>
        <w:rPr>
          <w:rFonts w:ascii="Arial" w:cs="Arial" w:eastAsia="Arial" w:hAnsi="Arial"/>
          <w:sz w:val="15"/>
          <w:szCs w:val="15"/>
          <w:b w:val="1"/>
          <w:bCs w:val="1"/>
          <w:color w:val="auto"/>
        </w:rPr>
        <w:t>Additional TI Allowance</w:t>
      </w:r>
      <w:r>
        <w:rPr>
          <w:rFonts w:ascii="Arial" w:cs="Arial" w:eastAsia="Arial" w:hAnsi="Arial"/>
          <w:sz w:val="15"/>
          <w:szCs w:val="15"/>
          <w:color w:val="auto"/>
        </w:rPr>
        <w:t>”) towards the payment of the costs of the Tenant Improvement Allowance Items. In the event Tenant exercises its right to use</w:t>
      </w:r>
      <w:r>
        <w:rPr>
          <w:rFonts w:ascii="Arial" w:cs="Arial" w:eastAsia="Arial" w:hAnsi="Arial"/>
          <w:sz w:val="15"/>
          <w:szCs w:val="15"/>
          <w:b w:val="1"/>
          <w:bCs w:val="1"/>
          <w:color w:val="auto"/>
        </w:rPr>
        <w:t xml:space="preserve"> </w:t>
      </w:r>
      <w:r>
        <w:rPr>
          <w:rFonts w:ascii="Arial" w:cs="Arial" w:eastAsia="Arial" w:hAnsi="Arial"/>
          <w:sz w:val="15"/>
          <w:szCs w:val="15"/>
          <w:color w:val="auto"/>
        </w:rPr>
        <w:t>all or any portion of the Second Additional TI Allowance, Tenant shall be required to pay Landlord, commencing on the date the Tenant Improvements are completed (the “</w:t>
      </w:r>
      <w:r>
        <w:rPr>
          <w:rFonts w:ascii="Arial" w:cs="Arial" w:eastAsia="Arial" w:hAnsi="Arial"/>
          <w:sz w:val="15"/>
          <w:szCs w:val="15"/>
          <w:b w:val="1"/>
          <w:bCs w:val="1"/>
          <w:color w:val="auto"/>
        </w:rPr>
        <w:t>Additional Payment Commencement Date</w:t>
      </w:r>
      <w:r>
        <w:rPr>
          <w:rFonts w:ascii="Arial" w:cs="Arial" w:eastAsia="Arial" w:hAnsi="Arial"/>
          <w:sz w:val="15"/>
          <w:szCs w:val="15"/>
          <w:color w:val="auto"/>
        </w:rPr>
        <w:t>”), the “Second Additional TI Allowance Payment,” as that term is defined below, in consideration of Landlord provision of the Second Additional TI Allowance. The “</w:t>
      </w:r>
      <w:r>
        <w:rPr>
          <w:rFonts w:ascii="Arial" w:cs="Arial" w:eastAsia="Arial" w:hAnsi="Arial"/>
          <w:sz w:val="15"/>
          <w:szCs w:val="15"/>
          <w:b w:val="1"/>
          <w:bCs w:val="1"/>
          <w:color w:val="auto"/>
        </w:rPr>
        <w:t>Second Additional TI Allowance Payment</w:t>
      </w:r>
      <w:r>
        <w:rPr>
          <w:rFonts w:ascii="Arial" w:cs="Arial" w:eastAsia="Arial" w:hAnsi="Arial"/>
          <w:sz w:val="15"/>
          <w:szCs w:val="15"/>
          <w:color w:val="auto"/>
        </w:rPr>
        <w:t>” shall be determined as the missing component of an annuity, which annuity shall have (i) the amount of the Second Additional TI Allowance utilized by Tenant as the present value amount, (ii) a number equal to the number of full calendar months then remaining in the Lease Term as the number of payments, (iii) a monthly interest factor equal to ninety-two</w:t>
      </w:r>
    </w:p>
    <w:p>
      <w:pPr>
        <w:sectPr>
          <w:pgSz w:w="11900" w:h="16838" w:orient="portrait"/>
          <w:cols w:equalWidth="0" w:num="1">
            <w:col w:w="9586"/>
          </w:cols>
          <w:pgMar w:left="1134" w:top="257" w:right="1179" w:bottom="1440" w:gutter="0" w:footer="0" w:header="0"/>
        </w:sectPr>
      </w:pPr>
    </w:p>
    <w:bookmarkStart w:id="403" w:name="page404"/>
    <w:bookmarkEnd w:id="403"/>
    <w:p>
      <w:pPr>
        <w:ind w:left="6" w:right="60"/>
        <w:spacing w:after="0" w:line="28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90105" cy="34290"/>
                    </a:xfrm>
                    <a:prstGeom prst="rect">
                      <a:avLst/>
                    </a:prstGeom>
                    <a:noFill/>
                  </pic:spPr>
                </pic:pic>
              </a:graphicData>
            </a:graphic>
          </wp:anchor>
        </w:drawing>
        <w:t xml:space="preserve">one-hundredths percent (0.92%), which is equal to eleven percent (11%) divided by twelve (12) months per year, and (iv) the Second Additional TI Allowance Payment as the missing component of the annuity. Following the calculation of the Second Additional TI Allowance Payment, Landlord and Tenant will enter into a lease amendment in the form of </w:t>
      </w:r>
      <w:r>
        <w:rPr>
          <w:rFonts w:ascii="Arial" w:cs="Arial" w:eastAsia="Arial" w:hAnsi="Arial"/>
          <w:sz w:val="15"/>
          <w:szCs w:val="15"/>
          <w:b w:val="1"/>
          <w:bCs w:val="1"/>
          <w:u w:val="single" w:color="auto"/>
          <w:color w:val="auto"/>
        </w:rPr>
        <w:t>Exhibit G</w:t>
      </w:r>
      <w:r>
        <w:rPr>
          <w:rFonts w:ascii="Arial" w:cs="Arial" w:eastAsia="Arial" w:hAnsi="Arial"/>
          <w:sz w:val="15"/>
          <w:szCs w:val="15"/>
          <w:color w:val="auto"/>
        </w:rPr>
        <w:t xml:space="preserve"> attached hereto, to confirm the amount thereof.</w:t>
      </w:r>
    </w:p>
    <w:p>
      <w:pPr>
        <w:spacing w:after="0" w:line="145" w:lineRule="exact"/>
        <w:rPr>
          <w:sz w:val="20"/>
          <w:szCs w:val="20"/>
          <w:color w:val="auto"/>
        </w:rPr>
      </w:pPr>
    </w:p>
    <w:p>
      <w:pPr>
        <w:ind w:left="6" w:firstLine="860"/>
        <w:spacing w:after="0" w:line="313" w:lineRule="auto"/>
        <w:tabs>
          <w:tab w:leader="none" w:pos="1094" w:val="left"/>
        </w:tabs>
        <w:numPr>
          <w:ilvl w:val="2"/>
          <w:numId w:val="284"/>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Funds</w:t>
      </w:r>
      <w:r>
        <w:rPr>
          <w:rFonts w:ascii="Arial" w:cs="Arial" w:eastAsia="Arial" w:hAnsi="Arial"/>
          <w:sz w:val="13"/>
          <w:szCs w:val="13"/>
          <w:color w:val="auto"/>
        </w:rPr>
        <w:t>. For additional funds required to complete the cost of the work, that are in excess of or elected by the Tenant to be used</w:t>
      </w:r>
      <w:r>
        <w:rPr>
          <w:rFonts w:ascii="Arial" w:cs="Arial" w:eastAsia="Arial" w:hAnsi="Arial"/>
          <w:sz w:val="13"/>
          <w:szCs w:val="13"/>
          <w:b w:val="1"/>
          <w:bCs w:val="1"/>
          <w:color w:val="auto"/>
        </w:rPr>
        <w:t xml:space="preserve"> </w:t>
      </w:r>
      <w:r>
        <w:rPr>
          <w:rFonts w:ascii="Arial" w:cs="Arial" w:eastAsia="Arial" w:hAnsi="Arial"/>
          <w:sz w:val="13"/>
          <w:szCs w:val="13"/>
          <w:color w:val="auto"/>
        </w:rPr>
        <w:t>in place of the Tenant Improvement Allowance, the First Additional TI Allowance, and the Second Additional TI Allowance, these shall be considered “</w:t>
      </w:r>
      <w:r>
        <w:rPr>
          <w:rFonts w:ascii="Arial" w:cs="Arial" w:eastAsia="Arial" w:hAnsi="Arial"/>
          <w:sz w:val="13"/>
          <w:szCs w:val="13"/>
          <w:b w:val="1"/>
          <w:bCs w:val="1"/>
          <w:color w:val="auto"/>
        </w:rPr>
        <w:t>Tenant Funds</w:t>
      </w:r>
      <w:r>
        <w:rPr>
          <w:rFonts w:ascii="Arial" w:cs="Arial" w:eastAsia="Arial" w:hAnsi="Arial"/>
          <w:sz w:val="13"/>
          <w:szCs w:val="13"/>
          <w:color w:val="auto"/>
        </w:rPr>
        <w:t>.” The total cost to construct the Tenant Improvements as managed by Landlord and the Project Manager under this Work Letter shall be the “</w:t>
      </w:r>
      <w:r>
        <w:rPr>
          <w:rFonts w:ascii="Arial" w:cs="Arial" w:eastAsia="Arial" w:hAnsi="Arial"/>
          <w:sz w:val="13"/>
          <w:szCs w:val="13"/>
          <w:b w:val="1"/>
          <w:bCs w:val="1"/>
          <w:color w:val="auto"/>
        </w:rPr>
        <w:t>Project Budget</w:t>
      </w:r>
      <w:r>
        <w:rPr>
          <w:rFonts w:ascii="Arial" w:cs="Arial" w:eastAsia="Arial" w:hAnsi="Arial"/>
          <w:sz w:val="13"/>
          <w:szCs w:val="13"/>
          <w:color w:val="auto"/>
        </w:rPr>
        <w:t>.” The Landlord understands that at the time of the agreed upon Guaranteed Maximum Price (GMP), the Tenant Funds amount is an estimate and exact costs will not be known until project closeout. The Tenant is required, at the time of agreement of the GMP, to provide a purchase order to the Landlord for the full estimated amount of the Tenant Funds. In the event the Tenant Funds at project closeout are less than the amount agreed upon within the Project Budget, the Landlord will only bill the Tenant for the Tenant Funds that have been utilized. In the event the Tenant Funds exceed the amount agreed upon within the Project Budget, through added scope changes, the Tenant shall provide additional purchases orders to the Landlord, which will be included in the Tenant Change Request process that the Landlord’s representative administers.</w:t>
      </w:r>
    </w:p>
    <w:p>
      <w:pPr>
        <w:spacing w:after="0" w:line="131" w:lineRule="exact"/>
        <w:rPr>
          <w:rFonts w:ascii="Arial" w:cs="Arial" w:eastAsia="Arial" w:hAnsi="Arial"/>
          <w:sz w:val="13"/>
          <w:szCs w:val="13"/>
          <w:color w:val="auto"/>
        </w:rPr>
      </w:pPr>
    </w:p>
    <w:p>
      <w:pPr>
        <w:ind w:left="546" w:hanging="162"/>
        <w:spacing w:after="0"/>
        <w:tabs>
          <w:tab w:leader="none" w:pos="546" w:val="left"/>
        </w:tabs>
        <w:numPr>
          <w:ilvl w:val="1"/>
          <w:numId w:val="285"/>
        </w:numPr>
        <w:rPr>
          <w:rFonts w:ascii="Arial" w:cs="Arial" w:eastAsia="Arial" w:hAnsi="Arial"/>
          <w:sz w:val="16"/>
          <w:szCs w:val="16"/>
          <w:color w:val="auto"/>
        </w:rPr>
      </w:pPr>
      <w:r>
        <w:rPr>
          <w:rFonts w:ascii="Arial" w:cs="Arial" w:eastAsia="Arial" w:hAnsi="Arial"/>
          <w:sz w:val="16"/>
          <w:szCs w:val="16"/>
          <w:b w:val="1"/>
          <w:bCs w:val="1"/>
          <w:u w:val="single" w:color="auto"/>
          <w:color w:val="auto"/>
        </w:rPr>
        <w:t>No Agency</w:t>
      </w:r>
      <w:r>
        <w:rPr>
          <w:rFonts w:ascii="Arial" w:cs="Arial" w:eastAsia="Arial" w:hAnsi="Arial"/>
          <w:sz w:val="16"/>
          <w:szCs w:val="16"/>
          <w:color w:val="auto"/>
        </w:rPr>
        <w:t>. Nothing contained in this Tenant Work Letter shall make or constitute Tenant as the agent of Landlord.</w:t>
      </w:r>
    </w:p>
    <w:p>
      <w:pPr>
        <w:spacing w:after="0" w:line="193" w:lineRule="exact"/>
        <w:rPr>
          <w:rFonts w:ascii="Arial" w:cs="Arial" w:eastAsia="Arial" w:hAnsi="Arial"/>
          <w:sz w:val="16"/>
          <w:szCs w:val="16"/>
          <w:color w:val="auto"/>
        </w:rPr>
      </w:pPr>
    </w:p>
    <w:p>
      <w:pPr>
        <w:jc w:val="both"/>
        <w:ind w:left="6" w:right="180" w:firstLine="378"/>
        <w:spacing w:after="0" w:line="315" w:lineRule="auto"/>
        <w:tabs>
          <w:tab w:leader="none" w:pos="548" w:val="left"/>
        </w:tabs>
        <w:numPr>
          <w:ilvl w:val="1"/>
          <w:numId w:val="285"/>
        </w:numPr>
        <w:rPr>
          <w:rFonts w:ascii="Arial" w:cs="Arial" w:eastAsia="Arial" w:hAnsi="Arial"/>
          <w:sz w:val="13"/>
          <w:szCs w:val="13"/>
          <w:color w:val="auto"/>
        </w:rPr>
      </w:pPr>
      <w:r>
        <w:rPr>
          <w:rFonts w:ascii="Arial" w:cs="Arial" w:eastAsia="Arial" w:hAnsi="Arial"/>
          <w:sz w:val="13"/>
          <w:szCs w:val="13"/>
          <w:b w:val="1"/>
          <w:bCs w:val="1"/>
          <w:u w:val="single" w:color="auto"/>
          <w:color w:val="auto"/>
        </w:rPr>
        <w:t>Tenant Access</w:t>
      </w:r>
      <w:r>
        <w:rPr>
          <w:rFonts w:ascii="Arial" w:cs="Arial" w:eastAsia="Arial" w:hAnsi="Arial"/>
          <w:sz w:val="13"/>
          <w:szCs w:val="13"/>
          <w:color w:val="auto"/>
        </w:rPr>
        <w:t>. Provided that Tenant and its agents do not interfere with Contactor’s work in the Building and the Premises (including by the</w:t>
      </w:r>
      <w:r>
        <w:rPr>
          <w:rFonts w:ascii="Arial" w:cs="Arial" w:eastAsia="Arial" w:hAnsi="Arial"/>
          <w:sz w:val="13"/>
          <w:szCs w:val="13"/>
          <w:b w:val="1"/>
          <w:bCs w:val="1"/>
          <w:color w:val="auto"/>
        </w:rPr>
        <w:t xml:space="preserve"> </w:t>
      </w:r>
      <w:r>
        <w:rPr>
          <w:rFonts w:ascii="Arial" w:cs="Arial" w:eastAsia="Arial" w:hAnsi="Arial"/>
          <w:sz w:val="13"/>
          <w:szCs w:val="13"/>
          <w:color w:val="auto"/>
        </w:rPr>
        <w:t>use of non-union vendors without prior coordination with Landlord), Contractor and Landlord shall allow Tenant access to the Premises at least thirty</w:t>
      </w:r>
    </w:p>
    <w:p>
      <w:pPr>
        <w:ind w:left="6" w:right="20" w:hanging="6"/>
        <w:spacing w:after="0" w:line="318" w:lineRule="auto"/>
        <w:tabs>
          <w:tab w:leader="none" w:pos="307" w:val="left"/>
        </w:tabs>
        <w:numPr>
          <w:ilvl w:val="0"/>
          <w:numId w:val="286"/>
        </w:numPr>
        <w:rPr>
          <w:rFonts w:ascii="Arial" w:cs="Arial" w:eastAsia="Arial" w:hAnsi="Arial"/>
          <w:sz w:val="13"/>
          <w:szCs w:val="13"/>
          <w:color w:val="auto"/>
        </w:rPr>
      </w:pPr>
      <w:r>
        <w:rPr>
          <w:rFonts w:ascii="Arial" w:cs="Arial" w:eastAsia="Arial" w:hAnsi="Arial"/>
          <w:sz w:val="13"/>
          <w:szCs w:val="13"/>
          <w:color w:val="auto"/>
        </w:rPr>
        <w:t xml:space="preserve">days prior to the Substantial Completion of the Landlord’s TI Work without payment of Rent for the purpose of Tenant installing equipment or fixtures (including Tenant’s data and telephone equipment) in the Premises and preparing the Premises for occupancy. Prior to Tenant’s entry into the Premises as permitted by the terms of this </w:t>
      </w:r>
      <w:r>
        <w:rPr>
          <w:rFonts w:ascii="Arial" w:cs="Arial" w:eastAsia="Arial" w:hAnsi="Arial"/>
          <w:sz w:val="13"/>
          <w:szCs w:val="13"/>
          <w:u w:val="single" w:color="auto"/>
          <w:color w:val="auto"/>
        </w:rPr>
        <w:t>Section</w:t>
      </w:r>
      <w:r>
        <w:rPr>
          <w:rFonts w:ascii="Arial" w:cs="Arial" w:eastAsia="Arial" w:hAnsi="Arial"/>
          <w:sz w:val="13"/>
          <w:szCs w:val="13"/>
          <w:color w:val="auto"/>
        </w:rPr>
        <w:t xml:space="preserve"> 6, Tenant shall submit a schedule to Landlord and Contractor, for their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Arial" w:cs="Arial" w:eastAsia="Arial" w:hAnsi="Arial"/>
          <w:sz w:val="13"/>
          <w:szCs w:val="13"/>
          <w:u w:val="single" w:color="auto"/>
          <w:color w:val="auto"/>
        </w:rPr>
        <w:t>Section 6</w:t>
      </w:r>
      <w:r>
        <w:rPr>
          <w:rFonts w:ascii="Arial" w:cs="Arial" w:eastAsia="Arial" w:hAnsi="Arial"/>
          <w:sz w:val="13"/>
          <w:szCs w:val="13"/>
          <w:color w:val="auto"/>
        </w:rPr>
        <w:t>.</w:t>
      </w:r>
    </w:p>
    <w:p>
      <w:pPr>
        <w:spacing w:after="0" w:line="126" w:lineRule="exact"/>
        <w:rPr>
          <w:rFonts w:ascii="Arial" w:cs="Arial" w:eastAsia="Arial" w:hAnsi="Arial"/>
          <w:sz w:val="13"/>
          <w:szCs w:val="13"/>
          <w:color w:val="auto"/>
        </w:rPr>
      </w:pPr>
    </w:p>
    <w:p>
      <w:pPr>
        <w:ind w:left="6" w:firstLine="378"/>
        <w:spacing w:after="0" w:line="316" w:lineRule="auto"/>
        <w:tabs>
          <w:tab w:leader="none" w:pos="548" w:val="left"/>
        </w:tabs>
        <w:numPr>
          <w:ilvl w:val="1"/>
          <w:numId w:val="286"/>
        </w:numPr>
        <w:rPr>
          <w:rFonts w:ascii="Arial" w:cs="Arial" w:eastAsia="Arial" w:hAnsi="Arial"/>
          <w:sz w:val="13"/>
          <w:szCs w:val="13"/>
          <w:color w:val="auto"/>
        </w:rPr>
      </w:pP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All references in this Tenant Work Letter to a number of days shall be construed to refer to calendar days, unless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specified herein. In all instances where Landlord’s or Tenant’s approval is required, if no written notice of disapproval is given within the applicable time period, at the end of that period Landlord or Tenant shall be deemed to have given approval (unless the provision requiring Landlord’s or Tenant’s approval expressly states that non-response is deemed to be a disapproval or withdrawal of the pending action or request, in which event such express statement shall be controlling over the general statement set forth in this sentence) and the next succeeding time period shall commence. If any item requiring approval is disapproved by Landlord or Tenant (as applicable) in a timely manner, the procedure for preparation of that item and approval shall be repeated. Landlord hereby acknowledges that Tenant shall not be required to restore the initial Tenant Improvements constructed in the Premises pursuant to the terms of this Tenant Work Letter upon the termination of the Lease.</w:t>
      </w:r>
    </w:p>
    <w:p>
      <w:pPr>
        <w:spacing w:after="0" w:line="319" w:lineRule="exact"/>
        <w:rPr>
          <w:rFonts w:ascii="Arial" w:cs="Arial" w:eastAsia="Arial" w:hAnsi="Arial"/>
          <w:sz w:val="13"/>
          <w:szCs w:val="13"/>
          <w:color w:val="auto"/>
        </w:rPr>
      </w:pPr>
    </w:p>
    <w:p>
      <w:pPr>
        <w:ind w:left="6" w:right="220" w:firstLine="378"/>
        <w:spacing w:after="0" w:line="273" w:lineRule="auto"/>
        <w:tabs>
          <w:tab w:leader="none" w:pos="548" w:val="left"/>
        </w:tabs>
        <w:numPr>
          <w:ilvl w:val="1"/>
          <w:numId w:val="286"/>
        </w:numPr>
        <w:rPr>
          <w:rFonts w:ascii="Arial" w:cs="Arial" w:eastAsia="Arial" w:hAnsi="Arial"/>
          <w:sz w:val="15"/>
          <w:szCs w:val="15"/>
          <w:color w:val="auto"/>
        </w:rPr>
      </w:pPr>
      <w:r>
        <w:rPr>
          <w:rFonts w:ascii="Arial" w:cs="Arial" w:eastAsia="Arial" w:hAnsi="Arial"/>
          <w:sz w:val="15"/>
          <w:szCs w:val="15"/>
          <w:b w:val="1"/>
          <w:bCs w:val="1"/>
          <w:u w:val="single" w:color="auto"/>
          <w:color w:val="auto"/>
        </w:rPr>
        <w:t>Time Deadlines</w:t>
      </w:r>
      <w:r>
        <w:rPr>
          <w:rFonts w:ascii="Arial" w:cs="Arial" w:eastAsia="Arial" w:hAnsi="Arial"/>
          <w:sz w:val="15"/>
          <w:szCs w:val="15"/>
          <w:color w:val="auto"/>
        </w:rPr>
        <w:t>. Tenant shall use commercially reasonable, good faith, efforts and all due diligence to cooperate with the Architect, General</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Contractor and Landlord to complete all phases of the construction drawings set forth in this Tenant Work Letter and the permitting process and to receive the permits as soon as possible after the execution of the. The applicable dates for approval of items, plans and drawings as described in this Tenant Work Letter are set forth and further elaborated upon in Schedule 3 to this Exhibit B attached hereto (the “</w:t>
      </w:r>
      <w:r>
        <w:rPr>
          <w:rFonts w:ascii="Arial" w:cs="Arial" w:eastAsia="Arial" w:hAnsi="Arial"/>
          <w:sz w:val="15"/>
          <w:szCs w:val="15"/>
          <w:b w:val="1"/>
          <w:bCs w:val="1"/>
          <w:color w:val="auto"/>
        </w:rPr>
        <w:t>Time Deadlines</w:t>
      </w:r>
      <w:r>
        <w:rPr>
          <w:rFonts w:ascii="Arial" w:cs="Arial" w:eastAsia="Arial" w:hAnsi="Arial"/>
          <w:sz w:val="15"/>
          <w:szCs w:val="15"/>
          <w:color w:val="auto"/>
        </w:rPr>
        <w:t>”), attached hereto. Tenant agrees to utilize commercially reasonable efforts to comply with the Time Deadlines.</w:t>
      </w:r>
    </w:p>
    <w:p>
      <w:pPr>
        <w:spacing w:after="0" w:line="150" w:lineRule="exact"/>
        <w:rPr>
          <w:rFonts w:ascii="Arial" w:cs="Arial" w:eastAsia="Arial" w:hAnsi="Arial"/>
          <w:sz w:val="15"/>
          <w:szCs w:val="15"/>
          <w:color w:val="auto"/>
        </w:rPr>
      </w:pPr>
    </w:p>
    <w:p>
      <w:pPr>
        <w:ind w:left="6" w:right="360" w:firstLine="378"/>
        <w:spacing w:after="0" w:line="284" w:lineRule="auto"/>
        <w:tabs>
          <w:tab w:leader="none" w:pos="548" w:val="left"/>
        </w:tabs>
        <w:numPr>
          <w:ilvl w:val="1"/>
          <w:numId w:val="286"/>
        </w:numPr>
        <w:rPr>
          <w:rFonts w:ascii="Arial" w:cs="Arial" w:eastAsia="Arial" w:hAnsi="Arial"/>
          <w:sz w:val="15"/>
          <w:szCs w:val="15"/>
          <w:color w:val="auto"/>
        </w:rPr>
      </w:pPr>
      <w:r>
        <w:rPr>
          <w:rFonts w:ascii="Arial" w:cs="Arial" w:eastAsia="Arial" w:hAnsi="Arial"/>
          <w:sz w:val="15"/>
          <w:szCs w:val="15"/>
          <w:b w:val="1"/>
          <w:bCs w:val="1"/>
          <w:u w:val="single" w:color="auto"/>
          <w:color w:val="auto"/>
        </w:rPr>
        <w:t>Rooftop Space</w:t>
      </w:r>
      <w:r>
        <w:rPr>
          <w:rFonts w:ascii="Arial" w:cs="Arial" w:eastAsia="Arial" w:hAnsi="Arial"/>
          <w:sz w:val="15"/>
          <w:szCs w:val="15"/>
          <w:color w:val="auto"/>
        </w:rPr>
        <w:t>. Tenant hereby acknowledges that to the extent either (i) any portion of the Tenant Improvements, or (ii) any of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equipment installed in the Premises, requires a portion of the roof to be utilized by Tenant, that Tenant shall only be permitted to utilize that certain portion of the roof designated as “Zone 3” on </w:t>
      </w:r>
      <w:r>
        <w:rPr>
          <w:rFonts w:ascii="Arial" w:cs="Arial" w:eastAsia="Arial" w:hAnsi="Arial"/>
          <w:sz w:val="15"/>
          <w:szCs w:val="15"/>
          <w:u w:val="single" w:color="auto"/>
          <w:color w:val="auto"/>
        </w:rPr>
        <w:t>Schedule 4</w:t>
      </w:r>
      <w:r>
        <w:rPr>
          <w:rFonts w:ascii="Arial" w:cs="Arial" w:eastAsia="Arial" w:hAnsi="Arial"/>
          <w:sz w:val="15"/>
          <w:szCs w:val="15"/>
          <w:color w:val="auto"/>
        </w:rPr>
        <w:t xml:space="preserve"> to this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(the “</w:t>
      </w:r>
      <w:r>
        <w:rPr>
          <w:rFonts w:ascii="Arial" w:cs="Arial" w:eastAsia="Arial" w:hAnsi="Arial"/>
          <w:sz w:val="15"/>
          <w:szCs w:val="15"/>
          <w:b w:val="1"/>
          <w:bCs w:val="1"/>
          <w:color w:val="auto"/>
        </w:rPr>
        <w:t>Rooftop Space</w:t>
      </w:r>
      <w:r>
        <w:rPr>
          <w:rFonts w:ascii="Arial" w:cs="Arial" w:eastAsia="Arial" w:hAnsi="Arial"/>
          <w:sz w:val="15"/>
          <w:szCs w:val="15"/>
          <w:color w:val="auto"/>
        </w:rPr>
        <w:t>”).</w:t>
      </w:r>
    </w:p>
    <w:p>
      <w:pPr>
        <w:spacing w:after="0" w:line="142" w:lineRule="exact"/>
        <w:rPr>
          <w:rFonts w:ascii="Arial" w:cs="Arial" w:eastAsia="Arial" w:hAnsi="Arial"/>
          <w:sz w:val="15"/>
          <w:szCs w:val="15"/>
          <w:color w:val="auto"/>
        </w:rPr>
      </w:pPr>
    </w:p>
    <w:p>
      <w:pPr>
        <w:ind w:left="6" w:right="420" w:firstLine="378"/>
        <w:spacing w:after="0" w:line="272" w:lineRule="auto"/>
        <w:tabs>
          <w:tab w:leader="none" w:pos="626" w:val="left"/>
        </w:tabs>
        <w:numPr>
          <w:ilvl w:val="1"/>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Standard Tenant Improvement Package Specifications</w:t>
      </w:r>
      <w:r>
        <w:rPr>
          <w:rFonts w:ascii="Arial" w:cs="Arial" w:eastAsia="Arial" w:hAnsi="Arial"/>
          <w:sz w:val="16"/>
          <w:szCs w:val="16"/>
          <w:color w:val="auto"/>
        </w:rPr>
        <w:t>. Tenant hereby acknowledges that the Tenant Improvements are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specifications set forth on </w:t>
      </w:r>
      <w:r>
        <w:rPr>
          <w:rFonts w:ascii="Arial" w:cs="Arial" w:eastAsia="Arial" w:hAnsi="Arial"/>
          <w:sz w:val="16"/>
          <w:szCs w:val="16"/>
          <w:u w:val="single" w:color="auto"/>
          <w:color w:val="auto"/>
        </w:rPr>
        <w:t>Schedule 5</w:t>
      </w:r>
      <w:r>
        <w:rPr>
          <w:rFonts w:ascii="Arial" w:cs="Arial" w:eastAsia="Arial" w:hAnsi="Arial"/>
          <w:sz w:val="16"/>
          <w:szCs w:val="16"/>
          <w:color w:val="auto"/>
        </w:rPr>
        <w:t xml:space="preserve"> to this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w:t>
      </w:r>
    </w:p>
    <w:p>
      <w:pPr>
        <w:sectPr>
          <w:pgSz w:w="11900" w:h="16838" w:orient="portrait"/>
          <w:cols w:equalWidth="0" w:num="1">
            <w:col w:w="9606"/>
          </w:cols>
          <w:pgMar w:left="1134" w:top="256" w:right="1159" w:bottom="1440" w:gutter="0" w:footer="0" w:header="0"/>
        </w:sectPr>
      </w:pPr>
    </w:p>
    <w:bookmarkStart w:id="404" w:name="page405"/>
    <w:bookmarkEnd w:id="404"/>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1 TO EXHIBIT B</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BASE BUILDING “WARM SHELL” DELIVERY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SITEWORK</w:t>
      </w:r>
    </w:p>
    <w:p>
      <w:pPr>
        <w:spacing w:after="0" w:line="15" w:lineRule="exact"/>
        <w:rPr>
          <w:sz w:val="20"/>
          <w:szCs w:val="20"/>
          <w:color w:val="auto"/>
        </w:rPr>
      </w:pPr>
    </w:p>
    <w:p>
      <w:pPr>
        <w:ind w:left="620" w:right="160" w:hanging="312"/>
        <w:spacing w:after="0" w:line="246" w:lineRule="auto"/>
        <w:tabs>
          <w:tab w:leader="none" w:pos="6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Exterior hardscape and landscape, including site lighting, perimeter sidewalks, street curbs, miscellaneous site furnishings, and bio-retention basins</w:t>
      </w: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Surface parking lot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Bike racks in exterior parking lot and bike lockers in podium parking garage for pro rata allocation amongst Tenants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Campus electrical vehicle charging stations for pro rata allocation amongst Tenants</w:t>
      </w:r>
    </w:p>
    <w:p>
      <w:pPr>
        <w:spacing w:after="0" w:line="4" w:lineRule="exact"/>
        <w:rPr>
          <w:rFonts w:ascii="Arial" w:cs="Arial" w:eastAsia="Arial" w:hAnsi="Arial"/>
          <w:sz w:val="16"/>
          <w:szCs w:val="16"/>
          <w:color w:val="auto"/>
        </w:rPr>
      </w:pPr>
    </w:p>
    <w:p>
      <w:pPr>
        <w:ind w:left="620" w:right="320" w:hanging="312"/>
        <w:spacing w:after="0" w:line="246" w:lineRule="auto"/>
        <w:tabs>
          <w:tab w:leader="none" w:pos="6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Exterior amenities space including all hardscape and landscape, lighting, and recreational infrastructure (volleyball/basketball sport court, bocce ball, trellis)</w:t>
      </w: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Bus stop wind screens for local commuter shuttle service</w:t>
      </w:r>
    </w:p>
    <w:p>
      <w:pPr>
        <w:spacing w:after="0" w:line="4" w:lineRule="exact"/>
        <w:rPr>
          <w:rFonts w:ascii="Arial" w:cs="Arial" w:eastAsia="Arial" w:hAnsi="Arial"/>
          <w:sz w:val="16"/>
          <w:szCs w:val="16"/>
          <w:color w:val="auto"/>
        </w:rPr>
      </w:pPr>
    </w:p>
    <w:p>
      <w:pPr>
        <w:ind w:left="620" w:hanging="312"/>
        <w:spacing w:after="0" w:line="246" w:lineRule="auto"/>
        <w:tabs>
          <w:tab w:leader="none" w:pos="61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Service yard foundation, structure, covered enclosure, and waterproofing for trash containers and dedicated nitrogen storage area for allocation amongst tenants per lease agreement</w:t>
      </w: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Foundation and enclosure for Landlord provided diesel powered emergency generator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Loading dock with at-grade shipping/receiving area with (2) hydraulic scissor lifts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STRUCTURE</w:t>
      </w:r>
    </w:p>
    <w:p>
      <w:pPr>
        <w:spacing w:after="0" w:line="20" w:lineRule="exact"/>
        <w:rPr>
          <w:sz w:val="20"/>
          <w:szCs w:val="20"/>
          <w:color w:val="auto"/>
        </w:rPr>
      </w:pPr>
    </w:p>
    <w:p>
      <w:pPr>
        <w:ind w:left="620" w:right="280" w:hanging="312"/>
        <w:spacing w:after="0" w:line="246" w:lineRule="auto"/>
        <w:tabs>
          <w:tab w:leader="none" w:pos="61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Pile supported structural slab-on-grade foundation system consisting of steel-reinforced concrete auger-cast piles, pile caps, and horizontal grade beams</w:t>
      </w:r>
    </w:p>
    <w:p>
      <w:pPr>
        <w:ind w:left="620" w:right="40" w:hanging="312"/>
        <w:spacing w:after="0" w:line="246" w:lineRule="auto"/>
        <w:tabs>
          <w:tab w:leader="none" w:pos="612"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Steel superstructure consisting of steel columns, girders, beams, and concrete slab on composite metal deck, with live load capacity of 125 psf (reducible)</w:t>
      </w: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Type II A construction, code required primary structural fireproofing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Slab edge fire safing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Lateral seismic system utilizing buckling-restrained braced frames. Importance factor is 1.0</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Roof deck framing with live load capacity of 20 psf</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Mechanical platform and roof penthouse with live load capacity of 75 psf</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Roof screen</w:t>
      </w:r>
    </w:p>
    <w:p>
      <w:pPr>
        <w:sectPr>
          <w:pgSz w:w="11900" w:h="16838" w:orient="portrait"/>
          <w:cols w:equalWidth="0" w:num="1">
            <w:col w:w="9600"/>
          </w:cols>
          <w:pgMar w:left="1140" w:top="252" w:right="1159" w:bottom="1440" w:gutter="0" w:footer="0" w:header="0"/>
        </w:sectPr>
      </w:pPr>
    </w:p>
    <w:bookmarkStart w:id="405" w:name="page406"/>
    <w:bookmarkEnd w:id="405"/>
    <w:p>
      <w:pPr>
        <w:jc w:val="center"/>
        <w:ind w:right="-2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Floor to floor height of 17’, all floors (podium at 14’)</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Framed openings for Base Building utility risers</w:t>
      </w:r>
    </w:p>
    <w:p>
      <w:pPr>
        <w:spacing w:after="0" w:line="4" w:lineRule="exact"/>
        <w:rPr>
          <w:rFonts w:ascii="Arial" w:cs="Arial" w:eastAsia="Arial" w:hAnsi="Arial"/>
          <w:sz w:val="16"/>
          <w:szCs w:val="16"/>
          <w:color w:val="auto"/>
        </w:rPr>
      </w:pPr>
    </w:p>
    <w:p>
      <w:pPr>
        <w:ind w:left="620" w:right="40" w:hanging="312"/>
        <w:spacing w:after="0" w:line="246" w:lineRule="auto"/>
        <w:tabs>
          <w:tab w:leader="none" w:pos="606" w:val="left"/>
        </w:tabs>
        <w:numPr>
          <w:ilvl w:val="0"/>
          <w:numId w:val="289"/>
        </w:numPr>
        <w:rPr>
          <w:rFonts w:ascii="Arial" w:cs="Arial" w:eastAsia="Arial" w:hAnsi="Arial"/>
          <w:sz w:val="16"/>
          <w:szCs w:val="16"/>
          <w:color w:val="auto"/>
        </w:rPr>
      </w:pPr>
      <w:r>
        <w:rPr>
          <w:rFonts w:ascii="Arial" w:cs="Arial" w:eastAsia="Arial" w:hAnsi="Arial"/>
          <w:sz w:val="16"/>
          <w:szCs w:val="16"/>
          <w:color w:val="auto"/>
        </w:rPr>
        <w:t>Stairs and stair enclosures per code requirements, including enclosure doors, handrails, and guardrails. Roof penthouse access for (1) set of stairs</w:t>
      </w:r>
    </w:p>
    <w:p>
      <w:pPr>
        <w:ind w:left="620" w:hanging="312"/>
        <w:spacing w:after="0"/>
        <w:tabs>
          <w:tab w:leader="none" w:pos="6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Window washing davit bases and arms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Miscellaneous metals items and/or concrete pads for Base Building equipment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ROOFING</w:t>
      </w:r>
    </w:p>
    <w:p>
      <w:pPr>
        <w:spacing w:after="0" w:line="20" w:lineRule="exact"/>
        <w:rPr>
          <w:sz w:val="20"/>
          <w:szCs w:val="20"/>
          <w:color w:val="auto"/>
        </w:rPr>
      </w:pPr>
    </w:p>
    <w:p>
      <w:pPr>
        <w:ind w:left="620" w:hanging="312"/>
        <w:spacing w:after="0"/>
        <w:tabs>
          <w:tab w:leader="none" w:pos="6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60 MIL single-ply thermoplastic polyolefin (TPO) white or gray roof membrane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Rigid insulation, flashing, and sealants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Roofing penetrations for Base Building equipment/systems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Walkway pads along roof perimeter, outside of screened area</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EXTERIOR</w:t>
      </w:r>
    </w:p>
    <w:p>
      <w:pPr>
        <w:spacing w:after="0" w:line="20" w:lineRule="exact"/>
        <w:rPr>
          <w:sz w:val="20"/>
          <w:szCs w:val="20"/>
          <w:color w:val="auto"/>
        </w:rPr>
      </w:pPr>
    </w:p>
    <w:p>
      <w:pPr>
        <w:ind w:left="620" w:hanging="312"/>
        <w:spacing w:after="0"/>
        <w:tabs>
          <w:tab w:leader="none" w:pos="6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Non load-bearing glazed aluminum curtain wall and glass fiber reinforced concrete (GFRC) panel building enclosure system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Building entrances and openings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Opening for freight elevator access in Service Yard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Service Yard overhead door, serving Base Building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1"/>
        </w:numPr>
        <w:rPr>
          <w:rFonts w:ascii="Arial" w:cs="Arial" w:eastAsia="Arial" w:hAnsi="Arial"/>
          <w:sz w:val="16"/>
          <w:szCs w:val="16"/>
          <w:color w:val="auto"/>
        </w:rPr>
      </w:pPr>
      <w:r>
        <w:rPr>
          <w:rFonts w:ascii="Arial" w:cs="Arial" w:eastAsia="Arial" w:hAnsi="Arial"/>
          <w:sz w:val="16"/>
          <w:szCs w:val="16"/>
          <w:color w:val="auto"/>
        </w:rPr>
        <w:t>Service Yard rolling green screen gate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AREAS</w:t>
      </w:r>
    </w:p>
    <w:p>
      <w:pPr>
        <w:spacing w:after="0" w:line="20" w:lineRule="exact"/>
        <w:rPr>
          <w:sz w:val="20"/>
          <w:szCs w:val="20"/>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Podium parking area with card reader controlled lift gate and roll-up doors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Build-out of Main Lobby</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Stair enclosures painted at all building levels</w:t>
      </w:r>
    </w:p>
    <w:p>
      <w:pPr>
        <w:spacing w:after="0" w:line="4" w:lineRule="exact"/>
        <w:rPr>
          <w:rFonts w:ascii="Arial" w:cs="Arial" w:eastAsia="Arial" w:hAnsi="Arial"/>
          <w:sz w:val="16"/>
          <w:szCs w:val="16"/>
          <w:color w:val="auto"/>
        </w:rPr>
      </w:pPr>
    </w:p>
    <w:p>
      <w:pPr>
        <w:ind w:left="620" w:hanging="312"/>
        <w:spacing w:after="0" w:line="246" w:lineRule="auto"/>
        <w:tabs>
          <w:tab w:leader="none" w:pos="60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Two (2) B-Occupancy Chemical Storage Rooms with 1-hour fire rated assembly, depressed pit (18”), and 100% outside air ventilation (900 cfm/room) for allocation amongst tenants per lease agreement.</w:t>
      </w: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Emergency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Domestic Pump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Fire Booster Pump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Elevator Control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Telecommunications Main Point of Entry (MPOE) Room</w:t>
      </w:r>
    </w:p>
    <w:p>
      <w:pPr>
        <w:sectPr>
          <w:pgSz w:w="11900" w:h="16838" w:orient="portrait"/>
          <w:cols w:equalWidth="0" w:num="1">
            <w:col w:w="9380"/>
          </w:cols>
          <w:pgMar w:left="1140" w:top="249" w:right="1379" w:bottom="1440" w:gutter="0" w:footer="0" w:header="0"/>
        </w:sectPr>
      </w:pPr>
    </w:p>
    <w:bookmarkStart w:id="406" w:name="page407"/>
    <w:bookmarkEnd w:id="406"/>
    <w:p>
      <w:pPr>
        <w:jc w:val="center"/>
        <w:ind w:right="-7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00" w:hanging="292"/>
        <w:spacing w:after="0"/>
        <w:tabs>
          <w:tab w:leader="none" w:pos="6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Service Yard/Loading Dock Area, including space for trash enclosure, nitrogen storage, and generator enclosure</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Usage of Amenities Space including food service, fitness center, and recreational area (located in Building 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ELEVATORS</w:t>
      </w:r>
    </w:p>
    <w:p>
      <w:pPr>
        <w:spacing w:after="0" w:line="20" w:lineRule="exact"/>
        <w:rPr>
          <w:sz w:val="20"/>
          <w:szCs w:val="20"/>
          <w:color w:val="auto"/>
        </w:rPr>
      </w:pPr>
    </w:p>
    <w:p>
      <w:pPr>
        <w:ind w:left="620" w:hanging="312"/>
        <w:spacing w:after="0"/>
        <w:tabs>
          <w:tab w:leader="none" w:pos="6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Two (2) passenger elevators; 3,500 lbs., 350 fpm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One (1) freight elevator; 5,000 lbs., 200 fpm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Recessed elevator pits for three (3) elevators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TENANT AREAS</w:t>
      </w:r>
    </w:p>
    <w:p>
      <w:pPr>
        <w:spacing w:after="0" w:line="20" w:lineRule="exact"/>
        <w:rPr>
          <w:sz w:val="20"/>
          <w:szCs w:val="20"/>
          <w:color w:val="auto"/>
        </w:rPr>
      </w:pPr>
    </w:p>
    <w:p>
      <w:pPr>
        <w:ind w:left="620" w:hanging="312"/>
        <w:spacing w:after="0" w:line="246" w:lineRule="auto"/>
        <w:tabs>
          <w:tab w:leader="none" w:pos="612" w:val="left"/>
        </w:tabs>
        <w:numPr>
          <w:ilvl w:val="0"/>
          <w:numId w:val="295"/>
        </w:numPr>
        <w:rPr>
          <w:rFonts w:ascii="Arial" w:cs="Arial" w:eastAsia="Arial" w:hAnsi="Arial"/>
          <w:sz w:val="16"/>
          <w:szCs w:val="16"/>
          <w:color w:val="auto"/>
        </w:rPr>
      </w:pPr>
      <w:r>
        <w:rPr>
          <w:rFonts w:ascii="Arial" w:cs="Arial" w:eastAsia="Arial" w:hAnsi="Arial"/>
          <w:sz w:val="16"/>
          <w:szCs w:val="16"/>
          <w:color w:val="auto"/>
        </w:rPr>
        <w:t>Restroom Cores: one (1) set per floor including Men’s and Women’s Restrooms with (1) ADA shower each with bench and lockers, ceramic tile floors and wet walls, solid surface countertops, floor mounted metal partitions, hard lid ceiling, down lights and ADA low-flow plumbing fixtures</w:t>
      </w: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Janitor Closet – one (1) per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Stud wall framing at restroom core to underside of slab</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Fire-rated assembly at restroom core to 6” above ceiling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Electrical Room – one (1) per floor consisting of concrete floor, unfinished drywall and taped walls, no ceiling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3"/>
          <w:szCs w:val="13"/>
          <w:color w:val="auto"/>
        </w:rPr>
      </w:pPr>
      <w:r>
        <w:rPr>
          <w:rFonts w:ascii="Arial" w:cs="Arial" w:eastAsia="Arial" w:hAnsi="Arial"/>
          <w:sz w:val="13"/>
          <w:szCs w:val="13"/>
          <w:color w:val="auto"/>
        </w:rPr>
        <w:t>Intermediate Distribution Frame (IDF) Room – one (1) per floor consisting of concrete floor, unfinished drywall and taped walls, no ceiling</w:t>
      </w:r>
    </w:p>
    <w:p>
      <w:pPr>
        <w:spacing w:after="0" w:line="39" w:lineRule="exact"/>
        <w:rPr>
          <w:rFonts w:ascii="Arial" w:cs="Arial" w:eastAsia="Arial" w:hAnsi="Arial"/>
          <w:sz w:val="13"/>
          <w:szCs w:val="13"/>
          <w:color w:val="auto"/>
        </w:rPr>
      </w:pPr>
    </w:p>
    <w:p>
      <w:pPr>
        <w:ind w:left="600" w:hanging="292"/>
        <w:spacing w:after="0"/>
        <w:tabs>
          <w:tab w:leader="none" w:pos="6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Accessible “Patio” – Fifth Floor only. Landlord-maintained retractable davit arms stored in enclosure on Tenant patio.</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Finishes at common corridors on floors with multiple Tenants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Shaft enclosures for Base Building system risers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FIRE PROTECTION</w:t>
      </w:r>
    </w:p>
    <w:p>
      <w:pPr>
        <w:spacing w:after="0" w:line="20" w:lineRule="exact"/>
        <w:rPr>
          <w:sz w:val="20"/>
          <w:szCs w:val="20"/>
          <w:color w:val="auto"/>
        </w:rPr>
      </w:pPr>
    </w:p>
    <w:p>
      <w:pPr>
        <w:ind w:left="620" w:hanging="312"/>
        <w:spacing w:after="0"/>
        <w:tabs>
          <w:tab w:leader="none" w:pos="6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Fire booster pump room including fire department connection, alarm valve, and fire sprinkler booster pump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Wet fire protection system (risers, Core area risers, distribution piping, and sprinkler heads)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Stair risers, distribution piping, and sprinkler heads for core and shell coverage</w:t>
      </w:r>
    </w:p>
    <w:p>
      <w:pPr>
        <w:sectPr>
          <w:pgSz w:w="11900" w:h="16838" w:orient="portrait"/>
          <w:cols w:equalWidth="0" w:num="1">
            <w:col w:w="9520"/>
          </w:cols>
          <w:pgMar w:left="1140" w:top="249" w:right="1239" w:bottom="1440" w:gutter="0" w:footer="0" w:header="0"/>
        </w:sectPr>
      </w:pPr>
    </w:p>
    <w:bookmarkStart w:id="407" w:name="page408"/>
    <w:bookmarkEnd w:id="407"/>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Primary distribution and sprinkler heads adequate for “Ordinary Hazard, Group 2” for core and shell coverage</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Fire extinguisher cabinets at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7"/>
        </w:numPr>
        <w:rPr>
          <w:rFonts w:ascii="Arial" w:cs="Arial" w:eastAsia="Arial" w:hAnsi="Arial"/>
          <w:sz w:val="16"/>
          <w:szCs w:val="16"/>
          <w:color w:val="auto"/>
        </w:rPr>
      </w:pPr>
      <w:r>
        <w:rPr>
          <w:rFonts w:ascii="Arial" w:cs="Arial" w:eastAsia="Arial" w:hAnsi="Arial"/>
          <w:sz w:val="16"/>
          <w:szCs w:val="16"/>
          <w:color w:val="auto"/>
        </w:rPr>
        <w:t>Fire safing at Base Building vertical penetrations, including penetrations for mechanical, electrical, and plumbing systems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PLUMBING</w:t>
      </w:r>
    </w:p>
    <w:p>
      <w:pPr>
        <w:spacing w:after="0" w:line="20" w:lineRule="exact"/>
        <w:rPr>
          <w:sz w:val="20"/>
          <w:szCs w:val="20"/>
          <w:color w:val="auto"/>
        </w:rPr>
      </w:pPr>
    </w:p>
    <w:p>
      <w:pPr>
        <w:ind w:left="620" w:hanging="312"/>
        <w:spacing w:after="0"/>
        <w:tabs>
          <w:tab w:leader="none" w:pos="620" w:val="left"/>
        </w:tabs>
        <w:numPr>
          <w:ilvl w:val="0"/>
          <w:numId w:val="298"/>
        </w:numPr>
        <w:rPr>
          <w:rFonts w:ascii="Arial" w:cs="Arial" w:eastAsia="Arial" w:hAnsi="Arial"/>
          <w:sz w:val="15"/>
          <w:szCs w:val="15"/>
          <w:color w:val="auto"/>
        </w:rPr>
      </w:pPr>
      <w:r>
        <w:rPr>
          <w:rFonts w:ascii="Arial" w:cs="Arial" w:eastAsia="Arial" w:hAnsi="Arial"/>
          <w:sz w:val="15"/>
          <w:szCs w:val="15"/>
          <w:color w:val="auto"/>
        </w:rPr>
        <w:t>Building storm and overflow drainage system, including site underground storm sewer system and connection to storm sewer mains</w:t>
      </w:r>
    </w:p>
    <w:p>
      <w:pPr>
        <w:spacing w:after="0" w:line="16" w:lineRule="exact"/>
        <w:rPr>
          <w:rFonts w:ascii="Arial" w:cs="Arial" w:eastAsia="Arial" w:hAnsi="Arial"/>
          <w:sz w:val="15"/>
          <w:szCs w:val="15"/>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Sand/Oil separator with connection to street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Domestic water service with backflow prevention and Base Building risers to Tenant spaces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Domestic water booster pump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Building lab waste consisting of underslab piping under podium parking, risers, and stubs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Lab waste connection to sanitary sewer, lab waste sampling port at connection</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Building sanitary sewer service with piping distribution to restroom cores and risers stubbed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Domestic sanitary sewer connection to street</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Main water meter and irrigation meter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One (1) roof mounted electric water heater serving all Restrooms</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Core restroom plumbing fixtures compliant with accessibility requirements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NATURAL GAS</w:t>
      </w:r>
    </w:p>
    <w:p>
      <w:pPr>
        <w:spacing w:after="0" w:line="20" w:lineRule="exact"/>
        <w:rPr>
          <w:sz w:val="20"/>
          <w:szCs w:val="20"/>
          <w:color w:val="auto"/>
        </w:rPr>
      </w:pPr>
    </w:p>
    <w:p>
      <w:pPr>
        <w:ind w:left="620" w:hanging="312"/>
        <w:spacing w:after="0"/>
        <w:tabs>
          <w:tab w:leader="none" w:pos="6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Medium pressure natural gas service to Building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Natural gas riser to the roof and service to Base Building boilers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Natural gas riser to the roof capped for future use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HEATING, VENTILATION, AIR CONDITIONING</w:t>
      </w:r>
    </w:p>
    <w:p>
      <w:pPr>
        <w:spacing w:after="0" w:line="20" w:lineRule="exact"/>
        <w:rPr>
          <w:sz w:val="20"/>
          <w:szCs w:val="20"/>
          <w:color w:val="auto"/>
        </w:rPr>
      </w:pPr>
    </w:p>
    <w:p>
      <w:pPr>
        <w:ind w:left="620" w:hanging="312"/>
        <w:spacing w:after="0" w:line="246" w:lineRule="auto"/>
        <w:tabs>
          <w:tab w:leader="none" w:pos="60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Two (2) 90,000 cfm 100% outside air roof mounted air handlers serving Tenant lab spaces, allocation to Tenant space: standard 22,500 cfm per unit per floor (connected to standby power)</w:t>
      </w:r>
    </w:p>
    <w:p>
      <w:pPr>
        <w:ind w:left="620" w:right="40" w:hanging="312"/>
        <w:spacing w:after="0" w:line="246" w:lineRule="auto"/>
        <w:tabs>
          <w:tab w:leader="none" w:pos="609"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Two (2) 40,000 cfm supply/return roof mounted air handlers serving Tenant office spaces, allocation to Tenant space: standard 10,000 cfm per unit per floor</w:t>
      </w:r>
    </w:p>
    <w:p>
      <w:pPr>
        <w:ind w:left="620" w:hanging="312"/>
        <w:spacing w:after="0"/>
        <w:tabs>
          <w:tab w:leader="none" w:pos="6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Two (2) 5,000 MBH input gas fired hot water boilers (connected to standby power)</w:t>
      </w:r>
    </w:p>
    <w:p>
      <w:pPr>
        <w:sectPr>
          <w:pgSz w:w="11900" w:h="16838" w:orient="portrait"/>
          <w:cols w:equalWidth="0" w:num="1">
            <w:col w:w="9600"/>
          </w:cols>
          <w:pgMar w:left="1140" w:top="249" w:right="1159" w:bottom="1440" w:gutter="0" w:footer="0" w:header="0"/>
        </w:sectPr>
      </w:pPr>
    </w:p>
    <w:bookmarkStart w:id="408" w:name="page409"/>
    <w:bookmarkEnd w:id="40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Two (2) 500 ton centrifugal chillers</w:t>
      </w:r>
    </w:p>
    <w:p>
      <w:pPr>
        <w:spacing w:after="0" w:line="1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Two (2) 500 ton cooling towers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Secondary mechanical equipment, including pumps, roof ducting, piping, valves, manifolds, etc. to support Base Building mechanical systems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Hot water pipe risers, stubbed in Tenant space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Reheat coils within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Vertical supply air duct risers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Vertical return air duct risers</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Supply air duct distribution, VAV terminals, equipment connections, insulation, air terminals, dampers, hangers, etc. within core areas</w:t>
      </w:r>
    </w:p>
    <w:p>
      <w:pPr>
        <w:spacing w:after="0" w:line="16" w:lineRule="exact"/>
        <w:rPr>
          <w:rFonts w:ascii="Arial" w:cs="Arial" w:eastAsia="Arial" w:hAnsi="Arial"/>
          <w:sz w:val="15"/>
          <w:szCs w:val="15"/>
          <w:color w:val="auto"/>
        </w:rPr>
      </w:pPr>
    </w:p>
    <w:p>
      <w:pPr>
        <w:ind w:left="620" w:right="240" w:hanging="312"/>
        <w:spacing w:after="0" w:line="246" w:lineRule="auto"/>
        <w:tabs>
          <w:tab w:leader="none" w:pos="60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Two (2) roof mounted dilution lab exhaust fan systems with 94,000 cfm capacity each, allocation to Tenant space: standard 23,500 cfm per system per floor (connected to standby power)</w:t>
      </w:r>
    </w:p>
    <w:p>
      <w:pPr>
        <w:ind w:left="620" w:hanging="312"/>
        <w:spacing w:after="0"/>
        <w:tabs>
          <w:tab w:leader="none" w:pos="620" w:val="left"/>
        </w:tabs>
        <w:numPr>
          <w:ilvl w:val="0"/>
          <w:numId w:val="301"/>
        </w:numPr>
        <w:rPr>
          <w:rFonts w:ascii="Arial" w:cs="Arial" w:eastAsia="Arial" w:hAnsi="Arial"/>
          <w:sz w:val="13"/>
          <w:szCs w:val="13"/>
          <w:color w:val="auto"/>
        </w:rPr>
      </w:pPr>
      <w:r>
        <w:rPr>
          <w:rFonts w:ascii="Arial" w:cs="Arial" w:eastAsia="Arial" w:hAnsi="Arial"/>
          <w:sz w:val="13"/>
          <w:szCs w:val="13"/>
          <w:color w:val="auto"/>
        </w:rPr>
        <w:t>Exhaust air duct distribution, exhaust air valves, equipment connections, insulation, air terminals, dampers, hangers, etc. within core areas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Restroom exhaust for Base Building restrooms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Ventilation system for Base Building Electrical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Exhaust fan, side wall grille supply, and fire smoke dampers for ventilation of Base Building Electrical Rooms on each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Building Management System (BMS) for core area and Landlord infrastructure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ELECTRICAL</w:t>
      </w:r>
    </w:p>
    <w:p>
      <w:pPr>
        <w:spacing w:after="0" w:line="20" w:lineRule="exact"/>
        <w:rPr>
          <w:sz w:val="20"/>
          <w:szCs w:val="20"/>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Site campus medium voltage distribution system with connection to PG&amp;E grid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5,000 amp 480/277V Base Building substation with underground primary feeder to campus main switchgear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Standard power bus duct risers providing 400 amps per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One (1) 1500 kW diesel standby power generator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Standby power bus duct risers providing 188 kW per floor</w:t>
      </w:r>
    </w:p>
    <w:p>
      <w:pPr>
        <w:spacing w:after="0" w:line="4" w:lineRule="exact"/>
        <w:rPr>
          <w:rFonts w:ascii="Arial" w:cs="Arial" w:eastAsia="Arial" w:hAnsi="Arial"/>
          <w:sz w:val="16"/>
          <w:szCs w:val="16"/>
          <w:color w:val="auto"/>
        </w:rPr>
      </w:pPr>
    </w:p>
    <w:p>
      <w:pPr>
        <w:ind w:left="600" w:hanging="292"/>
        <w:spacing w:after="0"/>
        <w:tabs>
          <w:tab w:leader="none" w:pos="60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Automatic transfer switch for Tenant load</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Lighting and power distribution for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Base Building common area life safety emergency lighting/signage</w:t>
      </w:r>
    </w:p>
    <w:p>
      <w:pPr>
        <w:spacing w:after="0" w:line="4" w:lineRule="exact"/>
        <w:rPr>
          <w:rFonts w:ascii="Arial" w:cs="Arial" w:eastAsia="Arial" w:hAnsi="Arial"/>
          <w:sz w:val="16"/>
          <w:szCs w:val="16"/>
          <w:color w:val="auto"/>
        </w:rPr>
      </w:pPr>
    </w:p>
    <w:p>
      <w:pPr>
        <w:ind w:left="620" w:right="180" w:hanging="312"/>
        <w:spacing w:after="0" w:line="252" w:lineRule="auto"/>
        <w:tabs>
          <w:tab w:leader="none" w:pos="61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Distributed Antenna System (DAS) consisting of head-end system, roof-mounted antenna, and 2” conduit risers in stair shafts. No coverage within Tenant premises.</w:t>
      </w:r>
    </w:p>
    <w:p>
      <w:pPr>
        <w:sectPr>
          <w:pgSz w:w="11900" w:h="16838" w:orient="portrait"/>
          <w:cols w:equalWidth="0" w:num="1">
            <w:col w:w="9580"/>
          </w:cols>
          <w:pgMar w:left="1140" w:top="249" w:right="1179" w:bottom="1440" w:gutter="0" w:footer="0" w:header="0"/>
        </w:sectPr>
      </w:pPr>
    </w:p>
    <w:bookmarkStart w:id="409" w:name="page410"/>
    <w:bookmarkEnd w:id="409"/>
    <w:p>
      <w:pPr>
        <w:jc w:val="center"/>
        <w:ind w:right="-28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109335" cy="762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FIRE ALARM</w:t>
      </w:r>
    </w:p>
    <w:p>
      <w:pPr>
        <w:spacing w:after="0" w:line="15" w:lineRule="exact"/>
        <w:rPr>
          <w:sz w:val="20"/>
          <w:szCs w:val="20"/>
          <w:color w:val="auto"/>
        </w:rPr>
      </w:pPr>
    </w:p>
    <w:p>
      <w:pPr>
        <w:ind w:left="620" w:hanging="312"/>
        <w:spacing w:after="0"/>
        <w:tabs>
          <w:tab w:leader="none" w:pos="6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Base Building fire alarm system with devices in core areas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Fire Alarm Termination Cabinet (FATC) within each Electrical Room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TELEPHONE/DATA</w:t>
      </w:r>
    </w:p>
    <w:p>
      <w:pPr>
        <w:spacing w:after="0" w:line="20" w:lineRule="exact"/>
        <w:rPr>
          <w:sz w:val="20"/>
          <w:szCs w:val="20"/>
          <w:color w:val="auto"/>
        </w:rPr>
      </w:pPr>
    </w:p>
    <w:p>
      <w:pPr>
        <w:ind w:left="620" w:hanging="312"/>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Underground local fiber optic &amp; telephone conduit only to MPOE Room</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Two (2) 4” conduit risers from MPOE to Intermediate Distribution Frame (IDF) Room on each floor</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Sleeves for future conduit riser from IDF Rooms to the roof; Landlord approval required for use</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4"/>
        </w:numPr>
        <w:rPr>
          <w:rFonts w:ascii="Arial" w:cs="Arial" w:eastAsia="Arial" w:hAnsi="Arial"/>
          <w:sz w:val="13"/>
          <w:szCs w:val="13"/>
          <w:color w:val="auto"/>
        </w:rPr>
      </w:pPr>
      <w:r>
        <w:rPr>
          <w:rFonts w:ascii="Arial" w:cs="Arial" w:eastAsia="Arial" w:hAnsi="Arial"/>
          <w:sz w:val="13"/>
          <w:szCs w:val="13"/>
          <w:color w:val="auto"/>
        </w:rPr>
        <w:t>Campus telecommunications loop consisting of two (2) 4” conduits, linking existing and future buildings on campus</w:t>
      </w:r>
    </w:p>
    <w:p>
      <w:pPr>
        <w:spacing w:after="0" w:line="39" w:lineRule="exact"/>
        <w:rPr>
          <w:rFonts w:ascii="Arial" w:cs="Arial" w:eastAsia="Arial" w:hAnsi="Arial"/>
          <w:sz w:val="13"/>
          <w:szCs w:val="13"/>
          <w:color w:val="auto"/>
        </w:rPr>
      </w:pPr>
    </w:p>
    <w:p>
      <w:pPr>
        <w:ind w:left="620" w:hanging="312"/>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One (1) 4” conduit security communications loop</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Two (2) 4” conduits connecting Building 3 MPOE Room with Building 4 MPOE Room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20" w:lineRule="exact"/>
        <w:rPr>
          <w:sz w:val="20"/>
          <w:szCs w:val="20"/>
          <w:color w:val="auto"/>
        </w:rPr>
      </w:pPr>
    </w:p>
    <w:p>
      <w:pPr>
        <w:ind w:left="620" w:hanging="312"/>
        <w:spacing w:after="0"/>
        <w:tabs>
          <w:tab w:leader="none" w:pos="6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Card access at Building entries</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Video surveillance and intercom system at entrance and receiving doors of the Building</w:t>
      </w:r>
    </w:p>
    <w:p>
      <w:pPr>
        <w:spacing w:after="0" w:line="4" w:lineRule="exact"/>
        <w:rPr>
          <w:rFonts w:ascii="Arial" w:cs="Arial" w:eastAsia="Arial" w:hAnsi="Arial"/>
          <w:sz w:val="16"/>
          <w:szCs w:val="16"/>
          <w:color w:val="auto"/>
        </w:rPr>
      </w:pPr>
    </w:p>
    <w:p>
      <w:pPr>
        <w:ind w:left="620" w:hanging="312"/>
        <w:spacing w:after="0"/>
        <w:tabs>
          <w:tab w:leader="none" w:pos="620" w:val="left"/>
        </w:tabs>
        <w:numPr>
          <w:ilvl w:val="0"/>
          <w:numId w:val="305"/>
        </w:numPr>
        <w:rPr>
          <w:rFonts w:ascii="Arial" w:cs="Arial" w:eastAsia="Arial" w:hAnsi="Arial"/>
          <w:sz w:val="16"/>
          <w:szCs w:val="16"/>
          <w:color w:val="auto"/>
        </w:rPr>
      </w:pPr>
      <w:r>
        <w:rPr>
          <w:rFonts w:ascii="Arial" w:cs="Arial" w:eastAsia="Arial" w:hAnsi="Arial"/>
          <w:sz w:val="16"/>
          <w:szCs w:val="16"/>
          <w:color w:val="auto"/>
        </w:rPr>
        <w:t>Main Lobby desk for future security operations. Security guard scope TBD</w:t>
      </w:r>
    </w:p>
    <w:p>
      <w:pPr>
        <w:sectPr>
          <w:pgSz w:w="11900" w:h="16838" w:orient="portrait"/>
          <w:cols w:equalWidth="0" w:num="1">
            <w:col w:w="9319"/>
          </w:cols>
          <w:pgMar w:left="1140" w:top="249" w:right="1440" w:bottom="1440" w:gutter="0" w:footer="0" w:header="0"/>
        </w:sectPr>
      </w:pPr>
    </w:p>
    <w:bookmarkStart w:id="410" w:name="page411"/>
    <w:bookmarkEnd w:id="410"/>
    <w:p>
      <w:pPr>
        <w:jc w:val="center"/>
        <w:ind w:right="-25"/>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SCHEDULE 2 TO EXHIBIT B</w:t>
      </w:r>
    </w:p>
    <w:p>
      <w:pPr>
        <w:spacing w:after="0" w:line="193" w:lineRule="exact"/>
        <w:rPr>
          <w:sz w:val="20"/>
          <w:szCs w:val="20"/>
          <w:color w:val="auto"/>
        </w:rPr>
      </w:pPr>
    </w:p>
    <w:p>
      <w:pPr>
        <w:jc w:val="center"/>
        <w:ind w:right="-25"/>
        <w:spacing w:after="0"/>
        <w:rPr>
          <w:sz w:val="20"/>
          <w:szCs w:val="20"/>
          <w:color w:val="auto"/>
        </w:rPr>
      </w:pPr>
      <w:r>
        <w:rPr>
          <w:rFonts w:ascii="Arial" w:cs="Arial" w:eastAsia="Arial" w:hAnsi="Arial"/>
          <w:sz w:val="16"/>
          <w:szCs w:val="16"/>
          <w:b w:val="1"/>
          <w:bCs w:val="1"/>
          <w:u w:val="single" w:color="auto"/>
          <w:color w:val="auto"/>
        </w:rPr>
        <w:t>LEED REQUIREMENTS</w:t>
      </w:r>
    </w:p>
    <w:p>
      <w:pPr>
        <w:spacing w:after="0" w:line="197" w:lineRule="exact"/>
        <w:rPr>
          <w:sz w:val="20"/>
          <w:szCs w:val="20"/>
          <w:color w:val="auto"/>
        </w:rPr>
      </w:pPr>
    </w:p>
    <w:p>
      <w:pPr>
        <w:ind w:left="6" w:right="300"/>
        <w:spacing w:after="0" w:line="383" w:lineRule="auto"/>
        <w:rPr>
          <w:sz w:val="20"/>
          <w:szCs w:val="20"/>
          <w:color w:val="auto"/>
        </w:rPr>
      </w:pPr>
      <w:r>
        <w:rPr>
          <w:rFonts w:ascii="Arial" w:cs="Arial" w:eastAsia="Arial" w:hAnsi="Arial"/>
          <w:sz w:val="13"/>
          <w:szCs w:val="13"/>
          <w:color w:val="auto"/>
        </w:rPr>
        <w:t>The following is a list of LEED prerequisites and credits that all tenants are required to meet compliance for their associated tenant-occupied spaces beyond the current Core &amp; Shell project scope. By signing this lease, tenants are agreeing to comply with all of the outlined requirements.</w:t>
      </w:r>
    </w:p>
    <w:p>
      <w:pPr>
        <w:spacing w:after="0" w:line="89"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-Water Efficiency Prerequisite 1 and Credit 3, Water Use Reduction</w:t>
      </w:r>
    </w:p>
    <w:p>
      <w:pPr>
        <w:spacing w:after="0" w:line="111" w:lineRule="exact"/>
        <w:rPr>
          <w:sz w:val="20"/>
          <w:szCs w:val="20"/>
          <w:color w:val="auto"/>
        </w:rPr>
      </w:pPr>
    </w:p>
    <w:p>
      <w:pPr>
        <w:ind w:left="846" w:right="120" w:hanging="375"/>
        <w:spacing w:after="0" w:line="266" w:lineRule="auto"/>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All toilets in the core or those that are tenant-installed shall be dual-flush toilets or “high-efficiency,” using 1.28 gallons per flush (gpf) or less.</w:t>
      </w:r>
    </w:p>
    <w:p>
      <w:pPr>
        <w:spacing w:after="0" w:line="75" w:lineRule="exact"/>
        <w:rPr>
          <w:rFonts w:ascii="Arial" w:cs="Arial" w:eastAsia="Arial" w:hAnsi="Arial"/>
          <w:sz w:val="16"/>
          <w:szCs w:val="16"/>
          <w:color w:val="auto"/>
        </w:rPr>
      </w:pPr>
    </w:p>
    <w:p>
      <w:pPr>
        <w:ind w:left="846" w:hanging="375"/>
        <w:spacing w:after="0"/>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All urinals shall be waterless or ultra low-flow e.g., 0.125gpf or less.</w:t>
      </w:r>
    </w:p>
    <w:p>
      <w:pPr>
        <w:spacing w:after="0" w:line="110" w:lineRule="exact"/>
        <w:rPr>
          <w:rFonts w:ascii="Arial" w:cs="Arial" w:eastAsia="Arial" w:hAnsi="Arial"/>
          <w:sz w:val="16"/>
          <w:szCs w:val="16"/>
          <w:color w:val="auto"/>
        </w:rPr>
      </w:pPr>
    </w:p>
    <w:p>
      <w:pPr>
        <w:ind w:left="846" w:right="340" w:hanging="375"/>
        <w:spacing w:after="0" w:line="266" w:lineRule="auto"/>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Bathroom faucets are required to have flow restrictors limiting flow to .5 gallons per minute (gpm). Kitchen and breakroom faucets to allow 2.0 gpm.</w:t>
      </w:r>
    </w:p>
    <w:p>
      <w:pPr>
        <w:spacing w:after="0" w:line="158" w:lineRule="exact"/>
        <w:rPr>
          <w:rFonts w:ascii="Arial" w:cs="Arial" w:eastAsia="Arial" w:hAnsi="Arial"/>
          <w:sz w:val="16"/>
          <w:szCs w:val="16"/>
          <w:color w:val="auto"/>
        </w:rPr>
      </w:pPr>
    </w:p>
    <w:p>
      <w:pPr>
        <w:ind w:left="86" w:hanging="86"/>
        <w:spacing w:after="0"/>
        <w:tabs>
          <w:tab w:leader="none" w:pos="86" w:val="left"/>
        </w:tabs>
        <w:numPr>
          <w:ilvl w:val="0"/>
          <w:numId w:val="30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Energy and Atmosphere Prerequisite 2, Minimum Energy Performance, and Credit 1, Optimize Energy Performance</w:t>
      </w:r>
    </w:p>
    <w:p>
      <w:pPr>
        <w:spacing w:after="0" w:line="110" w:lineRule="exact"/>
        <w:rPr>
          <w:rFonts w:ascii="Arial" w:cs="Arial" w:eastAsia="Arial" w:hAnsi="Arial"/>
          <w:sz w:val="16"/>
          <w:szCs w:val="16"/>
          <w:u w:val="single" w:color="auto"/>
          <w:color w:val="auto"/>
        </w:rPr>
      </w:pPr>
    </w:p>
    <w:p>
      <w:pPr>
        <w:ind w:left="846" w:hanging="375"/>
        <w:spacing w:after="0"/>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Envelope must meet the following requirements: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Walls: U = 0.082</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Roof: U = 0.039</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Curtain Glazing: U = 0.27, SHGC = 0.29 (Viracon)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Mechanical (Based on B3) systems must comply with the following:</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Chiller Efficiency: 0.549 kw/ton</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Boiler Efficiency: 93%</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Plumbing (Based on B3) must comply with the following:</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Water heater efficiency: 96%</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1"/>
          <w:numId w:val="306"/>
        </w:numPr>
        <w:rPr>
          <w:rFonts w:ascii="Arial" w:cs="Arial" w:eastAsia="Arial" w:hAnsi="Arial"/>
          <w:sz w:val="16"/>
          <w:szCs w:val="16"/>
          <w:color w:val="auto"/>
        </w:rPr>
      </w:pPr>
      <w:r>
        <w:rPr>
          <w:rFonts w:ascii="Arial" w:cs="Arial" w:eastAsia="Arial" w:hAnsi="Arial"/>
          <w:sz w:val="16"/>
          <w:szCs w:val="16"/>
          <w:color w:val="auto"/>
        </w:rPr>
        <w:t>Lighting requirements are as follows: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Office Spaces &gt; 250 ft</w:t>
      </w:r>
      <w:r>
        <w:rPr>
          <w:rFonts w:ascii="Arial" w:cs="Arial" w:eastAsia="Arial" w:hAnsi="Arial"/>
          <w:sz w:val="13"/>
          <w:szCs w:val="13"/>
          <w:color w:val="auto"/>
        </w:rPr>
        <w:t>2</w:t>
      </w:r>
      <w:r>
        <w:rPr>
          <w:rFonts w:ascii="Arial" w:cs="Arial" w:eastAsia="Arial" w:hAnsi="Arial"/>
          <w:sz w:val="16"/>
          <w:szCs w:val="16"/>
          <w:color w:val="auto"/>
        </w:rPr>
        <w:t>: 0.75 w/sf</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Office Spaces &lt;= 250 ft</w:t>
      </w:r>
      <w:r>
        <w:rPr>
          <w:rFonts w:ascii="Arial" w:cs="Arial" w:eastAsia="Arial" w:hAnsi="Arial"/>
          <w:sz w:val="13"/>
          <w:szCs w:val="13"/>
          <w:color w:val="auto"/>
        </w:rPr>
        <w:t>2</w:t>
      </w:r>
      <w:r>
        <w:rPr>
          <w:rFonts w:ascii="Arial" w:cs="Arial" w:eastAsia="Arial" w:hAnsi="Arial"/>
          <w:sz w:val="16"/>
          <w:szCs w:val="16"/>
          <w:color w:val="auto"/>
        </w:rPr>
        <w:t>: 1.0 w/sf</w:t>
      </w:r>
    </w:p>
    <w:p>
      <w:pPr>
        <w:spacing w:after="0" w:line="111" w:lineRule="exact"/>
        <w:rPr>
          <w:rFonts w:ascii="Arial" w:cs="Arial" w:eastAsia="Arial" w:hAnsi="Arial"/>
          <w:sz w:val="16"/>
          <w:szCs w:val="16"/>
          <w:color w:val="auto"/>
        </w:rPr>
      </w:pPr>
    </w:p>
    <w:p>
      <w:pPr>
        <w:ind w:left="1246" w:hanging="291"/>
        <w:spacing w:after="0"/>
        <w:tabs>
          <w:tab w:leader="none" w:pos="1246" w:val="left"/>
        </w:tabs>
        <w:numPr>
          <w:ilvl w:val="2"/>
          <w:numId w:val="306"/>
        </w:numPr>
        <w:rPr>
          <w:rFonts w:ascii="Arial" w:cs="Arial" w:eastAsia="Arial" w:hAnsi="Arial"/>
          <w:sz w:val="16"/>
          <w:szCs w:val="16"/>
          <w:color w:val="auto"/>
        </w:rPr>
      </w:pPr>
      <w:r>
        <w:rPr>
          <w:rFonts w:ascii="Arial" w:cs="Arial" w:eastAsia="Arial" w:hAnsi="Arial"/>
          <w:sz w:val="16"/>
          <w:szCs w:val="16"/>
          <w:color w:val="auto"/>
        </w:rPr>
        <w:t>Lab Spaces: 1.4 w/sf</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-Energy and Atmosphere Credit 4, Enhanced Refrigerant Management</w:t>
      </w:r>
    </w:p>
    <w:p>
      <w:pPr>
        <w:spacing w:after="0" w:line="111" w:lineRule="exact"/>
        <w:rPr>
          <w:sz w:val="20"/>
          <w:szCs w:val="20"/>
          <w:color w:val="auto"/>
        </w:rPr>
      </w:pPr>
    </w:p>
    <w:p>
      <w:pPr>
        <w:ind w:left="846" w:right="20" w:hanging="375"/>
        <w:spacing w:after="0" w:line="266" w:lineRule="auto"/>
        <w:tabs>
          <w:tab w:leader="none" w:pos="84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Tenants should specify HVAC systems that minimize refrigerant impact by avoiding refrigerants entirely or using systems that reduce their harmful impacts.</w:t>
      </w:r>
    </w:p>
    <w:p>
      <w:pPr>
        <w:spacing w:after="0" w:line="75" w:lineRule="exact"/>
        <w:rPr>
          <w:rFonts w:ascii="Arial" w:cs="Arial" w:eastAsia="Arial" w:hAnsi="Arial"/>
          <w:sz w:val="16"/>
          <w:szCs w:val="16"/>
          <w:color w:val="auto"/>
        </w:rPr>
      </w:pPr>
    </w:p>
    <w:p>
      <w:pPr>
        <w:ind w:left="846" w:hanging="375"/>
        <w:spacing w:after="0"/>
        <w:tabs>
          <w:tab w:leader="none" w:pos="846"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Tenants should not install or retain fire suppression systems with CFCs, HCFCs, or halons.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-Energy and Atmosphere Credit 5, Measurement &amp; Verification</w:t>
      </w:r>
    </w:p>
    <w:p>
      <w:pPr>
        <w:spacing w:after="0" w:line="111" w:lineRule="exact"/>
        <w:rPr>
          <w:sz w:val="20"/>
          <w:szCs w:val="20"/>
          <w:color w:val="auto"/>
        </w:rPr>
      </w:pPr>
    </w:p>
    <w:p>
      <w:pPr>
        <w:ind w:left="846" w:hanging="375"/>
        <w:spacing w:after="0"/>
        <w:tabs>
          <w:tab w:leader="none" w:pos="846" w:val="left"/>
        </w:tabs>
        <w:numPr>
          <w:ilvl w:val="0"/>
          <w:numId w:val="308"/>
        </w:numPr>
        <w:rPr>
          <w:rFonts w:ascii="Arial" w:cs="Arial" w:eastAsia="Arial" w:hAnsi="Arial"/>
          <w:sz w:val="16"/>
          <w:szCs w:val="16"/>
          <w:color w:val="auto"/>
        </w:rPr>
      </w:pPr>
      <w:r>
        <w:rPr>
          <w:rFonts w:ascii="Arial" w:cs="Arial" w:eastAsia="Arial" w:hAnsi="Arial"/>
          <w:sz w:val="16"/>
          <w:szCs w:val="16"/>
          <w:color w:val="auto"/>
        </w:rPr>
        <w:t>Tenants will be required to submeter</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Prerequisite 1, Minimum Indoor Air Quality (IAQ) Performance</w:t>
      </w:r>
    </w:p>
    <w:p>
      <w:pPr>
        <w:spacing w:after="0" w:line="111" w:lineRule="exact"/>
        <w:rPr>
          <w:sz w:val="20"/>
          <w:szCs w:val="20"/>
          <w:color w:val="auto"/>
        </w:rPr>
      </w:pPr>
    </w:p>
    <w:p>
      <w:pPr>
        <w:ind w:left="846" w:hanging="375"/>
        <w:spacing w:after="0"/>
        <w:tabs>
          <w:tab w:leader="none" w:pos="846"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Tenant-installed mechanical ventilation systems must meet the requirements of ASHRAE 62.1-2007 sections 4-7.</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Credit 1, Outdoor Air Delivery Monitoring</w:t>
      </w:r>
    </w:p>
    <w:p>
      <w:pPr>
        <w:spacing w:after="0" w:line="111" w:lineRule="exact"/>
        <w:rPr>
          <w:sz w:val="20"/>
          <w:szCs w:val="20"/>
          <w:color w:val="auto"/>
        </w:rPr>
      </w:pPr>
    </w:p>
    <w:p>
      <w:pPr>
        <w:ind w:left="846" w:hanging="375"/>
        <w:spacing w:after="0" w:line="300" w:lineRule="auto"/>
        <w:tabs>
          <w:tab w:leader="none" w:pos="846" w:val="left"/>
        </w:tabs>
        <w:numPr>
          <w:ilvl w:val="0"/>
          <w:numId w:val="310"/>
        </w:numPr>
        <w:rPr>
          <w:rFonts w:ascii="Arial" w:cs="Arial" w:eastAsia="Arial" w:hAnsi="Arial"/>
          <w:sz w:val="15"/>
          <w:szCs w:val="15"/>
          <w:color w:val="auto"/>
        </w:rPr>
      </w:pPr>
      <w:r>
        <w:rPr>
          <w:rFonts w:ascii="Arial" w:cs="Arial" w:eastAsia="Arial" w:hAnsi="Arial"/>
          <w:sz w:val="15"/>
          <w:szCs w:val="15"/>
          <w:color w:val="auto"/>
        </w:rPr>
        <w:t>For mechanical ventilation systems that predominantly serve densely occupied spaces (those with a design occupant density greater than or equal to 25 people per 1000 sq. ft), tenants shall install a CO2 sensor within each densely occupied space.</w:t>
      </w:r>
    </w:p>
    <w:p>
      <w:pPr>
        <w:spacing w:after="0" w:line="52" w:lineRule="exact"/>
        <w:rPr>
          <w:rFonts w:ascii="Arial" w:cs="Arial" w:eastAsia="Arial" w:hAnsi="Arial"/>
          <w:sz w:val="15"/>
          <w:szCs w:val="15"/>
          <w:color w:val="auto"/>
        </w:rPr>
      </w:pPr>
    </w:p>
    <w:p>
      <w:pPr>
        <w:ind w:left="846" w:right="100" w:hanging="375"/>
        <w:spacing w:after="0" w:line="300" w:lineRule="auto"/>
        <w:tabs>
          <w:tab w:leader="none" w:pos="846" w:val="left"/>
        </w:tabs>
        <w:numPr>
          <w:ilvl w:val="0"/>
          <w:numId w:val="310"/>
        </w:numPr>
        <w:rPr>
          <w:rFonts w:ascii="Arial" w:cs="Arial" w:eastAsia="Arial" w:hAnsi="Arial"/>
          <w:sz w:val="15"/>
          <w:szCs w:val="15"/>
          <w:color w:val="auto"/>
        </w:rPr>
      </w:pPr>
      <w:r>
        <w:rPr>
          <w:rFonts w:ascii="Arial" w:cs="Arial" w:eastAsia="Arial" w:hAnsi="Arial"/>
          <w:sz w:val="15"/>
          <w:szCs w:val="15"/>
          <w:color w:val="auto"/>
        </w:rPr>
        <w:t>For all other mechanical ventilation systems, provide an outdoor airflow measurement device capable of measuring the minimum outdoor airflow rate at all expected system operating conditions within 15 percent of the design minimum outdoor air rate.</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-Indoor Environmental Quality Credit 5, Indoor Chemical and Pollutant Source Control</w:t>
      </w:r>
    </w:p>
    <w:p>
      <w:pPr>
        <w:spacing w:after="0" w:line="111" w:lineRule="exact"/>
        <w:rPr>
          <w:sz w:val="20"/>
          <w:szCs w:val="20"/>
          <w:color w:val="auto"/>
        </w:rPr>
      </w:pPr>
    </w:p>
    <w:p>
      <w:pPr>
        <w:ind w:left="846" w:hanging="375"/>
        <w:spacing w:after="0"/>
        <w:tabs>
          <w:tab w:leader="none" w:pos="846" w:val="left"/>
        </w:tabs>
        <w:numPr>
          <w:ilvl w:val="0"/>
          <w:numId w:val="311"/>
        </w:numPr>
        <w:rPr>
          <w:rFonts w:ascii="Arial" w:cs="Arial" w:eastAsia="Arial" w:hAnsi="Arial"/>
          <w:sz w:val="16"/>
          <w:szCs w:val="16"/>
          <w:color w:val="auto"/>
        </w:rPr>
      </w:pPr>
      <w:r>
        <w:rPr>
          <w:rFonts w:ascii="Arial" w:cs="Arial" w:eastAsia="Arial" w:hAnsi="Arial"/>
          <w:sz w:val="16"/>
          <w:szCs w:val="16"/>
          <w:color w:val="auto"/>
        </w:rPr>
        <w:t>Walk off mats are installed at all building main entrances as part of the core and shell scope.</w:t>
      </w:r>
    </w:p>
    <w:p>
      <w:pPr>
        <w:sectPr>
          <w:pgSz w:w="11900" w:h="16838" w:orient="portrait"/>
          <w:cols w:equalWidth="0" w:num="1">
            <w:col w:w="9606"/>
          </w:cols>
          <w:pgMar w:left="1134" w:top="252" w:right="1159" w:bottom="1440" w:gutter="0" w:footer="0" w:header="0"/>
        </w:sectPr>
      </w:pPr>
    </w:p>
    <w:bookmarkStart w:id="411" w:name="page412"/>
    <w:bookmarkEnd w:id="411"/>
    <w:p>
      <w:pPr>
        <w:jc w:val="both"/>
        <w:ind w:left="840" w:right="480" w:hanging="375"/>
        <w:spacing w:after="0" w:line="256" w:lineRule="auto"/>
        <w:tabs>
          <w:tab w:leader="none" w:pos="840" w:val="left"/>
        </w:tabs>
        <w:numPr>
          <w:ilvl w:val="0"/>
          <w:numId w:val="3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All rooms that contain chemicals or pollutants (such as copy rooms, photo labs, laundry, and janitorial rooms) must be built with deck-to-deck full-height walls and self-closing doors, separate ventilation systems with minimum .50 cfm/sqft exhaust fans, and containment drains for appropriate disposal of hazardous liquids</w:t>
      </w:r>
    </w:p>
    <w:p>
      <w:pPr>
        <w:spacing w:after="0" w:line="83" w:lineRule="exact"/>
        <w:rPr>
          <w:rFonts w:ascii="Arial" w:cs="Arial" w:eastAsia="Arial" w:hAnsi="Arial"/>
          <w:sz w:val="16"/>
          <w:szCs w:val="16"/>
          <w:color w:val="auto"/>
        </w:rPr>
      </w:pPr>
    </w:p>
    <w:p>
      <w:pPr>
        <w:ind w:left="840" w:hanging="375"/>
        <w:spacing w:after="0"/>
        <w:tabs>
          <w:tab w:leader="none" w:pos="840" w:val="left"/>
        </w:tabs>
        <w:numPr>
          <w:ilvl w:val="0"/>
          <w:numId w:val="312"/>
        </w:numPr>
        <w:rPr>
          <w:rFonts w:ascii="Arial" w:cs="Arial" w:eastAsia="Arial" w:hAnsi="Arial"/>
          <w:sz w:val="13"/>
          <w:szCs w:val="13"/>
          <w:color w:val="auto"/>
        </w:rPr>
      </w:pPr>
      <w:r>
        <w:rPr>
          <w:rFonts w:ascii="Arial" w:cs="Arial" w:eastAsia="Arial" w:hAnsi="Arial"/>
          <w:sz w:val="13"/>
          <w:szCs w:val="13"/>
          <w:color w:val="auto"/>
        </w:rPr>
        <w:t>Tenants must also install MERV – 13 filters for all return and outside air intakes in regularly occupied mechanically ventilated spaces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-Indoor Environmental Quality Credit 6, Controllability of Systems - Thermal Comfort</w:t>
      </w:r>
    </w:p>
    <w:p>
      <w:pPr>
        <w:spacing w:after="0" w:line="111" w:lineRule="exact"/>
        <w:rPr>
          <w:sz w:val="20"/>
          <w:szCs w:val="20"/>
          <w:color w:val="auto"/>
        </w:rPr>
      </w:pPr>
    </w:p>
    <w:p>
      <w:pPr>
        <w:ind w:left="840" w:hanging="375"/>
        <w:spacing w:after="0"/>
        <w:tabs>
          <w:tab w:leader="none" w:pos="84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Tenants shall provide thermal and ventilation controls for:</w:t>
      </w:r>
    </w:p>
    <w:p>
      <w:pPr>
        <w:spacing w:after="0" w:line="110" w:lineRule="exact"/>
        <w:rPr>
          <w:rFonts w:ascii="Arial" w:cs="Arial" w:eastAsia="Arial" w:hAnsi="Arial"/>
          <w:sz w:val="16"/>
          <w:szCs w:val="16"/>
          <w:color w:val="auto"/>
        </w:rPr>
      </w:pPr>
    </w:p>
    <w:p>
      <w:pPr>
        <w:ind w:left="1240" w:right="140" w:hanging="291"/>
        <w:spacing w:after="0" w:line="266" w:lineRule="auto"/>
        <w:tabs>
          <w:tab w:leader="none" w:pos="1240" w:val="left"/>
        </w:tabs>
        <w:numPr>
          <w:ilvl w:val="1"/>
          <w:numId w:val="313"/>
        </w:numPr>
        <w:rPr>
          <w:rFonts w:ascii="Arial" w:cs="Arial" w:eastAsia="Arial" w:hAnsi="Arial"/>
          <w:sz w:val="16"/>
          <w:szCs w:val="16"/>
          <w:color w:val="auto"/>
        </w:rPr>
      </w:pPr>
      <w:r>
        <w:rPr>
          <w:rFonts w:ascii="Arial" w:cs="Arial" w:eastAsia="Arial" w:hAnsi="Arial"/>
          <w:sz w:val="16"/>
          <w:szCs w:val="16"/>
          <w:color w:val="auto"/>
        </w:rPr>
        <w:t>At least 50 percent of the occupants that enable adjustment to suit individual needs and preferences &amp; all shared multi-occupant spaces where transient groups must share controls.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-Indoor Environmental Quality Credit 7, Thermal Comfort - Design</w:t>
      </w:r>
    </w:p>
    <w:p>
      <w:pPr>
        <w:spacing w:after="0" w:line="111" w:lineRule="exact"/>
        <w:rPr>
          <w:sz w:val="20"/>
          <w:szCs w:val="20"/>
          <w:color w:val="auto"/>
        </w:rPr>
      </w:pPr>
    </w:p>
    <w:p>
      <w:pPr>
        <w:ind w:left="840" w:hanging="375"/>
        <w:spacing w:after="0" w:line="266" w:lineRule="auto"/>
        <w:tabs>
          <w:tab w:leader="none" w:pos="84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HVAC design must meet requirements of ASHRAE 55-2004, specifically in reference to air temperature, radiant temperature, humidity, and air speed</w:t>
      </w:r>
    </w:p>
    <w:p>
      <w:pPr>
        <w:sectPr>
          <w:pgSz w:w="11900" w:h="16838" w:orient="portrait"/>
          <w:cols w:equalWidth="0" w:num="1">
            <w:col w:w="9400"/>
          </w:cols>
          <w:pgMar w:left="1140" w:top="256" w:right="1359" w:bottom="1440" w:gutter="0" w:footer="0" w:header="0"/>
        </w:sectPr>
      </w:pPr>
    </w:p>
    <w:bookmarkStart w:id="412" w:name="page413"/>
    <w:bookmarkEnd w:id="412"/>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3 TO EXHIBIT B</w:t>
      </w:r>
    </w:p>
    <w:p>
      <w:pPr>
        <w:sectPr>
          <w:pgSz w:w="11900" w:h="16838" w:orient="portrait"/>
          <w:cols w:equalWidth="0" w:num="1">
            <w:col w:w="9019"/>
          </w:cols>
          <w:pgMar w:left="1440" w:top="252" w:right="1440"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TIME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147955</wp:posOffset>
            </wp:positionV>
            <wp:extent cx="4903470" cy="291973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903470" cy="291973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type w:val="continuous"/>
        </w:sectPr>
      </w:pPr>
    </w:p>
    <w:bookmarkStart w:id="413" w:name="page414"/>
    <w:bookmarkEnd w:id="413"/>
    <w:p>
      <w:pPr>
        <w:jc w:val="center"/>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4 TO EXHIBIT B</w:t>
      </w:r>
    </w:p>
    <w:p>
      <w:pPr>
        <w:sectPr>
          <w:pgSz w:w="11900" w:h="16838" w:orient="portrait"/>
          <w:cols w:equalWidth="0" w:num="1">
            <w:col w:w="9019"/>
          </w:cols>
          <w:pgMar w:left="1440" w:top="252"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ROOFTOP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155575</wp:posOffset>
            </wp:positionV>
            <wp:extent cx="5367655" cy="476123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367655" cy="4761230"/>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type w:val="continuous"/>
        </w:sectPr>
      </w:pPr>
    </w:p>
    <w:bookmarkStart w:id="414" w:name="page415"/>
    <w:bookmarkEnd w:id="414"/>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5 TO EXHIBIT B</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STANDARD TENANT IMPROVEMENT PACKAGE SPECIFICATIONS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[[ATTACHED]]</w:t>
      </w:r>
    </w:p>
    <w:p>
      <w:pPr>
        <w:sectPr>
          <w:pgSz w:w="11900" w:h="16838" w:orient="portrait"/>
          <w:cols w:equalWidth="0" w:num="1">
            <w:col w:w="9019"/>
          </w:cols>
          <w:pgMar w:left="1440" w:top="252" w:right="1440" w:bottom="1440" w:gutter="0" w:footer="0" w:header="0"/>
        </w:sectPr>
      </w:pPr>
    </w:p>
    <w:bookmarkStart w:id="415" w:name="page416"/>
    <w:bookmarkEnd w:id="41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 CONSTRUCTION MANUAL</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TI CONSTRUCTION RULES, REQUIREMENTS, AND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wp:posOffset>
            </wp:positionH>
            <wp:positionV relativeFrom="paragraph">
              <wp:posOffset>146050</wp:posOffset>
            </wp:positionV>
            <wp:extent cx="5367655" cy="40951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367655" cy="409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COVE AT OYSTER POINT</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 OYSTER POINT BOULEVARD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w:t>
      </w:r>
    </w:p>
    <w:p>
      <w:pPr>
        <w:sectPr>
          <w:pgSz w:w="11900" w:h="16838" w:orient="portrait"/>
          <w:cols w:equalWidth="0" w:num="1">
            <w:col w:w="9019"/>
          </w:cols>
          <w:pgMar w:left="1440" w:top="252" w:right="1440" w:bottom="1440" w:gutter="0" w:footer="0" w:header="0"/>
        </w:sectPr>
      </w:pPr>
    </w:p>
    <w:bookmarkStart w:id="416" w:name="page417"/>
    <w:bookmarkEnd w:id="416"/>
    <w:tbl>
      <w:tblPr>
        <w:tblLayout w:type="fixed"/>
        <w:tblInd w:w="0" w:type="dxa"/>
        <w:tblCellMar>
          <w:top w:w="0" w:type="dxa"/>
          <w:left w:w="0" w:type="dxa"/>
          <w:bottom w:w="0" w:type="dxa"/>
          <w:right w:w="0" w:type="dxa"/>
        </w:tblCellMar>
      </w:tblPr>
      <w:tr>
        <w:trPr>
          <w:trHeight w:val="204"/>
        </w:trPr>
        <w:tc>
          <w:tcPr>
            <w:tcW w:w="7220" w:type="dxa"/>
            <w:vAlign w:val="bottom"/>
          </w:tcPr>
          <w:p>
            <w:pPr>
              <w:ind w:left="3960"/>
              <w:spacing w:after="0"/>
              <w:rPr>
                <w:sz w:val="20"/>
                <w:szCs w:val="20"/>
                <w:color w:val="auto"/>
              </w:rPr>
            </w:pPr>
            <w:r>
              <w:rPr>
                <w:rFonts w:ascii="Arial" w:cs="Arial" w:eastAsia="Arial" w:hAnsi="Arial"/>
                <w:sz w:val="16"/>
                <w:szCs w:val="16"/>
                <w:b w:val="1"/>
                <w:bCs w:val="1"/>
                <w:color w:val="auto"/>
              </w:rPr>
              <w:t>TABLE OF CONTENTS</w:t>
            </w:r>
          </w:p>
        </w:tc>
        <w:tc>
          <w:tcPr>
            <w:tcW w:w="2340" w:type="dxa"/>
            <w:vAlign w:val="bottom"/>
          </w:tcPr>
          <w:p>
            <w:pPr>
              <w:spacing w:after="0"/>
              <w:rPr>
                <w:sz w:val="17"/>
                <w:szCs w:val="17"/>
                <w:color w:val="auto"/>
              </w:rPr>
            </w:pPr>
          </w:p>
        </w:tc>
      </w:tr>
      <w:tr>
        <w:trPr>
          <w:trHeight w:val="389"/>
        </w:trPr>
        <w:tc>
          <w:tcPr>
            <w:tcW w:w="7220" w:type="dxa"/>
            <w:vAlign w:val="bottom"/>
          </w:tcPr>
          <w:p>
            <w:pPr>
              <w:spacing w:after="0"/>
              <w:rPr>
                <w:sz w:val="20"/>
                <w:szCs w:val="20"/>
                <w:color w:val="auto"/>
              </w:rPr>
            </w:pPr>
            <w:r>
              <w:rPr>
                <w:rFonts w:ascii="Arial" w:cs="Arial" w:eastAsia="Arial" w:hAnsi="Arial"/>
                <w:sz w:val="16"/>
                <w:szCs w:val="16"/>
                <w:color w:val="auto"/>
              </w:rPr>
              <w:t>Tenant Improvement Construction Manual Overview</w:t>
            </w:r>
          </w:p>
        </w:tc>
        <w:tc>
          <w:tcPr>
            <w:tcW w:w="23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Warm Shell Delivery Condition</w:t>
            </w:r>
          </w:p>
        </w:tc>
        <w:tc>
          <w:tcPr>
            <w:tcW w:w="23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Tenant Improvement Construction Logistics &amp; Coordination</w:t>
            </w:r>
          </w:p>
        </w:tc>
        <w:tc>
          <w:tcPr>
            <w:tcW w:w="23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Design References</w:t>
            </w:r>
          </w:p>
        </w:tc>
        <w:tc>
          <w:tcPr>
            <w:tcW w:w="23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Interior Finishes</w:t>
            </w:r>
          </w:p>
        </w:tc>
        <w:tc>
          <w:tcPr>
            <w:tcW w:w="2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Window Treatments</w:t>
            </w:r>
          </w:p>
        </w:tc>
        <w:tc>
          <w:tcPr>
            <w:tcW w:w="23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Lighting Temperature</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Paint Color</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Emergency Evacuation Signage</w:t>
            </w:r>
          </w:p>
        </w:tc>
        <w:tc>
          <w:tcPr>
            <w:tcW w:w="23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Systems &amp; Conditions</w:t>
            </w:r>
          </w:p>
        </w:tc>
        <w:tc>
          <w:tcPr>
            <w:tcW w:w="2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Alterations</w:t>
            </w:r>
          </w:p>
        </w:tc>
        <w:tc>
          <w:tcPr>
            <w:tcW w:w="23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Systems Access</w:t>
            </w:r>
          </w:p>
        </w:tc>
        <w:tc>
          <w:tcPr>
            <w:tcW w:w="2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Tenant Sub-Metering</w:t>
            </w:r>
          </w:p>
        </w:tc>
        <w:tc>
          <w:tcPr>
            <w:tcW w:w="23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Building Management System (BMS)</w:t>
            </w:r>
          </w:p>
        </w:tc>
        <w:tc>
          <w:tcPr>
            <w:tcW w:w="2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Emergency Systems</w:t>
            </w:r>
          </w:p>
        </w:tc>
        <w:tc>
          <w:tcPr>
            <w:tcW w:w="23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Laboratory Waste</w:t>
            </w:r>
          </w:p>
        </w:tc>
        <w:tc>
          <w:tcPr>
            <w:tcW w:w="23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Security Systems</w:t>
            </w:r>
          </w:p>
        </w:tc>
        <w:tc>
          <w:tcPr>
            <w:tcW w:w="23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IDF &amp; Utilities</w:t>
            </w:r>
          </w:p>
        </w:tc>
        <w:tc>
          <w:tcPr>
            <w:tcW w:w="23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Leadership in Energy and Environmental Design (LEED)</w:t>
            </w:r>
          </w:p>
        </w:tc>
        <w:tc>
          <w:tcPr>
            <w:tcW w:w="23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Climate Action Plan</w:t>
            </w:r>
          </w:p>
        </w:tc>
        <w:tc>
          <w:tcPr>
            <w:tcW w:w="23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Identification Signage</w:t>
            </w:r>
          </w:p>
        </w:tc>
        <w:tc>
          <w:tcPr>
            <w:tcW w:w="23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66"/>
        </w:trPr>
        <w:tc>
          <w:tcPr>
            <w:tcW w:w="7220" w:type="dxa"/>
            <w:vAlign w:val="bottom"/>
          </w:tcPr>
          <w:p>
            <w:pPr>
              <w:ind w:left="3820"/>
              <w:spacing w:after="0"/>
              <w:rPr>
                <w:sz w:val="20"/>
                <w:szCs w:val="20"/>
                <w:color w:val="auto"/>
              </w:rPr>
            </w:pPr>
            <w:r>
              <w:rPr>
                <w:rFonts w:ascii="Arial" w:cs="Arial" w:eastAsia="Arial" w:hAnsi="Arial"/>
                <w:sz w:val="16"/>
                <w:szCs w:val="16"/>
                <w:b w:val="1"/>
                <w:bCs w:val="1"/>
                <w:color w:val="auto"/>
              </w:rPr>
              <w:t>APPENDICES</w:t>
            </w:r>
          </w:p>
        </w:tc>
        <w:tc>
          <w:tcPr>
            <w:tcW w:w="2340" w:type="dxa"/>
            <w:vAlign w:val="bottom"/>
          </w:tcPr>
          <w:p>
            <w:pPr>
              <w:spacing w:after="0"/>
              <w:rPr>
                <w:sz w:val="24"/>
                <w:szCs w:val="24"/>
                <w:color w:val="auto"/>
              </w:rPr>
            </w:pP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The Cove Master Campus Site Plan</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A</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Base Building Warm Shell Delivery Condition: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B</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Evacuation Signage Details: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C</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Roof Zone Designations: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D</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Exterior Façade Signage Installation Details: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E</w:t>
            </w:r>
          </w:p>
        </w:tc>
      </w:tr>
      <w:tr>
        <w:trPr>
          <w:trHeight w:val="189"/>
        </w:trPr>
        <w:tc>
          <w:tcPr>
            <w:tcW w:w="7220" w:type="dxa"/>
            <w:vAlign w:val="bottom"/>
          </w:tcPr>
          <w:p>
            <w:pPr>
              <w:spacing w:after="0"/>
              <w:rPr>
                <w:sz w:val="20"/>
                <w:szCs w:val="20"/>
                <w:color w:val="auto"/>
              </w:rPr>
            </w:pPr>
            <w:r>
              <w:rPr>
                <w:rFonts w:ascii="Arial" w:cs="Arial" w:eastAsia="Arial" w:hAnsi="Arial"/>
                <w:sz w:val="16"/>
                <w:szCs w:val="16"/>
                <w:color w:val="auto"/>
              </w:rPr>
              <w:t>Generator &amp; Automatic Transfer Switch Description: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F</w:t>
            </w:r>
          </w:p>
        </w:tc>
      </w:tr>
      <w:tr>
        <w:trPr>
          <w:trHeight w:val="200"/>
        </w:trPr>
        <w:tc>
          <w:tcPr>
            <w:tcW w:w="7220" w:type="dxa"/>
            <w:vAlign w:val="bottom"/>
          </w:tcPr>
          <w:p>
            <w:pPr>
              <w:spacing w:after="0"/>
              <w:rPr>
                <w:sz w:val="20"/>
                <w:szCs w:val="20"/>
                <w:color w:val="auto"/>
              </w:rPr>
            </w:pPr>
            <w:r>
              <w:rPr>
                <w:rFonts w:ascii="Arial" w:cs="Arial" w:eastAsia="Arial" w:hAnsi="Arial"/>
                <w:sz w:val="16"/>
                <w:szCs w:val="16"/>
                <w:color w:val="auto"/>
              </w:rPr>
              <w:t>Project Directory: Building 4</w:t>
            </w:r>
          </w:p>
        </w:tc>
        <w:tc>
          <w:tcPr>
            <w:tcW w:w="2340" w:type="dxa"/>
            <w:vAlign w:val="bottom"/>
          </w:tcPr>
          <w:p>
            <w:pPr>
              <w:jc w:val="right"/>
              <w:spacing w:after="0"/>
              <w:rPr>
                <w:sz w:val="20"/>
                <w:szCs w:val="20"/>
                <w:color w:val="auto"/>
              </w:rPr>
            </w:pPr>
            <w:r>
              <w:rPr>
                <w:rFonts w:ascii="Arial" w:cs="Arial" w:eastAsia="Arial" w:hAnsi="Arial"/>
                <w:sz w:val="16"/>
                <w:szCs w:val="16"/>
                <w:color w:val="auto"/>
              </w:rPr>
              <w:t>Appendix G</w:t>
            </w:r>
          </w:p>
        </w:tc>
      </w:tr>
    </w:tbl>
    <w:p>
      <w:pPr>
        <w:jc w:val="right"/>
        <w:spacing w:after="0"/>
        <w:rPr>
          <w:sz w:val="20"/>
          <w:szCs w:val="20"/>
          <w:color w:val="auto"/>
        </w:rPr>
        <w:sectPr>
          <w:pgSz w:w="11900" w:h="16838" w:orient="portrait"/>
          <w:cols w:equalWidth="0" w:num="1">
            <w:col w:w="9560"/>
          </w:cols>
          <w:pgMar w:left="1140" w:top="252"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bookmarkStart w:id="417" w:name="page418"/>
    <w:bookmarkEnd w:id="417"/>
    <w:p>
      <w:pPr>
        <w:jc w:val="center"/>
        <w:ind w:right="-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 CONSTRUCTION MANUAL OVERVIEW</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Tenant Improvement (TI) Construction Manual is intended to provide direction to new Tenants and Tenants’ Contractors and Consultants during TI construction at The Cove. It serves as an instructive guide on common building systems, procedures, finishes, and campus design and construction requirements.</w:t>
      </w:r>
    </w:p>
    <w:p>
      <w:pPr>
        <w:spacing w:after="0" w:line="166" w:lineRule="exact"/>
        <w:rPr>
          <w:sz w:val="20"/>
          <w:szCs w:val="20"/>
          <w:color w:val="auto"/>
        </w:rPr>
      </w:pPr>
    </w:p>
    <w:p>
      <w:pPr>
        <w:jc w:val="both"/>
        <w:ind w:right="280"/>
        <w:spacing w:after="0" w:line="256" w:lineRule="auto"/>
        <w:rPr>
          <w:sz w:val="20"/>
          <w:szCs w:val="20"/>
          <w:color w:val="auto"/>
        </w:rPr>
      </w:pPr>
      <w:r>
        <w:rPr>
          <w:rFonts w:ascii="Arial" w:cs="Arial" w:eastAsia="Arial" w:hAnsi="Arial"/>
          <w:sz w:val="16"/>
          <w:szCs w:val="16"/>
          <w:color w:val="auto"/>
        </w:rPr>
        <w:t>While every reasonable care has been taken in preparing the information contained in this guide, neither HCP, Inc. nor its appointed consultants are responsible for any inaccuracy or change and any loss or damage (whether direct or consequential) arising therefrom. All information is subject to change as may be approved or required by relevant jurisdictional authorities.</w:t>
      </w:r>
    </w:p>
    <w:p>
      <w:pPr>
        <w:spacing w:after="0" w:line="16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If there are conflicts between the Lease and its other Exhibits, including the Workletter, and the TI Manual, the Lease and its other Exhibits supersede the TI Manual in all cases.</w:t>
      </w:r>
    </w:p>
    <w:p>
      <w:pPr>
        <w:sectPr>
          <w:pgSz w:w="11900" w:h="16838" w:orient="portrait"/>
          <w:cols w:equalWidth="0" w:num="1">
            <w:col w:w="9540"/>
          </w:cols>
          <w:pgMar w:left="1140" w:top="252" w:right="1219" w:bottom="1440" w:gutter="0" w:footer="0" w:header="0"/>
        </w:sectPr>
      </w:pPr>
    </w:p>
    <w:bookmarkStart w:id="418" w:name="page419"/>
    <w:bookmarkEnd w:id="418"/>
    <w:p>
      <w:pPr>
        <w:ind w:left="27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BASE BUILDING WARM SHELL DELIVERY CONDITION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Refer to Appendix B for Landlord delivery conditions and Tenant responsibilities.</w:t>
      </w:r>
    </w:p>
    <w:p>
      <w:pPr>
        <w:sectPr>
          <w:pgSz w:w="11900" w:h="16838" w:orient="portrait"/>
          <w:cols w:equalWidth="0" w:num="1">
            <w:col w:w="9319"/>
          </w:cols>
          <w:pgMar w:left="1140" w:top="252" w:right="1440" w:bottom="1440" w:gutter="0" w:footer="0" w:header="0"/>
        </w:sectPr>
      </w:pPr>
    </w:p>
    <w:bookmarkStart w:id="419" w:name="page420"/>
    <w:bookmarkEnd w:id="419"/>
    <w:p>
      <w:pPr>
        <w:jc w:val="center"/>
        <w:ind w:right="-1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IMPROVEMENT CONSTRUCTION LOGISTICS &amp; COORDINATION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 LABOR REQUIREMENTS</w:t>
      </w:r>
    </w:p>
    <w:p>
      <w:pPr>
        <w:spacing w:after="0" w:line="99" w:lineRule="exact"/>
        <w:rPr>
          <w:sz w:val="20"/>
          <w:szCs w:val="20"/>
          <w:color w:val="auto"/>
        </w:rPr>
      </w:pPr>
    </w:p>
    <w:p>
      <w:pPr>
        <w:ind w:left="380" w:right="100"/>
        <w:spacing w:after="0" w:line="266" w:lineRule="auto"/>
        <w:rPr>
          <w:sz w:val="20"/>
          <w:szCs w:val="20"/>
          <w:color w:val="auto"/>
        </w:rPr>
      </w:pPr>
      <w:r>
        <w:rPr>
          <w:rFonts w:ascii="Arial" w:cs="Arial" w:eastAsia="Arial" w:hAnsi="Arial"/>
          <w:sz w:val="16"/>
          <w:szCs w:val="16"/>
          <w:color w:val="auto"/>
        </w:rPr>
        <w:t>All labor working on TI projects at The Cove must be unionized. Contracts with non-union labor forces will not be permitted during any active Landlord construction of any portion of the campus.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 CONSTRUCTION SITE SAFETY</w:t>
      </w:r>
    </w:p>
    <w:p>
      <w:pPr>
        <w:spacing w:after="0" w:line="99" w:lineRule="exact"/>
        <w:rPr>
          <w:sz w:val="20"/>
          <w:szCs w:val="20"/>
          <w:color w:val="auto"/>
        </w:rPr>
      </w:pPr>
    </w:p>
    <w:p>
      <w:pPr>
        <w:ind w:left="380"/>
        <w:spacing w:after="0" w:line="266" w:lineRule="auto"/>
        <w:rPr>
          <w:sz w:val="20"/>
          <w:szCs w:val="20"/>
          <w:color w:val="auto"/>
        </w:rPr>
      </w:pPr>
      <w:r>
        <w:rPr>
          <w:rFonts w:ascii="Arial" w:cs="Arial" w:eastAsia="Arial" w:hAnsi="Arial"/>
          <w:sz w:val="16"/>
          <w:szCs w:val="16"/>
          <w:color w:val="auto"/>
        </w:rPr>
        <w:t>All TI construction personnel are required to take a base building and site safety orientation through the base building General Contractor during any active Landlord construction of any portion of the campus.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 CONSTRUCTION LOGISTICS</w:t>
      </w:r>
    </w:p>
    <w:p>
      <w:pPr>
        <w:spacing w:after="0" w:line="99" w:lineRule="exact"/>
        <w:rPr>
          <w:sz w:val="20"/>
          <w:szCs w:val="20"/>
          <w:color w:val="auto"/>
        </w:rPr>
      </w:pPr>
    </w:p>
    <w:p>
      <w:pPr>
        <w:ind w:left="380" w:right="60"/>
        <w:spacing w:after="0" w:line="281" w:lineRule="auto"/>
        <w:rPr>
          <w:sz w:val="20"/>
          <w:szCs w:val="20"/>
          <w:color w:val="auto"/>
        </w:rPr>
      </w:pPr>
      <w:r>
        <w:rPr>
          <w:rFonts w:ascii="Arial" w:cs="Arial" w:eastAsia="Arial" w:hAnsi="Arial"/>
          <w:sz w:val="15"/>
          <w:szCs w:val="15"/>
          <w:color w:val="auto"/>
        </w:rPr>
        <w:t>If any portion of TI construction coincides with any portion of the base building construction, the TI Contractor shall coordinate with the base building Contractor regarding construction logistics, including but not limited to: use of elevator, use of man lift and operator during concurrent building construction, parking, removal of debris, insurance requirements, TCRs, and site safety.</w:t>
      </w:r>
    </w:p>
    <w:p>
      <w:pPr>
        <w:sectPr>
          <w:pgSz w:w="11900" w:h="16838" w:orient="portrait"/>
          <w:cols w:equalWidth="0" w:num="1">
            <w:col w:w="9480"/>
          </w:cols>
          <w:pgMar w:left="1140" w:top="252" w:right="1279" w:bottom="1440" w:gutter="0" w:footer="0" w:header="0"/>
        </w:sectPr>
      </w:pPr>
    </w:p>
    <w:bookmarkStart w:id="420" w:name="page421"/>
    <w:bookmarkEnd w:id="420"/>
    <w:p>
      <w:pPr>
        <w:jc w:val="center"/>
        <w:ind w:right="-2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DESIGN REFERENCES</w:t>
      </w:r>
    </w:p>
    <w:p>
      <w:pPr>
        <w:spacing w:after="0" w:line="197" w:lineRule="exact"/>
        <w:rPr>
          <w:sz w:val="20"/>
          <w:szCs w:val="20"/>
          <w:color w:val="auto"/>
        </w:rPr>
      </w:pPr>
    </w:p>
    <w:p>
      <w:pPr>
        <w:ind w:left="6" w:right="6320" w:hanging="6"/>
        <w:spacing w:after="0" w:line="369" w:lineRule="auto"/>
        <w:tabs>
          <w:tab w:leader="none" w:pos="163" w:val="left"/>
        </w:tabs>
        <w:numPr>
          <w:ilvl w:val="0"/>
          <w:numId w:val="31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 xml:space="preserve">AS-BUILT DRAWINGS AND 3D BIM MODEL </w:t>
      </w:r>
      <w:r>
        <w:rPr>
          <w:rFonts w:ascii="Arial" w:cs="Arial" w:eastAsia="Arial" w:hAnsi="Arial"/>
          <w:sz w:val="16"/>
          <w:szCs w:val="16"/>
          <w:color w:val="auto"/>
        </w:rPr>
        <w:t>Resources:</w:t>
      </w:r>
    </w:p>
    <w:p>
      <w:pPr>
        <w:ind w:left="6"/>
        <w:spacing w:after="0" w:line="256" w:lineRule="auto"/>
        <w:rPr>
          <w:sz w:val="20"/>
          <w:szCs w:val="20"/>
          <w:color w:val="auto"/>
        </w:rPr>
      </w:pPr>
      <w:r>
        <w:rPr>
          <w:rFonts w:ascii="Arial" w:cs="Arial" w:eastAsia="Arial" w:hAnsi="Arial"/>
          <w:sz w:val="16"/>
          <w:szCs w:val="16"/>
          <w:color w:val="auto"/>
        </w:rPr>
        <w:t>As-built drawings and a 3D BIM model of the base building will be provided by the Landlord. The as-built drawings consist of Architectural, Structural, Mechanical, Electrical, Plumbing, and Civil Drawings for the shell. In situations where there is a conflict between 2D Drawings and the 3D model, the 3D model governs.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List of Reference Documents:</w:t>
      </w:r>
    </w:p>
    <w:p>
      <w:pPr>
        <w:spacing w:after="0" w:line="111" w:lineRule="exact"/>
        <w:rPr>
          <w:sz w:val="20"/>
          <w:szCs w:val="20"/>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General Information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Architectural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Structural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Mechanical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Electrical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Plumbing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Building Maintenance Drawings (EBM)</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Civil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Corrosion Control</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Landscape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Security Drawings</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Project Manual</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Basis of Design (BOD) for Shell Mechanical, Electrical, Plumbing, and Fire Protection</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Master Signage Program</w:t>
      </w:r>
    </w:p>
    <w:p>
      <w:pPr>
        <w:spacing w:after="0" w:line="110" w:lineRule="exact"/>
        <w:rPr>
          <w:rFonts w:ascii="Arial" w:cs="Arial" w:eastAsia="Arial" w:hAnsi="Arial"/>
          <w:sz w:val="16"/>
          <w:szCs w:val="16"/>
          <w:color w:val="auto"/>
        </w:rPr>
      </w:pPr>
    </w:p>
    <w:p>
      <w:pPr>
        <w:ind w:left="846" w:hanging="375"/>
        <w:spacing w:after="0"/>
        <w:tabs>
          <w:tab w:leader="none" w:pos="846" w:val="left"/>
        </w:tabs>
        <w:numPr>
          <w:ilvl w:val="0"/>
          <w:numId w:val="316"/>
        </w:numPr>
        <w:rPr>
          <w:rFonts w:ascii="Arial" w:cs="Arial" w:eastAsia="Arial" w:hAnsi="Arial"/>
          <w:sz w:val="16"/>
          <w:szCs w:val="16"/>
          <w:color w:val="auto"/>
        </w:rPr>
      </w:pPr>
      <w:r>
        <w:rPr>
          <w:rFonts w:ascii="Arial" w:cs="Arial" w:eastAsia="Arial" w:hAnsi="Arial"/>
          <w:sz w:val="16"/>
          <w:szCs w:val="16"/>
          <w:color w:val="auto"/>
        </w:rPr>
        <w:t>Base Building ERRCS (DAS) Drawings</w:t>
      </w:r>
    </w:p>
    <w:p>
      <w:pPr>
        <w:sectPr>
          <w:pgSz w:w="11900" w:h="16838" w:orient="portrait"/>
          <w:cols w:equalWidth="0" w:num="1">
            <w:col w:w="9606"/>
          </w:cols>
          <w:pgMar w:left="1134" w:top="252" w:right="1159" w:bottom="1440" w:gutter="0" w:footer="0" w:header="0"/>
        </w:sectPr>
      </w:pPr>
    </w:p>
    <w:bookmarkStart w:id="421" w:name="page422"/>
    <w:bookmarkEnd w:id="421"/>
    <w:p>
      <w:pPr>
        <w:jc w:val="center"/>
        <w:ind w:right="-14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INTERIOR FINISHES</w:t>
      </w:r>
    </w:p>
    <w:p>
      <w:pPr>
        <w:spacing w:after="0" w:line="197" w:lineRule="exact"/>
        <w:rPr>
          <w:sz w:val="20"/>
          <w:szCs w:val="20"/>
          <w:color w:val="auto"/>
        </w:rPr>
      </w:pPr>
    </w:p>
    <w:p>
      <w:pPr>
        <w:ind w:left="6" w:right="7560" w:hanging="6"/>
        <w:spacing w:after="0" w:line="393" w:lineRule="auto"/>
        <w:tabs>
          <w:tab w:leader="none" w:pos="163" w:val="left"/>
        </w:tabs>
        <w:numPr>
          <w:ilvl w:val="0"/>
          <w:numId w:val="317"/>
        </w:numPr>
        <w:rPr>
          <w:rFonts w:ascii="Arial" w:cs="Arial" w:eastAsia="Arial" w:hAnsi="Arial"/>
          <w:sz w:val="15"/>
          <w:szCs w:val="15"/>
          <w:u w:val="single" w:color="auto"/>
          <w:color w:val="auto"/>
        </w:rPr>
      </w:pPr>
      <w:r>
        <w:rPr>
          <w:rFonts w:ascii="Arial" w:cs="Arial" w:eastAsia="Arial" w:hAnsi="Arial"/>
          <w:sz w:val="15"/>
          <w:szCs w:val="15"/>
          <w:u w:val="single" w:color="auto"/>
          <w:color w:val="auto"/>
        </w:rPr>
        <w:t xml:space="preserve">WINDOW TREATMENTS </w:t>
      </w:r>
      <w:r>
        <w:rPr>
          <w:rFonts w:ascii="Arial" w:cs="Arial" w:eastAsia="Arial" w:hAnsi="Arial"/>
          <w:sz w:val="15"/>
          <w:szCs w:val="15"/>
          <w:color w:val="auto"/>
        </w:rPr>
        <w:t>1a. Window Shades</w:t>
      </w:r>
    </w:p>
    <w:p>
      <w:pPr>
        <w:spacing w:after="0" w:line="1" w:lineRule="exact"/>
        <w:rPr>
          <w:sz w:val="20"/>
          <w:szCs w:val="20"/>
          <w:color w:val="auto"/>
        </w:rPr>
      </w:pPr>
    </w:p>
    <w:p>
      <w:pPr>
        <w:ind w:left="6"/>
        <w:spacing w:after="0" w:line="256" w:lineRule="auto"/>
        <w:rPr>
          <w:sz w:val="20"/>
          <w:szCs w:val="20"/>
          <w:color w:val="auto"/>
        </w:rPr>
      </w:pPr>
      <w:r>
        <w:rPr>
          <w:rFonts w:ascii="Arial" w:cs="Arial" w:eastAsia="Arial" w:hAnsi="Arial"/>
          <w:sz w:val="16"/>
          <w:szCs w:val="16"/>
          <w:color w:val="auto"/>
        </w:rPr>
        <w:t>Window shades shall be chain operated and consist of a roller, brackets to support the roller, a flexible fabric carried by the roller, a means of attaching the material to the roller, a bottom bar, and a chain operator to lift and lower the shade. Refer to Appendix G for the window shade manufacturer’s contact information.</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Window shade and associated soffit suspension details are provided in Figures 1-4 below:</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Fig. 1: Condition 1a: TI ceiling elevation matches exterior window mullion elevation – Single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1021715</wp:posOffset>
            </wp:positionH>
            <wp:positionV relativeFrom="paragraph">
              <wp:posOffset>146050</wp:posOffset>
            </wp:positionV>
            <wp:extent cx="4065270" cy="29419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065270" cy="2941955"/>
                    </a:xfrm>
                    <a:prstGeom prst="rect">
                      <a:avLst/>
                    </a:prstGeom>
                    <a:noFill/>
                  </pic:spPr>
                </pic:pic>
              </a:graphicData>
            </a:graphic>
          </wp:anchor>
        </w:drawing>
      </w:r>
    </w:p>
    <w:p>
      <w:pPr>
        <w:sectPr>
          <w:pgSz w:w="11900" w:h="16838" w:orient="portrait"/>
          <w:cols w:equalWidth="0" w:num="1">
            <w:col w:w="9466"/>
          </w:cols>
          <w:pgMar w:left="1134" w:top="252" w:right="1299" w:bottom="1440" w:gutter="0" w:footer="0" w:header="0"/>
        </w:sectPr>
      </w:pPr>
    </w:p>
    <w:bookmarkStart w:id="422" w:name="page423"/>
    <w:bookmarkEnd w:id="422"/>
    <w:p>
      <w:pPr>
        <w:ind w:left="80"/>
        <w:spacing w:after="0"/>
        <w:rPr>
          <w:sz w:val="20"/>
          <w:szCs w:val="20"/>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Fig. 2: Condition 1b: TI ceiling elevation matches exterior window mullion elevation – Double Shade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167640</wp:posOffset>
            </wp:positionV>
            <wp:extent cx="3997960" cy="285242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997960" cy="285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0"/>
        <w:spacing w:after="0"/>
        <w:rPr>
          <w:sz w:val="20"/>
          <w:szCs w:val="20"/>
          <w:color w:val="auto"/>
        </w:rPr>
      </w:pPr>
      <w:r>
        <w:rPr>
          <w:rFonts w:ascii="Arial" w:cs="Arial" w:eastAsia="Arial" w:hAnsi="Arial"/>
          <w:sz w:val="16"/>
          <w:szCs w:val="16"/>
          <w:u w:val="single" w:color="auto"/>
          <w:color w:val="auto"/>
        </w:rPr>
        <w:t>Fig. 3: Condition 2: TI ceiling elevation does not match exterior window mullion elevation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797560</wp:posOffset>
            </wp:positionH>
            <wp:positionV relativeFrom="paragraph">
              <wp:posOffset>145415</wp:posOffset>
            </wp:positionV>
            <wp:extent cx="4132580" cy="26879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132580" cy="26879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sectPr>
      </w:pPr>
    </w:p>
    <w:bookmarkStart w:id="423" w:name="page424"/>
    <w:bookmarkEnd w:id="423"/>
    <w:p>
      <w:pPr>
        <w:ind w:left="80"/>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Fig. 4: Soffit Suspension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146050</wp:posOffset>
            </wp:positionV>
            <wp:extent cx="4087495" cy="363093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087495" cy="3630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Window Shade Specifications</w:t>
      </w:r>
    </w:p>
    <w:p>
      <w:pPr>
        <w:spacing w:after="0" w:line="111" w:lineRule="exact"/>
        <w:rPr>
          <w:sz w:val="20"/>
          <w:szCs w:val="20"/>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Screening Fabric – Sheer Weave 4903</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Style: SW 700</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Color: V28 Slate</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Material Openness Factor: 3%</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Material UV Blockage: 97%</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Please see attached details</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color w:val="auto"/>
        </w:rPr>
        <w:t>Window Blackout Shade Specifications:</w:t>
      </w:r>
    </w:p>
    <w:p>
      <w:pPr>
        <w:spacing w:after="0" w:line="111" w:lineRule="exact"/>
        <w:rPr>
          <w:sz w:val="20"/>
          <w:szCs w:val="20"/>
          <w:color w:val="auto"/>
        </w:rPr>
      </w:pPr>
    </w:p>
    <w:p>
      <w:pPr>
        <w:ind w:left="540" w:hanging="375"/>
        <w:spacing w:after="0"/>
        <w:tabs>
          <w:tab w:leader="none" w:pos="5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Blackout Fabric – Sheer Weave 7000 pvc free</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Style: SW 700</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Colors: V40 Onyx (color side facing windows)</w:t>
      </w:r>
    </w:p>
    <w:p>
      <w:pPr>
        <w:spacing w:after="0" w:line="110" w:lineRule="exact"/>
        <w:rPr>
          <w:rFonts w:ascii="Arial" w:cs="Arial" w:eastAsia="Arial" w:hAnsi="Arial"/>
          <w:sz w:val="16"/>
          <w:szCs w:val="16"/>
          <w:color w:val="auto"/>
        </w:rPr>
      </w:pPr>
    </w:p>
    <w:p>
      <w:pPr>
        <w:ind w:left="540" w:hanging="375"/>
        <w:spacing w:after="0"/>
        <w:tabs>
          <w:tab w:leader="none" w:pos="54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Black Out outboard of sheer fabric</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6"/>
          <w:szCs w:val="16"/>
          <w:color w:val="auto"/>
        </w:rPr>
        <w:t>1b. Window Film</w:t>
      </w:r>
    </w:p>
    <w:p>
      <w:pPr>
        <w:spacing w:after="0" w:line="99" w:lineRule="exact"/>
        <w:rPr>
          <w:sz w:val="20"/>
          <w:szCs w:val="20"/>
          <w:color w:val="auto"/>
        </w:rPr>
      </w:pPr>
    </w:p>
    <w:p>
      <w:pPr>
        <w:ind w:left="180"/>
        <w:spacing w:after="0" w:line="266" w:lineRule="auto"/>
        <w:rPr>
          <w:sz w:val="20"/>
          <w:szCs w:val="20"/>
          <w:color w:val="auto"/>
        </w:rPr>
      </w:pPr>
      <w:r>
        <w:rPr>
          <w:rFonts w:ascii="Arial" w:cs="Arial" w:eastAsia="Arial" w:hAnsi="Arial"/>
          <w:sz w:val="16"/>
          <w:szCs w:val="16"/>
          <w:color w:val="auto"/>
        </w:rPr>
        <w:t>Window film as specified below is required where any casework, fixed furniture, new walls, or other solid objects will be located against the window. Refer to Appendix G for the window film manufacturer’s contact information:</w:t>
      </w:r>
    </w:p>
    <w:p>
      <w:pPr>
        <w:sectPr>
          <w:pgSz w:w="11900" w:h="16838" w:orient="portrait"/>
          <w:cols w:equalWidth="0" w:num="1">
            <w:col w:w="9020"/>
          </w:cols>
          <w:pgMar w:left="1440" w:top="256" w:right="1439" w:bottom="1440" w:gutter="0" w:footer="0" w:header="0"/>
        </w:sectPr>
      </w:pPr>
    </w:p>
    <w:bookmarkStart w:id="424" w:name="page425"/>
    <w:bookmarkEnd w:id="424"/>
    <w:p>
      <w:pPr>
        <w:ind w:left="48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Window Film Specifications:</w:t>
      </w:r>
    </w:p>
    <w:p>
      <w:pPr>
        <w:spacing w:after="0" w:line="111" w:lineRule="exact"/>
        <w:rPr>
          <w:sz w:val="20"/>
          <w:szCs w:val="20"/>
          <w:color w:val="auto"/>
        </w:rPr>
      </w:pPr>
    </w:p>
    <w:p>
      <w:pPr>
        <w:ind w:left="1246" w:hanging="291"/>
        <w:spacing w:after="0"/>
        <w:tabs>
          <w:tab w:leader="none" w:pos="1246" w:val="left"/>
        </w:tabs>
        <w:numPr>
          <w:ilvl w:val="1"/>
          <w:numId w:val="320"/>
        </w:numPr>
        <w:rPr>
          <w:rFonts w:ascii="Arial" w:cs="Arial" w:eastAsia="Arial" w:hAnsi="Arial"/>
          <w:sz w:val="16"/>
          <w:szCs w:val="16"/>
          <w:color w:val="auto"/>
        </w:rPr>
      </w:pPr>
      <w:r>
        <w:rPr>
          <w:rFonts w:ascii="Arial" w:cs="Arial" w:eastAsia="Arial" w:hAnsi="Arial"/>
          <w:sz w:val="16"/>
          <w:szCs w:val="16"/>
          <w:color w:val="auto"/>
        </w:rPr>
        <w:t>Window Works Custom Film: The Gray Lady 03-631</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20"/>
        </w:numPr>
        <w:rPr>
          <w:rFonts w:ascii="Arial" w:cs="Arial" w:eastAsia="Arial" w:hAnsi="Arial"/>
          <w:sz w:val="16"/>
          <w:szCs w:val="16"/>
          <w:color w:val="auto"/>
        </w:rPr>
      </w:pPr>
      <w:r>
        <w:rPr>
          <w:rFonts w:ascii="Arial" w:cs="Arial" w:eastAsia="Arial" w:hAnsi="Arial"/>
          <w:sz w:val="16"/>
          <w:szCs w:val="16"/>
          <w:color w:val="auto"/>
        </w:rPr>
        <w:t>Underlay Custom Film with clear 4 mil Anti-Graffiti film</w:t>
      </w:r>
    </w:p>
    <w:p>
      <w:pPr>
        <w:spacing w:after="0" w:line="193" w:lineRule="exact"/>
        <w:rPr>
          <w:rFonts w:ascii="Arial" w:cs="Arial" w:eastAsia="Arial" w:hAnsi="Arial"/>
          <w:sz w:val="16"/>
          <w:szCs w:val="16"/>
          <w:color w:val="auto"/>
        </w:rPr>
      </w:pPr>
    </w:p>
    <w:p>
      <w:pPr>
        <w:ind w:left="166" w:hanging="166"/>
        <w:spacing w:after="0"/>
        <w:tabs>
          <w:tab w:leader="none" w:pos="166" w:val="left"/>
        </w:tabs>
        <w:numPr>
          <w:ilvl w:val="0"/>
          <w:numId w:val="320"/>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LIGHTING TEMPERATURE</w:t>
      </w:r>
    </w:p>
    <w:p>
      <w:pPr>
        <w:spacing w:after="0" w:line="99" w:lineRule="exact"/>
        <w:rPr>
          <w:sz w:val="20"/>
          <w:szCs w:val="20"/>
          <w:color w:val="auto"/>
        </w:rPr>
      </w:pPr>
    </w:p>
    <w:p>
      <w:pPr>
        <w:ind w:left="386"/>
        <w:spacing w:after="0" w:line="266" w:lineRule="auto"/>
        <w:rPr>
          <w:sz w:val="20"/>
          <w:szCs w:val="20"/>
          <w:color w:val="auto"/>
        </w:rPr>
      </w:pPr>
      <w:r>
        <w:rPr>
          <w:rFonts w:ascii="Arial" w:cs="Arial" w:eastAsia="Arial" w:hAnsi="Arial"/>
          <w:sz w:val="16"/>
          <w:szCs w:val="16"/>
          <w:color w:val="auto"/>
        </w:rPr>
        <w:t>Lighting temperature shall remain between 3500 K and 4000 K for all interior Tenant spaces, unless alternate direction is given and/or approved by the Landlord.</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3. PAINT COLOR</w:t>
      </w:r>
    </w:p>
    <w:p>
      <w:pPr>
        <w:spacing w:after="0" w:line="99" w:lineRule="exact"/>
        <w:rPr>
          <w:sz w:val="20"/>
          <w:szCs w:val="20"/>
          <w:color w:val="auto"/>
        </w:rPr>
      </w:pPr>
    </w:p>
    <w:p>
      <w:pPr>
        <w:ind w:left="386" w:right="80"/>
        <w:spacing w:after="0" w:line="266" w:lineRule="auto"/>
        <w:rPr>
          <w:sz w:val="20"/>
          <w:szCs w:val="20"/>
          <w:color w:val="auto"/>
        </w:rPr>
      </w:pPr>
      <w:r>
        <w:rPr>
          <w:rFonts w:ascii="Arial" w:cs="Arial" w:eastAsia="Arial" w:hAnsi="Arial"/>
          <w:sz w:val="16"/>
          <w:szCs w:val="16"/>
          <w:color w:val="auto"/>
        </w:rPr>
        <w:t>All fixed Tenant improvements, including but not limited to braced frames, columns, partitions, etc., within 2 feet of exterior windows shall be painted Dunn Edwards DE6368 Walrus.</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u w:val="single" w:color="auto"/>
          <w:color w:val="auto"/>
        </w:rPr>
        <w:t>4. EMERGENCY EVACUATION SIGNAGE</w:t>
      </w:r>
    </w:p>
    <w:p>
      <w:pPr>
        <w:spacing w:after="0" w:line="99" w:lineRule="exact"/>
        <w:rPr>
          <w:sz w:val="20"/>
          <w:szCs w:val="20"/>
          <w:color w:val="auto"/>
        </w:rPr>
      </w:pPr>
    </w:p>
    <w:p>
      <w:pPr>
        <w:ind w:left="386"/>
        <w:spacing w:after="0"/>
        <w:rPr>
          <w:sz w:val="20"/>
          <w:szCs w:val="20"/>
          <w:color w:val="auto"/>
        </w:rPr>
      </w:pPr>
      <w:r>
        <w:rPr>
          <w:rFonts w:ascii="Arial" w:cs="Arial" w:eastAsia="Arial" w:hAnsi="Arial"/>
          <w:sz w:val="16"/>
          <w:szCs w:val="16"/>
          <w:color w:val="auto"/>
        </w:rPr>
        <w:t>Emergency evacuation signs shall meet building standards. Refer to Appendix C for details.</w:t>
      </w:r>
    </w:p>
    <w:p>
      <w:pPr>
        <w:sectPr>
          <w:pgSz w:w="11900" w:h="16838" w:orient="portrait"/>
          <w:cols w:equalWidth="0" w:num="1">
            <w:col w:w="9446"/>
          </w:cols>
          <w:pgMar w:left="1134" w:top="256" w:right="1319" w:bottom="1440" w:gutter="0" w:footer="0" w:header="0"/>
        </w:sectPr>
      </w:pPr>
    </w:p>
    <w:bookmarkStart w:id="425" w:name="page426"/>
    <w:bookmarkEnd w:id="425"/>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BASE BUILDING SYSTEMS &amp; CONDITIONS</w:t>
      </w:r>
    </w:p>
    <w:p>
      <w:pPr>
        <w:spacing w:after="0" w:line="197" w:lineRule="exact"/>
        <w:rPr>
          <w:sz w:val="20"/>
          <w:szCs w:val="20"/>
          <w:color w:val="auto"/>
        </w:rPr>
      </w:pPr>
    </w:p>
    <w:p>
      <w:pPr>
        <w:ind w:left="166" w:hanging="166"/>
        <w:spacing w:after="0"/>
        <w:tabs>
          <w:tab w:leader="none" w:pos="166" w:val="left"/>
        </w:tabs>
        <w:numPr>
          <w:ilvl w:val="0"/>
          <w:numId w:val="32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BASE BUILDING ALTERATIONS</w:t>
      </w:r>
    </w:p>
    <w:p>
      <w:pPr>
        <w:spacing w:after="0" w:line="94" w:lineRule="exact"/>
        <w:rPr>
          <w:rFonts w:ascii="Arial" w:cs="Arial" w:eastAsia="Arial" w:hAnsi="Arial"/>
          <w:sz w:val="16"/>
          <w:szCs w:val="16"/>
          <w:u w:val="single" w:color="auto"/>
          <w:color w:val="auto"/>
        </w:rPr>
      </w:pPr>
    </w:p>
    <w:p>
      <w:pPr>
        <w:ind w:left="6"/>
        <w:spacing w:after="0"/>
        <w:rPr>
          <w:rFonts w:ascii="Arial" w:cs="Arial" w:eastAsia="Arial" w:hAnsi="Arial"/>
          <w:sz w:val="16"/>
          <w:szCs w:val="16"/>
          <w:u w:val="single" w:color="auto"/>
          <w:color w:val="auto"/>
        </w:rPr>
      </w:pPr>
      <w:r>
        <w:rPr>
          <w:rFonts w:ascii="Arial" w:cs="Arial" w:eastAsia="Arial" w:hAnsi="Arial"/>
          <w:sz w:val="16"/>
          <w:szCs w:val="16"/>
          <w:color w:val="auto"/>
        </w:rPr>
        <w:t>1a. Landlord Approval</w:t>
      </w:r>
      <w:r>
        <w:rPr>
          <w:rFonts w:ascii="Arial" w:cs="Arial" w:eastAsia="Arial" w:hAnsi="Arial"/>
          <w:sz w:val="16"/>
          <w:szCs w:val="16"/>
          <w:b w:val="1"/>
          <w:bCs w:val="1"/>
          <w:color w:val="auto"/>
        </w:rPr>
        <w:t>:</w:t>
      </w:r>
    </w:p>
    <w:p>
      <w:pPr>
        <w:spacing w:after="0" w:line="102" w:lineRule="exact"/>
        <w:rPr>
          <w:rFonts w:ascii="Arial" w:cs="Arial" w:eastAsia="Arial" w:hAnsi="Arial"/>
          <w:sz w:val="16"/>
          <w:szCs w:val="16"/>
          <w:u w:val="single" w:color="auto"/>
          <w:color w:val="auto"/>
        </w:rPr>
      </w:pPr>
    </w:p>
    <w:p>
      <w:pPr>
        <w:ind w:left="386"/>
        <w:spacing w:after="0"/>
        <w:rPr>
          <w:rFonts w:ascii="Arial" w:cs="Arial" w:eastAsia="Arial" w:hAnsi="Arial"/>
          <w:sz w:val="16"/>
          <w:szCs w:val="16"/>
          <w:u w:val="single" w:color="auto"/>
          <w:color w:val="auto"/>
        </w:rPr>
      </w:pPr>
      <w:r>
        <w:rPr>
          <w:rFonts w:ascii="Arial" w:cs="Arial" w:eastAsia="Arial" w:hAnsi="Arial"/>
          <w:sz w:val="16"/>
          <w:szCs w:val="16"/>
          <w:color w:val="auto"/>
        </w:rPr>
        <w:t>Any base building alterations resulting from TI design and construction require written Landlord approval.</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1b. Structural Modifications:</w:t>
      </w:r>
    </w:p>
    <w:p>
      <w:pPr>
        <w:spacing w:after="0" w:line="99" w:lineRule="exact"/>
        <w:rPr>
          <w:sz w:val="20"/>
          <w:szCs w:val="20"/>
          <w:color w:val="auto"/>
        </w:rPr>
      </w:pPr>
    </w:p>
    <w:p>
      <w:pPr>
        <w:ind w:left="386" w:right="160"/>
        <w:spacing w:after="0" w:line="266" w:lineRule="auto"/>
        <w:rPr>
          <w:sz w:val="20"/>
          <w:szCs w:val="20"/>
          <w:color w:val="auto"/>
        </w:rPr>
      </w:pPr>
      <w:r>
        <w:rPr>
          <w:rFonts w:ascii="Arial" w:cs="Arial" w:eastAsia="Arial" w:hAnsi="Arial"/>
          <w:sz w:val="16"/>
          <w:szCs w:val="16"/>
          <w:color w:val="auto"/>
        </w:rPr>
        <w:t>Any structural modifications to the base building are a Tenant cost and responsibility. Structural modifications to the base building are subject to review from the shell structural engineering team at the Tenant’s cost.</w:t>
      </w:r>
    </w:p>
    <w:p>
      <w:pPr>
        <w:spacing w:after="0" w:line="64" w:lineRule="exact"/>
        <w:rPr>
          <w:sz w:val="20"/>
          <w:szCs w:val="20"/>
          <w:color w:val="auto"/>
        </w:rPr>
      </w:pPr>
    </w:p>
    <w:p>
      <w:pPr>
        <w:ind w:left="386" w:right="160"/>
        <w:spacing w:after="0" w:line="266" w:lineRule="auto"/>
        <w:rPr>
          <w:sz w:val="20"/>
          <w:szCs w:val="20"/>
          <w:color w:val="auto"/>
        </w:rPr>
      </w:pPr>
      <w:r>
        <w:rPr>
          <w:rFonts w:ascii="Arial" w:cs="Arial" w:eastAsia="Arial" w:hAnsi="Arial"/>
          <w:sz w:val="16"/>
          <w:szCs w:val="16"/>
          <w:color w:val="auto"/>
        </w:rPr>
        <w:t>In the event that structural modifications to the base building are needed as part of the TI build-out, including but not limited to alterations to the slab and structural reinforcement, the following process will be observed:</w:t>
      </w:r>
    </w:p>
    <w:p>
      <w:pPr>
        <w:spacing w:after="0" w:line="76" w:lineRule="exact"/>
        <w:rPr>
          <w:sz w:val="20"/>
          <w:szCs w:val="20"/>
          <w:color w:val="auto"/>
        </w:rPr>
      </w:pPr>
    </w:p>
    <w:p>
      <w:pPr>
        <w:ind w:left="846" w:hanging="469"/>
        <w:spacing w:after="0"/>
        <w:tabs>
          <w:tab w:leader="none" w:pos="84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TI Structural Engineer will propose design and modifications to existing structure.</w:t>
      </w:r>
    </w:p>
    <w:p>
      <w:pPr>
        <w:spacing w:after="0" w:line="110" w:lineRule="exact"/>
        <w:rPr>
          <w:rFonts w:ascii="Arial" w:cs="Arial" w:eastAsia="Arial" w:hAnsi="Arial"/>
          <w:sz w:val="16"/>
          <w:szCs w:val="16"/>
          <w:color w:val="auto"/>
        </w:rPr>
      </w:pPr>
    </w:p>
    <w:p>
      <w:pPr>
        <w:ind w:left="846" w:hanging="469"/>
        <w:spacing w:after="0"/>
        <w:tabs>
          <w:tab w:leader="none" w:pos="846" w:val="left"/>
        </w:tabs>
        <w:numPr>
          <w:ilvl w:val="0"/>
          <w:numId w:val="322"/>
        </w:numPr>
        <w:rPr>
          <w:rFonts w:ascii="Arial" w:cs="Arial" w:eastAsia="Arial" w:hAnsi="Arial"/>
          <w:sz w:val="15"/>
          <w:szCs w:val="15"/>
          <w:color w:val="auto"/>
        </w:rPr>
      </w:pPr>
      <w:r>
        <w:rPr>
          <w:rFonts w:ascii="Arial" w:cs="Arial" w:eastAsia="Arial" w:hAnsi="Arial"/>
          <w:sz w:val="15"/>
          <w:szCs w:val="15"/>
          <w:color w:val="auto"/>
        </w:rPr>
        <w:t>TI Structural Engineer will provide Landlord with all necessary signed and sealed drawings and calculations required for review.</w:t>
      </w:r>
    </w:p>
    <w:p>
      <w:pPr>
        <w:spacing w:after="0" w:line="122" w:lineRule="exact"/>
        <w:rPr>
          <w:rFonts w:ascii="Arial" w:cs="Arial" w:eastAsia="Arial" w:hAnsi="Arial"/>
          <w:sz w:val="15"/>
          <w:szCs w:val="15"/>
          <w:color w:val="auto"/>
        </w:rPr>
      </w:pPr>
    </w:p>
    <w:p>
      <w:pPr>
        <w:ind w:left="846" w:hanging="469"/>
        <w:spacing w:after="0"/>
        <w:tabs>
          <w:tab w:leader="none" w:pos="84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TI Structural design and modifications will be sent to base building Structural Engineer for review and approval.</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22"/>
        </w:numPr>
        <w:rPr>
          <w:rFonts w:ascii="Arial" w:cs="Arial" w:eastAsia="Arial" w:hAnsi="Arial"/>
          <w:sz w:val="16"/>
          <w:szCs w:val="16"/>
          <w:color w:val="auto"/>
        </w:rPr>
      </w:pPr>
      <w:r>
        <w:rPr>
          <w:rFonts w:ascii="Arial" w:cs="Arial" w:eastAsia="Arial" w:hAnsi="Arial"/>
          <w:sz w:val="16"/>
          <w:szCs w:val="16"/>
          <w:color w:val="auto"/>
        </w:rPr>
        <w:t>Base building Structural Engineer review rates are as follows:</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22"/>
        </w:numPr>
        <w:rPr>
          <w:rFonts w:ascii="Arial" w:cs="Arial" w:eastAsia="Arial" w:hAnsi="Arial"/>
          <w:sz w:val="16"/>
          <w:szCs w:val="16"/>
          <w:color w:val="auto"/>
        </w:rPr>
      </w:pPr>
      <w:r>
        <w:rPr>
          <w:rFonts w:ascii="Arial" w:cs="Arial" w:eastAsia="Arial" w:hAnsi="Arial"/>
          <w:sz w:val="16"/>
          <w:szCs w:val="16"/>
          <w:color w:val="auto"/>
        </w:rPr>
        <w:t>Engineering time: $155-160/hr.</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22"/>
        </w:numPr>
        <w:rPr>
          <w:rFonts w:ascii="Arial" w:cs="Arial" w:eastAsia="Arial" w:hAnsi="Arial"/>
          <w:sz w:val="16"/>
          <w:szCs w:val="16"/>
          <w:color w:val="auto"/>
        </w:rPr>
      </w:pPr>
      <w:r>
        <w:rPr>
          <w:rFonts w:ascii="Arial" w:cs="Arial" w:eastAsia="Arial" w:hAnsi="Arial"/>
          <w:sz w:val="16"/>
          <w:szCs w:val="16"/>
          <w:color w:val="auto"/>
        </w:rPr>
        <w:t>Management time: $180/hr.</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22"/>
        </w:numPr>
        <w:rPr>
          <w:rFonts w:ascii="Arial" w:cs="Arial" w:eastAsia="Arial" w:hAnsi="Arial"/>
          <w:sz w:val="16"/>
          <w:szCs w:val="16"/>
          <w:color w:val="auto"/>
        </w:rPr>
      </w:pPr>
      <w:r>
        <w:rPr>
          <w:rFonts w:ascii="Arial" w:cs="Arial" w:eastAsia="Arial" w:hAnsi="Arial"/>
          <w:sz w:val="16"/>
          <w:szCs w:val="16"/>
          <w:color w:val="auto"/>
        </w:rPr>
        <w:t>Base building Structural Engineer review turnaround time will generally be one week.</w:t>
      </w:r>
    </w:p>
    <w:p>
      <w:pPr>
        <w:spacing w:after="0" w:line="110" w:lineRule="exact"/>
        <w:rPr>
          <w:rFonts w:ascii="Arial" w:cs="Arial" w:eastAsia="Arial" w:hAnsi="Arial"/>
          <w:sz w:val="16"/>
          <w:szCs w:val="16"/>
          <w:color w:val="auto"/>
        </w:rPr>
      </w:pPr>
    </w:p>
    <w:p>
      <w:pPr>
        <w:ind w:left="1246" w:hanging="291"/>
        <w:spacing w:after="0" w:line="266" w:lineRule="auto"/>
        <w:tabs>
          <w:tab w:leader="none" w:pos="1246" w:val="left"/>
        </w:tabs>
        <w:numPr>
          <w:ilvl w:val="1"/>
          <w:numId w:val="322"/>
        </w:numPr>
        <w:rPr>
          <w:rFonts w:ascii="Arial" w:cs="Arial" w:eastAsia="Arial" w:hAnsi="Arial"/>
          <w:sz w:val="16"/>
          <w:szCs w:val="16"/>
          <w:color w:val="auto"/>
        </w:rPr>
      </w:pPr>
      <w:r>
        <w:rPr>
          <w:rFonts w:ascii="Arial" w:cs="Arial" w:eastAsia="Arial" w:hAnsi="Arial"/>
          <w:sz w:val="16"/>
          <w:szCs w:val="16"/>
          <w:color w:val="auto"/>
        </w:rPr>
        <w:t>The base building Structural Engineer review rates and timeframe provided here are general estimates. Tenants are responsible for all costs associated with the TI.</w:t>
      </w:r>
    </w:p>
    <w:p>
      <w:pPr>
        <w:spacing w:after="0" w:line="75" w:lineRule="exact"/>
        <w:rPr>
          <w:rFonts w:ascii="Arial" w:cs="Arial" w:eastAsia="Arial" w:hAnsi="Arial"/>
          <w:sz w:val="16"/>
          <w:szCs w:val="16"/>
          <w:color w:val="auto"/>
        </w:rPr>
      </w:pPr>
    </w:p>
    <w:p>
      <w:pPr>
        <w:ind w:left="846" w:hanging="469"/>
        <w:spacing w:after="0"/>
        <w:tabs>
          <w:tab w:leader="none" w:pos="846" w:val="left"/>
        </w:tabs>
        <w:numPr>
          <w:ilvl w:val="0"/>
          <w:numId w:val="322"/>
        </w:numPr>
        <w:rPr>
          <w:rFonts w:ascii="Arial" w:cs="Arial" w:eastAsia="Arial" w:hAnsi="Arial"/>
          <w:sz w:val="16"/>
          <w:szCs w:val="16"/>
          <w:color w:val="auto"/>
        </w:rPr>
      </w:pPr>
      <w:r>
        <w:rPr>
          <w:rFonts w:ascii="Arial" w:cs="Arial" w:eastAsia="Arial" w:hAnsi="Arial"/>
          <w:sz w:val="16"/>
          <w:szCs w:val="16"/>
          <w:color w:val="auto"/>
        </w:rPr>
        <w:t>Upon completion of base building team review:</w:t>
      </w:r>
    </w:p>
    <w:p>
      <w:pPr>
        <w:spacing w:after="0" w:line="111" w:lineRule="exact"/>
        <w:rPr>
          <w:sz w:val="20"/>
          <w:szCs w:val="20"/>
          <w:color w:val="auto"/>
        </w:rPr>
      </w:pPr>
    </w:p>
    <w:p>
      <w:pPr>
        <w:ind w:left="1326" w:hanging="371"/>
        <w:spacing w:after="0"/>
        <w:tabs>
          <w:tab w:leader="none" w:pos="1326" w:val="left"/>
        </w:tabs>
        <w:numPr>
          <w:ilvl w:val="0"/>
          <w:numId w:val="323"/>
        </w:numPr>
        <w:rPr>
          <w:rFonts w:ascii="Arial" w:cs="Arial" w:eastAsia="Arial" w:hAnsi="Arial"/>
          <w:sz w:val="16"/>
          <w:szCs w:val="16"/>
          <w:color w:val="auto"/>
        </w:rPr>
      </w:pPr>
      <w:r>
        <w:rPr>
          <w:rFonts w:ascii="Arial" w:cs="Arial" w:eastAsia="Arial" w:hAnsi="Arial"/>
          <w:sz w:val="16"/>
          <w:szCs w:val="16"/>
          <w:color w:val="auto"/>
        </w:rPr>
        <w:t>If approved: No further action required, construction may proceed.</w:t>
      </w:r>
    </w:p>
    <w:p>
      <w:pPr>
        <w:spacing w:after="0" w:line="110" w:lineRule="exact"/>
        <w:rPr>
          <w:rFonts w:ascii="Arial" w:cs="Arial" w:eastAsia="Arial" w:hAnsi="Arial"/>
          <w:sz w:val="16"/>
          <w:szCs w:val="16"/>
          <w:color w:val="auto"/>
        </w:rPr>
      </w:pPr>
    </w:p>
    <w:p>
      <w:pPr>
        <w:ind w:left="1326" w:right="300" w:hanging="371"/>
        <w:spacing w:after="0" w:line="300" w:lineRule="auto"/>
        <w:tabs>
          <w:tab w:leader="none" w:pos="1326" w:val="left"/>
        </w:tabs>
        <w:numPr>
          <w:ilvl w:val="0"/>
          <w:numId w:val="323"/>
        </w:numPr>
        <w:rPr>
          <w:rFonts w:ascii="Arial" w:cs="Arial" w:eastAsia="Arial" w:hAnsi="Arial"/>
          <w:sz w:val="15"/>
          <w:szCs w:val="15"/>
          <w:color w:val="auto"/>
        </w:rPr>
      </w:pPr>
      <w:r>
        <w:rPr>
          <w:rFonts w:ascii="Arial" w:cs="Arial" w:eastAsia="Arial" w:hAnsi="Arial"/>
          <w:sz w:val="15"/>
          <w:szCs w:val="15"/>
          <w:color w:val="auto"/>
        </w:rPr>
        <w:t>If not approved: TI Structural Engineer shall address and respond to base building Structural Engineer comments. Construction may not proceed until both engineering parties have reviewed and approved of structural modifications.</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1c. Roofing Modifications:</w:t>
      </w:r>
    </w:p>
    <w:p>
      <w:pPr>
        <w:spacing w:after="0" w:line="99" w:lineRule="exact"/>
        <w:rPr>
          <w:sz w:val="20"/>
          <w:szCs w:val="20"/>
          <w:color w:val="auto"/>
        </w:rPr>
      </w:pPr>
    </w:p>
    <w:p>
      <w:pPr>
        <w:ind w:left="866" w:right="680"/>
        <w:spacing w:after="0" w:line="266" w:lineRule="auto"/>
        <w:rPr>
          <w:sz w:val="20"/>
          <w:szCs w:val="20"/>
          <w:color w:val="auto"/>
        </w:rPr>
      </w:pPr>
      <w:r>
        <w:rPr>
          <w:rFonts w:ascii="Arial" w:cs="Arial" w:eastAsia="Arial" w:hAnsi="Arial"/>
          <w:sz w:val="16"/>
          <w:szCs w:val="16"/>
          <w:color w:val="auto"/>
        </w:rPr>
        <w:t>Any and all roofing alterations must be completed by the base building Roofing Subcontractor—refer to Appendix G for contact information.</w:t>
      </w:r>
    </w:p>
    <w:p>
      <w:pPr>
        <w:spacing w:after="0" w:line="60" w:lineRule="exact"/>
        <w:rPr>
          <w:sz w:val="20"/>
          <w:szCs w:val="20"/>
          <w:color w:val="auto"/>
        </w:rPr>
      </w:pPr>
    </w:p>
    <w:p>
      <w:pPr>
        <w:ind w:left="866" w:right="800"/>
        <w:spacing w:after="0" w:line="272" w:lineRule="auto"/>
        <w:rPr>
          <w:sz w:val="20"/>
          <w:szCs w:val="20"/>
          <w:color w:val="auto"/>
        </w:rPr>
      </w:pPr>
      <w:r>
        <w:rPr>
          <w:rFonts w:ascii="Arial" w:cs="Arial" w:eastAsia="Arial" w:hAnsi="Arial"/>
          <w:sz w:val="16"/>
          <w:szCs w:val="16"/>
          <w:color w:val="auto"/>
        </w:rPr>
        <w:t xml:space="preserve">Modifications outside of Tenant’s designated roof zone shall require written Landlord approval. </w:t>
      </w:r>
      <w:r>
        <w:rPr>
          <w:rFonts w:ascii="Arial" w:cs="Arial" w:eastAsia="Arial" w:hAnsi="Arial"/>
          <w:sz w:val="16"/>
          <w:szCs w:val="16"/>
          <w:b w:val="1"/>
          <w:bCs w:val="1"/>
          <w:color w:val="auto"/>
        </w:rPr>
        <w:t>Under no circumstance shall</w:t>
      </w:r>
      <w:r>
        <w:rPr>
          <w:rFonts w:ascii="Arial" w:cs="Arial" w:eastAsia="Arial" w:hAnsi="Arial"/>
          <w:sz w:val="16"/>
          <w:szCs w:val="16"/>
          <w:color w:val="auto"/>
        </w:rPr>
        <w:t xml:space="preserve"> </w:t>
      </w:r>
      <w:r>
        <w:rPr>
          <w:rFonts w:ascii="Arial" w:cs="Arial" w:eastAsia="Arial" w:hAnsi="Arial"/>
          <w:sz w:val="16"/>
          <w:szCs w:val="16"/>
          <w:b w:val="1"/>
          <w:bCs w:val="1"/>
          <w:color w:val="auto"/>
        </w:rPr>
        <w:t>penetrations to the building’s penthouse roof be permitted.</w:t>
      </w:r>
    </w:p>
    <w:p>
      <w:pPr>
        <w:spacing w:after="0" w:line="59" w:lineRule="exact"/>
        <w:rPr>
          <w:sz w:val="20"/>
          <w:szCs w:val="20"/>
          <w:color w:val="auto"/>
        </w:rPr>
      </w:pPr>
    </w:p>
    <w:p>
      <w:pPr>
        <w:ind w:left="866" w:right="60"/>
        <w:spacing w:after="0" w:line="256" w:lineRule="auto"/>
        <w:rPr>
          <w:sz w:val="20"/>
          <w:szCs w:val="20"/>
          <w:color w:val="auto"/>
        </w:rPr>
      </w:pPr>
      <w:r>
        <w:rPr>
          <w:rFonts w:ascii="Arial" w:cs="Arial" w:eastAsia="Arial" w:hAnsi="Arial"/>
          <w:sz w:val="16"/>
          <w:szCs w:val="16"/>
          <w:color w:val="auto"/>
        </w:rPr>
        <w:t>Base building roof zone designations are shown in the attached Appendix D for reference. The depicted zones are designated areas for any Tenant-installed equipment serving the respective Tenant spaces. Spaces designated for Landlord use or a potential vivarium can be utilized as overflow for Tenant space allocations pending Landlord approval.</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color w:val="auto"/>
        </w:rPr>
        <w:t>1d. Temporary Opening of Building Envelope:</w:t>
      </w:r>
    </w:p>
    <w:p>
      <w:pPr>
        <w:spacing w:after="0" w:line="9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The building envelope can be opened to allow for access and material delivery as described below:</w:t>
      </w:r>
    </w:p>
    <w:p>
      <w:pPr>
        <w:sectPr>
          <w:pgSz w:w="11900" w:h="16838" w:orient="portrait"/>
          <w:cols w:equalWidth="0" w:num="1">
            <w:col w:w="9626"/>
          </w:cols>
          <w:pgMar w:left="1134" w:top="252" w:right="1139" w:bottom="1440" w:gutter="0" w:footer="0" w:header="0"/>
        </w:sectPr>
      </w:pPr>
    </w:p>
    <w:bookmarkStart w:id="426" w:name="page427"/>
    <w:bookmarkEnd w:id="426"/>
    <w:p>
      <w:pPr>
        <w:ind w:left="480" w:right="20"/>
        <w:spacing w:after="0" w:line="27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Individual glass lites can be removed from the exterior for replacement glass in the event of breakage or to create a small opening for building access. Individual curtain wall units and perimeter caulking can be removed and re-installed if a larger opening is needed for hoist-bay access to deliver materials into the building, at the Tenant’s cost, pending the Landlord’s written approval. Any enclosure openings require Landlord approval and coordination with ongoing construction and campus operations. All building enclosure work must be performed by the base building envelope subcontractor; refer to Appendix G for contact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 BASE BUILDING SYSTEMS ACCESS</w:t>
      </w:r>
    </w:p>
    <w:p>
      <w:pPr>
        <w:spacing w:after="0" w:line="99" w:lineRule="exact"/>
        <w:rPr>
          <w:sz w:val="20"/>
          <w:szCs w:val="20"/>
          <w:color w:val="auto"/>
        </w:rPr>
      </w:pPr>
    </w:p>
    <w:p>
      <w:pPr>
        <w:ind w:left="380" w:right="520"/>
        <w:spacing w:after="0" w:line="266" w:lineRule="auto"/>
        <w:rPr>
          <w:sz w:val="20"/>
          <w:szCs w:val="20"/>
          <w:color w:val="auto"/>
        </w:rPr>
      </w:pPr>
      <w:r>
        <w:rPr>
          <w:rFonts w:ascii="Arial" w:cs="Arial" w:eastAsia="Arial" w:hAnsi="Arial"/>
          <w:sz w:val="16"/>
          <w:szCs w:val="16"/>
          <w:color w:val="auto"/>
        </w:rPr>
        <w:t>TI design and construction shall provide access to base building systems (ex. fire smoke damper) with Landlord approval for access point locations.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 TENANT SUB-METERING</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Tenants shall provide sub-metering for utilities as described below:</w:t>
      </w:r>
    </w:p>
    <w:p>
      <w:pPr>
        <w:spacing w:after="0" w:line="111" w:lineRule="exact"/>
        <w:rPr>
          <w:sz w:val="20"/>
          <w:szCs w:val="20"/>
          <w:color w:val="auto"/>
        </w:rPr>
      </w:pPr>
    </w:p>
    <w:p>
      <w:pPr>
        <w:ind w:left="840" w:hanging="375"/>
        <w:spacing w:after="0"/>
        <w:tabs>
          <w:tab w:leader="none" w:pos="840" w:val="left"/>
        </w:tabs>
        <w:numPr>
          <w:ilvl w:val="0"/>
          <w:numId w:val="324"/>
        </w:numPr>
        <w:rPr>
          <w:rFonts w:ascii="Arial" w:cs="Arial" w:eastAsia="Arial" w:hAnsi="Arial"/>
          <w:sz w:val="16"/>
          <w:szCs w:val="16"/>
          <w:color w:val="auto"/>
        </w:rPr>
      </w:pPr>
      <w:r>
        <w:rPr>
          <w:rFonts w:ascii="Arial" w:cs="Arial" w:eastAsia="Arial" w:hAnsi="Arial"/>
          <w:sz w:val="16"/>
          <w:szCs w:val="16"/>
          <w:color w:val="auto"/>
        </w:rPr>
        <w:t>BTU Meter: ONICON Model F-1200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floor and/or Tenant is required to install a BTU meter for tracking usage of the heating water system.</w:t>
      </w:r>
    </w:p>
    <w:p>
      <w:pPr>
        <w:spacing w:after="0" w:line="111" w:lineRule="exact"/>
        <w:rPr>
          <w:sz w:val="20"/>
          <w:szCs w:val="20"/>
          <w:color w:val="auto"/>
        </w:rPr>
      </w:pPr>
    </w:p>
    <w:p>
      <w:pPr>
        <w:ind w:left="840" w:hanging="375"/>
        <w:spacing w:after="0"/>
        <w:tabs>
          <w:tab w:leader="none" w:pos="84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Natural Gas Meter: ONICON Model F5100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Tenant requiring specific natural gas must install a meter to track their usage.</w:t>
      </w:r>
    </w:p>
    <w:p>
      <w:pPr>
        <w:spacing w:after="0" w:line="111" w:lineRule="exact"/>
        <w:rPr>
          <w:sz w:val="20"/>
          <w:szCs w:val="20"/>
          <w:color w:val="auto"/>
        </w:rPr>
      </w:pPr>
    </w:p>
    <w:p>
      <w:pPr>
        <w:ind w:left="840" w:hanging="375"/>
        <w:spacing w:after="0"/>
        <w:tabs>
          <w:tab w:leader="none" w:pos="84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Water Meter(s): ONICON Model F1200</w:t>
      </w:r>
    </w:p>
    <w:p>
      <w:pPr>
        <w:spacing w:after="0" w:line="99"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Every Tenant requiring water (domestic or industrial) must install a meter to track their usage.</w:t>
      </w:r>
    </w:p>
    <w:p>
      <w:pPr>
        <w:spacing w:after="0" w:line="111" w:lineRule="exact"/>
        <w:rPr>
          <w:sz w:val="20"/>
          <w:szCs w:val="20"/>
          <w:color w:val="auto"/>
        </w:rPr>
      </w:pPr>
    </w:p>
    <w:p>
      <w:pPr>
        <w:ind w:left="840" w:hanging="375"/>
        <w:spacing w:after="0"/>
        <w:tabs>
          <w:tab w:leader="none" w:pos="840" w:val="left"/>
        </w:tabs>
        <w:numPr>
          <w:ilvl w:val="0"/>
          <w:numId w:val="327"/>
        </w:numPr>
        <w:rPr>
          <w:rFonts w:ascii="Arial" w:cs="Arial" w:eastAsia="Arial" w:hAnsi="Arial"/>
          <w:sz w:val="16"/>
          <w:szCs w:val="16"/>
          <w:color w:val="auto"/>
        </w:rPr>
      </w:pPr>
      <w:r>
        <w:rPr>
          <w:rFonts w:ascii="Arial" w:cs="Arial" w:eastAsia="Arial" w:hAnsi="Arial"/>
          <w:sz w:val="16"/>
          <w:szCs w:val="16"/>
          <w:color w:val="auto"/>
        </w:rPr>
        <w:t>Electrical Meter (Standard &amp; Standby Power): Power Logic PM5000 series meter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Every Tenant who requires electrical power must install a meter on each floor where they derive power at or near each buss tap (two</w:t>
      </w:r>
    </w:p>
    <w:p>
      <w:pPr>
        <w:spacing w:after="0" w:line="16" w:lineRule="exact"/>
        <w:rPr>
          <w:sz w:val="20"/>
          <w:szCs w:val="20"/>
          <w:color w:val="auto"/>
        </w:rPr>
      </w:pPr>
    </w:p>
    <w:p>
      <w:pPr>
        <w:ind w:left="1240" w:right="20" w:firstLine="4"/>
        <w:spacing w:after="0" w:line="323" w:lineRule="auto"/>
        <w:tabs>
          <w:tab w:leader="none" w:pos="1462" w:val="left"/>
        </w:tabs>
        <w:numPr>
          <w:ilvl w:val="0"/>
          <w:numId w:val="328"/>
        </w:numPr>
        <w:rPr>
          <w:rFonts w:ascii="Arial" w:cs="Arial" w:eastAsia="Arial" w:hAnsi="Arial"/>
          <w:sz w:val="13"/>
          <w:szCs w:val="13"/>
          <w:color w:val="auto"/>
        </w:rPr>
      </w:pPr>
      <w:r>
        <w:rPr>
          <w:rFonts w:ascii="Arial" w:cs="Arial" w:eastAsia="Arial" w:hAnsi="Arial"/>
          <w:sz w:val="13"/>
          <w:szCs w:val="13"/>
          <w:color w:val="auto"/>
        </w:rPr>
        <w:t>per floor for standard and standby power). Each meter will require an enclosure, CTs per phase, 120V power, and a network connection back to the head end system. Square D, who is furnishing the front end panel, will visit the site to program the system and add the Tenant onto the system. The TI Controls Contractor will be required to coordinate with the Square D representative to pull their points in and include them in the graphics. Refer to Appendix G for contact information for the supplier and for Square D.</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Tenant sub-metering must tie into the base building BMS system.</w:t>
      </w:r>
    </w:p>
    <w:p>
      <w:pPr>
        <w:sectPr>
          <w:pgSz w:w="11900" w:h="16838" w:orient="portrait"/>
          <w:cols w:equalWidth="0" w:num="1">
            <w:col w:w="9560"/>
          </w:cols>
          <w:pgMar w:left="1140" w:top="256" w:right="1199" w:bottom="1440" w:gutter="0" w:footer="0" w:header="0"/>
        </w:sectPr>
      </w:pPr>
    </w:p>
    <w:bookmarkStart w:id="427" w:name="page428"/>
    <w:bookmarkEnd w:id="427"/>
    <w:p>
      <w:pPr>
        <w:ind w:left="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 BUILDING MANAGEMENT SYSTEM (BMS)</w:t>
      </w:r>
    </w:p>
    <w:p>
      <w:pPr>
        <w:spacing w:after="0" w:line="99" w:lineRule="exact"/>
        <w:rPr>
          <w:sz w:val="20"/>
          <w:szCs w:val="20"/>
          <w:color w:val="auto"/>
        </w:rPr>
      </w:pPr>
    </w:p>
    <w:p>
      <w:pPr>
        <w:ind w:left="386"/>
        <w:spacing w:after="0" w:line="253" w:lineRule="auto"/>
        <w:rPr>
          <w:sz w:val="20"/>
          <w:szCs w:val="20"/>
          <w:color w:val="auto"/>
        </w:rPr>
      </w:pPr>
      <w:r>
        <w:rPr>
          <w:rFonts w:ascii="Arial" w:cs="Arial" w:eastAsia="Arial" w:hAnsi="Arial"/>
          <w:sz w:val="16"/>
          <w:szCs w:val="16"/>
          <w:color w:val="auto"/>
        </w:rPr>
        <w:t>Each warm-shell delivered Cove building is equipped with a Controls Building Management System (BMS). Tenants may have their own systems, but must also connect to the base building system. The BMS system is Distech Controls. The TI Contractor must use Distech Controls on any build outs or upgrades to maintain proper connection to the system, ensure consistent programming, and simplify maintenance of the BMS control system. The communication protocol for the BMS is BACNet.</w:t>
      </w:r>
    </w:p>
    <w:p>
      <w:pPr>
        <w:spacing w:after="0" w:line="73" w:lineRule="exact"/>
        <w:rPr>
          <w:sz w:val="20"/>
          <w:szCs w:val="20"/>
          <w:color w:val="auto"/>
        </w:rPr>
      </w:pPr>
    </w:p>
    <w:p>
      <w:pPr>
        <w:ind w:left="386" w:right="400"/>
        <w:spacing w:after="0" w:line="256" w:lineRule="auto"/>
        <w:rPr>
          <w:sz w:val="20"/>
          <w:szCs w:val="20"/>
          <w:color w:val="auto"/>
        </w:rPr>
      </w:pPr>
      <w:r>
        <w:rPr>
          <w:rFonts w:ascii="Arial" w:cs="Arial" w:eastAsia="Arial" w:hAnsi="Arial"/>
          <w:sz w:val="16"/>
          <w:szCs w:val="16"/>
          <w:color w:val="auto"/>
        </w:rPr>
        <w:t>Distech uses Tridium-based ECnet-Ax software to use in a PC/Server Building Supervisor. The Ax software provides graphical interface, trending, alarms, and alarm notification, with storage and archiving on the PC/Supervisor. The Distech GFX programming plug-in is used in device level controllers for creating and modifying equipment control sequences.</w:t>
      </w:r>
    </w:p>
    <w:p>
      <w:pPr>
        <w:spacing w:after="0" w:line="71" w:lineRule="exact"/>
        <w:rPr>
          <w:sz w:val="20"/>
          <w:szCs w:val="20"/>
          <w:color w:val="auto"/>
        </w:rPr>
      </w:pPr>
    </w:p>
    <w:p>
      <w:pPr>
        <w:ind w:left="386"/>
        <w:spacing w:after="0"/>
        <w:rPr>
          <w:sz w:val="20"/>
          <w:szCs w:val="20"/>
          <w:color w:val="auto"/>
        </w:rPr>
      </w:pPr>
      <w:r>
        <w:rPr>
          <w:rFonts w:ascii="Arial" w:cs="Arial" w:eastAsia="Arial" w:hAnsi="Arial"/>
          <w:sz w:val="16"/>
          <w:szCs w:val="16"/>
          <w:color w:val="auto"/>
        </w:rPr>
        <w:t>Hardware Standards:</w:t>
      </w:r>
    </w:p>
    <w:p>
      <w:pPr>
        <w:spacing w:after="0" w:line="99" w:lineRule="exact"/>
        <w:rPr>
          <w:sz w:val="20"/>
          <w:szCs w:val="20"/>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Supervisor Controller: JACE EC-BOS 6 (minimum size Tridium JACE with extended memory)</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VAV (Variable Air Volume): ECV-VAV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CV (Constant Volume): ECB-VAV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EV (Exhaust Valve): ECB-VAV Controller</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Reheat Valve: Bellimo valve with modulating actuator (2-10 vdc.)</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Thermostats</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Thermostat with display: Distech EC-Smart-Vue</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Thermostat with CO2 sensor (for high occupancy rooms): Distech EC-Smart-Vue-C</w:t>
      </w:r>
    </w:p>
    <w:p>
      <w:pPr>
        <w:spacing w:after="0" w:line="110" w:lineRule="exact"/>
        <w:rPr>
          <w:rFonts w:ascii="Arial" w:cs="Arial" w:eastAsia="Arial" w:hAnsi="Arial"/>
          <w:sz w:val="16"/>
          <w:szCs w:val="16"/>
          <w:color w:val="auto"/>
        </w:rPr>
      </w:pPr>
    </w:p>
    <w:p>
      <w:pPr>
        <w:ind w:left="1526" w:hanging="477"/>
        <w:spacing w:after="0"/>
        <w:tabs>
          <w:tab w:leader="none" w:pos="1526" w:val="left"/>
        </w:tabs>
        <w:numPr>
          <w:ilvl w:val="1"/>
          <w:numId w:val="329"/>
        </w:numPr>
        <w:rPr>
          <w:rFonts w:ascii="Arial" w:cs="Arial" w:eastAsia="Arial" w:hAnsi="Arial"/>
          <w:sz w:val="16"/>
          <w:szCs w:val="16"/>
          <w:color w:val="auto"/>
        </w:rPr>
      </w:pPr>
      <w:r>
        <w:rPr>
          <w:rFonts w:ascii="Arial" w:cs="Arial" w:eastAsia="Arial" w:hAnsi="Arial"/>
          <w:sz w:val="16"/>
          <w:szCs w:val="16"/>
          <w:color w:val="auto"/>
        </w:rPr>
        <w:t>Thermostat with motion sensor: Distech EC-Smart-Vue-M</w:t>
      </w:r>
    </w:p>
    <w:p>
      <w:pPr>
        <w:spacing w:after="0" w:line="193" w:lineRule="exact"/>
        <w:rPr>
          <w:rFonts w:ascii="Arial" w:cs="Arial" w:eastAsia="Arial" w:hAnsi="Arial"/>
          <w:sz w:val="16"/>
          <w:szCs w:val="16"/>
          <w:color w:val="auto"/>
        </w:rPr>
      </w:pPr>
    </w:p>
    <w:p>
      <w:pPr>
        <w:ind w:left="1026" w:hanging="160"/>
        <w:spacing w:after="0"/>
        <w:tabs>
          <w:tab w:leader="none" w:pos="1026"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Temperature Sensors: BAPI 10K type 2 or equal</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Graphics to be Coordinated by TI Contractor:</w:t>
      </w:r>
    </w:p>
    <w:p>
      <w:pPr>
        <w:spacing w:after="0" w:line="111" w:lineRule="exact"/>
        <w:rPr>
          <w:sz w:val="20"/>
          <w:szCs w:val="20"/>
          <w:color w:val="auto"/>
        </w:rPr>
      </w:pPr>
    </w:p>
    <w:p>
      <w:pPr>
        <w:ind w:left="1246" w:right="60" w:hanging="386"/>
        <w:spacing w:after="0" w:line="266" w:lineRule="auto"/>
        <w:tabs>
          <w:tab w:leader="none" w:pos="124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Graphics Pages: All new equipment to have its own graphics page; miscellaneous meters to have their own graphics pages; trending and alarming to have their own graphics pages.</w:t>
      </w:r>
    </w:p>
    <w:p>
      <w:pPr>
        <w:spacing w:after="0" w:line="75" w:lineRule="exact"/>
        <w:rPr>
          <w:rFonts w:ascii="Arial" w:cs="Arial" w:eastAsia="Arial" w:hAnsi="Arial"/>
          <w:sz w:val="16"/>
          <w:szCs w:val="16"/>
          <w:color w:val="auto"/>
        </w:rPr>
      </w:pPr>
    </w:p>
    <w:p>
      <w:pPr>
        <w:ind w:left="1246" w:right="80" w:hanging="386"/>
        <w:spacing w:after="0" w:line="266" w:lineRule="auto"/>
        <w:tabs>
          <w:tab w:leader="none" w:pos="1246" w:val="left"/>
        </w:tabs>
        <w:numPr>
          <w:ilvl w:val="1"/>
          <w:numId w:val="330"/>
        </w:numPr>
        <w:rPr>
          <w:rFonts w:ascii="Arial" w:cs="Arial" w:eastAsia="Arial" w:hAnsi="Arial"/>
          <w:sz w:val="16"/>
          <w:szCs w:val="16"/>
          <w:color w:val="auto"/>
        </w:rPr>
      </w:pPr>
      <w:r>
        <w:rPr>
          <w:rFonts w:ascii="Arial" w:cs="Arial" w:eastAsia="Arial" w:hAnsi="Arial"/>
          <w:sz w:val="16"/>
          <w:szCs w:val="16"/>
          <w:color w:val="auto"/>
        </w:rPr>
        <w:t>Zoning Plan: Each floor to have a color-coded zoning plan showing thermostat locations, space temperature/set point, zone number, and CO2 read outs.</w:t>
      </w:r>
    </w:p>
    <w:p>
      <w:pPr>
        <w:spacing w:after="0" w:line="158" w:lineRule="exact"/>
        <w:rPr>
          <w:rFonts w:ascii="Arial" w:cs="Arial" w:eastAsia="Arial" w:hAnsi="Arial"/>
          <w:sz w:val="16"/>
          <w:szCs w:val="16"/>
          <w:color w:val="auto"/>
        </w:rPr>
      </w:pPr>
    </w:p>
    <w:p>
      <w:pPr>
        <w:ind w:left="166" w:hanging="166"/>
        <w:spacing w:after="0"/>
        <w:tabs>
          <w:tab w:leader="none" w:pos="166" w:val="left"/>
        </w:tabs>
        <w:numPr>
          <w:ilvl w:val="0"/>
          <w:numId w:val="33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EMERGENCY SYSTEMS</w:t>
      </w:r>
    </w:p>
    <w:p>
      <w:pPr>
        <w:spacing w:after="0" w:line="111"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5a.</w:t>
      </w:r>
      <w:r>
        <w:rPr>
          <w:sz w:val="20"/>
          <w:szCs w:val="20"/>
          <w:color w:val="auto"/>
        </w:rPr>
        <w:tab/>
      </w:r>
      <w:r>
        <w:rPr>
          <w:rFonts w:ascii="Arial" w:cs="Arial" w:eastAsia="Arial" w:hAnsi="Arial"/>
          <w:sz w:val="16"/>
          <w:szCs w:val="16"/>
          <w:color w:val="auto"/>
        </w:rPr>
        <w:t>Fire Alarm System:</w:t>
      </w:r>
    </w:p>
    <w:p>
      <w:pPr>
        <w:spacing w:after="0" w:line="99" w:lineRule="exact"/>
        <w:rPr>
          <w:sz w:val="20"/>
          <w:szCs w:val="20"/>
          <w:color w:val="auto"/>
        </w:rPr>
      </w:pPr>
    </w:p>
    <w:p>
      <w:pPr>
        <w:ind w:left="866" w:right="180"/>
        <w:spacing w:after="0" w:line="256" w:lineRule="auto"/>
        <w:rPr>
          <w:sz w:val="20"/>
          <w:szCs w:val="20"/>
          <w:color w:val="auto"/>
        </w:rPr>
      </w:pPr>
      <w:r>
        <w:rPr>
          <w:rFonts w:ascii="Arial" w:cs="Arial" w:eastAsia="Arial" w:hAnsi="Arial"/>
          <w:sz w:val="16"/>
          <w:szCs w:val="16"/>
          <w:color w:val="auto"/>
        </w:rPr>
        <w:t>The fire alarm system manufacturer is Honeywell Fire-Lite. The Tenant is responsible for fire alarm installation in Tenant spaces and connection to the base building fire alarm system. Refer to Appendix G for the base building emergency system Subcontractor’s contact information.</w:t>
      </w:r>
    </w:p>
    <w:p>
      <w:pPr>
        <w:spacing w:after="0" w:line="71" w:lineRule="exact"/>
        <w:rPr>
          <w:sz w:val="20"/>
          <w:szCs w:val="20"/>
          <w:color w:val="auto"/>
        </w:rPr>
      </w:pPr>
    </w:p>
    <w:p>
      <w:pPr>
        <w:ind w:left="866" w:right="440"/>
        <w:spacing w:after="0" w:line="266" w:lineRule="auto"/>
        <w:rPr>
          <w:sz w:val="20"/>
          <w:szCs w:val="20"/>
          <w:color w:val="auto"/>
        </w:rPr>
      </w:pPr>
      <w:r>
        <w:rPr>
          <w:rFonts w:ascii="Arial" w:cs="Arial" w:eastAsia="Arial" w:hAnsi="Arial"/>
          <w:sz w:val="16"/>
          <w:szCs w:val="16"/>
          <w:color w:val="auto"/>
        </w:rPr>
        <w:t>The base building fire alarm system is for code-required life safety use only. Tenant use of system for non-life safety purposes is not permitted.</w:t>
      </w:r>
    </w:p>
    <w:p>
      <w:pPr>
        <w:spacing w:after="0" w:line="76"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5b.</w:t>
      </w:r>
      <w:r>
        <w:rPr>
          <w:sz w:val="20"/>
          <w:szCs w:val="20"/>
          <w:color w:val="auto"/>
        </w:rPr>
        <w:tab/>
      </w:r>
      <w:r>
        <w:rPr>
          <w:rFonts w:ascii="Arial" w:cs="Arial" w:eastAsia="Arial" w:hAnsi="Arial"/>
          <w:sz w:val="16"/>
          <w:szCs w:val="16"/>
          <w:color w:val="auto"/>
        </w:rPr>
        <w:t>Sprinkler System:</w:t>
      </w:r>
    </w:p>
    <w:p>
      <w:pPr>
        <w:spacing w:after="0" w:line="99" w:lineRule="exact"/>
        <w:rPr>
          <w:sz w:val="20"/>
          <w:szCs w:val="20"/>
          <w:color w:val="auto"/>
        </w:rPr>
      </w:pPr>
    </w:p>
    <w:p>
      <w:pPr>
        <w:ind w:left="866" w:right="60"/>
        <w:spacing w:after="0" w:line="266" w:lineRule="auto"/>
        <w:rPr>
          <w:sz w:val="20"/>
          <w:szCs w:val="20"/>
          <w:color w:val="auto"/>
        </w:rPr>
      </w:pPr>
      <w:r>
        <w:rPr>
          <w:rFonts w:ascii="Arial" w:cs="Arial" w:eastAsia="Arial" w:hAnsi="Arial"/>
          <w:sz w:val="16"/>
          <w:szCs w:val="16"/>
          <w:color w:val="auto"/>
        </w:rPr>
        <w:t>The base building includes an interior sprinkler system for shell coverage. The base building sprinkler system shall be signed off by South San Francisco Fire Department prior to TI tie-in.</w:t>
      </w:r>
    </w:p>
    <w:p>
      <w:pPr>
        <w:spacing w:after="0" w:line="64" w:lineRule="exact"/>
        <w:rPr>
          <w:sz w:val="20"/>
          <w:szCs w:val="20"/>
          <w:color w:val="auto"/>
        </w:rPr>
      </w:pPr>
    </w:p>
    <w:p>
      <w:pPr>
        <w:ind w:left="866" w:right="100"/>
        <w:spacing w:after="0" w:line="253" w:lineRule="auto"/>
        <w:rPr>
          <w:sz w:val="20"/>
          <w:szCs w:val="20"/>
          <w:color w:val="auto"/>
        </w:rPr>
      </w:pPr>
      <w:r>
        <w:rPr>
          <w:rFonts w:ascii="Arial" w:cs="Arial" w:eastAsia="Arial" w:hAnsi="Arial"/>
          <w:sz w:val="16"/>
          <w:szCs w:val="16"/>
          <w:color w:val="auto"/>
        </w:rPr>
        <w:t>The sprinkler systems shall be monitored by the fire alarm system by both waterflow switches and tamper switches on the control valves. Prior to connecting to the base building sprinkler system, the Tenant’s Contractor must notify the fire alarm company that the system will be out of service and back in service by the end of day. The Tenant’s Contractor must notify the fire alarm company prior to performing any filling of pipes, whether during the day, night, or weekend.</w:t>
      </w:r>
    </w:p>
    <w:p>
      <w:pPr>
        <w:sectPr>
          <w:pgSz w:w="11900" w:h="16838" w:orient="portrait"/>
          <w:cols w:equalWidth="0" w:num="1">
            <w:col w:w="9606"/>
          </w:cols>
          <w:pgMar w:left="1134" w:top="257" w:right="1159" w:bottom="1440" w:gutter="0" w:footer="0" w:header="0"/>
        </w:sectPr>
      </w:pPr>
    </w:p>
    <w:bookmarkStart w:id="428" w:name="page429"/>
    <w:bookmarkEnd w:id="428"/>
    <w:p>
      <w:pPr>
        <w:ind w:left="380"/>
        <w:spacing w:after="0"/>
        <w:tabs>
          <w:tab w:leader="none" w:pos="8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5c.</w:t>
      </w:r>
      <w:r>
        <w:rPr>
          <w:sz w:val="20"/>
          <w:szCs w:val="20"/>
          <w:color w:val="auto"/>
        </w:rPr>
        <w:tab/>
      </w:r>
      <w:r>
        <w:rPr>
          <w:rFonts w:ascii="Arial" w:cs="Arial" w:eastAsia="Arial" w:hAnsi="Arial"/>
          <w:sz w:val="16"/>
          <w:szCs w:val="16"/>
          <w:color w:val="auto"/>
        </w:rPr>
        <w:t>Standby Generator &amp; Power:</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Refer to Appendix F, attached, for Generator &amp; Automatic Transfer Switch Description.</w:t>
      </w:r>
    </w:p>
    <w:p>
      <w:pPr>
        <w:spacing w:after="0" w:line="111" w:lineRule="exact"/>
        <w:rPr>
          <w:sz w:val="20"/>
          <w:szCs w:val="20"/>
          <w:color w:val="auto"/>
        </w:rPr>
      </w:pPr>
    </w:p>
    <w:p>
      <w:pPr>
        <w:ind w:left="380"/>
        <w:spacing w:after="0"/>
        <w:tabs>
          <w:tab w:leader="none" w:pos="820" w:val="left"/>
        </w:tabs>
        <w:rPr>
          <w:sz w:val="20"/>
          <w:szCs w:val="20"/>
          <w:color w:val="auto"/>
        </w:rPr>
      </w:pPr>
      <w:r>
        <w:rPr>
          <w:rFonts w:ascii="Arial" w:cs="Arial" w:eastAsia="Arial" w:hAnsi="Arial"/>
          <w:sz w:val="16"/>
          <w:szCs w:val="16"/>
          <w:color w:val="auto"/>
        </w:rPr>
        <w:t>5d.</w:t>
      </w:r>
      <w:r>
        <w:rPr>
          <w:sz w:val="20"/>
          <w:szCs w:val="20"/>
          <w:color w:val="auto"/>
        </w:rPr>
        <w:tab/>
      </w:r>
      <w:r>
        <w:rPr>
          <w:rFonts w:ascii="Arial" w:cs="Arial" w:eastAsia="Arial" w:hAnsi="Arial"/>
          <w:sz w:val="16"/>
          <w:szCs w:val="16"/>
          <w:color w:val="auto"/>
        </w:rPr>
        <w:t>Emergency Responder Radio Coverage System (ERRCS) / DAS First Responder System:</w:t>
      </w:r>
    </w:p>
    <w:p>
      <w:pPr>
        <w:spacing w:after="0" w:line="99" w:lineRule="exact"/>
        <w:rPr>
          <w:sz w:val="20"/>
          <w:szCs w:val="20"/>
          <w:color w:val="auto"/>
        </w:rPr>
      </w:pPr>
    </w:p>
    <w:p>
      <w:pPr>
        <w:jc w:val="both"/>
        <w:ind w:left="860" w:right="160"/>
        <w:spacing w:after="0" w:line="256" w:lineRule="auto"/>
        <w:rPr>
          <w:sz w:val="20"/>
          <w:szCs w:val="20"/>
          <w:color w:val="auto"/>
        </w:rPr>
      </w:pPr>
      <w:r>
        <w:rPr>
          <w:rFonts w:ascii="Arial" w:cs="Arial" w:eastAsia="Arial" w:hAnsi="Arial"/>
          <w:sz w:val="16"/>
          <w:szCs w:val="16"/>
          <w:color w:val="auto"/>
        </w:rPr>
        <w:t>The Emergency Responder Radio Coverage System (ERRCS), also known as the Distributed Antenna System (DAS), is a building wide system, consisting of dedicated conduit and multiple antennae and repeaters per floor that serve to provide amplified wireless service for communication amongst emergency first responders.</w:t>
      </w:r>
    </w:p>
    <w:p>
      <w:pPr>
        <w:spacing w:after="0" w:line="7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Please note that this system will NOT be used to amplify personal cellular services within the building.</w:t>
      </w:r>
    </w:p>
    <w:p>
      <w:pPr>
        <w:spacing w:after="0" w:line="99" w:lineRule="exact"/>
        <w:rPr>
          <w:sz w:val="20"/>
          <w:szCs w:val="20"/>
          <w:color w:val="auto"/>
        </w:rPr>
      </w:pPr>
    </w:p>
    <w:p>
      <w:pPr>
        <w:ind w:left="860"/>
        <w:spacing w:after="0" w:line="251" w:lineRule="auto"/>
        <w:rPr>
          <w:sz w:val="20"/>
          <w:szCs w:val="20"/>
          <w:color w:val="auto"/>
        </w:rPr>
      </w:pPr>
      <w:r>
        <w:rPr>
          <w:rFonts w:ascii="Arial" w:cs="Arial" w:eastAsia="Arial" w:hAnsi="Arial"/>
          <w:sz w:val="16"/>
          <w:szCs w:val="16"/>
          <w:color w:val="auto"/>
        </w:rPr>
        <w:t>The base building is equipped with an ERRCS as required by the City of South San Francisco. The base building installation consists of the head-end system, roof mounted antenna, and conduit risers in stair shafts. The Tenant must coordinate the design and installation of the horizontal ERRCS within Tenant spaces. This scope includes but is not limited to: antenna repeaters, rated conduit, tie-in to base building system, programming, and jurisdictional required system testing. All ERRCS work must be coordinated using Cupertino Electric, Inc.; refer to Appendix G for contact information.</w:t>
      </w:r>
    </w:p>
    <w:p>
      <w:pPr>
        <w:spacing w:after="0" w:line="7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The base building ERRCS is for code-required life safety use only. Tenant use or tie-in are not permitted.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6. LABORATORY WASTE</w:t>
      </w:r>
    </w:p>
    <w:p>
      <w:pPr>
        <w:spacing w:after="0" w:line="99"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Labs are required to connect to the lab waste system, separate from the domestic waste system, to prevent contamination. A sampling manhole is provided on the lab waste line exterior to the building, prior to the connection of the lab waste line to the sanitary sewer line directed to the municipal sewer system. Refer to the plumbing drawings for location.</w:t>
      </w:r>
    </w:p>
    <w:p>
      <w:pPr>
        <w:sectPr>
          <w:pgSz w:w="11900" w:h="16838" w:orient="portrait"/>
          <w:cols w:equalWidth="0" w:num="1">
            <w:col w:w="9600"/>
          </w:cols>
          <w:pgMar w:left="1140" w:top="256" w:right="1159" w:bottom="1440" w:gutter="0" w:footer="0" w:header="0"/>
        </w:sectPr>
      </w:pPr>
    </w:p>
    <w:bookmarkStart w:id="429" w:name="page430"/>
    <w:bookmarkEnd w:id="429"/>
    <w:p>
      <w:pPr>
        <w:ind w:left="6"/>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7. SECURITY SYSTEMS</w:t>
      </w:r>
    </w:p>
    <w:p>
      <w:pPr>
        <w:spacing w:after="0" w:line="99" w:lineRule="exact"/>
        <w:rPr>
          <w:sz w:val="20"/>
          <w:szCs w:val="20"/>
          <w:color w:val="auto"/>
        </w:rPr>
      </w:pPr>
    </w:p>
    <w:p>
      <w:pPr>
        <w:ind w:left="386"/>
        <w:spacing w:after="0"/>
        <w:rPr>
          <w:sz w:val="20"/>
          <w:szCs w:val="20"/>
          <w:color w:val="auto"/>
        </w:rPr>
      </w:pPr>
      <w:r>
        <w:rPr>
          <w:rFonts w:ascii="Arial" w:cs="Arial" w:eastAsia="Arial" w:hAnsi="Arial"/>
          <w:sz w:val="16"/>
          <w:szCs w:val="16"/>
          <w:color w:val="auto"/>
        </w:rPr>
        <w:t>The base building security program includes the following:</w:t>
      </w:r>
    </w:p>
    <w:p>
      <w:pPr>
        <w:spacing w:after="0" w:line="111" w:lineRule="exact"/>
        <w:rPr>
          <w:sz w:val="20"/>
          <w:szCs w:val="20"/>
          <w:color w:val="auto"/>
        </w:rPr>
      </w:pPr>
    </w:p>
    <w:p>
      <w:pPr>
        <w:ind w:left="1246" w:hanging="386"/>
        <w:spacing w:after="0" w:line="266" w:lineRule="auto"/>
        <w:tabs>
          <w:tab w:leader="none" w:pos="124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Card access control system with card reader locations at all building entry/exit points, base building stairwells, and all passenger and freight elevator carriages. See base building security drawings for reference.</w:t>
      </w:r>
    </w:p>
    <w:p>
      <w:pPr>
        <w:spacing w:after="0" w:line="75" w:lineRule="exact"/>
        <w:rPr>
          <w:rFonts w:ascii="Arial" w:cs="Arial" w:eastAsia="Arial" w:hAnsi="Arial"/>
          <w:sz w:val="16"/>
          <w:szCs w:val="16"/>
          <w:color w:val="auto"/>
        </w:rPr>
      </w:pPr>
    </w:p>
    <w:p>
      <w:pPr>
        <w:ind w:left="1246" w:hanging="386"/>
        <w:spacing w:after="0"/>
        <w:tabs>
          <w:tab w:leader="none" w:pos="1246" w:val="left"/>
        </w:tabs>
        <w:numPr>
          <w:ilvl w:val="0"/>
          <w:numId w:val="332"/>
        </w:numPr>
        <w:rPr>
          <w:rFonts w:ascii="Arial" w:cs="Arial" w:eastAsia="Arial" w:hAnsi="Arial"/>
          <w:sz w:val="15"/>
          <w:szCs w:val="15"/>
          <w:color w:val="auto"/>
        </w:rPr>
      </w:pPr>
      <w:r>
        <w:rPr>
          <w:rFonts w:ascii="Arial" w:cs="Arial" w:eastAsia="Arial" w:hAnsi="Arial"/>
          <w:sz w:val="15"/>
          <w:szCs w:val="15"/>
          <w:color w:val="auto"/>
        </w:rPr>
        <w:t>Video surveillance at the entrance and receiving doors of the buildings. See base building security drawings for reference.</w:t>
      </w:r>
    </w:p>
    <w:p>
      <w:pPr>
        <w:spacing w:after="0" w:line="122" w:lineRule="exact"/>
        <w:rPr>
          <w:rFonts w:ascii="Arial" w:cs="Arial" w:eastAsia="Arial" w:hAnsi="Arial"/>
          <w:sz w:val="15"/>
          <w:szCs w:val="15"/>
          <w:color w:val="auto"/>
        </w:rPr>
      </w:pPr>
    </w:p>
    <w:p>
      <w:pPr>
        <w:ind w:left="1246" w:hanging="386"/>
        <w:spacing w:after="0"/>
        <w:tabs>
          <w:tab w:leader="none" w:pos="1246" w:val="left"/>
        </w:tabs>
        <w:numPr>
          <w:ilvl w:val="0"/>
          <w:numId w:val="332"/>
        </w:numPr>
        <w:rPr>
          <w:rFonts w:ascii="Arial" w:cs="Arial" w:eastAsia="Arial" w:hAnsi="Arial"/>
          <w:sz w:val="16"/>
          <w:szCs w:val="16"/>
          <w:color w:val="auto"/>
        </w:rPr>
      </w:pPr>
      <w:r>
        <w:rPr>
          <w:rFonts w:ascii="Arial" w:cs="Arial" w:eastAsia="Arial" w:hAnsi="Arial"/>
          <w:sz w:val="16"/>
          <w:szCs w:val="16"/>
          <w:color w:val="auto"/>
        </w:rPr>
        <w:t>Intercom at the entrance and receiving doors of the buildings. See base building security drawings for reference.</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Tenant should consider the following security options to incorporate the base building systems into a Tenant security program:</w:t>
      </w:r>
    </w:p>
    <w:p>
      <w:pPr>
        <w:spacing w:after="0" w:line="111" w:lineRule="exact"/>
        <w:rPr>
          <w:sz w:val="20"/>
          <w:szCs w:val="20"/>
          <w:color w:val="auto"/>
        </w:rPr>
      </w:pPr>
    </w:p>
    <w:p>
      <w:pPr>
        <w:ind w:left="386" w:hanging="386"/>
        <w:spacing w:after="0"/>
        <w:tabs>
          <w:tab w:leader="none" w:pos="386"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Access Control System</w:t>
      </w:r>
    </w:p>
    <w:p>
      <w:pPr>
        <w:spacing w:after="0" w:line="98" w:lineRule="exact"/>
        <w:rPr>
          <w:rFonts w:ascii="Arial" w:cs="Arial" w:eastAsia="Arial" w:hAnsi="Arial"/>
          <w:sz w:val="16"/>
          <w:szCs w:val="16"/>
          <w:color w:val="auto"/>
        </w:rPr>
      </w:pPr>
    </w:p>
    <w:p>
      <w:pPr>
        <w:ind w:left="386"/>
        <w:spacing w:after="0"/>
        <w:rPr>
          <w:rFonts w:ascii="Arial" w:cs="Arial" w:eastAsia="Arial" w:hAnsi="Arial"/>
          <w:sz w:val="16"/>
          <w:szCs w:val="16"/>
          <w:color w:val="auto"/>
        </w:rPr>
      </w:pPr>
      <w:r>
        <w:rPr>
          <w:rFonts w:ascii="Arial" w:cs="Arial" w:eastAsia="Arial" w:hAnsi="Arial"/>
          <w:sz w:val="16"/>
          <w:szCs w:val="16"/>
          <w:color w:val="auto"/>
        </w:rPr>
        <w:t>Base Building Security Information:</w:t>
      </w:r>
    </w:p>
    <w:p>
      <w:pPr>
        <w:spacing w:after="0" w:line="110" w:lineRule="exact"/>
        <w:rPr>
          <w:rFonts w:ascii="Arial" w:cs="Arial" w:eastAsia="Arial" w:hAnsi="Arial"/>
          <w:sz w:val="16"/>
          <w:szCs w:val="16"/>
          <w:color w:val="auto"/>
        </w:rPr>
      </w:pPr>
    </w:p>
    <w:p>
      <w:pPr>
        <w:ind w:left="1246" w:right="260" w:hanging="291"/>
        <w:spacing w:after="0" w:line="266" w:lineRule="auto"/>
        <w:tabs>
          <w:tab w:leader="none" w:pos="1246" w:val="left"/>
        </w:tabs>
        <w:numPr>
          <w:ilvl w:val="1"/>
          <w:numId w:val="333"/>
        </w:numPr>
        <w:rPr>
          <w:rFonts w:ascii="Arial" w:cs="Arial" w:eastAsia="Arial" w:hAnsi="Arial"/>
          <w:sz w:val="16"/>
          <w:szCs w:val="16"/>
          <w:color w:val="auto"/>
        </w:rPr>
      </w:pPr>
      <w:r>
        <w:rPr>
          <w:rFonts w:ascii="Arial" w:cs="Arial" w:eastAsia="Arial" w:hAnsi="Arial"/>
          <w:sz w:val="16"/>
          <w:szCs w:val="16"/>
          <w:color w:val="auto"/>
        </w:rPr>
        <w:t>Base building access card system reads both older proximity cards in 125kHz format and newer high frequency cards in the HID iClass format.</w:t>
      </w:r>
    </w:p>
    <w:p>
      <w:pPr>
        <w:spacing w:after="0" w:line="75" w:lineRule="exact"/>
        <w:rPr>
          <w:rFonts w:ascii="Arial" w:cs="Arial" w:eastAsia="Arial" w:hAnsi="Arial"/>
          <w:sz w:val="16"/>
          <w:szCs w:val="16"/>
          <w:color w:val="auto"/>
        </w:rPr>
      </w:pPr>
    </w:p>
    <w:p>
      <w:pPr>
        <w:ind w:left="1806" w:hanging="462"/>
        <w:spacing w:after="0"/>
        <w:tabs>
          <w:tab w:leader="none" w:pos="1806" w:val="left"/>
        </w:tabs>
        <w:numPr>
          <w:ilvl w:val="2"/>
          <w:numId w:val="333"/>
        </w:numPr>
        <w:rPr>
          <w:rFonts w:ascii="Arial" w:cs="Arial" w:eastAsia="Arial" w:hAnsi="Arial"/>
          <w:sz w:val="16"/>
          <w:szCs w:val="16"/>
          <w:color w:val="auto"/>
        </w:rPr>
      </w:pPr>
      <w:r>
        <w:rPr>
          <w:rFonts w:ascii="Arial" w:cs="Arial" w:eastAsia="Arial" w:hAnsi="Arial"/>
          <w:sz w:val="16"/>
          <w:szCs w:val="16"/>
          <w:color w:val="auto"/>
        </w:rPr>
        <w:t>Base building access card reader model: HID RP40</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33"/>
        </w:numPr>
        <w:rPr>
          <w:rFonts w:ascii="Arial" w:cs="Arial" w:eastAsia="Arial" w:hAnsi="Arial"/>
          <w:sz w:val="16"/>
          <w:szCs w:val="16"/>
          <w:color w:val="auto"/>
        </w:rPr>
      </w:pPr>
      <w:r>
        <w:rPr>
          <w:rFonts w:ascii="Arial" w:cs="Arial" w:eastAsia="Arial" w:hAnsi="Arial"/>
          <w:sz w:val="16"/>
          <w:szCs w:val="16"/>
          <w:color w:val="auto"/>
        </w:rPr>
        <w:t>Base building access card format: HID Corporate 1000 Format</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33"/>
        </w:numPr>
        <w:rPr>
          <w:rFonts w:ascii="Arial" w:cs="Arial" w:eastAsia="Arial" w:hAnsi="Arial"/>
          <w:sz w:val="13"/>
          <w:szCs w:val="13"/>
          <w:color w:val="auto"/>
        </w:rPr>
      </w:pPr>
      <w:r>
        <w:rPr>
          <w:rFonts w:ascii="Arial" w:cs="Arial" w:eastAsia="Arial" w:hAnsi="Arial"/>
          <w:sz w:val="13"/>
          <w:szCs w:val="13"/>
          <w:color w:val="auto"/>
        </w:rPr>
        <w:t>Part Number: 1386LGGMN MC-1000 Format# H2004333 (*Base building cards are ordered by property management)</w:t>
      </w:r>
    </w:p>
    <w:p>
      <w:pPr>
        <w:spacing w:after="0" w:line="145" w:lineRule="exact"/>
        <w:rPr>
          <w:rFonts w:ascii="Arial" w:cs="Arial" w:eastAsia="Arial" w:hAnsi="Arial"/>
          <w:sz w:val="13"/>
          <w:szCs w:val="13"/>
          <w:color w:val="auto"/>
        </w:rPr>
      </w:pPr>
    </w:p>
    <w:p>
      <w:pPr>
        <w:ind w:left="1806" w:hanging="462"/>
        <w:spacing w:after="0"/>
        <w:tabs>
          <w:tab w:leader="none" w:pos="1806" w:val="left"/>
        </w:tabs>
        <w:numPr>
          <w:ilvl w:val="2"/>
          <w:numId w:val="333"/>
        </w:numPr>
        <w:rPr>
          <w:rFonts w:ascii="Arial" w:cs="Arial" w:eastAsia="Arial" w:hAnsi="Arial"/>
          <w:sz w:val="16"/>
          <w:szCs w:val="16"/>
          <w:color w:val="auto"/>
        </w:rPr>
      </w:pPr>
      <w:r>
        <w:rPr>
          <w:rFonts w:ascii="Arial" w:cs="Arial" w:eastAsia="Arial" w:hAnsi="Arial"/>
          <w:sz w:val="16"/>
          <w:szCs w:val="16"/>
          <w:color w:val="auto"/>
        </w:rPr>
        <w:t>Assigned to HCP Oyster Point III, LLC</w:t>
      </w:r>
    </w:p>
    <w:p>
      <w:pPr>
        <w:spacing w:after="0" w:line="110" w:lineRule="exact"/>
        <w:rPr>
          <w:rFonts w:ascii="Arial" w:cs="Arial" w:eastAsia="Arial" w:hAnsi="Arial"/>
          <w:sz w:val="16"/>
          <w:szCs w:val="16"/>
          <w:color w:val="auto"/>
        </w:rPr>
      </w:pPr>
    </w:p>
    <w:p>
      <w:pPr>
        <w:ind w:left="1246" w:right="340" w:hanging="291"/>
        <w:spacing w:after="0" w:line="253" w:lineRule="auto"/>
        <w:tabs>
          <w:tab w:leader="none" w:pos="1246" w:val="left"/>
        </w:tabs>
        <w:numPr>
          <w:ilvl w:val="1"/>
          <w:numId w:val="333"/>
        </w:numPr>
        <w:rPr>
          <w:rFonts w:ascii="Arial" w:cs="Arial" w:eastAsia="Arial" w:hAnsi="Arial"/>
          <w:sz w:val="16"/>
          <w:szCs w:val="16"/>
          <w:color w:val="auto"/>
        </w:rPr>
      </w:pPr>
      <w:r>
        <w:rPr>
          <w:rFonts w:ascii="Arial" w:cs="Arial" w:eastAsia="Arial" w:hAnsi="Arial"/>
          <w:sz w:val="16"/>
          <w:szCs w:val="16"/>
          <w:color w:val="auto"/>
        </w:rPr>
        <w:t>Base building system is manufactured by Lenel and uses the OnGuard software application. The Tenant may choose to install a suite-specific card access control system at the Tenant’s own responsibility and cost. The Tenant may be able to use their own security access card for access into the base building system depending on compatibility with the base building system outlined above.</w:t>
      </w:r>
    </w:p>
    <w:p>
      <w:pPr>
        <w:spacing w:after="0" w:line="73" w:lineRule="exact"/>
        <w:rPr>
          <w:sz w:val="20"/>
          <w:szCs w:val="20"/>
          <w:color w:val="auto"/>
        </w:rPr>
      </w:pPr>
    </w:p>
    <w:p>
      <w:pPr>
        <w:ind w:left="866" w:right="60"/>
        <w:spacing w:after="0" w:line="275" w:lineRule="auto"/>
        <w:rPr>
          <w:sz w:val="20"/>
          <w:szCs w:val="20"/>
          <w:color w:val="auto"/>
        </w:rPr>
      </w:pPr>
      <w:r>
        <w:rPr>
          <w:rFonts w:ascii="Arial" w:cs="Arial" w:eastAsia="Arial" w:hAnsi="Arial"/>
          <w:sz w:val="15"/>
          <w:szCs w:val="15"/>
          <w:color w:val="auto"/>
        </w:rPr>
        <w:t>Elevator (both passenger and freight) access can be programmed according to Tenant preferences during business hours. The Tenant may program elevators to be open-access to the Tenant floors, allowing deliveries to access the Tenant space, or require security card access to floors, which would require a Tenant representative to escort deliveries in the elevator. After-hours operation will require a Tenant representative to escort non-Tenant personnel up from building perimeter areas to Tenant areas.</w:t>
      </w:r>
    </w:p>
    <w:p>
      <w:pPr>
        <w:sectPr>
          <w:pgSz w:w="11900" w:h="16838" w:orient="portrait"/>
          <w:cols w:equalWidth="0" w:num="1">
            <w:col w:w="9586"/>
          </w:cols>
          <w:pgMar w:left="1134" w:top="256" w:right="1179" w:bottom="1440" w:gutter="0" w:footer="0" w:header="0"/>
        </w:sectPr>
      </w:pPr>
    </w:p>
    <w:bookmarkStart w:id="430" w:name="page431"/>
    <w:bookmarkEnd w:id="430"/>
    <w:p>
      <w:pPr>
        <w:ind w:left="866"/>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security card readers will not be allowed on the base building system; the Tenant may instead install a supplemental card access system within the Tenant space. The Tenant has the option of making Tenant access cards compatible with the base building access system in order that employees use a single access card throughout the base building and interior tenant spaces. Should the Tenant exercise this option, the Tenant’s responsibilities would include:</w:t>
      </w:r>
    </w:p>
    <w:p>
      <w:pPr>
        <w:spacing w:after="0" w:line="85" w:lineRule="exact"/>
        <w:rPr>
          <w:sz w:val="20"/>
          <w:szCs w:val="20"/>
          <w:color w:val="auto"/>
        </w:rPr>
      </w:pPr>
    </w:p>
    <w:p>
      <w:pPr>
        <w:ind w:left="1806" w:hanging="462"/>
        <w:spacing w:after="0" w:line="266" w:lineRule="auto"/>
        <w:tabs>
          <w:tab w:leader="none" w:pos="1806" w:val="left"/>
        </w:tabs>
        <w:numPr>
          <w:ilvl w:val="2"/>
          <w:numId w:val="334"/>
        </w:numPr>
        <w:rPr>
          <w:rFonts w:ascii="Arial" w:cs="Arial" w:eastAsia="Arial" w:hAnsi="Arial"/>
          <w:sz w:val="16"/>
          <w:szCs w:val="16"/>
          <w:color w:val="auto"/>
        </w:rPr>
      </w:pPr>
      <w:r>
        <w:rPr>
          <w:rFonts w:ascii="Arial" w:cs="Arial" w:eastAsia="Arial" w:hAnsi="Arial"/>
          <w:sz w:val="16"/>
          <w:szCs w:val="16"/>
          <w:color w:val="auto"/>
        </w:rPr>
        <w:t>Providing the Property Manager with the current Tenant access card format and facility code along with three (3) numbered sequential test cards in order to verify compatibility with the base building system.</w:t>
      </w:r>
    </w:p>
    <w:p>
      <w:pPr>
        <w:spacing w:after="0" w:line="75" w:lineRule="exact"/>
        <w:rPr>
          <w:rFonts w:ascii="Arial" w:cs="Arial" w:eastAsia="Arial" w:hAnsi="Arial"/>
          <w:sz w:val="16"/>
          <w:szCs w:val="16"/>
          <w:color w:val="auto"/>
        </w:rPr>
      </w:pPr>
    </w:p>
    <w:p>
      <w:pPr>
        <w:ind w:left="1806" w:hanging="462"/>
        <w:spacing w:after="0"/>
        <w:tabs>
          <w:tab w:leader="none" w:pos="1806" w:val="left"/>
        </w:tabs>
        <w:numPr>
          <w:ilvl w:val="2"/>
          <w:numId w:val="334"/>
        </w:numPr>
        <w:rPr>
          <w:rFonts w:ascii="Arial" w:cs="Arial" w:eastAsia="Arial" w:hAnsi="Arial"/>
          <w:sz w:val="16"/>
          <w:szCs w:val="16"/>
          <w:color w:val="auto"/>
        </w:rPr>
      </w:pPr>
      <w:r>
        <w:rPr>
          <w:rFonts w:ascii="Arial" w:cs="Arial" w:eastAsia="Arial" w:hAnsi="Arial"/>
          <w:sz w:val="16"/>
          <w:szCs w:val="16"/>
          <w:color w:val="auto"/>
        </w:rPr>
        <w:t>Providing the Property Manager with the name and contact information of the Administrator for the system.</w:t>
      </w:r>
    </w:p>
    <w:p>
      <w:pPr>
        <w:spacing w:after="0" w:line="110" w:lineRule="exact"/>
        <w:rPr>
          <w:rFonts w:ascii="Arial" w:cs="Arial" w:eastAsia="Arial" w:hAnsi="Arial"/>
          <w:sz w:val="16"/>
          <w:szCs w:val="16"/>
          <w:color w:val="auto"/>
        </w:rPr>
      </w:pPr>
    </w:p>
    <w:p>
      <w:pPr>
        <w:ind w:left="1806" w:right="620" w:hanging="462"/>
        <w:spacing w:after="0" w:line="266" w:lineRule="auto"/>
        <w:tabs>
          <w:tab w:leader="none" w:pos="1806" w:val="left"/>
        </w:tabs>
        <w:numPr>
          <w:ilvl w:val="2"/>
          <w:numId w:val="334"/>
        </w:numPr>
        <w:rPr>
          <w:rFonts w:ascii="Arial" w:cs="Arial" w:eastAsia="Arial" w:hAnsi="Arial"/>
          <w:sz w:val="16"/>
          <w:szCs w:val="16"/>
          <w:color w:val="auto"/>
        </w:rPr>
      </w:pPr>
      <w:r>
        <w:rPr>
          <w:rFonts w:ascii="Arial" w:cs="Arial" w:eastAsia="Arial" w:hAnsi="Arial"/>
          <w:sz w:val="16"/>
          <w:szCs w:val="16"/>
          <w:color w:val="auto"/>
        </w:rPr>
        <w:t>Coordinating with the Property Manager the protocol for adding and deleting users from the base building system cardholder database.</w:t>
      </w:r>
    </w:p>
    <w:p>
      <w:pPr>
        <w:spacing w:after="0" w:line="75" w:lineRule="exact"/>
        <w:rPr>
          <w:rFonts w:ascii="Arial" w:cs="Arial" w:eastAsia="Arial" w:hAnsi="Arial"/>
          <w:sz w:val="16"/>
          <w:szCs w:val="16"/>
          <w:color w:val="auto"/>
        </w:rPr>
      </w:pPr>
    </w:p>
    <w:p>
      <w:pPr>
        <w:ind w:left="2106" w:right="140" w:hanging="279"/>
        <w:spacing w:after="0" w:line="266" w:lineRule="auto"/>
        <w:tabs>
          <w:tab w:leader="none" w:pos="2106" w:val="left"/>
        </w:tabs>
        <w:numPr>
          <w:ilvl w:val="3"/>
          <w:numId w:val="334"/>
        </w:numPr>
        <w:rPr>
          <w:rFonts w:ascii="Arial" w:cs="Arial" w:eastAsia="Arial" w:hAnsi="Arial"/>
          <w:sz w:val="16"/>
          <w:szCs w:val="16"/>
          <w:color w:val="auto"/>
        </w:rPr>
      </w:pPr>
      <w:r>
        <w:rPr>
          <w:rFonts w:ascii="Arial" w:cs="Arial" w:eastAsia="Arial" w:hAnsi="Arial"/>
          <w:sz w:val="16"/>
          <w:szCs w:val="16"/>
          <w:color w:val="auto"/>
        </w:rPr>
        <w:t>If the Tenant chooses not to provide their existing access card information to the Landlord, the Tenant can use a base building-issued card for parking and perimeter building access only.</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Video Surveillance System:</w:t>
      </w:r>
    </w:p>
    <w:p>
      <w:pPr>
        <w:spacing w:after="0" w:line="98" w:lineRule="exact"/>
        <w:rPr>
          <w:rFonts w:ascii="Arial" w:cs="Arial" w:eastAsia="Arial" w:hAnsi="Arial"/>
          <w:sz w:val="16"/>
          <w:szCs w:val="16"/>
          <w:color w:val="auto"/>
        </w:rPr>
      </w:pPr>
    </w:p>
    <w:p>
      <w:pPr>
        <w:ind w:left="386" w:right="300"/>
        <w:spacing w:after="0" w:line="253" w:lineRule="auto"/>
        <w:rPr>
          <w:rFonts w:ascii="Arial" w:cs="Arial" w:eastAsia="Arial" w:hAnsi="Arial"/>
          <w:sz w:val="16"/>
          <w:szCs w:val="16"/>
          <w:color w:val="auto"/>
        </w:rPr>
      </w:pPr>
      <w:r>
        <w:rPr>
          <w:rFonts w:ascii="Arial" w:cs="Arial" w:eastAsia="Arial" w:hAnsi="Arial"/>
          <w:sz w:val="16"/>
          <w:szCs w:val="16"/>
          <w:color w:val="auto"/>
        </w:rPr>
        <w:t>The Tenant may choose to install in-suite video surveillance systems at the Tenant’s own responsibility and cost. The base building video surveillance system is provided at critical common entry areas on the first floor. Forensic incident information in those areas may be obtained when requested through Property Management. See base building security drawings for reference. Additional Tenant-installed exterior surveillance is subject to Landlord written approval.</w:t>
      </w:r>
    </w:p>
    <w:p>
      <w:pPr>
        <w:spacing w:after="0" w:line="84" w:lineRule="exact"/>
        <w:rPr>
          <w:rFonts w:ascii="Arial" w:cs="Arial" w:eastAsia="Arial" w:hAnsi="Arial"/>
          <w:sz w:val="16"/>
          <w:szCs w:val="16"/>
          <w:color w:val="auto"/>
        </w:rPr>
      </w:pPr>
    </w:p>
    <w:p>
      <w:pPr>
        <w:ind w:left="386" w:hanging="386"/>
        <w:spacing w:after="0"/>
        <w:tabs>
          <w:tab w:leader="none" w:pos="38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Intrusion Alarm System:</w:t>
      </w:r>
    </w:p>
    <w:p>
      <w:pPr>
        <w:spacing w:after="0" w:line="98" w:lineRule="exact"/>
        <w:rPr>
          <w:rFonts w:ascii="Arial" w:cs="Arial" w:eastAsia="Arial" w:hAnsi="Arial"/>
          <w:sz w:val="16"/>
          <w:szCs w:val="16"/>
          <w:color w:val="auto"/>
        </w:rPr>
      </w:pPr>
    </w:p>
    <w:p>
      <w:pPr>
        <w:ind w:left="386" w:right="140"/>
        <w:spacing w:after="0" w:line="251" w:lineRule="auto"/>
        <w:rPr>
          <w:rFonts w:ascii="Arial" w:cs="Arial" w:eastAsia="Arial" w:hAnsi="Arial"/>
          <w:sz w:val="16"/>
          <w:szCs w:val="16"/>
          <w:color w:val="auto"/>
        </w:rPr>
      </w:pPr>
      <w:r>
        <w:rPr>
          <w:rFonts w:ascii="Arial" w:cs="Arial" w:eastAsia="Arial" w:hAnsi="Arial"/>
          <w:sz w:val="16"/>
          <w:szCs w:val="16"/>
          <w:color w:val="auto"/>
        </w:rPr>
        <w:t>The Tenant may choose to install in-suite intrusion alarm system at the Tenant’s own responsibility and cost. The Tenant shall provide the name and contact information of the monitoring firm to the Property Manager in case of alarm activation. In addition, all licensing and permits are the responsibility of the Tenant. For integration of a base building stairwell access card reader with the Tenant space intrusion alarm system, the Tenant security vendor shall install a double pole double throw (DPDT) contact that allows for dual compatibility with the base building system and the Tenant intrusion panel.</w:t>
      </w:r>
    </w:p>
    <w:p>
      <w:pPr>
        <w:spacing w:after="0" w:line="87" w:lineRule="exact"/>
        <w:rPr>
          <w:rFonts w:ascii="Arial" w:cs="Arial" w:eastAsia="Arial" w:hAnsi="Arial"/>
          <w:sz w:val="16"/>
          <w:szCs w:val="16"/>
          <w:color w:val="auto"/>
        </w:rPr>
      </w:pPr>
    </w:p>
    <w:p>
      <w:pPr>
        <w:ind w:left="386" w:hanging="386"/>
        <w:spacing w:after="0"/>
        <w:tabs>
          <w:tab w:leader="none" w:pos="38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Intercom System:</w:t>
      </w:r>
    </w:p>
    <w:p>
      <w:pPr>
        <w:spacing w:after="0" w:line="98" w:lineRule="exact"/>
        <w:rPr>
          <w:rFonts w:ascii="Arial" w:cs="Arial" w:eastAsia="Arial" w:hAnsi="Arial"/>
          <w:sz w:val="16"/>
          <w:szCs w:val="16"/>
          <w:color w:val="auto"/>
        </w:rPr>
      </w:pPr>
    </w:p>
    <w:p>
      <w:pPr>
        <w:ind w:left="386" w:right="20"/>
        <w:spacing w:after="0" w:line="266" w:lineRule="auto"/>
        <w:rPr>
          <w:rFonts w:ascii="Arial" w:cs="Arial" w:eastAsia="Arial" w:hAnsi="Arial"/>
          <w:sz w:val="16"/>
          <w:szCs w:val="16"/>
          <w:color w:val="auto"/>
        </w:rPr>
      </w:pPr>
      <w:r>
        <w:rPr>
          <w:rFonts w:ascii="Arial" w:cs="Arial" w:eastAsia="Arial" w:hAnsi="Arial"/>
          <w:sz w:val="16"/>
          <w:szCs w:val="16"/>
          <w:color w:val="auto"/>
        </w:rPr>
        <w:t>The Tenant may choose to have the building intercom systems connected to their suite at the Tenant’s own responsibility and cost. The Tenant has two options for intercom system connectivity as outlined below.</w:t>
      </w:r>
    </w:p>
    <w:p>
      <w:pPr>
        <w:spacing w:after="0" w:line="63" w:lineRule="exact"/>
        <w:rPr>
          <w:rFonts w:ascii="Arial" w:cs="Arial" w:eastAsia="Arial" w:hAnsi="Arial"/>
          <w:sz w:val="16"/>
          <w:szCs w:val="16"/>
          <w:color w:val="auto"/>
        </w:rPr>
      </w:pPr>
    </w:p>
    <w:p>
      <w:pPr>
        <w:ind w:left="386"/>
        <w:spacing w:after="0"/>
        <w:rPr>
          <w:rFonts w:ascii="Arial" w:cs="Arial" w:eastAsia="Arial" w:hAnsi="Arial"/>
          <w:sz w:val="16"/>
          <w:szCs w:val="16"/>
          <w:color w:val="auto"/>
        </w:rPr>
      </w:pPr>
      <w:r>
        <w:rPr>
          <w:rFonts w:ascii="Arial" w:cs="Arial" w:eastAsia="Arial" w:hAnsi="Arial"/>
          <w:sz w:val="16"/>
          <w:szCs w:val="16"/>
          <w:color w:val="auto"/>
        </w:rPr>
        <w:t>Intercom System Operation:</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34"/>
        </w:numPr>
        <w:rPr>
          <w:rFonts w:ascii="Arial" w:cs="Arial" w:eastAsia="Arial" w:hAnsi="Arial"/>
          <w:sz w:val="16"/>
          <w:szCs w:val="16"/>
          <w:color w:val="auto"/>
        </w:rPr>
      </w:pPr>
      <w:r>
        <w:rPr>
          <w:rFonts w:ascii="Arial" w:cs="Arial" w:eastAsia="Arial" w:hAnsi="Arial"/>
          <w:sz w:val="16"/>
          <w:szCs w:val="16"/>
          <w:color w:val="auto"/>
        </w:rPr>
        <w:t>Visitors contact the Tenant’s suite master intercom directly from the perimeter intercom locations.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34"/>
        </w:numPr>
        <w:rPr>
          <w:rFonts w:ascii="Arial" w:cs="Arial" w:eastAsia="Arial" w:hAnsi="Arial"/>
          <w:sz w:val="16"/>
          <w:szCs w:val="16"/>
          <w:color w:val="auto"/>
        </w:rPr>
      </w:pPr>
      <w:r>
        <w:rPr>
          <w:rFonts w:ascii="Arial" w:cs="Arial" w:eastAsia="Arial" w:hAnsi="Arial"/>
          <w:sz w:val="16"/>
          <w:szCs w:val="16"/>
          <w:color w:val="auto"/>
        </w:rPr>
        <w:t>Direct voice communication and video authentication of the visitor through the intercom application.</w:t>
      </w:r>
    </w:p>
    <w:p>
      <w:pPr>
        <w:spacing w:after="0" w:line="110" w:lineRule="exact"/>
        <w:rPr>
          <w:rFonts w:ascii="Arial" w:cs="Arial" w:eastAsia="Arial" w:hAnsi="Arial"/>
          <w:sz w:val="16"/>
          <w:szCs w:val="16"/>
          <w:color w:val="auto"/>
        </w:rPr>
      </w:pPr>
    </w:p>
    <w:p>
      <w:pPr>
        <w:jc w:val="both"/>
        <w:ind w:left="1246" w:right="640" w:hanging="291"/>
        <w:spacing w:after="0" w:line="383" w:lineRule="auto"/>
        <w:tabs>
          <w:tab w:leader="none" w:pos="1246" w:val="left"/>
        </w:tabs>
        <w:numPr>
          <w:ilvl w:val="1"/>
          <w:numId w:val="334"/>
        </w:numPr>
        <w:rPr>
          <w:rFonts w:ascii="Arial" w:cs="Arial" w:eastAsia="Arial" w:hAnsi="Arial"/>
          <w:sz w:val="13"/>
          <w:szCs w:val="13"/>
          <w:color w:val="auto"/>
        </w:rPr>
      </w:pPr>
      <w:r>
        <w:rPr>
          <w:rFonts w:ascii="Arial" w:cs="Arial" w:eastAsia="Arial" w:hAnsi="Arial"/>
          <w:sz w:val="13"/>
          <w:szCs w:val="13"/>
          <w:color w:val="auto"/>
        </w:rPr>
        <w:t>Remote activation to the unlock feature allows the visitor to enter the building at the Tenant’s discretion. Please note that a pre-determined schedule with Property Management will limit the hours that the remote unlock feature will be functional.</w:t>
      </w:r>
    </w:p>
    <w:p>
      <w:pPr>
        <w:spacing w:after="0" w:line="183" w:lineRule="exact"/>
        <w:rPr>
          <w:rFonts w:ascii="Arial" w:cs="Arial" w:eastAsia="Arial" w:hAnsi="Arial"/>
          <w:sz w:val="13"/>
          <w:szCs w:val="13"/>
          <w:color w:val="auto"/>
        </w:rPr>
      </w:pPr>
    </w:p>
    <w:p>
      <w:pPr>
        <w:ind w:left="1246"/>
        <w:spacing w:after="0"/>
        <w:rPr>
          <w:rFonts w:ascii="Arial" w:cs="Arial" w:eastAsia="Arial" w:hAnsi="Arial"/>
          <w:sz w:val="13"/>
          <w:szCs w:val="13"/>
          <w:color w:val="auto"/>
        </w:rPr>
      </w:pPr>
      <w:r>
        <w:rPr>
          <w:rFonts w:ascii="Arial" w:cs="Arial" w:eastAsia="Arial" w:hAnsi="Arial"/>
          <w:sz w:val="16"/>
          <w:szCs w:val="16"/>
          <w:i w:val="1"/>
          <w:iCs w:val="1"/>
          <w:color w:val="auto"/>
        </w:rPr>
        <w:t>Option A – Hardwired Intercom System:</w:t>
      </w:r>
    </w:p>
    <w:p>
      <w:pPr>
        <w:spacing w:after="0" w:line="98" w:lineRule="exact"/>
        <w:rPr>
          <w:rFonts w:ascii="Arial" w:cs="Arial" w:eastAsia="Arial" w:hAnsi="Arial"/>
          <w:sz w:val="13"/>
          <w:szCs w:val="13"/>
          <w:color w:val="auto"/>
        </w:rPr>
      </w:pPr>
    </w:p>
    <w:p>
      <w:pPr>
        <w:ind w:left="1246"/>
        <w:spacing w:after="0"/>
        <w:rPr>
          <w:rFonts w:ascii="Arial" w:cs="Arial" w:eastAsia="Arial" w:hAnsi="Arial"/>
          <w:sz w:val="13"/>
          <w:szCs w:val="13"/>
          <w:color w:val="auto"/>
        </w:rPr>
      </w:pPr>
      <w:r>
        <w:rPr>
          <w:rFonts w:ascii="Arial" w:cs="Arial" w:eastAsia="Arial" w:hAnsi="Arial"/>
          <w:sz w:val="15"/>
          <w:szCs w:val="15"/>
          <w:color w:val="auto"/>
        </w:rPr>
        <w:t>If selected, the Tenant shall consider the following information as it relates to construction and operation of the Tenant space:</w:t>
      </w:r>
    </w:p>
    <w:p>
      <w:pPr>
        <w:sectPr>
          <w:pgSz w:w="11900" w:h="16838" w:orient="portrait"/>
          <w:cols w:equalWidth="0" w:num="1">
            <w:col w:w="9586"/>
          </w:cols>
          <w:pgMar w:left="1134" w:top="256" w:right="1179" w:bottom="1440" w:gutter="0" w:footer="0" w:header="0"/>
        </w:sectPr>
      </w:pPr>
    </w:p>
    <w:bookmarkStart w:id="431" w:name="page432"/>
    <w:bookmarkEnd w:id="431"/>
    <w:p>
      <w:pPr>
        <w:ind w:left="1806" w:hanging="462"/>
        <w:spacing w:after="0"/>
        <w:tabs>
          <w:tab w:leader="none" w:pos="1806" w:val="left"/>
        </w:tabs>
        <w:numPr>
          <w:ilvl w:val="0"/>
          <w:numId w:val="3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Intercom devices will be hardwire connected to the base building network</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Number of devices required per Tenant’s desires and device locations in-suite</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0"/>
          <w:numId w:val="335"/>
        </w:numPr>
        <w:rPr>
          <w:rFonts w:ascii="Arial" w:cs="Arial" w:eastAsia="Arial" w:hAnsi="Arial"/>
          <w:sz w:val="16"/>
          <w:szCs w:val="16"/>
          <w:color w:val="auto"/>
        </w:rPr>
      </w:pPr>
      <w:r>
        <w:rPr>
          <w:rFonts w:ascii="Arial" w:cs="Arial" w:eastAsia="Arial" w:hAnsi="Arial"/>
          <w:sz w:val="16"/>
          <w:szCs w:val="16"/>
          <w:color w:val="auto"/>
        </w:rPr>
        <w:t>See product data sheets for compatible models of hardwired video intercom stations, listed below:</w:t>
      </w:r>
    </w:p>
    <w:p>
      <w:pPr>
        <w:spacing w:after="0" w:line="110" w:lineRule="exact"/>
        <w:rPr>
          <w:rFonts w:ascii="Arial" w:cs="Arial" w:eastAsia="Arial" w:hAnsi="Arial"/>
          <w:sz w:val="16"/>
          <w:szCs w:val="16"/>
          <w:color w:val="auto"/>
        </w:rPr>
      </w:pPr>
    </w:p>
    <w:p>
      <w:pPr>
        <w:ind w:left="2106" w:hanging="279"/>
        <w:spacing w:after="0"/>
        <w:tabs>
          <w:tab w:leader="none" w:pos="210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SNOM 760 IP Master station</w:t>
      </w:r>
    </w:p>
    <w:p>
      <w:pPr>
        <w:spacing w:after="0" w:line="110" w:lineRule="exact"/>
        <w:rPr>
          <w:rFonts w:ascii="Arial" w:cs="Arial" w:eastAsia="Arial" w:hAnsi="Arial"/>
          <w:sz w:val="16"/>
          <w:szCs w:val="16"/>
          <w:color w:val="auto"/>
        </w:rPr>
      </w:pPr>
    </w:p>
    <w:p>
      <w:pPr>
        <w:ind w:left="2106" w:hanging="279"/>
        <w:spacing w:after="0"/>
        <w:tabs>
          <w:tab w:leader="none" w:pos="210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Stentofon IP Master station</w:t>
      </w:r>
    </w:p>
    <w:p>
      <w:pPr>
        <w:spacing w:after="0" w:line="288" w:lineRule="exact"/>
        <w:rPr>
          <w:sz w:val="20"/>
          <w:szCs w:val="20"/>
          <w:color w:val="auto"/>
        </w:rPr>
      </w:pPr>
    </w:p>
    <w:p>
      <w:pPr>
        <w:ind w:left="1246"/>
        <w:spacing w:after="0"/>
        <w:rPr>
          <w:sz w:val="20"/>
          <w:szCs w:val="20"/>
          <w:color w:val="auto"/>
        </w:rPr>
      </w:pPr>
      <w:r>
        <w:rPr>
          <w:rFonts w:ascii="Arial" w:cs="Arial" w:eastAsia="Arial" w:hAnsi="Arial"/>
          <w:sz w:val="16"/>
          <w:szCs w:val="16"/>
          <w:i w:val="1"/>
          <w:iCs w:val="1"/>
          <w:color w:val="auto"/>
        </w:rPr>
        <w:t>Option B – Wireless Intercom Device:</w:t>
      </w:r>
    </w:p>
    <w:p>
      <w:pPr>
        <w:spacing w:after="0" w:line="99" w:lineRule="exact"/>
        <w:rPr>
          <w:sz w:val="20"/>
          <w:szCs w:val="20"/>
          <w:color w:val="auto"/>
        </w:rPr>
      </w:pPr>
    </w:p>
    <w:p>
      <w:pPr>
        <w:ind w:left="1246" w:right="160"/>
        <w:spacing w:after="0" w:line="275" w:lineRule="auto"/>
        <w:rPr>
          <w:sz w:val="20"/>
          <w:szCs w:val="20"/>
          <w:color w:val="auto"/>
        </w:rPr>
      </w:pPr>
      <w:r>
        <w:rPr>
          <w:rFonts w:ascii="Arial" w:cs="Arial" w:eastAsia="Arial" w:hAnsi="Arial"/>
          <w:sz w:val="15"/>
          <w:szCs w:val="15"/>
          <w:color w:val="auto"/>
        </w:rPr>
        <w:t>The Tenant may choose to have a wireless intercom device via a suite specific Wireless Access Point (WAP). The master intercom station software application shall run on Apple Mini-iPads. The wireless intercom device is functional within the constraints of the wireless communication signal area provided through the WAP. Please note, that due to the WAP being on the house security network, the device will need to be dedicated to security and cannot be installed on private devices.</w:t>
      </w:r>
    </w:p>
    <w:p>
      <w:pPr>
        <w:spacing w:after="0" w:line="58" w:lineRule="exact"/>
        <w:rPr>
          <w:sz w:val="20"/>
          <w:szCs w:val="20"/>
          <w:color w:val="auto"/>
        </w:rPr>
      </w:pPr>
    </w:p>
    <w:p>
      <w:pPr>
        <w:ind w:left="1246"/>
        <w:spacing w:after="0"/>
        <w:rPr>
          <w:sz w:val="20"/>
          <w:szCs w:val="20"/>
          <w:color w:val="auto"/>
        </w:rPr>
      </w:pPr>
      <w:r>
        <w:rPr>
          <w:rFonts w:ascii="Arial" w:cs="Arial" w:eastAsia="Arial" w:hAnsi="Arial"/>
          <w:sz w:val="15"/>
          <w:szCs w:val="15"/>
          <w:color w:val="auto"/>
        </w:rPr>
        <w:t>If selected, the Tenant shall consider the following information as it relates to construction and operation of the Tenant space:</w:t>
      </w:r>
    </w:p>
    <w:p>
      <w:pPr>
        <w:spacing w:after="0" w:line="122" w:lineRule="exact"/>
        <w:rPr>
          <w:sz w:val="20"/>
          <w:szCs w:val="20"/>
          <w:color w:val="auto"/>
        </w:rPr>
      </w:pPr>
    </w:p>
    <w:p>
      <w:pPr>
        <w:ind w:left="1806" w:hanging="462"/>
        <w:spacing w:after="0"/>
        <w:tabs>
          <w:tab w:leader="none" w:pos="1806" w:val="left"/>
        </w:tabs>
        <w:numPr>
          <w:ilvl w:val="1"/>
          <w:numId w:val="336"/>
        </w:numPr>
        <w:rPr>
          <w:rFonts w:ascii="Arial" w:cs="Arial" w:eastAsia="Arial" w:hAnsi="Arial"/>
          <w:sz w:val="16"/>
          <w:szCs w:val="16"/>
          <w:color w:val="auto"/>
        </w:rPr>
      </w:pPr>
      <w:r>
        <w:rPr>
          <w:rFonts w:ascii="Arial" w:cs="Arial" w:eastAsia="Arial" w:hAnsi="Arial"/>
          <w:sz w:val="16"/>
          <w:szCs w:val="16"/>
          <w:color w:val="auto"/>
        </w:rPr>
        <w:t>Devices will be connected to the base building network</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1"/>
          <w:numId w:val="336"/>
        </w:numPr>
        <w:rPr>
          <w:rFonts w:ascii="Arial" w:cs="Arial" w:eastAsia="Arial" w:hAnsi="Arial"/>
          <w:sz w:val="16"/>
          <w:szCs w:val="16"/>
          <w:color w:val="auto"/>
        </w:rPr>
      </w:pPr>
      <w:r>
        <w:rPr>
          <w:rFonts w:ascii="Arial" w:cs="Arial" w:eastAsia="Arial" w:hAnsi="Arial"/>
          <w:sz w:val="16"/>
          <w:szCs w:val="16"/>
          <w:color w:val="auto"/>
        </w:rPr>
        <w:t>Type of wall mount (if desired) and quantity of mini iPads required for the desk charging station</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1"/>
          <w:numId w:val="336"/>
        </w:numPr>
        <w:rPr>
          <w:rFonts w:ascii="Arial" w:cs="Arial" w:eastAsia="Arial" w:hAnsi="Arial"/>
          <w:sz w:val="16"/>
          <w:szCs w:val="16"/>
          <w:color w:val="auto"/>
        </w:rPr>
      </w:pPr>
      <w:r>
        <w:rPr>
          <w:rFonts w:ascii="Arial" w:cs="Arial" w:eastAsia="Arial" w:hAnsi="Arial"/>
          <w:sz w:val="16"/>
          <w:szCs w:val="16"/>
          <w:color w:val="auto"/>
        </w:rPr>
        <w:t>Anticipated intercom locations (Required for WAP installation locations as part of the TI build-out)</w:t>
      </w:r>
    </w:p>
    <w:p>
      <w:pPr>
        <w:spacing w:after="0" w:line="193" w:lineRule="exact"/>
        <w:rPr>
          <w:rFonts w:ascii="Arial" w:cs="Arial" w:eastAsia="Arial" w:hAnsi="Arial"/>
          <w:sz w:val="16"/>
          <w:szCs w:val="16"/>
          <w:color w:val="auto"/>
        </w:rPr>
      </w:pPr>
    </w:p>
    <w:p>
      <w:pPr>
        <w:ind w:left="166" w:hanging="166"/>
        <w:spacing w:after="0"/>
        <w:tabs>
          <w:tab w:leader="none" w:pos="166" w:val="left"/>
        </w:tabs>
        <w:numPr>
          <w:ilvl w:val="0"/>
          <w:numId w:val="33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IDF AND UTILITIES</w:t>
      </w:r>
    </w:p>
    <w:p>
      <w:pPr>
        <w:spacing w:after="0" w:line="111"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8a.</w:t>
      </w:r>
      <w:r>
        <w:rPr>
          <w:sz w:val="20"/>
          <w:szCs w:val="20"/>
          <w:color w:val="auto"/>
        </w:rPr>
        <w:tab/>
      </w:r>
      <w:r>
        <w:rPr>
          <w:rFonts w:ascii="Arial" w:cs="Arial" w:eastAsia="Arial" w:hAnsi="Arial"/>
          <w:sz w:val="16"/>
          <w:szCs w:val="16"/>
          <w:color w:val="auto"/>
        </w:rPr>
        <w:t>IDF Rooms:</w:t>
      </w:r>
    </w:p>
    <w:p>
      <w:pPr>
        <w:spacing w:after="0" w:line="99" w:lineRule="exact"/>
        <w:rPr>
          <w:sz w:val="20"/>
          <w:szCs w:val="20"/>
          <w:color w:val="auto"/>
        </w:rPr>
      </w:pPr>
    </w:p>
    <w:p>
      <w:pPr>
        <w:ind w:left="866"/>
        <w:spacing w:after="0" w:line="275" w:lineRule="auto"/>
        <w:rPr>
          <w:sz w:val="20"/>
          <w:szCs w:val="20"/>
          <w:color w:val="auto"/>
        </w:rPr>
      </w:pPr>
      <w:r>
        <w:rPr>
          <w:rFonts w:ascii="Arial" w:cs="Arial" w:eastAsia="Arial" w:hAnsi="Arial"/>
          <w:sz w:val="15"/>
          <w:szCs w:val="15"/>
          <w:color w:val="auto"/>
        </w:rPr>
        <w:t>IDF rooms are vertically stacked above the ground floor main point of utility entry MPOE Room. Conduit risers are provided within IDF rooms on each floor for Tenants to tie into the MPOE (two (2) 4” conduits per floor) and are allotted per the lease agreement. Sleeves are provided between floors and require Landlord approval prior to Tenant use. Any roof penetrations for conduit is the responsibility of the TI Contractor. The Tenant is responsible for providing the required ventilation in IDF rooms.</w:t>
      </w:r>
    </w:p>
    <w:p>
      <w:pPr>
        <w:spacing w:after="0" w:line="70" w:lineRule="exact"/>
        <w:rPr>
          <w:sz w:val="20"/>
          <w:szCs w:val="20"/>
          <w:color w:val="auto"/>
        </w:rPr>
      </w:pPr>
    </w:p>
    <w:p>
      <w:pPr>
        <w:ind w:left="386"/>
        <w:spacing w:after="0"/>
        <w:tabs>
          <w:tab w:leader="none" w:pos="826" w:val="left"/>
        </w:tabs>
        <w:rPr>
          <w:sz w:val="20"/>
          <w:szCs w:val="20"/>
          <w:color w:val="auto"/>
        </w:rPr>
      </w:pPr>
      <w:r>
        <w:rPr>
          <w:rFonts w:ascii="Arial" w:cs="Arial" w:eastAsia="Arial" w:hAnsi="Arial"/>
          <w:sz w:val="16"/>
          <w:szCs w:val="16"/>
          <w:color w:val="auto"/>
        </w:rPr>
        <w:t>8b.</w:t>
      </w:r>
      <w:r>
        <w:rPr>
          <w:sz w:val="20"/>
          <w:szCs w:val="20"/>
          <w:color w:val="auto"/>
        </w:rPr>
        <w:tab/>
      </w:r>
      <w:r>
        <w:rPr>
          <w:rFonts w:ascii="Arial" w:cs="Arial" w:eastAsia="Arial" w:hAnsi="Arial"/>
          <w:sz w:val="16"/>
          <w:szCs w:val="16"/>
          <w:color w:val="auto"/>
        </w:rPr>
        <w:t>Campus Interconnecting Conduit:</w:t>
      </w:r>
    </w:p>
    <w:p>
      <w:pPr>
        <w:spacing w:after="0" w:line="99" w:lineRule="exact"/>
        <w:rPr>
          <w:sz w:val="20"/>
          <w:szCs w:val="20"/>
          <w:color w:val="auto"/>
        </w:rPr>
      </w:pPr>
    </w:p>
    <w:p>
      <w:pPr>
        <w:ind w:left="866" w:right="240"/>
        <w:spacing w:after="0" w:line="266" w:lineRule="auto"/>
        <w:rPr>
          <w:sz w:val="20"/>
          <w:szCs w:val="20"/>
          <w:color w:val="auto"/>
        </w:rPr>
      </w:pPr>
      <w:r>
        <w:rPr>
          <w:rFonts w:ascii="Arial" w:cs="Arial" w:eastAsia="Arial" w:hAnsi="Arial"/>
          <w:sz w:val="16"/>
          <w:szCs w:val="16"/>
          <w:color w:val="auto"/>
        </w:rPr>
        <w:t>A campus interconnecting conduit loop connecting all Cove buildings is available for Tenant use subject to Landlord approval. Refer to the site utility drawings for routing layout.</w:t>
      </w:r>
    </w:p>
    <w:p>
      <w:pPr>
        <w:sectPr>
          <w:pgSz w:w="11900" w:h="16838" w:orient="portrait"/>
          <w:cols w:equalWidth="0" w:num="1">
            <w:col w:w="9626"/>
          </w:cols>
          <w:pgMar w:left="1134" w:top="256" w:right="1139" w:bottom="1440" w:gutter="0" w:footer="0" w:header="0"/>
        </w:sectPr>
      </w:pPr>
    </w:p>
    <w:bookmarkStart w:id="432" w:name="page433"/>
    <w:bookmarkEnd w:id="432"/>
    <w:p>
      <w:pPr>
        <w:ind w:left="80"/>
        <w:spacing w:after="0"/>
        <w:tabs>
          <w:tab w:leader="none" w:pos="5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8c.</w:t>
      </w:r>
      <w:r>
        <w:rPr>
          <w:sz w:val="20"/>
          <w:szCs w:val="20"/>
          <w:color w:val="auto"/>
        </w:rPr>
        <w:tab/>
      </w:r>
      <w:r>
        <w:rPr>
          <w:rFonts w:ascii="Arial" w:cs="Arial" w:eastAsia="Arial" w:hAnsi="Arial"/>
          <w:sz w:val="16"/>
          <w:szCs w:val="16"/>
          <w:color w:val="auto"/>
        </w:rPr>
        <w:t>Utilities Provided:</w:t>
      </w:r>
    </w:p>
    <w:p>
      <w:pPr>
        <w:spacing w:after="0" w:line="111" w:lineRule="exact"/>
        <w:rPr>
          <w:sz w:val="20"/>
          <w:szCs w:val="20"/>
          <w:color w:val="auto"/>
        </w:rPr>
      </w:pPr>
    </w:p>
    <w:p>
      <w:pPr>
        <w:ind w:left="940" w:hanging="386"/>
        <w:spacing w:after="0"/>
        <w:tabs>
          <w:tab w:leader="none" w:pos="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Telephone/Data:</w:t>
      </w:r>
    </w:p>
    <w:p>
      <w:pPr>
        <w:spacing w:after="0" w:line="98" w:lineRule="exact"/>
        <w:rPr>
          <w:rFonts w:ascii="Arial" w:cs="Arial" w:eastAsia="Arial" w:hAnsi="Arial"/>
          <w:sz w:val="16"/>
          <w:szCs w:val="16"/>
          <w:color w:val="auto"/>
        </w:rPr>
      </w:pPr>
    </w:p>
    <w:p>
      <w:pPr>
        <w:ind w:left="940" w:right="199"/>
        <w:spacing w:after="0" w:line="300" w:lineRule="auto"/>
        <w:rPr>
          <w:rFonts w:ascii="Arial" w:cs="Arial" w:eastAsia="Arial" w:hAnsi="Arial"/>
          <w:sz w:val="16"/>
          <w:szCs w:val="16"/>
          <w:color w:val="auto"/>
        </w:rPr>
      </w:pPr>
      <w:r>
        <w:rPr>
          <w:rFonts w:ascii="Arial" w:cs="Arial" w:eastAsia="Arial" w:hAnsi="Arial"/>
          <w:sz w:val="15"/>
          <w:szCs w:val="15"/>
          <w:color w:val="auto"/>
        </w:rPr>
        <w:t>Infrastructure provided via two (2) 4” conduits with pull string. Tenant must coordinate pulling cable with phone/data service provider in order to receive service. The provided conduits are designed to AT&amp;T requirements.</w:t>
      </w:r>
    </w:p>
    <w:p>
      <w:pPr>
        <w:spacing w:after="0" w:line="52" w:lineRule="exact"/>
        <w:rPr>
          <w:rFonts w:ascii="Arial" w:cs="Arial" w:eastAsia="Arial" w:hAnsi="Arial"/>
          <w:sz w:val="16"/>
          <w:szCs w:val="16"/>
          <w:color w:val="auto"/>
        </w:rPr>
      </w:pPr>
    </w:p>
    <w:p>
      <w:pPr>
        <w:ind w:left="940" w:hanging="386"/>
        <w:spacing w:after="0"/>
        <w:tabs>
          <w:tab w:leader="none" w:pos="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Natural Gas &amp; Electric: PG&amp;E</w:t>
      </w:r>
    </w:p>
    <w:p>
      <w:pPr>
        <w:spacing w:after="0" w:line="98" w:lineRule="exact"/>
        <w:rPr>
          <w:rFonts w:ascii="Arial" w:cs="Arial" w:eastAsia="Arial" w:hAnsi="Arial"/>
          <w:sz w:val="16"/>
          <w:szCs w:val="16"/>
          <w:color w:val="auto"/>
        </w:rPr>
      </w:pPr>
    </w:p>
    <w:p>
      <w:pPr>
        <w:ind w:left="940"/>
        <w:spacing w:after="0"/>
        <w:rPr>
          <w:rFonts w:ascii="Arial" w:cs="Arial" w:eastAsia="Arial" w:hAnsi="Arial"/>
          <w:sz w:val="16"/>
          <w:szCs w:val="16"/>
          <w:color w:val="auto"/>
        </w:rPr>
      </w:pPr>
      <w:r>
        <w:rPr>
          <w:rFonts w:ascii="Arial" w:cs="Arial" w:eastAsia="Arial" w:hAnsi="Arial"/>
          <w:sz w:val="16"/>
          <w:szCs w:val="16"/>
          <w:color w:val="auto"/>
        </w:rPr>
        <w:t>Refer to base building drawings for electric and gas stub locations.</w:t>
      </w:r>
    </w:p>
    <w:p>
      <w:pPr>
        <w:spacing w:after="0" w:line="110" w:lineRule="exact"/>
        <w:rPr>
          <w:rFonts w:ascii="Arial" w:cs="Arial" w:eastAsia="Arial" w:hAnsi="Arial"/>
          <w:sz w:val="16"/>
          <w:szCs w:val="16"/>
          <w:color w:val="auto"/>
        </w:rPr>
      </w:pPr>
    </w:p>
    <w:p>
      <w:pPr>
        <w:ind w:left="940" w:hanging="386"/>
        <w:spacing w:after="0"/>
        <w:tabs>
          <w:tab w:leader="none" w:pos="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Internet &amp; Cable:</w:t>
      </w:r>
    </w:p>
    <w:p>
      <w:pPr>
        <w:spacing w:after="0" w:line="98" w:lineRule="exact"/>
        <w:rPr>
          <w:rFonts w:ascii="Arial" w:cs="Arial" w:eastAsia="Arial" w:hAnsi="Arial"/>
          <w:sz w:val="16"/>
          <w:szCs w:val="16"/>
          <w:color w:val="auto"/>
        </w:rPr>
      </w:pPr>
    </w:p>
    <w:p>
      <w:pPr>
        <w:ind w:left="940" w:right="19"/>
        <w:spacing w:after="0" w:line="383" w:lineRule="auto"/>
        <w:rPr>
          <w:rFonts w:ascii="Arial" w:cs="Arial" w:eastAsia="Arial" w:hAnsi="Arial"/>
          <w:sz w:val="16"/>
          <w:szCs w:val="16"/>
          <w:color w:val="auto"/>
        </w:rPr>
      </w:pPr>
      <w:r>
        <w:rPr>
          <w:rFonts w:ascii="Arial" w:cs="Arial" w:eastAsia="Arial" w:hAnsi="Arial"/>
          <w:sz w:val="13"/>
          <w:szCs w:val="13"/>
          <w:color w:val="auto"/>
        </w:rPr>
        <w:t>Infrastructure provided via one (1) 2” conduit and one (1) 4” conduit with pull string. Tenant must coordinate pulling cable with internet and cable service provider in order to receive service. The provided conduits are designed to Comcast requirements.</w:t>
      </w:r>
    </w:p>
    <w:p>
      <w:pPr>
        <w:spacing w:after="0" w:line="6" w:lineRule="exact"/>
        <w:rPr>
          <w:rFonts w:ascii="Arial" w:cs="Arial" w:eastAsia="Arial" w:hAnsi="Arial"/>
          <w:sz w:val="16"/>
          <w:szCs w:val="16"/>
          <w:color w:val="auto"/>
        </w:rPr>
      </w:pPr>
    </w:p>
    <w:p>
      <w:pPr>
        <w:ind w:left="940" w:hanging="386"/>
        <w:spacing w:after="0"/>
        <w:tabs>
          <w:tab w:leader="none" w:pos="94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Water: Calwater</w:t>
      </w:r>
    </w:p>
    <w:p>
      <w:pPr>
        <w:sectPr>
          <w:pgSz w:w="11900" w:h="16838" w:orient="portrait"/>
          <w:cols w:equalWidth="0" w:num="1">
            <w:col w:w="9019"/>
          </w:cols>
          <w:pgMar w:left="1440" w:top="256" w:right="1440" w:bottom="1440" w:gutter="0" w:footer="0" w:header="0"/>
        </w:sectPr>
      </w:pPr>
    </w:p>
    <w:bookmarkStart w:id="433" w:name="page434"/>
    <w:bookmarkEnd w:id="433"/>
    <w:p>
      <w:pPr>
        <w:ind w:left="23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LEADERSHIP IN ENERGY AND ENVIRONMENTAL DESIGN (LEED)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 BASE BUILDING LEED CERTIFICATION</w:t>
      </w:r>
    </w:p>
    <w:p>
      <w:pPr>
        <w:spacing w:after="0" w:line="99" w:lineRule="exact"/>
        <w:rPr>
          <w:sz w:val="20"/>
          <w:szCs w:val="20"/>
          <w:color w:val="auto"/>
        </w:rPr>
      </w:pPr>
    </w:p>
    <w:p>
      <w:pPr>
        <w:jc w:val="both"/>
        <w:ind w:left="380" w:right="40"/>
        <w:spacing w:after="0" w:line="256" w:lineRule="auto"/>
        <w:rPr>
          <w:sz w:val="20"/>
          <w:szCs w:val="20"/>
          <w:color w:val="auto"/>
        </w:rPr>
      </w:pPr>
      <w:r>
        <w:rPr>
          <w:rFonts w:ascii="Arial" w:cs="Arial" w:eastAsia="Arial" w:hAnsi="Arial"/>
          <w:sz w:val="16"/>
          <w:szCs w:val="16"/>
          <w:color w:val="auto"/>
        </w:rPr>
        <w:t>The following is a list of LEED pre-requisites and credits that all Tenants are required to meet for their associated Tenant-occupied spaces beyond the current Core and Shell project scope, to maintain the Core and Shell LEED Silver Certification. By signing the Lease, Tenants are agreeing to comply with all of the outlined requirements.</w:t>
      </w:r>
    </w:p>
    <w:p>
      <w:pPr>
        <w:spacing w:after="0" w:line="83" w:lineRule="exact"/>
        <w:rPr>
          <w:sz w:val="20"/>
          <w:szCs w:val="20"/>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Water Efficiency Prerequisite 1 and Credit 3, Water Use Reduction</w:t>
      </w:r>
    </w:p>
    <w:p>
      <w:pPr>
        <w:spacing w:after="0" w:line="110" w:lineRule="exact"/>
        <w:rPr>
          <w:rFonts w:ascii="Arial" w:cs="Arial" w:eastAsia="Arial" w:hAnsi="Arial"/>
          <w:sz w:val="16"/>
          <w:szCs w:val="16"/>
          <w:color w:val="auto"/>
        </w:rPr>
      </w:pPr>
    </w:p>
    <w:p>
      <w:pPr>
        <w:ind w:left="1800" w:right="220" w:hanging="462"/>
        <w:spacing w:after="0" w:line="266" w:lineRule="auto"/>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All toilets in the core or those that are Tenant-installed shall be dual-flush toilets or “high-efficiency,” using 1.28 gallons per flush (gpf) or less.</w:t>
      </w:r>
    </w:p>
    <w:p>
      <w:pPr>
        <w:spacing w:after="0" w:line="75"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All urinals shall be waterless or ultra low-flow e.g., 0.125 gpf or less.</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Bathroom faucets are required to have flow restrictors limiting flow to .5 gallons per minute (gpm).</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Kitchen and breakroom faucets to allow 1.8 gpm.</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Energy and Atmosphere Prerequisite 2, Minimum Energy Performance, and Credit 1, Optimize Energy Performance</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Envelope must meet the following requirements:</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Walls: U = 0.082</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Roof: U = 0.039</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Curtain Glazing: U = 0.27, SHGC = 0.29 (Viracon)</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Mechanical (Based on B3) systems must comply with the following:</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Chiller Efficiency: 0.549 kw/ton</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Boiler Efficiency: 93%</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Plumbing (Based on B3) must comply with the following:</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Water heater efficiency: 96%</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Lighting requirements are as follows:</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Office Spaces &gt; 250 ft2: 0.75 w/sf</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Office Spaces £ 250 ft2: 1.0 w/sf</w:t>
      </w:r>
    </w:p>
    <w:p>
      <w:pPr>
        <w:spacing w:after="0" w:line="110" w:lineRule="exact"/>
        <w:rPr>
          <w:rFonts w:ascii="Arial" w:cs="Arial" w:eastAsia="Arial" w:hAnsi="Arial"/>
          <w:sz w:val="16"/>
          <w:szCs w:val="16"/>
          <w:color w:val="auto"/>
        </w:rPr>
      </w:pPr>
    </w:p>
    <w:p>
      <w:pPr>
        <w:ind w:left="2100" w:hanging="279"/>
        <w:spacing w:after="0"/>
        <w:tabs>
          <w:tab w:leader="none" w:pos="2100" w:val="left"/>
        </w:tabs>
        <w:numPr>
          <w:ilvl w:val="2"/>
          <w:numId w:val="338"/>
        </w:numPr>
        <w:rPr>
          <w:rFonts w:ascii="Arial" w:cs="Arial" w:eastAsia="Arial" w:hAnsi="Arial"/>
          <w:sz w:val="16"/>
          <w:szCs w:val="16"/>
          <w:color w:val="auto"/>
        </w:rPr>
      </w:pPr>
      <w:r>
        <w:rPr>
          <w:rFonts w:ascii="Arial" w:cs="Arial" w:eastAsia="Arial" w:hAnsi="Arial"/>
          <w:sz w:val="16"/>
          <w:szCs w:val="16"/>
          <w:color w:val="auto"/>
        </w:rPr>
        <w:t>Lab Spaces: 1.4 w/sf</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Energy and Atmosphere Credit 4, Enhanced Refrigerant Management</w:t>
      </w:r>
    </w:p>
    <w:p>
      <w:pPr>
        <w:spacing w:after="0" w:line="110" w:lineRule="exact"/>
        <w:rPr>
          <w:rFonts w:ascii="Arial" w:cs="Arial" w:eastAsia="Arial" w:hAnsi="Arial"/>
          <w:sz w:val="16"/>
          <w:szCs w:val="16"/>
          <w:color w:val="auto"/>
        </w:rPr>
      </w:pPr>
    </w:p>
    <w:p>
      <w:pPr>
        <w:ind w:left="1800" w:right="120" w:hanging="462"/>
        <w:spacing w:after="0" w:line="266" w:lineRule="auto"/>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Tenants should specify HVAC systems that minimize refrigerant impact by avoiding refrigerants entirely or using systems that reduce their harmful impacts.</w:t>
      </w:r>
    </w:p>
    <w:p>
      <w:pPr>
        <w:spacing w:after="0" w:line="75"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Tenants should not install or retain fire suppression systems with CFCs, HCFCs, or halons.</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Energy and Atmosphere Credit 5, Measurement &amp; Verification</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Tenants will be required to sub-meter</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Indoor Environmental Quality Prerequisite 1, Minimum Indoor Air Quality (IAQ) Performance</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Tenant-installed mechanical ventilation systems must meet the requirements of ASHRAE 62.1-2007</w:t>
      </w:r>
    </w:p>
    <w:p>
      <w:pPr>
        <w:spacing w:after="0" w:line="110" w:lineRule="exact"/>
        <w:rPr>
          <w:rFonts w:ascii="Arial" w:cs="Arial" w:eastAsia="Arial" w:hAnsi="Arial"/>
          <w:sz w:val="16"/>
          <w:szCs w:val="16"/>
          <w:color w:val="auto"/>
        </w:rPr>
      </w:pPr>
    </w:p>
    <w:p>
      <w:pPr>
        <w:ind w:left="1800" w:hanging="462"/>
        <w:spacing w:after="0"/>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sections 4-7.</w:t>
      </w:r>
    </w:p>
    <w:p>
      <w:pPr>
        <w:spacing w:after="0" w:line="110"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Indoor Environmental Quality Credit 1, Outdoor Air Delivery Monitoring</w:t>
      </w:r>
    </w:p>
    <w:p>
      <w:pPr>
        <w:spacing w:after="0" w:line="110" w:lineRule="exact"/>
        <w:rPr>
          <w:rFonts w:ascii="Arial" w:cs="Arial" w:eastAsia="Arial" w:hAnsi="Arial"/>
          <w:sz w:val="16"/>
          <w:szCs w:val="16"/>
          <w:color w:val="auto"/>
        </w:rPr>
      </w:pPr>
    </w:p>
    <w:p>
      <w:pPr>
        <w:ind w:left="1800" w:hanging="462"/>
        <w:spacing w:after="0" w:line="383" w:lineRule="auto"/>
        <w:tabs>
          <w:tab w:leader="none" w:pos="1800" w:val="left"/>
        </w:tabs>
        <w:numPr>
          <w:ilvl w:val="1"/>
          <w:numId w:val="338"/>
        </w:numPr>
        <w:rPr>
          <w:rFonts w:ascii="Arial" w:cs="Arial" w:eastAsia="Arial" w:hAnsi="Arial"/>
          <w:sz w:val="13"/>
          <w:szCs w:val="13"/>
          <w:color w:val="auto"/>
        </w:rPr>
      </w:pPr>
      <w:r>
        <w:rPr>
          <w:rFonts w:ascii="Arial" w:cs="Arial" w:eastAsia="Arial" w:hAnsi="Arial"/>
          <w:sz w:val="13"/>
          <w:szCs w:val="13"/>
          <w:color w:val="auto"/>
        </w:rPr>
        <w:t>For mechanical ventilation systems that predominantly serve densely occupied spaces (those with a design occupant density greater than or equal to 25 people per 1000 sq. ft), Tenants shall install a CO2 sensor within each densely occupied space.</w:t>
      </w:r>
    </w:p>
    <w:p>
      <w:pPr>
        <w:spacing w:after="0" w:line="6" w:lineRule="exact"/>
        <w:rPr>
          <w:rFonts w:ascii="Arial" w:cs="Arial" w:eastAsia="Arial" w:hAnsi="Arial"/>
          <w:sz w:val="13"/>
          <w:szCs w:val="13"/>
          <w:color w:val="auto"/>
        </w:rPr>
      </w:pPr>
    </w:p>
    <w:p>
      <w:pPr>
        <w:ind w:left="1800" w:right="300" w:hanging="462"/>
        <w:spacing w:after="0" w:line="256" w:lineRule="auto"/>
        <w:tabs>
          <w:tab w:leader="none" w:pos="1800" w:val="left"/>
        </w:tabs>
        <w:numPr>
          <w:ilvl w:val="1"/>
          <w:numId w:val="338"/>
        </w:numPr>
        <w:rPr>
          <w:rFonts w:ascii="Arial" w:cs="Arial" w:eastAsia="Arial" w:hAnsi="Arial"/>
          <w:sz w:val="16"/>
          <w:szCs w:val="16"/>
          <w:color w:val="auto"/>
        </w:rPr>
      </w:pPr>
      <w:r>
        <w:rPr>
          <w:rFonts w:ascii="Arial" w:cs="Arial" w:eastAsia="Arial" w:hAnsi="Arial"/>
          <w:sz w:val="16"/>
          <w:szCs w:val="16"/>
          <w:color w:val="auto"/>
        </w:rPr>
        <w:t>For all other mechanical ventilation systems, provide an outdoor airflow measurement device capable of measuring the minimum outdoor airflow rate at all expected system operating conditions within 15 percent of the design minimum outdoor air rate.</w:t>
      </w:r>
    </w:p>
    <w:p>
      <w:pPr>
        <w:spacing w:after="0" w:line="83" w:lineRule="exact"/>
        <w:rPr>
          <w:rFonts w:ascii="Arial" w:cs="Arial" w:eastAsia="Arial" w:hAnsi="Arial"/>
          <w:sz w:val="16"/>
          <w:szCs w:val="16"/>
          <w:color w:val="auto"/>
        </w:rPr>
      </w:pPr>
    </w:p>
    <w:p>
      <w:pPr>
        <w:ind w:left="1240" w:hanging="291"/>
        <w:spacing w:after="0"/>
        <w:tabs>
          <w:tab w:leader="none" w:pos="124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Indoor Environmental Quality Credit 5, Indoor Chemical and Pollutant Source Control</w:t>
      </w:r>
    </w:p>
    <w:p>
      <w:pPr>
        <w:sectPr>
          <w:pgSz w:w="11900" w:h="16838" w:orient="portrait"/>
          <w:cols w:equalWidth="0" w:num="1">
            <w:col w:w="9600"/>
          </w:cols>
          <w:pgMar w:left="1140" w:top="252" w:right="1159" w:bottom="1440" w:gutter="0" w:footer="0" w:header="0"/>
        </w:sectPr>
      </w:pPr>
    </w:p>
    <w:bookmarkStart w:id="434" w:name="page435"/>
    <w:bookmarkEnd w:id="434"/>
    <w:p>
      <w:pPr>
        <w:ind w:left="1806" w:hanging="462"/>
        <w:spacing w:after="0"/>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Walk off mats are installed at all building main entrances as part of the core and shell scope.</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744331.07/WLA</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375072-00001/12-9-15/gjn/gjn</w:t>
      </w:r>
    </w:p>
    <w:p>
      <w:pPr>
        <w:spacing w:after="0" w:line="110" w:lineRule="exact"/>
        <w:rPr>
          <w:rFonts w:ascii="Arial" w:cs="Arial" w:eastAsia="Arial" w:hAnsi="Arial"/>
          <w:sz w:val="16"/>
          <w:szCs w:val="16"/>
          <w:color w:val="auto"/>
        </w:rPr>
      </w:pPr>
    </w:p>
    <w:p>
      <w:pPr>
        <w:jc w:val="both"/>
        <w:ind w:left="1806" w:hanging="462"/>
        <w:spacing w:after="0" w:line="256" w:lineRule="auto"/>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All rooms that contain chemicals or pollutants (such as copy rooms, photo labs, laundry, and janitorial rooms) must be built with deck-to-deck full-height walls and self-closing doors, separate ventilation systems with minimum .50 cfm/sqft exhaust fans, and containment drains for appropriate disposal of hazardous liquids</w:t>
      </w:r>
    </w:p>
    <w:p>
      <w:pPr>
        <w:spacing w:after="0" w:line="83" w:lineRule="exact"/>
        <w:rPr>
          <w:rFonts w:ascii="Arial" w:cs="Arial" w:eastAsia="Arial" w:hAnsi="Arial"/>
          <w:sz w:val="16"/>
          <w:szCs w:val="16"/>
          <w:color w:val="auto"/>
        </w:rPr>
      </w:pPr>
    </w:p>
    <w:p>
      <w:pPr>
        <w:ind w:left="1806" w:hanging="462"/>
        <w:spacing w:after="0"/>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Tenants must also install MERV – 13 filters for all return and outside air intakes in regularly occupied</w:t>
      </w:r>
    </w:p>
    <w:p>
      <w:pPr>
        <w:spacing w:after="0" w:line="110" w:lineRule="exact"/>
        <w:rPr>
          <w:rFonts w:ascii="Arial" w:cs="Arial" w:eastAsia="Arial" w:hAnsi="Arial"/>
          <w:sz w:val="16"/>
          <w:szCs w:val="16"/>
          <w:color w:val="auto"/>
        </w:rPr>
      </w:pPr>
    </w:p>
    <w:p>
      <w:pPr>
        <w:ind w:left="1806" w:hanging="462"/>
        <w:spacing w:after="0"/>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mechanically ventilated spaces</w:t>
      </w:r>
    </w:p>
    <w:p>
      <w:pPr>
        <w:spacing w:after="0" w:line="110" w:lineRule="exact"/>
        <w:rPr>
          <w:rFonts w:ascii="Arial" w:cs="Arial" w:eastAsia="Arial" w:hAnsi="Arial"/>
          <w:sz w:val="16"/>
          <w:szCs w:val="16"/>
          <w:color w:val="auto"/>
        </w:rPr>
      </w:pPr>
    </w:p>
    <w:p>
      <w:pPr>
        <w:ind w:left="1246" w:hanging="291"/>
        <w:spacing w:after="0"/>
        <w:tabs>
          <w:tab w:leader="none" w:pos="1246" w:val="left"/>
        </w:tabs>
        <w:numPr>
          <w:ilvl w:val="1"/>
          <w:numId w:val="339"/>
        </w:numPr>
        <w:rPr>
          <w:rFonts w:ascii="Arial" w:cs="Arial" w:eastAsia="Arial" w:hAnsi="Arial"/>
          <w:sz w:val="16"/>
          <w:szCs w:val="16"/>
          <w:color w:val="auto"/>
        </w:rPr>
      </w:pPr>
      <w:r>
        <w:rPr>
          <w:rFonts w:ascii="Arial" w:cs="Arial" w:eastAsia="Arial" w:hAnsi="Arial"/>
          <w:sz w:val="16"/>
          <w:szCs w:val="16"/>
          <w:color w:val="auto"/>
        </w:rPr>
        <w:t>Indoor Environmental Quality Credit 7, Thermal Comfort - Design</w:t>
      </w:r>
    </w:p>
    <w:p>
      <w:pPr>
        <w:spacing w:after="0" w:line="110" w:lineRule="exact"/>
        <w:rPr>
          <w:rFonts w:ascii="Arial" w:cs="Arial" w:eastAsia="Arial" w:hAnsi="Arial"/>
          <w:sz w:val="16"/>
          <w:szCs w:val="16"/>
          <w:color w:val="auto"/>
        </w:rPr>
      </w:pPr>
    </w:p>
    <w:p>
      <w:pPr>
        <w:ind w:left="1806" w:right="680" w:hanging="462"/>
        <w:spacing w:after="0" w:line="266" w:lineRule="auto"/>
        <w:tabs>
          <w:tab w:leader="none" w:pos="1806" w:val="left"/>
        </w:tabs>
        <w:numPr>
          <w:ilvl w:val="2"/>
          <w:numId w:val="339"/>
        </w:numPr>
        <w:rPr>
          <w:rFonts w:ascii="Arial" w:cs="Arial" w:eastAsia="Arial" w:hAnsi="Arial"/>
          <w:sz w:val="16"/>
          <w:szCs w:val="16"/>
          <w:color w:val="auto"/>
        </w:rPr>
      </w:pPr>
      <w:r>
        <w:rPr>
          <w:rFonts w:ascii="Arial" w:cs="Arial" w:eastAsia="Arial" w:hAnsi="Arial"/>
          <w:sz w:val="16"/>
          <w:szCs w:val="16"/>
          <w:color w:val="auto"/>
        </w:rPr>
        <w:t>HVAC design must meet requirements of ASHRAE 55-2004, specifically in reference to air temperature, radiant temperature, humidity, and air speed</w:t>
      </w:r>
    </w:p>
    <w:p>
      <w:pPr>
        <w:spacing w:after="0" w:line="252" w:lineRule="exact"/>
        <w:rPr>
          <w:rFonts w:ascii="Arial" w:cs="Arial" w:eastAsia="Arial" w:hAnsi="Arial"/>
          <w:sz w:val="16"/>
          <w:szCs w:val="16"/>
          <w:color w:val="auto"/>
        </w:rPr>
      </w:pPr>
    </w:p>
    <w:p>
      <w:pPr>
        <w:ind w:left="166" w:hanging="166"/>
        <w:spacing w:after="0"/>
        <w:tabs>
          <w:tab w:leader="none" w:pos="166" w:val="left"/>
        </w:tabs>
        <w:numPr>
          <w:ilvl w:val="0"/>
          <w:numId w:val="339"/>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TENANT IMPROVEMENT LEED CERTIFICATION</w:t>
      </w:r>
    </w:p>
    <w:p>
      <w:pPr>
        <w:spacing w:after="0" w:line="99" w:lineRule="exact"/>
        <w:rPr>
          <w:sz w:val="20"/>
          <w:szCs w:val="20"/>
          <w:color w:val="auto"/>
        </w:rPr>
      </w:pPr>
    </w:p>
    <w:p>
      <w:pPr>
        <w:ind w:left="866"/>
        <w:spacing w:after="0"/>
        <w:rPr>
          <w:sz w:val="20"/>
          <w:szCs w:val="20"/>
          <w:color w:val="auto"/>
        </w:rPr>
      </w:pPr>
      <w:r>
        <w:rPr>
          <w:rFonts w:ascii="Arial" w:cs="Arial" w:eastAsia="Arial" w:hAnsi="Arial"/>
          <w:sz w:val="16"/>
          <w:szCs w:val="16"/>
          <w:color w:val="auto"/>
        </w:rPr>
        <w:t>All TIs are required to achieve and obtain ID+C LEED Silver certification.</w:t>
      </w:r>
    </w:p>
    <w:p>
      <w:pPr>
        <w:sectPr>
          <w:pgSz w:w="11900" w:h="16838" w:orient="portrait"/>
          <w:cols w:equalWidth="0" w:num="1">
            <w:col w:w="9586"/>
          </w:cols>
          <w:pgMar w:left="1134" w:top="256" w:right="1179" w:bottom="1440" w:gutter="0" w:footer="0" w:header="0"/>
        </w:sectPr>
      </w:pPr>
    </w:p>
    <w:bookmarkStart w:id="435" w:name="page436"/>
    <w:bookmarkEnd w:id="43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CLIMATE ACTION PLAN</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Tenant shall fully comply with all present or future programs addressing the City of South San Francisco Climate Action Plan (CAP), as required by the City.</w:t>
      </w:r>
    </w:p>
    <w:p>
      <w:pPr>
        <w:sectPr>
          <w:pgSz w:w="11900" w:h="16838" w:orient="portrait"/>
          <w:cols w:equalWidth="0" w:num="1">
            <w:col w:w="9600"/>
          </w:cols>
          <w:pgMar w:left="1140" w:top="252" w:right="1159" w:bottom="1440" w:gutter="0" w:footer="0" w:header="0"/>
        </w:sectPr>
      </w:pPr>
    </w:p>
    <w:bookmarkStart w:id="436" w:name="page437"/>
    <w:bookmarkEnd w:id="436"/>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IDENTIFICATION SIGNAGE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Refer to the Master Sign Program for detailed information.</w:t>
      </w:r>
    </w:p>
    <w:p>
      <w:pPr>
        <w:spacing w:after="0" w:line="111" w:lineRule="exact"/>
        <w:rPr>
          <w:sz w:val="20"/>
          <w:szCs w:val="20"/>
          <w:color w:val="auto"/>
        </w:rPr>
      </w:pPr>
    </w:p>
    <w:p>
      <w:pPr>
        <w:ind w:left="840" w:hanging="375"/>
        <w:spacing w:after="0"/>
        <w:tabs>
          <w:tab w:leader="none" w:pos="8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Campus Monument Signage:</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3"/>
          <w:szCs w:val="13"/>
          <w:color w:val="auto"/>
        </w:rPr>
        <w:t>Campus monument signage is provided at various locations on the site. Tenant names/logo are not permitted on the campus monuments.</w:t>
      </w:r>
    </w:p>
    <w:p>
      <w:pPr>
        <w:spacing w:after="0" w:line="133" w:lineRule="exact"/>
        <w:rPr>
          <w:rFonts w:ascii="Arial" w:cs="Arial" w:eastAsia="Arial" w:hAnsi="Arial"/>
          <w:sz w:val="16"/>
          <w:szCs w:val="16"/>
          <w:color w:val="auto"/>
        </w:rPr>
      </w:pPr>
    </w:p>
    <w:p>
      <w:pPr>
        <w:ind w:left="840" w:hanging="375"/>
        <w:spacing w:after="0"/>
        <w:tabs>
          <w:tab w:leader="none" w:pos="8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Building-Specific Monument Signage:</w:t>
      </w:r>
    </w:p>
    <w:p>
      <w:pPr>
        <w:spacing w:after="0" w:line="16" w:lineRule="exact"/>
        <w:rPr>
          <w:rFonts w:ascii="Arial" w:cs="Arial" w:eastAsia="Arial" w:hAnsi="Arial"/>
          <w:sz w:val="16"/>
          <w:szCs w:val="16"/>
          <w:color w:val="auto"/>
        </w:rPr>
      </w:pPr>
    </w:p>
    <w:p>
      <w:pPr>
        <w:ind w:left="860" w:right="60"/>
        <w:spacing w:after="0" w:line="252" w:lineRule="auto"/>
        <w:rPr>
          <w:rFonts w:ascii="Arial" w:cs="Arial" w:eastAsia="Arial" w:hAnsi="Arial"/>
          <w:sz w:val="16"/>
          <w:szCs w:val="16"/>
          <w:color w:val="auto"/>
        </w:rPr>
      </w:pPr>
      <w:r>
        <w:rPr>
          <w:rFonts w:ascii="Arial" w:cs="Arial" w:eastAsia="Arial" w:hAnsi="Arial"/>
          <w:sz w:val="16"/>
          <w:szCs w:val="16"/>
          <w:color w:val="auto"/>
        </w:rPr>
        <w:t>Building-specific monument signage is provided in front of each building. Tenant will have a dedicated space for name/logo. Logos for all Tenants will be monochrome per Landlord color scheme.</w:t>
      </w:r>
    </w:p>
    <w:p>
      <w:pPr>
        <w:spacing w:after="0" w:line="85" w:lineRule="exact"/>
        <w:rPr>
          <w:rFonts w:ascii="Arial" w:cs="Arial" w:eastAsia="Arial" w:hAnsi="Arial"/>
          <w:sz w:val="16"/>
          <w:szCs w:val="16"/>
          <w:color w:val="auto"/>
        </w:rPr>
      </w:pPr>
    </w:p>
    <w:p>
      <w:pPr>
        <w:ind w:left="840" w:hanging="375"/>
        <w:spacing w:after="0"/>
        <w:tabs>
          <w:tab w:leader="none" w:pos="8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Directional Monument Signs:</w:t>
      </w:r>
    </w:p>
    <w:p>
      <w:pPr>
        <w:spacing w:after="0" w:line="16" w:lineRule="exact"/>
        <w:rPr>
          <w:rFonts w:ascii="Arial" w:cs="Arial" w:eastAsia="Arial" w:hAnsi="Arial"/>
          <w:sz w:val="16"/>
          <w:szCs w:val="16"/>
          <w:color w:val="auto"/>
        </w:rPr>
      </w:pPr>
    </w:p>
    <w:p>
      <w:pPr>
        <w:ind w:left="860" w:right="280"/>
        <w:spacing w:after="0" w:line="252" w:lineRule="auto"/>
        <w:rPr>
          <w:rFonts w:ascii="Arial" w:cs="Arial" w:eastAsia="Arial" w:hAnsi="Arial"/>
          <w:sz w:val="16"/>
          <w:szCs w:val="16"/>
          <w:color w:val="auto"/>
        </w:rPr>
      </w:pPr>
      <w:r>
        <w:rPr>
          <w:rFonts w:ascii="Arial" w:cs="Arial" w:eastAsia="Arial" w:hAnsi="Arial"/>
          <w:sz w:val="16"/>
          <w:szCs w:val="16"/>
          <w:color w:val="auto"/>
        </w:rPr>
        <w:t>Campus directional signage is provided at various locations on the site. Signs include building addresses and Landlord directional text. Tenant names/logo are not permitted on the campus directional monument signs.</w:t>
      </w:r>
    </w:p>
    <w:p>
      <w:pPr>
        <w:spacing w:after="0" w:line="85" w:lineRule="exact"/>
        <w:rPr>
          <w:rFonts w:ascii="Arial" w:cs="Arial" w:eastAsia="Arial" w:hAnsi="Arial"/>
          <w:sz w:val="16"/>
          <w:szCs w:val="16"/>
          <w:color w:val="auto"/>
        </w:rPr>
      </w:pPr>
    </w:p>
    <w:p>
      <w:pPr>
        <w:ind w:left="840" w:hanging="375"/>
        <w:spacing w:after="0"/>
        <w:tabs>
          <w:tab w:leader="none" w:pos="8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Interior Lobby Signage:</w:t>
      </w:r>
    </w:p>
    <w:p>
      <w:pPr>
        <w:spacing w:after="0" w:line="16" w:lineRule="exact"/>
        <w:rPr>
          <w:sz w:val="20"/>
          <w:szCs w:val="20"/>
          <w:color w:val="auto"/>
        </w:rPr>
      </w:pPr>
    </w:p>
    <w:p>
      <w:pPr>
        <w:jc w:val="center"/>
        <w:ind w:right="3240"/>
        <w:spacing w:after="0"/>
        <w:rPr>
          <w:sz w:val="20"/>
          <w:szCs w:val="20"/>
          <w:color w:val="auto"/>
        </w:rPr>
      </w:pPr>
      <w:r>
        <w:rPr>
          <w:rFonts w:ascii="Arial" w:cs="Arial" w:eastAsia="Arial" w:hAnsi="Arial"/>
          <w:sz w:val="16"/>
          <w:szCs w:val="16"/>
          <w:color w:val="auto"/>
        </w:rPr>
        <w:t>Each Tenant has dedicated space for signage in the building’s common lobby.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If the Tenant has explicit rights to building façade signage per the Lease, the following sections apply:</w:t>
      </w:r>
    </w:p>
    <w:p>
      <w:pPr>
        <w:spacing w:after="0" w:line="111" w:lineRule="exact"/>
        <w:rPr>
          <w:sz w:val="20"/>
          <w:szCs w:val="20"/>
          <w:color w:val="auto"/>
        </w:rPr>
      </w:pPr>
    </w:p>
    <w:p>
      <w:pPr>
        <w:ind w:left="840" w:hanging="375"/>
        <w:spacing w:after="0"/>
        <w:tabs>
          <w:tab w:leader="none" w:pos="8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Exterior Building Façade Signage:</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Tenant must abide by the Master Sign Program for location, size, and design of exterior building façade signage.</w:t>
      </w:r>
    </w:p>
    <w:p>
      <w:pPr>
        <w:spacing w:after="0" w:line="99" w:lineRule="exact"/>
        <w:rPr>
          <w:rFonts w:ascii="Arial" w:cs="Arial" w:eastAsia="Arial" w:hAnsi="Arial"/>
          <w:sz w:val="16"/>
          <w:szCs w:val="16"/>
          <w:color w:val="auto"/>
        </w:rPr>
      </w:pPr>
    </w:p>
    <w:p>
      <w:pPr>
        <w:ind w:left="840" w:right="60" w:hanging="375"/>
        <w:spacing w:after="0" w:line="266" w:lineRule="auto"/>
        <w:tabs>
          <w:tab w:leader="none" w:pos="8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Refer to Appendix E for required exterior façade signage installation details. Building envelop penetrations must be completed by the base building envelope subcontractor; refer to Appendix G for contact information.</w:t>
      </w:r>
    </w:p>
    <w:p>
      <w:pPr>
        <w:spacing w:after="0" w:line="75" w:lineRule="exact"/>
        <w:rPr>
          <w:rFonts w:ascii="Arial" w:cs="Arial" w:eastAsia="Arial" w:hAnsi="Arial"/>
          <w:sz w:val="16"/>
          <w:szCs w:val="16"/>
          <w:color w:val="auto"/>
        </w:rPr>
      </w:pPr>
    </w:p>
    <w:p>
      <w:pPr>
        <w:ind w:left="840" w:hanging="375"/>
        <w:spacing w:after="0"/>
        <w:tabs>
          <w:tab w:leader="none" w:pos="8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Façade Signage Illumination:</w:t>
      </w:r>
    </w:p>
    <w:p>
      <w:pPr>
        <w:spacing w:after="0" w:line="16" w:lineRule="exact"/>
        <w:rPr>
          <w:rFonts w:ascii="Arial" w:cs="Arial" w:eastAsia="Arial" w:hAnsi="Arial"/>
          <w:sz w:val="16"/>
          <w:szCs w:val="16"/>
          <w:color w:val="auto"/>
        </w:rPr>
      </w:pPr>
    </w:p>
    <w:p>
      <w:pPr>
        <w:ind w:left="860"/>
        <w:spacing w:after="0" w:line="249" w:lineRule="auto"/>
        <w:rPr>
          <w:rFonts w:ascii="Arial" w:cs="Arial" w:eastAsia="Arial" w:hAnsi="Arial"/>
          <w:sz w:val="16"/>
          <w:szCs w:val="16"/>
          <w:color w:val="auto"/>
        </w:rPr>
      </w:pPr>
      <w:r>
        <w:rPr>
          <w:rFonts w:ascii="Arial" w:cs="Arial" w:eastAsia="Arial" w:hAnsi="Arial"/>
          <w:sz w:val="16"/>
          <w:szCs w:val="16"/>
          <w:color w:val="auto"/>
        </w:rPr>
        <w:t>If illuminated, exterior façade signage must be halo-illuminated or internally illuminated per the Master Signage Program. There are provisions within the curtain wall allowing power to reach exterior façade signage, however the Tenant will be responsible for all costs and responsibilities associated with implementing exterior signage and any power requirements.</w:t>
      </w:r>
    </w:p>
    <w:p>
      <w:pPr>
        <w:spacing w:after="0" w:line="87" w:lineRule="exact"/>
        <w:rPr>
          <w:rFonts w:ascii="Arial" w:cs="Arial" w:eastAsia="Arial" w:hAnsi="Arial"/>
          <w:sz w:val="16"/>
          <w:szCs w:val="16"/>
          <w:color w:val="auto"/>
        </w:rPr>
      </w:pPr>
    </w:p>
    <w:p>
      <w:pPr>
        <w:ind w:left="840" w:hanging="375"/>
        <w:spacing w:after="0"/>
        <w:tabs>
          <w:tab w:leader="none" w:pos="84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Recommended Vendor: Arrow Signs</w:t>
      </w:r>
    </w:p>
    <w:p>
      <w:pPr>
        <w:spacing w:after="0" w:line="16"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5"/>
          <w:szCs w:val="15"/>
          <w:color w:val="auto"/>
        </w:rPr>
        <w:t>All signage must be approved in writing by Landlord prior to installation. Refer to Appendix G for Arrow Signs’ contact information.</w:t>
      </w:r>
    </w:p>
    <w:p>
      <w:pPr>
        <w:sectPr>
          <w:pgSz w:w="11900" w:h="16838" w:orient="portrait"/>
          <w:cols w:equalWidth="0" w:num="1">
            <w:col w:w="9620"/>
          </w:cols>
          <w:pgMar w:left="1140" w:top="252" w:right="113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Cove Master Campus Site Plan</w:t>
      </w:r>
    </w:p>
    <w:p>
      <w:pPr>
        <w:sectPr>
          <w:pgSz w:w="11900" w:h="16838" w:orient="portrait"/>
          <w:cols w:equalWidth="0" w:num="1">
            <w:col w:w="9019"/>
          </w:cols>
          <w:pgMar w:left="1440" w:top="252" w:right="1440" w:bottom="1440" w:gutter="0" w:footer="0" w:header="0"/>
        </w:sectPr>
      </w:pPr>
    </w:p>
    <w:bookmarkStart w:id="438" w:name="page439"/>
    <w:bookmarkEnd w:id="4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502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90105" cy="5450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9" w:name="page440"/>
    <w:bookmarkEnd w:id="439"/>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B</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Base Building Warm Shell Delivery Condition: Building 4</w:t>
      </w:r>
    </w:p>
    <w:p>
      <w:pPr>
        <w:sectPr>
          <w:pgSz w:w="11900" w:h="16838" w:orient="portrait"/>
          <w:cols w:equalWidth="0" w:num="1">
            <w:col w:w="9019"/>
          </w:cols>
          <w:pgMar w:left="1440" w:top="252" w:right="1440" w:bottom="1440" w:gutter="0" w:footer="0" w:header="0"/>
        </w:sectPr>
      </w:pPr>
    </w:p>
    <w:bookmarkStart w:id="440" w:name="page441"/>
    <w:bookmarkEnd w:id="440"/>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Cove at Oyster Point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Building 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Oyster Point Boulevard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Warm Shell Landlord Delivery Condition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82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6"/>
                <w:szCs w:val="16"/>
                <w:b w:val="1"/>
                <w:bCs w:val="1"/>
                <w:color w:val="auto"/>
                <w:w w:val="92"/>
              </w:rPr>
              <w:t>SITEWORK</w:t>
            </w:r>
          </w:p>
        </w:tc>
        <w:tc>
          <w:tcPr>
            <w:tcW w:w="68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Exterior hardscape and landscape, including site lighting, perimeter sidewalks, street curbs, miscellaneous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site furnishings, and bio-retention basins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Surface parking lot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Bike racks in exterior parking lot and bike lockers in podium parking garage for pro rata allocation amongst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Campus electrical vehicle charging stations for pro rata allocation amongst Tenants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Electric vehicle charging fees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Exterior amenities space including all hardscape and landscape, lighting, and recreational infrastructure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(volleyball/basketball sport court, bocce ball, trellis)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Bus stop wind screens for local commuter shuttle service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Service yard foundation, structure, covered enclosure, and waterproofing for trash containers and dedicated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nitrogen storage area for allocation amongst tenants per lease agreement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Nitrogen sources and all associated infrastructure/systems (tanks, generator, piping, etc.)</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Foundation and enclosure for Landlord provided diesel powered emergency generator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Loading dock with at-grade shipping/receiving area with (2) hydraulic scissor lifts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STRUCTURE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0"/>
              </w:rPr>
              <w:t>Pile supported structural slab-on-grade foundation system consisting of steel-reinforced concrete auger- cast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piles, pile caps, and horizontal grade beams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52" w:right="1139" w:bottom="1440" w:gutter="0" w:footer="0" w:header="0"/>
        </w:sectPr>
      </w:pPr>
    </w:p>
    <w:bookmarkStart w:id="441" w:name="page442"/>
    <w:bookmarkEnd w:id="44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0"/>
              </w:rPr>
              <w:t>Steel superstructure consisting of steel columns, girders, beams, and concrete slab on composite metal deck,</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with live load capacity of 125 psf (reducible)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Type II A construction, code required primary structural fireproofing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Slab edge fire safing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Cover to conceal slab edge fire safing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Supplemental structural members for additional tenant loads, vibration criteria, or tenant standards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Lateral seismic system utilizing buckling-restrained braced frames. Importance factor is 1.0</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 deck framing with live load capacity of 20 psf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Mechanical platform and roof penthouse with live load capacity of 75 psf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4"/>
              </w:rPr>
              <w:t>Supplemental structural support for tenant roof equipment, including but not limited to galvanized beams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 platform, grating, rails, and all associated fireproofing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11.</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Roof screen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Floor to floor height of 17’, all floors (podium at 14’)</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Framed openings for Base Building utility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Framed openings for Tenant utility risers in predetermined spaces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0"/>
              </w:rPr>
              <w:t>Stairs and stair enclosures per code requirements, including enclosure doors, handrails, and guardrails. Roof</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penthouse access for (1) set of stairs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Column furring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17.  Window washing davit basis and arms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Miscellaneous metals items and/or concrete pads for Base Building equipment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Miscellaneous metals items and/or concrete pads for Tenant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ROOFING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60 MIL single-ply thermoplastic polyolefin (TPO) white or gray roof membrane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Rigid insulation, flashing, and sealants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penetrations for Base Building equipment/systems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penetrations for Tenant equipment/systems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2" w:name="page443"/>
    <w:bookmarkEnd w:id="4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3"/>
                <w:szCs w:val="13"/>
                <w:color w:val="auto"/>
                <w:w w:val="84"/>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Landlord</w:t>
            </w: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Tenant</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2"/>
              </w:rPr>
              <w:t>Expense</w:t>
            </w:r>
          </w:p>
        </w:tc>
      </w:tr>
      <w:tr>
        <w:trPr>
          <w:trHeight w:val="160"/>
        </w:trPr>
        <w:tc>
          <w:tcPr>
            <w:tcW w:w="560" w:type="dxa"/>
            <w:vAlign w:val="bottom"/>
          </w:tcPr>
          <w:p>
            <w:pPr>
              <w:ind w:left="300"/>
              <w:spacing w:after="0" w:line="160" w:lineRule="exact"/>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Walkway pads along roof perimeter, outside of screened area</w:t>
            </w:r>
          </w:p>
        </w:tc>
        <w:tc>
          <w:tcPr>
            <w:tcW w:w="580" w:type="dxa"/>
            <w:vAlign w:val="bottom"/>
            <w:tcBorders>
              <w:top w:val="single" w:sz="8" w:color="auto"/>
            </w:tcBorders>
          </w:tcPr>
          <w:p>
            <w:pPr>
              <w:jc w:val="center"/>
              <w:spacing w:after="0" w:line="160"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Walkway pads to Tenant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Roofing alterations due to Tenant changes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Penthouse roof penetrations – not allowed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EXTERIOR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Non load-bearing glazed aluminum curtain wall and glass fiber reinforced concrete (GFRC) panel building</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enclosure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entrances and openings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Opening for freight elevator access in Service Yard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Service Yard overhead door, serving Base Building 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Service Yard rolling green screen gate</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COMMON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Podium parking area with card reader controlled lift gate and roll-up doors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Build-out of Main Lobby</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Stair enclosures painted at all building levels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Two (2) B-Occupancy Chemical Storage Rooms with 1- hour fire rated assembly, depressed pit (18”), and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100% outside air ventilation (900 cfm/room) for allocation amongst tenants per lease agreement.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Improvements to Chemical Storage Room, including changes in occupancy, installation of grating, ramping,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1"/>
              </w:rPr>
              <w:t>self-contained bunkers, exhaust, exhaust risers, etc. The total exhaust for the room is not to exceed 900 cfm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without prior written Landlord approval.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Emergency Electrical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Pump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Booster Pump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Elevator Control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Telecommunications Main Point of Entry (MPOE) Room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Service Yard/Loading Dock Area, including space for trash enclosure, nitrogen storage, and generator</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enclosure</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3" w:name="page444"/>
    <w:bookmarkEnd w:id="4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spacing w:after="0" w:line="130" w:lineRule="exact"/>
              <w:rPr>
                <w:sz w:val="20"/>
                <w:szCs w:val="20"/>
                <w:color w:val="auto"/>
              </w:rPr>
            </w:pPr>
            <w:r>
              <w:rPr>
                <w:rFonts w:ascii="Arial" w:cs="Arial" w:eastAsia="Arial" w:hAnsi="Arial"/>
                <w:sz w:val="13"/>
                <w:szCs w:val="13"/>
                <w:color w:val="auto"/>
                <w:w w:val="84"/>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Landlord</w:t>
            </w:r>
          </w:p>
        </w:tc>
        <w:tc>
          <w:tcPr>
            <w:tcW w:w="5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Tenant</w:t>
            </w:r>
          </w:p>
        </w:tc>
        <w:tc>
          <w:tcPr>
            <w:tcW w:w="760" w:type="dxa"/>
            <w:vAlign w:val="bottom"/>
          </w:tcPr>
          <w:p>
            <w:pPr>
              <w:jc w:val="center"/>
              <w:spacing w:after="0" w:line="146" w:lineRule="exact"/>
              <w:rPr>
                <w:sz w:val="20"/>
                <w:szCs w:val="20"/>
                <w:color w:val="auto"/>
              </w:rPr>
            </w:pPr>
            <w:r>
              <w:rPr>
                <w:rFonts w:ascii="Arial" w:cs="Arial" w:eastAsia="Arial" w:hAnsi="Arial"/>
                <w:sz w:val="13"/>
                <w:szCs w:val="13"/>
                <w:color w:val="auto"/>
                <w:w w:val="82"/>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2"/>
              </w:rPr>
              <w:t>Usage of Amenities Space including food service, fitness center, and recreational area (located in Building</w:t>
            </w:r>
          </w:p>
        </w:tc>
        <w:tc>
          <w:tcPr>
            <w:tcW w:w="580" w:type="dxa"/>
            <w:vAlign w:val="bottom"/>
            <w:tcBorders>
              <w:top w:val="single" w:sz="8" w:color="auto"/>
            </w:tcBorders>
          </w:tcPr>
          <w:p>
            <w:pPr>
              <w:jc w:val="center"/>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5"/>
        </w:trPr>
        <w:tc>
          <w:tcPr>
            <w:tcW w:w="5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6"/>
                <w:szCs w:val="16"/>
                <w:color w:val="auto"/>
              </w:rPr>
              <w:t>3)</w:t>
            </w:r>
          </w:p>
        </w:tc>
        <w:tc>
          <w:tcPr>
            <w:tcW w:w="6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ELEVATORS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Two (2) passenger elevators; 3,500 lbs., 350 fpm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freight elevator; 5,000 lbs., 200 fpm</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Recessed elevator pits for three (3) elevators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No elevator access to roof</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N/A</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Smoke guards at elevators on Tenant floors, if required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WINDOW TREATMENT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Furnish and install Building Standard shades for all windows per Tenant Improvement Construction Manual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Window treatment at vision glass windows/curtain wall to address perimeter lab bench/casework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installation. Treatment to adhere to Building Standards per Tenant Improvement Construction Manual.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TENANT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Restroom Cores: one (1) set per floor including Men’s and Women’s Restrooms with (1) ADA shower each</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with bench and lockers, ceramic tile floors and wet walls, solid surface countertops, floor mounted metal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partitions, hard lid ceiling, down lights and ADA low-flow plumbing fixtures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Janitor Closet – one (1) per floor</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Stud wall framing at restroom core to underside of slab</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Fire-rated assembly at restroom core to 6” above ceiling</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Wall assembly at restroom core to underside of slab (fire-rating as required)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Electrical Room – one (1) per floor consisting of concrete floor, unfinished drywall and taped walls, no</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ceiling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Future Electrical Room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6"/>
              </w:rPr>
              <w:t>Intermediate Distribution Frame (IDF) Room – one (1) per floor consisting of concrete floor, unfinished</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color w:val="auto"/>
              </w:rPr>
              <w:t>X</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drywall and taped walls, no ceiling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4" w:name="page445"/>
    <w:bookmarkEnd w:id="4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3"/>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540" w:type="dxa"/>
            <w:vAlign w:val="bottom"/>
          </w:tcPr>
          <w:p>
            <w:pPr>
              <w:ind w:left="300"/>
              <w:spacing w:after="0" w:line="160" w:lineRule="exact"/>
              <w:rPr>
                <w:sz w:val="20"/>
                <w:szCs w:val="20"/>
                <w:color w:val="auto"/>
              </w:rPr>
            </w:pPr>
            <w:r>
              <w:rPr>
                <w:rFonts w:ascii="Arial" w:cs="Arial" w:eastAsia="Arial" w:hAnsi="Arial"/>
                <w:sz w:val="16"/>
                <w:szCs w:val="16"/>
                <w:color w:val="auto"/>
              </w:rPr>
              <w:t>9.</w:t>
            </w:r>
          </w:p>
        </w:tc>
        <w:tc>
          <w:tcPr>
            <w:tcW w:w="20" w:type="dxa"/>
            <w:vAlign w:val="bottom"/>
          </w:tcPr>
          <w:p>
            <w:pPr>
              <w:spacing w:after="0"/>
              <w:rPr>
                <w:sz w:val="13"/>
                <w:szCs w:val="13"/>
                <w:color w:val="auto"/>
              </w:rPr>
            </w:pPr>
          </w:p>
        </w:tc>
        <w:tc>
          <w:tcPr>
            <w:tcW w:w="7060" w:type="dxa"/>
            <w:vAlign w:val="bottom"/>
            <w:gridSpan w:val="2"/>
          </w:tcPr>
          <w:p>
            <w:pPr>
              <w:ind w:left="60"/>
              <w:spacing w:after="0" w:line="160" w:lineRule="exact"/>
              <w:rPr>
                <w:sz w:val="20"/>
                <w:szCs w:val="20"/>
                <w:color w:val="auto"/>
              </w:rPr>
            </w:pPr>
            <w:r>
              <w:rPr>
                <w:rFonts w:ascii="Arial" w:cs="Arial" w:eastAsia="Arial" w:hAnsi="Arial"/>
                <w:sz w:val="16"/>
                <w:szCs w:val="16"/>
                <w:color w:val="auto"/>
              </w:rPr>
              <w:t>Future IDF Room</w:t>
            </w: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ind w:left="180"/>
              <w:spacing w:after="0" w:line="160"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 (wall finish, flooring, ceiling) IDF and Electrical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w w:val="98"/>
              </w:rPr>
              <w:t>11.</w:t>
            </w:r>
          </w:p>
        </w:tc>
        <w:tc>
          <w:tcPr>
            <w:tcW w:w="7080" w:type="dxa"/>
            <w:vAlign w:val="bottom"/>
            <w:gridSpan w:val="3"/>
          </w:tcPr>
          <w:p>
            <w:pPr>
              <w:ind w:left="60"/>
              <w:spacing w:after="0"/>
              <w:rPr>
                <w:sz w:val="20"/>
                <w:szCs w:val="20"/>
                <w:color w:val="auto"/>
              </w:rPr>
            </w:pPr>
            <w:r>
              <w:rPr>
                <w:rFonts w:ascii="Arial" w:cs="Arial" w:eastAsia="Arial" w:hAnsi="Arial"/>
                <w:sz w:val="16"/>
                <w:szCs w:val="16"/>
                <w:color w:val="auto"/>
                <w:w w:val="96"/>
              </w:rPr>
              <w:t>Accessible “Patio” – Fifth Floor only. Landlord-maintained retractable davit arms stored in enclosure 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patio.</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Finishes of inside face at Tenant side of core partitions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Modifications to core areas to accommodate Tenant requirements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Partitions, ceilings, flooring, painting, finishes, doors, frames, hardware, millwork, casework, and tenant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improvement build-out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Fixed or movable casework</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Laboratory Equipment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Chemical Fume Hoods and Bio Safety Cabinets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Finishes at common corridors on floors with multiple Tenants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Shaft enclosures for Base Building system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Shaft enclosures for Tenant risers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4"/>
          </w:tcPr>
          <w:p>
            <w:pPr>
              <w:spacing w:after="0"/>
              <w:rPr>
                <w:sz w:val="20"/>
                <w:szCs w:val="20"/>
                <w:color w:val="auto"/>
              </w:rPr>
            </w:pPr>
            <w:r>
              <w:rPr>
                <w:rFonts w:ascii="Arial" w:cs="Arial" w:eastAsia="Arial" w:hAnsi="Arial"/>
                <w:sz w:val="16"/>
                <w:szCs w:val="16"/>
                <w:b w:val="1"/>
                <w:bCs w:val="1"/>
                <w:color w:val="auto"/>
              </w:rPr>
              <w:t>FIRE PROTECTION</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Fire booster pump room including fire department connection, alarm valve, and fire sprinkler booster pump</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2.</w:t>
            </w:r>
          </w:p>
        </w:tc>
        <w:tc>
          <w:tcPr>
            <w:tcW w:w="7080" w:type="dxa"/>
            <w:vAlign w:val="bottom"/>
            <w:gridSpan w:val="3"/>
          </w:tcPr>
          <w:p>
            <w:pPr>
              <w:ind w:left="80"/>
              <w:spacing w:after="0"/>
              <w:rPr>
                <w:sz w:val="20"/>
                <w:szCs w:val="20"/>
                <w:color w:val="auto"/>
              </w:rPr>
            </w:pPr>
            <w:r>
              <w:rPr>
                <w:rFonts w:ascii="Arial" w:cs="Arial" w:eastAsia="Arial" w:hAnsi="Arial"/>
                <w:sz w:val="16"/>
                <w:szCs w:val="16"/>
                <w:color w:val="auto"/>
              </w:rPr>
              <w:t>Wet fire protection system (risers, Core area risers, distribution piping, and sprinkler heads)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Stair risers, distribution piping, and sprinkler heads for core and shell coverage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9"/>
              </w:rPr>
              <w:t>Primary distribution and sprinkler heads adequate for “Ordinary Hazard, Group 2” for core and shell</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coverage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5.</w:t>
            </w:r>
          </w:p>
        </w:tc>
        <w:tc>
          <w:tcPr>
            <w:tcW w:w="7080" w:type="dxa"/>
            <w:vAlign w:val="bottom"/>
            <w:gridSpan w:val="3"/>
          </w:tcPr>
          <w:p>
            <w:pPr>
              <w:ind w:left="60"/>
              <w:spacing w:after="0"/>
              <w:rPr>
                <w:sz w:val="20"/>
                <w:szCs w:val="20"/>
                <w:color w:val="auto"/>
              </w:rPr>
            </w:pPr>
            <w:r>
              <w:rPr>
                <w:rFonts w:ascii="Arial" w:cs="Arial" w:eastAsia="Arial" w:hAnsi="Arial"/>
                <w:sz w:val="16"/>
                <w:szCs w:val="16"/>
                <w:color w:val="auto"/>
              </w:rPr>
              <w:t>All additional distribution piping, drop heads, and related equipment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5"/>
              </w:rPr>
              <w:t>Modification of sprinkler piping and head locations to suit Tenant layout and occupancy type alterations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Specialized extinguishing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Pre-action dry pipe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40" w:type="dxa"/>
            <w:vAlign w:val="bottom"/>
          </w:tcPr>
          <w:p>
            <w:pPr>
              <w:ind w:left="300"/>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extinguisher cabinets at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extinguisher cabinets in Tenant Premises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5" w:name="page446"/>
    <w:bookmarkEnd w:id="44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820" w:type="dxa"/>
            <w:vAlign w:val="bottom"/>
            <w:tcBorders>
              <w:top w:val="single" w:sz="8" w:color="auto"/>
            </w:tcBorders>
            <w:gridSpan w:val="2"/>
          </w:tcPr>
          <w:p>
            <w:pPr>
              <w:ind w:left="300"/>
              <w:spacing w:after="0" w:line="148" w:lineRule="exact"/>
              <w:rPr>
                <w:sz w:val="20"/>
                <w:szCs w:val="20"/>
                <w:color w:val="auto"/>
              </w:rPr>
            </w:pPr>
            <w:r>
              <w:rPr>
                <w:rFonts w:ascii="Arial" w:cs="Arial" w:eastAsia="Arial" w:hAnsi="Arial"/>
                <w:sz w:val="16"/>
                <w:szCs w:val="16"/>
                <w:color w:val="auto"/>
                <w:w w:val="85"/>
              </w:rPr>
              <w:t>11.  Fire</w:t>
            </w:r>
          </w:p>
        </w:tc>
        <w:tc>
          <w:tcPr>
            <w:tcW w:w="6800" w:type="dxa"/>
            <w:vAlign w:val="bottom"/>
          </w:tcPr>
          <w:p>
            <w:pPr>
              <w:ind w:left="80"/>
              <w:spacing w:after="0" w:line="148" w:lineRule="exact"/>
              <w:rPr>
                <w:sz w:val="20"/>
                <w:szCs w:val="20"/>
                <w:color w:val="auto"/>
              </w:rPr>
            </w:pPr>
            <w:r>
              <w:rPr>
                <w:rFonts w:ascii="Arial" w:cs="Arial" w:eastAsia="Arial" w:hAnsi="Arial"/>
                <w:sz w:val="16"/>
                <w:szCs w:val="16"/>
                <w:color w:val="auto"/>
                <w:w w:val="96"/>
              </w:rPr>
              <w:t>safing at Base Building vertical penetrations, including penetrations for mechanical, electrical, and</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plumbing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Fire safing at Tenant vertical penetrations, including penetrations for mechanical, electrical, and plumbing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PLUMBING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storm and overflow drainage system, including site underground storm sewer system and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connection to storm sewer mains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Sand/Oil separator with connection to street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service with backflow prevention and Base Building risers to Tenant spaces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booster pump</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Domestic water service sub meters at Tenant tie-ins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Building lab waste consisting of underslab piping under podium parking, risers, and stubs in Tenant space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 waste distribution within Tenant 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Lab waste connection to sanitary sewer, lab waste sampling port at connection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Building sanitary sewer service with piping distribution to restroom cores and risers stubbed in Tenant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Domestic sanitary sewer connection to street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Sanitary sewer distribution servicing Tenant space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Main water meter and irrigation meter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roof mounted electric water heater serving all Restrooms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Core restroom plumbing fixtures compliant with accessibility requirements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16.  Tenant restroom plumbing fixtures compliant with accessibility requirements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Process equipment and piping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NATURAL GAS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Medium pressure natural gas service to Building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Natural gas riser to the roof and service to Base Building boilers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Natural gas riser to the roof capped for future use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6" w:name="page447"/>
    <w:bookmarkEnd w:id="44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520" w:type="dxa"/>
            <w:vAlign w:val="bottom"/>
          </w:tcPr>
          <w:p>
            <w:pPr>
              <w:ind w:left="300"/>
              <w:spacing w:after="0" w:line="160" w:lineRule="exact"/>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line="160" w:lineRule="exact"/>
              <w:rPr>
                <w:sz w:val="20"/>
                <w:szCs w:val="20"/>
                <w:color w:val="auto"/>
              </w:rPr>
            </w:pPr>
            <w:r>
              <w:rPr>
                <w:rFonts w:ascii="Arial" w:cs="Arial" w:eastAsia="Arial" w:hAnsi="Arial"/>
                <w:sz w:val="16"/>
                <w:szCs w:val="16"/>
                <w:color w:val="auto"/>
              </w:rPr>
              <w:t>Natural gas service, pressure regulator, and meter for Tenant equipment</w:t>
            </w: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Borders>
              <w:top w:val="single" w:sz="8" w:color="auto"/>
            </w:tcBorders>
          </w:tcPr>
          <w:p>
            <w:pPr>
              <w:ind w:left="180"/>
              <w:spacing w:after="0" w:line="160" w:lineRule="exact"/>
              <w:rPr>
                <w:sz w:val="20"/>
                <w:szCs w:val="20"/>
                <w:color w:val="auto"/>
              </w:rPr>
            </w:pPr>
            <w:r>
              <w:rPr>
                <w:rFonts w:ascii="Arial" w:cs="Arial" w:eastAsia="Arial" w:hAnsi="Arial"/>
                <w:sz w:val="16"/>
                <w:szCs w:val="16"/>
                <w:color w:val="auto"/>
              </w:rPr>
              <w:t>X</w:t>
            </w: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Natural gas piping from Base Building stub at roof to Tenant equipment area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Natural gas pipe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HEATING, VENTILATION, AIR CONDITIONING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5"/>
              </w:rPr>
              <w:t>Two (2) 90,000 cfm 100% outside air roof mounted air handlers serving Tenant lab spaces, allocation to</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Tenant space: standard 22,500 cfm per unit per floor (connected to standby power)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6"/>
              </w:rPr>
              <w:t>Two (2) 40,000 cfm supply/return roof mounted air handlers serving Tenant office spaces, allocation to</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Tenant space: standard 10,000 cfm per unit per floor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5,000 MBH input gas fired hot water boilers (connected to standby power)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 ton centrifugal chillers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Two (2) 500 ton cooling towers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w w:val="92"/>
              </w:rPr>
              <w:t>Secondary mechanical equipment, including pumps, roof ducting, piping, valves, manifolds, etc. to support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Base Building mechanical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7.</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Hot water pipe risers, stubbed in Tenant space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8.</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Hot water pipe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9.</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Reheat coils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10.  Reheat coils within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11.  Vertical supply air duct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12.  Vertical return air duct risers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7"/>
              </w:rPr>
              <w:t>13.  Supply air duct distribution, VAV terminals, equipment connections, insulation, air terminals, dampers,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7"/>
              </w:rPr>
              <w:t>14.  Supply air duct distribution, VAV terminals, equipment connections, insulation, air terminals, dampers,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core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3"/>
              </w:rPr>
              <w:t>15.  Two (2) roof mounted dilution lab exhaust fan systems with 94,000 cfm capacity each, allocation to Tenant</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space: standard 23,500 cfm per system per floor (connected to standby power)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7620" w:type="dxa"/>
            <w:vAlign w:val="bottom"/>
            <w:gridSpan w:val="3"/>
          </w:tcPr>
          <w:p>
            <w:pPr>
              <w:ind w:left="300"/>
              <w:spacing w:after="0"/>
              <w:rPr>
                <w:sz w:val="20"/>
                <w:szCs w:val="20"/>
                <w:color w:val="auto"/>
              </w:rPr>
            </w:pPr>
            <w:r>
              <w:rPr>
                <w:rFonts w:ascii="Arial" w:cs="Arial" w:eastAsia="Arial" w:hAnsi="Arial"/>
                <w:sz w:val="16"/>
                <w:szCs w:val="16"/>
                <w:color w:val="auto"/>
                <w:w w:val="92"/>
              </w:rPr>
              <w:t>16.  Exhaust air duct distribution, exhaust air valves, equipment connections, insulation, air terminals, dampers,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20" w:type="dxa"/>
            <w:vAlign w:val="bottom"/>
          </w:tcPr>
          <w:p>
            <w:pPr>
              <w:spacing w:after="0"/>
              <w:rPr>
                <w:sz w:val="17"/>
                <w:szCs w:val="17"/>
                <w:color w:val="auto"/>
              </w:rPr>
            </w:pP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hangers, etc. within Tenant Premises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7" w:name="page448"/>
    <w:bookmarkEnd w:id="4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3"/>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gridSpan w:val="2"/>
          </w:tcPr>
          <w:p>
            <w:pPr>
              <w:ind w:left="300"/>
              <w:spacing w:after="0" w:line="148" w:lineRule="exact"/>
              <w:rPr>
                <w:sz w:val="20"/>
                <w:szCs w:val="20"/>
                <w:color w:val="auto"/>
              </w:rPr>
            </w:pPr>
            <w:r>
              <w:rPr>
                <w:rFonts w:ascii="Arial" w:cs="Arial" w:eastAsia="Arial" w:hAnsi="Arial"/>
                <w:sz w:val="16"/>
                <w:szCs w:val="16"/>
                <w:color w:val="auto"/>
              </w:rPr>
              <w:t>17.</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2"/>
              </w:rPr>
              <w:t>Exhaust air duct distribution, exhaust air valves, equipment connections, insulation, air terminals, dampers,</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hangers, etc. within core areas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18.</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Restroom exhaust for Base Building restrooms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Specialty exhaust for tenant needs, including “H” &amp; “L” Occupancy zones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Specialty cooling for tenant needs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Ventilation system for Base Building Electrical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Exhaust fan, side wall grille supply, and fire smoke dampers for ventilation of Base Building Electrical</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Rooms on each floor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Ventilation of IDF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Building Management System (BMS) for core area and Landlord infrastructure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25.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BMS (compatible with Landlord’s system) within Tenant Premises monitoring Tenant infrastructure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4"/>
          </w:tcPr>
          <w:p>
            <w:pPr>
              <w:spacing w:after="0"/>
              <w:rPr>
                <w:sz w:val="20"/>
                <w:szCs w:val="20"/>
                <w:color w:val="auto"/>
              </w:rPr>
            </w:pPr>
            <w:r>
              <w:rPr>
                <w:rFonts w:ascii="Arial" w:cs="Arial" w:eastAsia="Arial" w:hAnsi="Arial"/>
                <w:sz w:val="16"/>
                <w:szCs w:val="16"/>
                <w:b w:val="1"/>
                <w:bCs w:val="1"/>
                <w:color w:val="auto"/>
              </w:rPr>
              <w:t>ELECTRICAL</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Site campus medium voltage distribution system with connection to PG&amp;E grid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5,000 amp 480/277V Base Building substation with underground primary feeder to campus main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switchgear</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Standard power bus duct risers providing 400 amps per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One (1) 1500 kW diesel standby power generator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Standby power bus duct risers providing 188 kW per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6.</w:t>
            </w:r>
          </w:p>
        </w:tc>
        <w:tc>
          <w:tcPr>
            <w:tcW w:w="7100" w:type="dxa"/>
            <w:vAlign w:val="bottom"/>
            <w:gridSpan w:val="3"/>
          </w:tcPr>
          <w:p>
            <w:pPr>
              <w:ind w:left="80"/>
              <w:spacing w:after="0"/>
              <w:rPr>
                <w:sz w:val="20"/>
                <w:szCs w:val="20"/>
                <w:color w:val="auto"/>
              </w:rPr>
            </w:pPr>
            <w:r>
              <w:rPr>
                <w:rFonts w:ascii="Arial" w:cs="Arial" w:eastAsia="Arial" w:hAnsi="Arial"/>
                <w:sz w:val="16"/>
                <w:szCs w:val="16"/>
                <w:color w:val="auto"/>
              </w:rPr>
              <w:t>Automatic transfer switch for Tenant load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7.</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Standby power distribution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Uninterrupted power supply (UPS) for tenant systems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Lighting and power distribution for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Lighting and power distribution for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7620" w:type="dxa"/>
            <w:vAlign w:val="bottom"/>
            <w:gridSpan w:val="4"/>
          </w:tcPr>
          <w:p>
            <w:pPr>
              <w:ind w:left="300"/>
              <w:spacing w:after="0"/>
              <w:rPr>
                <w:sz w:val="20"/>
                <w:szCs w:val="20"/>
                <w:color w:val="auto"/>
              </w:rPr>
            </w:pPr>
            <w:r>
              <w:rPr>
                <w:rFonts w:ascii="Arial" w:cs="Arial" w:eastAsia="Arial" w:hAnsi="Arial"/>
                <w:sz w:val="16"/>
                <w:szCs w:val="16"/>
                <w:color w:val="auto"/>
              </w:rPr>
              <w:t>11.  Electrical sub-metering for Tenant power at standard and standby duct risers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Base Building common area life safety emergency lighting/signage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Premises life safety emergency lighting/signage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gridSpan w:val="2"/>
          </w:tcPr>
          <w:p>
            <w:pPr>
              <w:ind w:left="300"/>
              <w:spacing w:after="0"/>
              <w:rPr>
                <w:sz w:val="20"/>
                <w:szCs w:val="20"/>
                <w:color w:val="auto"/>
              </w:rPr>
            </w:pPr>
            <w:r>
              <w:rPr>
                <w:rFonts w:ascii="Arial" w:cs="Arial" w:eastAsia="Arial" w:hAnsi="Arial"/>
                <w:sz w:val="16"/>
                <w:szCs w:val="16"/>
                <w:color w:val="auto"/>
              </w:rPr>
              <w:t>14.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Tenant panels, transformers, etc. in addition to Base Building</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8" w:name="page449"/>
    <w:bookmarkEnd w:id="4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8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3"/>
                <w:szCs w:val="13"/>
                <w:color w:val="auto"/>
                <w:w w:val="89"/>
              </w:rPr>
              <w:t>DESCRIPTION</w:t>
            </w:r>
          </w:p>
        </w:tc>
        <w:tc>
          <w:tcPr>
            <w:tcW w:w="6800" w:type="dxa"/>
            <w:vAlign w:val="bottom"/>
          </w:tcPr>
          <w:p>
            <w:pPr>
              <w:spacing w:after="0"/>
              <w:rPr>
                <w:sz w:val="14"/>
                <w:szCs w:val="14"/>
                <w:color w:val="auto"/>
              </w:rPr>
            </w:pP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48"/>
        </w:trPr>
        <w:tc>
          <w:tcPr>
            <w:tcW w:w="560" w:type="dxa"/>
            <w:vAlign w:val="bottom"/>
          </w:tcPr>
          <w:p>
            <w:pPr>
              <w:ind w:left="300"/>
              <w:spacing w:after="0" w:line="148" w:lineRule="exact"/>
              <w:rPr>
                <w:sz w:val="20"/>
                <w:szCs w:val="20"/>
                <w:color w:val="auto"/>
              </w:rPr>
            </w:pPr>
            <w:r>
              <w:rPr>
                <w:rFonts w:ascii="Arial" w:cs="Arial" w:eastAsia="Arial" w:hAnsi="Arial"/>
                <w:sz w:val="16"/>
                <w:szCs w:val="16"/>
                <w:color w:val="auto"/>
              </w:rPr>
              <w:t>15.</w:t>
            </w:r>
          </w:p>
        </w:tc>
        <w:tc>
          <w:tcPr>
            <w:tcW w:w="7060" w:type="dxa"/>
            <w:vAlign w:val="bottom"/>
            <w:gridSpan w:val="2"/>
          </w:tcPr>
          <w:p>
            <w:pPr>
              <w:ind w:left="60"/>
              <w:spacing w:after="0" w:line="148" w:lineRule="exact"/>
              <w:rPr>
                <w:sz w:val="20"/>
                <w:szCs w:val="20"/>
                <w:color w:val="auto"/>
              </w:rPr>
            </w:pPr>
            <w:r>
              <w:rPr>
                <w:rFonts w:ascii="Arial" w:cs="Arial" w:eastAsia="Arial" w:hAnsi="Arial"/>
                <w:sz w:val="16"/>
                <w:szCs w:val="16"/>
                <w:color w:val="auto"/>
                <w:w w:val="93"/>
              </w:rPr>
              <w:t>Distributed Antenna System (DAS) consisting of head-end system, roof-mounted antenna, and 2” conduit</w:t>
            </w:r>
          </w:p>
        </w:tc>
        <w:tc>
          <w:tcPr>
            <w:tcW w:w="580" w:type="dxa"/>
            <w:vAlign w:val="bottom"/>
            <w:tcBorders>
              <w:top w:val="single" w:sz="8" w:color="auto"/>
            </w:tcBorders>
          </w:tcPr>
          <w:p>
            <w:pPr>
              <w:ind w:left="220"/>
              <w:spacing w:after="0" w:line="148"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risers in stair shafts. No coverage within Tenant premises.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8"/>
              </w:rPr>
              <w:t>Supplementary Distributed Antenna System (DAS) design &amp; construction as required to achieve city-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2"/>
              </w:rPr>
              <w:t>required DAS signal coverage within Tenant premises, consisting of (but not limited to) antenna repeaters,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5"/>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7"/>
              </w:rPr>
              <w:t>rated conduit, tie-in to Base Building System, programming, and jurisdictional required system testing</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FIRE ALARM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Base Building fire alarm system with devices in core areas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Alarm Termination Cabinet (FATC) within each Electrical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Fire alarm sub panels and devices for Tenant Premises with integration into Base Building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5"/>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Alteration to fire alarm system to facilitate Tenant program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TELEPHONE/DATA</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Underground local fiber optic &amp; telephone conduit only to MPOE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2.</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Underground local fiber optic &amp; telephone carrier service to MPOE Room for Tenant Services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3.</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Two (2) 4” conduit risers from MPOE to Intermediate Distribution Frame (IDF) Room on each floor</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4.</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Sleeves for future conduit riser from IDF Rooms to the roof; Landlord approval required for use</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5.</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Conduit from IDF to the roof</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6.</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Tel/Data cabling from MPOE to IDF Rooms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7.</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Tel/data infrastructure including, but not limited to, servers, computers, phone systems, switches, routers,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spacing w:after="0"/>
              <w:rPr>
                <w:sz w:val="16"/>
                <w:szCs w:val="16"/>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equipment racks, ladder racks, etc.</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8.</w:t>
            </w:r>
          </w:p>
        </w:tc>
        <w:tc>
          <w:tcPr>
            <w:tcW w:w="7060" w:type="dxa"/>
            <w:vAlign w:val="bottom"/>
            <w:gridSpan w:val="2"/>
          </w:tcPr>
          <w:p>
            <w:pPr>
              <w:ind w:left="40"/>
              <w:spacing w:after="0"/>
              <w:rPr>
                <w:sz w:val="20"/>
                <w:szCs w:val="20"/>
                <w:color w:val="auto"/>
              </w:rPr>
            </w:pPr>
            <w:r>
              <w:rPr>
                <w:rFonts w:ascii="Arial" w:cs="Arial" w:eastAsia="Arial" w:hAnsi="Arial"/>
                <w:sz w:val="16"/>
                <w:szCs w:val="16"/>
                <w:color w:val="auto"/>
              </w:rPr>
              <w:t>Audio visual systems and support</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9.</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Cabling from Tenant IDF Room to all Tenant locations, within the suite and exterior to the suite, if needed</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60" w:type="dxa"/>
            <w:vAlign w:val="bottom"/>
          </w:tcPr>
          <w:p>
            <w:pPr>
              <w:ind w:left="300"/>
              <w:spacing w:after="0"/>
              <w:rPr>
                <w:sz w:val="20"/>
                <w:szCs w:val="20"/>
                <w:color w:val="auto"/>
              </w:rPr>
            </w:pPr>
            <w:r>
              <w:rPr>
                <w:rFonts w:ascii="Arial" w:cs="Arial" w:eastAsia="Arial" w:hAnsi="Arial"/>
                <w:sz w:val="16"/>
                <w:szCs w:val="16"/>
                <w:color w:val="auto"/>
              </w:rPr>
              <w:t>10.</w:t>
            </w:r>
          </w:p>
        </w:tc>
        <w:tc>
          <w:tcPr>
            <w:tcW w:w="7060" w:type="dxa"/>
            <w:vAlign w:val="bottom"/>
            <w:gridSpan w:val="2"/>
          </w:tcPr>
          <w:p>
            <w:pPr>
              <w:ind w:left="60"/>
              <w:spacing w:after="0"/>
              <w:rPr>
                <w:sz w:val="20"/>
                <w:szCs w:val="20"/>
                <w:color w:val="auto"/>
              </w:rPr>
            </w:pPr>
            <w:r>
              <w:rPr>
                <w:rFonts w:ascii="Arial" w:cs="Arial" w:eastAsia="Arial" w:hAnsi="Arial"/>
                <w:sz w:val="16"/>
                <w:szCs w:val="16"/>
                <w:color w:val="auto"/>
                <w:w w:val="93"/>
              </w:rPr>
              <w:t>Campus telecommunications loop consisting of two (2) 4” conduits, linking existing and future buildings on</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60" w:type="dxa"/>
            <w:vAlign w:val="bottom"/>
          </w:tcPr>
          <w:p>
            <w:pPr>
              <w:spacing w:after="0"/>
              <w:rPr>
                <w:sz w:val="17"/>
                <w:szCs w:val="17"/>
                <w:color w:val="auto"/>
              </w:rPr>
            </w:pPr>
          </w:p>
        </w:tc>
        <w:tc>
          <w:tcPr>
            <w:tcW w:w="7060" w:type="dxa"/>
            <w:vAlign w:val="bottom"/>
            <w:gridSpan w:val="2"/>
          </w:tcPr>
          <w:p>
            <w:pPr>
              <w:ind w:left="60"/>
              <w:spacing w:after="0"/>
              <w:rPr>
                <w:sz w:val="20"/>
                <w:szCs w:val="20"/>
                <w:color w:val="auto"/>
              </w:rPr>
            </w:pPr>
            <w:r>
              <w:rPr>
                <w:rFonts w:ascii="Arial" w:cs="Arial" w:eastAsia="Arial" w:hAnsi="Arial"/>
                <w:sz w:val="16"/>
                <w:szCs w:val="16"/>
                <w:color w:val="auto"/>
              </w:rPr>
              <w:t>campus</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49" w:name="page450"/>
    <w:bookmarkEnd w:id="4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3"/>
                <w:szCs w:val="13"/>
                <w:color w:val="auto"/>
              </w:rPr>
              <w:t>Landlord at</w:t>
            </w:r>
          </w:p>
        </w:tc>
      </w:tr>
      <w:tr>
        <w:trPr>
          <w:trHeight w:val="130"/>
        </w:trPr>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160"/>
              <w:spacing w:after="0" w:line="130" w:lineRule="exact"/>
              <w:rPr>
                <w:sz w:val="20"/>
                <w:szCs w:val="20"/>
                <w:color w:val="auto"/>
              </w:rPr>
            </w:pPr>
            <w:r>
              <w:rPr>
                <w:rFonts w:ascii="Arial" w:cs="Arial" w:eastAsia="Arial" w:hAnsi="Arial"/>
                <w:sz w:val="13"/>
                <w:szCs w:val="13"/>
                <w:color w:val="auto"/>
              </w:rPr>
              <w:t>Tenant’s</w:t>
            </w:r>
          </w:p>
        </w:tc>
      </w:tr>
      <w:tr>
        <w:trPr>
          <w:trHeight w:val="166"/>
        </w:trPr>
        <w:tc>
          <w:tcPr>
            <w:tcW w:w="7620" w:type="dxa"/>
            <w:vAlign w:val="bottom"/>
            <w:gridSpan w:val="3"/>
          </w:tcPr>
          <w:p>
            <w:pPr>
              <w:spacing w:after="0" w:line="146" w:lineRule="exact"/>
              <w:rPr>
                <w:sz w:val="20"/>
                <w:szCs w:val="20"/>
                <w:color w:val="auto"/>
              </w:rPr>
            </w:pPr>
            <w:r>
              <w:rPr>
                <w:rFonts w:ascii="Arial" w:cs="Arial" w:eastAsia="Arial" w:hAnsi="Arial"/>
                <w:sz w:val="13"/>
                <w:szCs w:val="13"/>
                <w:color w:val="auto"/>
              </w:rPr>
              <w:t>DESCRIPTION</w:t>
            </w:r>
          </w:p>
        </w:tc>
        <w:tc>
          <w:tcPr>
            <w:tcW w:w="1240" w:type="dxa"/>
            <w:vAlign w:val="bottom"/>
            <w:gridSpan w:val="4"/>
          </w:tcPr>
          <w:p>
            <w:pPr>
              <w:ind w:left="20"/>
              <w:spacing w:after="0" w:line="146" w:lineRule="exact"/>
              <w:rPr>
                <w:sz w:val="20"/>
                <w:szCs w:val="20"/>
                <w:color w:val="auto"/>
              </w:rPr>
            </w:pPr>
            <w:r>
              <w:rPr>
                <w:rFonts w:ascii="Arial" w:cs="Arial" w:eastAsia="Arial" w:hAnsi="Arial"/>
                <w:sz w:val="13"/>
                <w:szCs w:val="13"/>
                <w:color w:val="auto"/>
              </w:rPr>
              <w:t>Landlord    Tenant</w:t>
            </w:r>
          </w:p>
        </w:tc>
        <w:tc>
          <w:tcPr>
            <w:tcW w:w="760" w:type="dxa"/>
            <w:vAlign w:val="bottom"/>
          </w:tcPr>
          <w:p>
            <w:pPr>
              <w:ind w:left="160"/>
              <w:spacing w:after="0" w:line="146" w:lineRule="exact"/>
              <w:rPr>
                <w:sz w:val="20"/>
                <w:szCs w:val="20"/>
                <w:color w:val="auto"/>
              </w:rPr>
            </w:pPr>
            <w:r>
              <w:rPr>
                <w:rFonts w:ascii="Arial" w:cs="Arial" w:eastAsia="Arial" w:hAnsi="Arial"/>
                <w:sz w:val="13"/>
                <w:szCs w:val="13"/>
                <w:color w:val="auto"/>
              </w:rPr>
              <w:t>Expense</w:t>
            </w:r>
          </w:p>
        </w:tc>
      </w:tr>
      <w:tr>
        <w:trPr>
          <w:trHeight w:val="160"/>
        </w:trPr>
        <w:tc>
          <w:tcPr>
            <w:tcW w:w="820" w:type="dxa"/>
            <w:vAlign w:val="bottom"/>
            <w:tcBorders>
              <w:top w:val="single" w:sz="8" w:color="auto"/>
            </w:tcBorders>
            <w:gridSpan w:val="2"/>
          </w:tcPr>
          <w:p>
            <w:pPr>
              <w:ind w:left="300"/>
              <w:spacing w:after="0" w:line="160" w:lineRule="exact"/>
              <w:rPr>
                <w:sz w:val="20"/>
                <w:szCs w:val="20"/>
                <w:color w:val="auto"/>
              </w:rPr>
            </w:pPr>
            <w:r>
              <w:rPr>
                <w:rFonts w:ascii="Arial" w:cs="Arial" w:eastAsia="Arial" w:hAnsi="Arial"/>
                <w:sz w:val="16"/>
                <w:szCs w:val="16"/>
                <w:color w:val="auto"/>
                <w:w w:val="81"/>
              </w:rPr>
              <w:t>11.  One</w:t>
            </w:r>
          </w:p>
        </w:tc>
        <w:tc>
          <w:tcPr>
            <w:tcW w:w="6800" w:type="dxa"/>
            <w:vAlign w:val="bottom"/>
          </w:tcPr>
          <w:p>
            <w:pPr>
              <w:ind w:left="80"/>
              <w:spacing w:after="0" w:line="160" w:lineRule="exact"/>
              <w:rPr>
                <w:sz w:val="20"/>
                <w:szCs w:val="20"/>
                <w:color w:val="auto"/>
              </w:rPr>
            </w:pPr>
            <w:r>
              <w:rPr>
                <w:rFonts w:ascii="Arial" w:cs="Arial" w:eastAsia="Arial" w:hAnsi="Arial"/>
                <w:sz w:val="16"/>
                <w:szCs w:val="16"/>
                <w:color w:val="auto"/>
              </w:rPr>
              <w:t>(1) 4” conduit security communications loop</w:t>
            </w:r>
          </w:p>
        </w:tc>
        <w:tc>
          <w:tcPr>
            <w:tcW w:w="580" w:type="dxa"/>
            <w:vAlign w:val="bottom"/>
            <w:tcBorders>
              <w:top w:val="single" w:sz="8" w:color="auto"/>
            </w:tcBorders>
          </w:tcPr>
          <w:p>
            <w:pPr>
              <w:ind w:left="220"/>
              <w:spacing w:after="0" w:line="160" w:lineRule="exact"/>
              <w:rPr>
                <w:sz w:val="20"/>
                <w:szCs w:val="20"/>
                <w:color w:val="auto"/>
              </w:rPr>
            </w:pPr>
            <w:r>
              <w:rPr>
                <w:rFonts w:ascii="Arial" w:cs="Arial" w:eastAsia="Arial" w:hAnsi="Arial"/>
                <w:sz w:val="16"/>
                <w:szCs w:val="16"/>
                <w:color w:val="auto"/>
              </w:rPr>
              <w:t>X</w:t>
            </w:r>
          </w:p>
        </w:tc>
        <w:tc>
          <w:tcPr>
            <w:tcW w:w="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5"/>
        </w:trPr>
        <w:tc>
          <w:tcPr>
            <w:tcW w:w="7620" w:type="dxa"/>
            <w:vAlign w:val="bottom"/>
            <w:gridSpan w:val="3"/>
          </w:tcPr>
          <w:p>
            <w:pPr>
              <w:ind w:left="300"/>
              <w:spacing w:after="0"/>
              <w:rPr>
                <w:sz w:val="20"/>
                <w:szCs w:val="20"/>
                <w:color w:val="auto"/>
              </w:rPr>
            </w:pPr>
            <w:r>
              <w:rPr>
                <w:rFonts w:ascii="Arial" w:cs="Arial" w:eastAsia="Arial" w:hAnsi="Arial"/>
                <w:sz w:val="16"/>
                <w:szCs w:val="16"/>
                <w:color w:val="auto"/>
              </w:rPr>
              <w:t>12.  Two (2) 4” conduits connecting Building 3 MPOE Room with Building 4 MPOE Room</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93"/>
        </w:trPr>
        <w:tc>
          <w:tcPr>
            <w:tcW w:w="7620" w:type="dxa"/>
            <w:vAlign w:val="bottom"/>
            <w:gridSpan w:val="3"/>
          </w:tcPr>
          <w:p>
            <w:pPr>
              <w:spacing w:after="0"/>
              <w:rPr>
                <w:sz w:val="20"/>
                <w:szCs w:val="20"/>
                <w:color w:val="auto"/>
              </w:rPr>
            </w:pPr>
            <w:r>
              <w:rPr>
                <w:rFonts w:ascii="Arial" w:cs="Arial" w:eastAsia="Arial" w:hAnsi="Arial"/>
                <w:sz w:val="16"/>
                <w:szCs w:val="16"/>
                <w:b w:val="1"/>
                <w:bCs w:val="1"/>
                <w:color w:val="auto"/>
              </w:rPr>
              <w:t>SECURITY</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1.</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Card access at Building entries</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2.</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Card access into or within Tenant Premises on separate Tenant installed and managed system</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18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189"/>
        </w:trPr>
        <w:tc>
          <w:tcPr>
            <w:tcW w:w="520" w:type="dxa"/>
            <w:vAlign w:val="bottom"/>
          </w:tcPr>
          <w:p>
            <w:pPr>
              <w:ind w:left="300"/>
              <w:spacing w:after="0"/>
              <w:rPr>
                <w:sz w:val="20"/>
                <w:szCs w:val="20"/>
                <w:color w:val="auto"/>
              </w:rPr>
            </w:pPr>
            <w:r>
              <w:rPr>
                <w:rFonts w:ascii="Arial" w:cs="Arial" w:eastAsia="Arial" w:hAnsi="Arial"/>
                <w:sz w:val="16"/>
                <w:szCs w:val="16"/>
                <w:color w:val="auto"/>
              </w:rPr>
              <w:t>3.</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Video surveillance and intercom system at entrance and receiving doors of the Building</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6"/>
                <w:szCs w:val="16"/>
                <w:color w:val="auto"/>
              </w:rPr>
            </w:pPr>
          </w:p>
        </w:tc>
      </w:tr>
      <w:tr>
        <w:trPr>
          <w:trHeight w:val="200"/>
        </w:trPr>
        <w:tc>
          <w:tcPr>
            <w:tcW w:w="520" w:type="dxa"/>
            <w:vAlign w:val="bottom"/>
          </w:tcPr>
          <w:p>
            <w:pPr>
              <w:ind w:left="300"/>
              <w:spacing w:after="0"/>
              <w:rPr>
                <w:sz w:val="20"/>
                <w:szCs w:val="20"/>
                <w:color w:val="auto"/>
              </w:rPr>
            </w:pPr>
            <w:r>
              <w:rPr>
                <w:rFonts w:ascii="Arial" w:cs="Arial" w:eastAsia="Arial" w:hAnsi="Arial"/>
                <w:sz w:val="16"/>
                <w:szCs w:val="16"/>
                <w:color w:val="auto"/>
              </w:rPr>
              <w:t>4.</w:t>
            </w:r>
          </w:p>
        </w:tc>
        <w:tc>
          <w:tcPr>
            <w:tcW w:w="7100" w:type="dxa"/>
            <w:vAlign w:val="bottom"/>
            <w:gridSpan w:val="2"/>
          </w:tcPr>
          <w:p>
            <w:pPr>
              <w:ind w:left="100"/>
              <w:spacing w:after="0"/>
              <w:rPr>
                <w:sz w:val="20"/>
                <w:szCs w:val="20"/>
                <w:color w:val="auto"/>
              </w:rPr>
            </w:pPr>
            <w:r>
              <w:rPr>
                <w:rFonts w:ascii="Arial" w:cs="Arial" w:eastAsia="Arial" w:hAnsi="Arial"/>
                <w:sz w:val="16"/>
                <w:szCs w:val="16"/>
                <w:color w:val="auto"/>
              </w:rPr>
              <w:t>Main Lobby desk for future security operations. Security guard scope TBD</w:t>
            </w:r>
          </w:p>
        </w:tc>
        <w:tc>
          <w:tcPr>
            <w:tcW w:w="1240" w:type="dxa"/>
            <w:vAlign w:val="bottom"/>
            <w:gridSpan w:val="4"/>
          </w:tcPr>
          <w:p>
            <w:pPr>
              <w:ind w:left="220"/>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r>
    </w:tbl>
    <w:p>
      <w:pPr>
        <w:sectPr>
          <w:pgSz w:w="11900" w:h="16838" w:orient="portrait"/>
          <w:cols w:equalWidth="0" w:num="1">
            <w:col w:w="9620"/>
          </w:cols>
          <w:pgMar w:left="1140" w:top="233" w:right="1139" w:bottom="1440" w:gutter="0" w:footer="0" w:header="0"/>
        </w:sectPr>
      </w:pPr>
    </w:p>
    <w:bookmarkStart w:id="450" w:name="page451"/>
    <w:bookmarkEnd w:id="45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APPENDIX 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Evacuation Signage Details: Building 4</w:t>
      </w:r>
    </w:p>
    <w:p>
      <w:pPr>
        <w:sectPr>
          <w:pgSz w:w="11900" w:h="16838" w:orient="portrait"/>
          <w:cols w:equalWidth="0" w:num="1">
            <w:col w:w="9019"/>
          </w:cols>
          <w:pgMar w:left="1440" w:top="252" w:right="1440" w:bottom="1440" w:gutter="0" w:footer="0" w:header="0"/>
        </w:sectPr>
      </w:pPr>
    </w:p>
    <w:bookmarkStart w:id="451" w:name="page452"/>
    <w:bookmarkEnd w:id="4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7313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90105" cy="4731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2" w:name="page453"/>
    <w:bookmarkEnd w:id="4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696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90105" cy="3869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3" w:name="page454"/>
    <w:bookmarkEnd w:id="4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217410" cy="445452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17410" cy="4454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4" w:name="page455"/>
    <w:bookmarkEnd w:id="454"/>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D</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Roof Zone Designations: Building 4</w:t>
      </w:r>
    </w:p>
    <w:p>
      <w:pPr>
        <w:sectPr>
          <w:pgSz w:w="11900" w:h="16838" w:orient="portrait"/>
          <w:cols w:equalWidth="0" w:num="1">
            <w:col w:w="9019"/>
          </w:cols>
          <w:pgMar w:left="1440" w:top="252" w:right="1440" w:bottom="1440" w:gutter="0" w:footer="0" w:header="0"/>
        </w:sectPr>
      </w:pPr>
    </w:p>
    <w:bookmarkStart w:id="455" w:name="page456"/>
    <w:bookmarkEnd w:id="4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6" w:name="page457"/>
    <w:bookmarkEnd w:id="45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APPENDIX E</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Exterior Façade Signage Installation Details: Building 4</w:t>
      </w:r>
    </w:p>
    <w:p>
      <w:pPr>
        <w:sectPr>
          <w:pgSz w:w="11900" w:h="16838" w:orient="portrait"/>
          <w:cols w:equalWidth="0" w:num="1">
            <w:col w:w="9019"/>
          </w:cols>
          <w:pgMar w:left="1440" w:top="252" w:right="1440" w:bottom="1440" w:gutter="0" w:footer="0" w:header="0"/>
        </w:sectPr>
      </w:pPr>
    </w:p>
    <w:bookmarkStart w:id="457" w:name="page458"/>
    <w:bookmarkEnd w:id="4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4360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90105" cy="3443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8" w:name="page459"/>
    <w:bookmarkEnd w:id="4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58851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90105" cy="4588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9" w:name="page460"/>
    <w:bookmarkEnd w:id="4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557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90105" cy="3855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0" w:name="page461"/>
    <w:bookmarkEnd w:id="4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8779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90105" cy="3877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1" w:name="page462"/>
    <w:bookmarkEnd w:id="4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7134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90105" cy="3713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2" w:name="page463"/>
    <w:bookmarkEnd w:id="462"/>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APPENDIX F</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Generator &amp; Automatic Transfer Switch Description: Building 4</w:t>
      </w:r>
    </w:p>
    <w:p>
      <w:pPr>
        <w:sectPr>
          <w:pgSz w:w="11900" w:h="16838" w:orient="portrait"/>
          <w:cols w:equalWidth="0" w:num="1">
            <w:col w:w="9019"/>
          </w:cols>
          <w:pgMar w:left="1440" w:top="252" w:right="1440" w:bottom="1440" w:gutter="0" w:footer="0" w:header="0"/>
        </w:sectPr>
      </w:pPr>
    </w:p>
    <w:bookmarkStart w:id="463" w:name="page464"/>
    <w:bookmarkEnd w:id="4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February 19, 2015</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Reference: Britannia Cove, So San Francisco</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Collicutt Energy would like to quote the standby generator, generator set accessories and automatic transfer switches.</w:t>
      </w:r>
    </w:p>
    <w:p>
      <w:pPr>
        <w:spacing w:after="0" w:line="28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Outdoor Application: Bldg #4</w:t>
      </w:r>
    </w:p>
    <w:p>
      <w:pPr>
        <w:spacing w:after="0" w:line="99" w:lineRule="exact"/>
        <w:rPr>
          <w:sz w:val="20"/>
          <w:szCs w:val="20"/>
          <w:color w:val="auto"/>
        </w:rPr>
      </w:pPr>
    </w:p>
    <w:p>
      <w:pPr>
        <w:ind w:left="380" w:right="160"/>
        <w:spacing w:after="0" w:line="272" w:lineRule="auto"/>
        <w:rPr>
          <w:sz w:val="20"/>
          <w:szCs w:val="20"/>
          <w:color w:val="auto"/>
        </w:rPr>
      </w:pPr>
      <w:r>
        <w:rPr>
          <w:rFonts w:ascii="Arial" w:cs="Arial" w:eastAsia="Arial" w:hAnsi="Arial"/>
          <w:sz w:val="16"/>
          <w:szCs w:val="16"/>
          <w:b w:val="1"/>
          <w:bCs w:val="1"/>
          <w:color w:val="auto"/>
        </w:rPr>
        <w:t xml:space="preserve">Engine Generator Description: EPA CERTIFIED TIER II: UL2200 RATED </w:t>
      </w:r>
      <w:r>
        <w:rPr>
          <w:rFonts w:ascii="Arial" w:cs="Arial" w:eastAsia="Arial" w:hAnsi="Arial"/>
          <w:sz w:val="16"/>
          <w:szCs w:val="16"/>
          <w:color w:val="auto"/>
        </w:rPr>
        <w:t>Diesel packaged generator set rated for 1500kW standby duty,</w:t>
      </w:r>
      <w:r>
        <w:rPr>
          <w:rFonts w:ascii="Arial" w:cs="Arial" w:eastAsia="Arial" w:hAnsi="Arial"/>
          <w:sz w:val="16"/>
          <w:szCs w:val="16"/>
          <w:b w:val="1"/>
          <w:bCs w:val="1"/>
          <w:color w:val="auto"/>
        </w:rPr>
        <w:t xml:space="preserve"> </w:t>
      </w:r>
      <w:r>
        <w:rPr>
          <w:rFonts w:ascii="Arial" w:cs="Arial" w:eastAsia="Arial" w:hAnsi="Arial"/>
          <w:sz w:val="16"/>
          <w:szCs w:val="16"/>
          <w:color w:val="auto"/>
        </w:rPr>
        <w:t>277/480 VAC, 3 Phase, 60Hz, and included the accessories shown below:</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130 degree C, rated alternator, with voltage regulator, and permanent magnet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excitation for 300% current protection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Alternator strip heater, 120/240V</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Air cleaner with service indicator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Lubricating oil cooler</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Lube oil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Factory mounted fuel filter assembly</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Lubricating oil filters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Pumps, fuel priming, jacket water, and lube oil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Coolant thermostats and housing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Unit mounted radiator, rated 122 degrees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coolant and antifreeze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Electronic isochronous governor system</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Formed steel base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Exhaust manifold</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Electric starter motor, 24 VDC</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Lead cadmium-starting batteries with rack and cables</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charging alternator, 24 VDC</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Battery heater, 120V</w:t>
      </w:r>
    </w:p>
    <w:p>
      <w:pPr>
        <w:spacing w:after="0" w:line="5" w:lineRule="exact"/>
        <w:rPr>
          <w:sz w:val="20"/>
          <w:szCs w:val="20"/>
          <w:color w:val="auto"/>
        </w:rPr>
      </w:pPr>
    </w:p>
    <w:p>
      <w:pPr>
        <w:ind w:left="380" w:right="4360"/>
        <w:spacing w:after="0" w:line="246" w:lineRule="auto"/>
        <w:rPr>
          <w:sz w:val="20"/>
          <w:szCs w:val="20"/>
          <w:color w:val="auto"/>
        </w:rPr>
      </w:pPr>
      <w:r>
        <w:rPr>
          <w:rFonts w:ascii="Arial" w:cs="Arial" w:eastAsia="Arial" w:hAnsi="Arial"/>
          <w:sz w:val="16"/>
          <w:szCs w:val="16"/>
          <w:color w:val="auto"/>
        </w:rPr>
        <w:t>Battery charger, 24 VDC, 10 amps with low voltage, high voltage and charge failure alarm relays</w:t>
      </w:r>
    </w:p>
    <w:p>
      <w:pPr>
        <w:ind w:left="380"/>
        <w:spacing w:after="0"/>
        <w:rPr>
          <w:sz w:val="20"/>
          <w:szCs w:val="20"/>
          <w:color w:val="auto"/>
        </w:rPr>
      </w:pPr>
      <w:r>
        <w:rPr>
          <w:rFonts w:ascii="Arial" w:cs="Arial" w:eastAsia="Arial" w:hAnsi="Arial"/>
          <w:sz w:val="16"/>
          <w:szCs w:val="16"/>
          <w:color w:val="auto"/>
        </w:rPr>
        <w:t>Jacket coolant heater, 240 VAC</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Sound Attenuated Weather Protective Enclosure rated 75 dba @ 23’</w:t>
      </w:r>
    </w:p>
    <w:p>
      <w:pPr>
        <w:spacing w:after="0" w:line="20" w:lineRule="exact"/>
        <w:rPr>
          <w:sz w:val="20"/>
          <w:szCs w:val="20"/>
          <w:color w:val="auto"/>
        </w:rPr>
      </w:pPr>
    </w:p>
    <w:p>
      <w:pPr>
        <w:ind w:left="380"/>
        <w:spacing w:after="0" w:line="252" w:lineRule="auto"/>
        <w:rPr>
          <w:sz w:val="20"/>
          <w:szCs w:val="20"/>
          <w:color w:val="auto"/>
        </w:rPr>
      </w:pPr>
      <w:r>
        <w:rPr>
          <w:rFonts w:ascii="Arial" w:cs="Arial" w:eastAsia="Arial" w:hAnsi="Arial"/>
          <w:sz w:val="16"/>
          <w:szCs w:val="16"/>
          <w:color w:val="auto"/>
        </w:rPr>
        <w:t>Heavy-duty gauge steel metal construction, powder coated baked paint Fixed intake &amp; outlet louver, lockable gasketed doors, rust free door hinges and locks</w:t>
      </w:r>
    </w:p>
    <w:p>
      <w:pPr>
        <w:spacing w:after="0" w:line="168" w:lineRule="exact"/>
        <w:rPr>
          <w:sz w:val="20"/>
          <w:szCs w:val="20"/>
          <w:color w:val="auto"/>
        </w:rPr>
      </w:pPr>
    </w:p>
    <w:p>
      <w:pPr>
        <w:ind w:right="520"/>
        <w:spacing w:after="0" w:line="266" w:lineRule="auto"/>
        <w:rPr>
          <w:sz w:val="20"/>
          <w:szCs w:val="20"/>
          <w:color w:val="auto"/>
        </w:rPr>
      </w:pPr>
      <w:r>
        <w:rPr>
          <w:rFonts w:ascii="Arial" w:cs="Arial" w:eastAsia="Arial" w:hAnsi="Arial"/>
          <w:sz w:val="16"/>
          <w:szCs w:val="16"/>
          <w:color w:val="auto"/>
        </w:rPr>
        <w:t>AC load center, single phase 120/240 w/ incandescent lights and wiring of heaters and battery charger Lube oil, coolant and fumes disposal lines terminated on the base frame</w:t>
      </w:r>
    </w:p>
    <w:p>
      <w:pPr>
        <w:spacing w:after="0" w:line="158" w:lineRule="exact"/>
        <w:rPr>
          <w:sz w:val="20"/>
          <w:szCs w:val="20"/>
          <w:color w:val="auto"/>
        </w:rPr>
      </w:pPr>
    </w:p>
    <w:p>
      <w:pPr>
        <w:ind w:right="2620"/>
        <w:spacing w:after="0" w:line="513" w:lineRule="auto"/>
        <w:rPr>
          <w:sz w:val="20"/>
          <w:szCs w:val="20"/>
          <w:color w:val="auto"/>
        </w:rPr>
      </w:pPr>
      <w:r>
        <w:rPr>
          <w:rFonts w:ascii="Arial" w:cs="Arial" w:eastAsia="Arial" w:hAnsi="Arial"/>
          <w:sz w:val="16"/>
          <w:szCs w:val="16"/>
          <w:color w:val="auto"/>
        </w:rPr>
        <w:t>Load tap box mounted to exterior of generator set enclosure wired to generator addl 2500AT protective breaker Critical grade silencer mounted within enclosure</w:t>
      </w:r>
    </w:p>
    <w:p>
      <w:pPr>
        <w:sectPr>
          <w:pgSz w:w="11900" w:h="16838" w:orient="portrait"/>
          <w:cols w:equalWidth="0" w:num="1">
            <w:col w:w="9600"/>
          </w:cols>
          <w:pgMar w:left="1140" w:top="256" w:right="1159" w:bottom="1440" w:gutter="0" w:footer="0" w:header="0"/>
        </w:sectPr>
      </w:pPr>
    </w:p>
    <w:bookmarkStart w:id="464" w:name="page465"/>
    <w:bookmarkEnd w:id="46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1350 Gallon UL142 sub base tank mounted below generator enclosure</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12 Hour rating @ 100% load conditions</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Five gallon spill/fill w/ 95% overfill prevention valve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Dual wall construction/ rupture basin w/leak alarm wired to control panel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2’ manual fill — internal located with normal and emergency relief venting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High/low fuel alarms, leak alarm sensor wired to control panel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(UL2085 protected tank not provided or requested in electrical narrative)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Vibration spring isolators with anchorage calculations.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Kohler Control Panel, Unit mounted: Decision Maker 550 Digital</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Unit mounted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Generator control/instrument panel includes: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Control &amp; Monitoring</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Digital ammeter, voltmeter and frequency meter</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Ammeter/voltmeter phase selector switch</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Voltage adjust rheostat</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Automatic/manual start-stop control</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Engine Control switch for off/reset, auto start, manual start, and stop</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Cycle cranking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Cool down timer</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Emergency Stop push button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Safety shutdown protection and LED indicators for:</w:t>
      </w:r>
    </w:p>
    <w:p>
      <w:pPr>
        <w:spacing w:after="0" w:line="88"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Low oil pressure, high coolant temp., over crank, over speed,</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emergency stop, spare alarms, spare shutdowns</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NFPA 110 alarm module to include flashing LEDs and horn to annunciate:</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High coolant temperature alarm, low coolant temperature alarm,</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low oil pressure alarm, low DC volts alarms, system not in</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automatic model, low fuel level, battery charger malfunction</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Digital display for:</w:t>
      </w:r>
    </w:p>
    <w:p>
      <w:pPr>
        <w:spacing w:after="0" w:line="99" w:lineRule="exact"/>
        <w:rPr>
          <w:sz w:val="20"/>
          <w:szCs w:val="20"/>
          <w:color w:val="auto"/>
        </w:rPr>
      </w:pPr>
    </w:p>
    <w:p>
      <w:pPr>
        <w:ind w:left="380" w:right="2259" w:firstLine="481"/>
        <w:spacing w:after="0" w:line="315" w:lineRule="auto"/>
        <w:rPr>
          <w:sz w:val="20"/>
          <w:szCs w:val="20"/>
          <w:color w:val="auto"/>
        </w:rPr>
      </w:pPr>
      <w:r>
        <w:rPr>
          <w:rFonts w:ascii="Arial" w:cs="Arial" w:eastAsia="Arial" w:hAnsi="Arial"/>
          <w:sz w:val="16"/>
          <w:szCs w:val="16"/>
          <w:color w:val="auto"/>
        </w:rPr>
        <w:t>Coolant temp., oil pressure, service hours, engine RPM, system DC volts, system diagnostic codes Panel light with on/off switch</w:t>
      </w:r>
    </w:p>
    <w:p>
      <w:pPr>
        <w:ind w:left="380"/>
        <w:spacing w:after="0"/>
        <w:rPr>
          <w:sz w:val="20"/>
          <w:szCs w:val="20"/>
          <w:color w:val="auto"/>
        </w:rPr>
      </w:pPr>
      <w:r>
        <w:rPr>
          <w:rFonts w:ascii="Arial" w:cs="Arial" w:eastAsia="Arial" w:hAnsi="Arial"/>
          <w:sz w:val="16"/>
          <w:szCs w:val="16"/>
          <w:color w:val="auto"/>
        </w:rPr>
        <w:t>3000-amp, 100% rated main line circuit breaker, LSI, 3 poles, mounted in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generator extension box (standard lugs supplied)</w:t>
      </w:r>
    </w:p>
    <w:p>
      <w:pPr>
        <w:spacing w:after="0" w:line="8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2500-amp, 100% rated load bank circuit breaker, LSI, 3 poles, mounted in generator extension box</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AUTOMATIC TRANSFER SWITCHES/BYPASS ISOLATION: KOHLER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Location</w:t>
            </w:r>
          </w:p>
        </w:tc>
        <w:tc>
          <w:tcPr>
            <w:tcW w:w="420" w:type="dxa"/>
            <w:vAlign w:val="bottom"/>
          </w:tcPr>
          <w:p>
            <w:pPr>
              <w:ind w:left="120"/>
              <w:spacing w:after="0"/>
              <w:rPr>
                <w:sz w:val="20"/>
                <w:szCs w:val="20"/>
                <w:color w:val="auto"/>
              </w:rPr>
            </w:pPr>
            <w:r>
              <w:rPr>
                <w:rFonts w:ascii="Arial" w:cs="Arial" w:eastAsia="Arial" w:hAnsi="Arial"/>
                <w:sz w:val="16"/>
                <w:szCs w:val="16"/>
                <w:color w:val="auto"/>
              </w:rPr>
              <w:t>Qty</w:t>
            </w:r>
          </w:p>
        </w:tc>
        <w:tc>
          <w:tcPr>
            <w:tcW w:w="2120" w:type="dxa"/>
            <w:vAlign w:val="bottom"/>
          </w:tcPr>
          <w:p>
            <w:pPr>
              <w:ind w:left="60"/>
              <w:spacing w:after="0"/>
              <w:rPr>
                <w:sz w:val="20"/>
                <w:szCs w:val="20"/>
                <w:color w:val="auto"/>
              </w:rPr>
            </w:pPr>
            <w:r>
              <w:rPr>
                <w:rFonts w:ascii="Arial" w:cs="Arial" w:eastAsia="Arial" w:hAnsi="Arial"/>
                <w:sz w:val="16"/>
                <w:szCs w:val="16"/>
                <w:color w:val="auto"/>
              </w:rPr>
              <w:t>Size</w:t>
            </w:r>
          </w:p>
        </w:tc>
      </w:t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88"/>
              </w:rPr>
              <w:t>1200 amp, three poles, four wire</w:t>
            </w:r>
          </w:p>
        </w:tc>
      </w:t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92"/>
              </w:rPr>
              <w:t>1000 amp, four poles, four wire</w:t>
            </w:r>
          </w:p>
        </w:tc>
      </w:tr>
      <w:tr>
        <w:trPr>
          <w:trHeight w:val="200"/>
        </w:trPr>
        <w:tc>
          <w:tcPr>
            <w:tcW w:w="660" w:type="dxa"/>
            <w:vAlign w:val="bottom"/>
          </w:tcPr>
          <w:p>
            <w:pPr>
              <w:spacing w:after="0"/>
              <w:rPr>
                <w:sz w:val="20"/>
                <w:szCs w:val="20"/>
                <w:color w:val="auto"/>
              </w:rPr>
            </w:pPr>
            <w:r>
              <w:rPr>
                <w:rFonts w:ascii="Arial" w:cs="Arial" w:eastAsia="Arial" w:hAnsi="Arial"/>
                <w:sz w:val="16"/>
                <w:szCs w:val="16"/>
                <w:color w:val="auto"/>
              </w:rPr>
              <w:t>ATS</w:t>
            </w:r>
          </w:p>
        </w:tc>
        <w:tc>
          <w:tcPr>
            <w:tcW w:w="420" w:type="dxa"/>
            <w:vAlign w:val="bottom"/>
          </w:tcPr>
          <w:p>
            <w:pPr>
              <w:ind w:left="120"/>
              <w:spacing w:after="0"/>
              <w:rPr>
                <w:sz w:val="20"/>
                <w:szCs w:val="20"/>
                <w:color w:val="auto"/>
              </w:rPr>
            </w:pPr>
            <w:r>
              <w:rPr>
                <w:rFonts w:ascii="Arial" w:cs="Arial" w:eastAsia="Arial" w:hAnsi="Arial"/>
                <w:sz w:val="16"/>
                <w:szCs w:val="16"/>
                <w:color w:val="auto"/>
              </w:rPr>
              <w:t>1</w:t>
            </w:r>
          </w:p>
        </w:tc>
        <w:tc>
          <w:tcPr>
            <w:tcW w:w="2120" w:type="dxa"/>
            <w:vAlign w:val="bottom"/>
          </w:tcPr>
          <w:p>
            <w:pPr>
              <w:ind w:left="60"/>
              <w:spacing w:after="0"/>
              <w:rPr>
                <w:sz w:val="20"/>
                <w:szCs w:val="20"/>
                <w:color w:val="auto"/>
              </w:rPr>
            </w:pPr>
            <w:r>
              <w:rPr>
                <w:rFonts w:ascii="Arial" w:cs="Arial" w:eastAsia="Arial" w:hAnsi="Arial"/>
                <w:sz w:val="16"/>
                <w:szCs w:val="16"/>
                <w:color w:val="auto"/>
                <w:w w:val="96"/>
              </w:rPr>
              <w:t>260 amp, four poles, four wire</w:t>
            </w:r>
          </w:p>
        </w:tc>
      </w:tr>
    </w:tbl>
    <w:p>
      <w:pPr>
        <w:spacing w:after="0" w:line="177" w:lineRule="exact"/>
        <w:rPr>
          <w:sz w:val="20"/>
          <w:szCs w:val="20"/>
          <w:color w:val="auto"/>
        </w:rPr>
      </w:pPr>
    </w:p>
    <w:p>
      <w:pPr>
        <w:ind w:right="4119"/>
        <w:spacing w:after="0" w:line="266" w:lineRule="auto"/>
        <w:rPr>
          <w:sz w:val="20"/>
          <w:szCs w:val="20"/>
          <w:color w:val="auto"/>
        </w:rPr>
      </w:pPr>
      <w:r>
        <w:rPr>
          <w:rFonts w:ascii="Arial" w:cs="Arial" w:eastAsia="Arial" w:hAnsi="Arial"/>
          <w:sz w:val="16"/>
          <w:szCs w:val="16"/>
          <w:color w:val="auto"/>
        </w:rPr>
        <w:t>Programmed (1000A &amp; 1200A) &amp; Open transition (260A) rated automatic transfer switch consisting of the following:</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 voltage sensing of normal source</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Under voltage sensing of emergency source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Time delay to override momentary normal source</w:t>
      </w:r>
    </w:p>
    <w:p>
      <w:pPr>
        <w:sectPr>
          <w:pgSz w:w="11900" w:h="16838" w:orient="portrait"/>
          <w:cols w:equalWidth="0" w:num="1">
            <w:col w:w="9319"/>
          </w:cols>
          <w:pgMar w:left="1140" w:top="252" w:right="1440" w:bottom="1440" w:gutter="0" w:footer="0" w:header="0"/>
        </w:sectPr>
      </w:pPr>
    </w:p>
    <w:bookmarkStart w:id="465" w:name="page466"/>
    <w:bookmarkEnd w:id="465"/>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Time delay on retransfers to normal</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Time delay to control contact transition time on transfer to either source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Programmable voltage and frequency sensing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Programmable load test function to simulate normal power failure</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Contact to close on failure to normal source to initial engine starting</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Auxiliary contacts closed in normal position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Auxiliary contacts closed in emergency position</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UL1008 listed</w:t>
      </w:r>
    </w:p>
    <w:p>
      <w:pPr>
        <w:spacing w:after="0" w:line="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Nema 1 enclosure</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GENERATOR TESTING</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Kohler factory prototype test reports provided for verification of testing requirements.</w:t>
      </w:r>
    </w:p>
    <w:p>
      <w:pPr>
        <w:spacing w:after="0" w:line="99" w:lineRule="exact"/>
        <w:rPr>
          <w:sz w:val="20"/>
          <w:szCs w:val="20"/>
          <w:color w:val="auto"/>
        </w:rPr>
      </w:pPr>
    </w:p>
    <w:p>
      <w:pPr>
        <w:ind w:left="380" w:right="340"/>
        <w:spacing w:after="0" w:line="266" w:lineRule="auto"/>
        <w:rPr>
          <w:sz w:val="20"/>
          <w:szCs w:val="20"/>
          <w:color w:val="auto"/>
        </w:rPr>
      </w:pPr>
      <w:r>
        <w:rPr>
          <w:rFonts w:ascii="Arial" w:cs="Arial" w:eastAsia="Arial" w:hAnsi="Arial"/>
          <w:sz w:val="16"/>
          <w:szCs w:val="16"/>
          <w:color w:val="auto"/>
        </w:rPr>
        <w:t>Collicutt Energy shall perform demonstration of system functions; start up assistance, verification of interface of generator set and automatic transfer switch and building load transfer tests.</w:t>
      </w:r>
    </w:p>
    <w:p>
      <w:pPr>
        <w:spacing w:after="0" w:line="64" w:lineRule="exact"/>
        <w:rPr>
          <w:sz w:val="20"/>
          <w:szCs w:val="20"/>
          <w:color w:val="auto"/>
        </w:rPr>
      </w:pPr>
    </w:p>
    <w:p>
      <w:pPr>
        <w:jc w:val="both"/>
        <w:ind w:left="380"/>
        <w:spacing w:after="0" w:line="378" w:lineRule="auto"/>
        <w:rPr>
          <w:sz w:val="20"/>
          <w:szCs w:val="20"/>
          <w:color w:val="auto"/>
        </w:rPr>
      </w:pPr>
      <w:r>
        <w:rPr>
          <w:rFonts w:ascii="Arial" w:cs="Arial" w:eastAsia="Arial" w:hAnsi="Arial"/>
          <w:sz w:val="13"/>
          <w:szCs w:val="13"/>
          <w:color w:val="auto"/>
        </w:rPr>
        <w:t xml:space="preserve">Engine generator load testing for two hours at unity power factor with recording of electrical functions. </w:t>
      </w:r>
      <w:r>
        <w:rPr>
          <w:rFonts w:ascii="Arial" w:cs="Arial" w:eastAsia="Arial" w:hAnsi="Arial"/>
          <w:sz w:val="13"/>
          <w:szCs w:val="13"/>
          <w:i w:val="1"/>
          <w:iCs w:val="1"/>
          <w:color w:val="auto"/>
        </w:rPr>
        <w:t>Kohler service dept to provide load banks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50’ cable for testing purposes. Installation contractor must provide drayage if area is beyond provided cable run. </w:t>
      </w:r>
      <w:r>
        <w:rPr>
          <w:rFonts w:ascii="Arial" w:cs="Arial" w:eastAsia="Arial" w:hAnsi="Arial"/>
          <w:sz w:val="13"/>
          <w:szCs w:val="13"/>
          <w:color w:val="auto"/>
        </w:rPr>
        <w:t>End user training provided.</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Kohler five year limited warranty</w:t>
      </w:r>
    </w:p>
    <w:p>
      <w:pPr>
        <w:sectPr>
          <w:pgSz w:w="11900" w:h="16838" w:orient="portrait"/>
          <w:cols w:equalWidth="0" w:num="1">
            <w:col w:w="9560"/>
          </w:cols>
          <w:pgMar w:left="1140" w:top="256" w:right="1199" w:bottom="1440" w:gutter="0" w:footer="0" w:header="0"/>
        </w:sectPr>
      </w:pPr>
    </w:p>
    <w:bookmarkStart w:id="466" w:name="page467"/>
    <w:bookmarkEnd w:id="466"/>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HCP,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HCP Oyster Point III LLC</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950 Tower Lane, Suite 1650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Foster City, CA 94404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Scott Bohn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Management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Project Management Advisors, Inc.</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Tower Place, Suite 200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South San Francisco, CA 94080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Jerry Colomb</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Building General Contractor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Hathaway Dinwiddie Construction</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250 East Grand, Suite 40</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South San Francisco, CA 94080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Sara Carmody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Building Architect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DES Architects + Engineers,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399 Bradford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Redwood City, CA 94063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Kevin Norman</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Base Building Structural Engineer</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DES Architects + Engineers,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399 Bradford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Redwood City, CA 94063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Contact: Kevin Norman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Window Shade Manufacturer</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Mariak</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575 West Manville Street</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Rancho Dominguez, CA 90220</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Contact: Greg Sison</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6"/>
          <w:szCs w:val="16"/>
          <w:b w:val="1"/>
          <w:bCs w:val="1"/>
          <w:color w:val="auto"/>
        </w:rPr>
        <w:t>APPENDIX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-3241675</wp:posOffset>
            </wp:positionH>
            <wp:positionV relativeFrom="paragraph">
              <wp:posOffset>-187960</wp:posOffset>
            </wp:positionV>
            <wp:extent cx="7190105" cy="3492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Project Directory</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Window Film Manufacturer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Window Works</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400 Reed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Santa Clara, CA 95050</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Asia Bautista</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Roof Installer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Alcal Specialty Contracting, Inc.</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42950 Osgood Road</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Fremont, CA 94539</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Jaime Arellano</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Electric Meter Supplier</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Graybar</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Robert Menzies</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Electric Meter Programming</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Square D</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Joe Kneiss</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Building Envelope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Walters &amp; Wolf</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2990 3</w:t>
      </w:r>
      <w:r>
        <w:rPr>
          <w:rFonts w:ascii="Arial" w:cs="Arial" w:eastAsia="Arial" w:hAnsi="Arial"/>
          <w:sz w:val="13"/>
          <w:szCs w:val="13"/>
          <w:color w:val="auto"/>
        </w:rPr>
        <w:t>rd</w:t>
      </w:r>
      <w:r>
        <w:rPr>
          <w:rFonts w:ascii="Arial" w:cs="Arial" w:eastAsia="Arial" w:hAnsi="Arial"/>
          <w:sz w:val="16"/>
          <w:szCs w:val="16"/>
          <w:color w:val="auto"/>
        </w:rPr>
        <w:t xml:space="preserve">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 Francisco, CA 94107</w:t>
      </w:r>
    </w:p>
    <w:p>
      <w:pPr>
        <w:spacing w:after="0" w:line="201" w:lineRule="exact"/>
        <w:rPr>
          <w:sz w:val="20"/>
          <w:szCs w:val="20"/>
          <w:color w:val="auto"/>
        </w:rPr>
      </w:pPr>
    </w:p>
    <w:p>
      <w:pPr>
        <w:jc w:val="right"/>
        <w:ind w:right="1999"/>
        <w:spacing w:after="0"/>
        <w:rPr>
          <w:sz w:val="20"/>
          <w:szCs w:val="20"/>
          <w:color w:val="auto"/>
        </w:rPr>
      </w:pPr>
      <w:r>
        <w:rPr>
          <w:rFonts w:ascii="Arial" w:cs="Arial" w:eastAsia="Arial" w:hAnsi="Arial"/>
          <w:sz w:val="16"/>
          <w:szCs w:val="16"/>
          <w:b w:val="1"/>
          <w:bCs w:val="1"/>
          <w:color w:val="auto"/>
        </w:rPr>
        <w:t>Base Building Emergency Systems</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Cupertino Electric, Inc.</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1132 North 7</w:t>
      </w:r>
      <w:r>
        <w:rPr>
          <w:rFonts w:ascii="Arial" w:cs="Arial" w:eastAsia="Arial" w:hAnsi="Arial"/>
          <w:sz w:val="13"/>
          <w:szCs w:val="13"/>
          <w:color w:val="auto"/>
        </w:rPr>
        <w:t>th</w:t>
      </w:r>
      <w:r>
        <w:rPr>
          <w:rFonts w:ascii="Arial" w:cs="Arial" w:eastAsia="Arial" w:hAnsi="Arial"/>
          <w:sz w:val="16"/>
          <w:szCs w:val="16"/>
          <w:color w:val="auto"/>
        </w:rPr>
        <w:t xml:space="preserve"> Street</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San Jose, CA 95112</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Tony Locatelli</w:t>
      </w:r>
    </w:p>
    <w:p>
      <w:pPr>
        <w:spacing w:after="0" w:line="201"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Signage</w:t>
      </w:r>
    </w:p>
    <w:p>
      <w:pPr>
        <w:spacing w:after="0" w:line="20" w:lineRule="exact"/>
        <w:rPr>
          <w:sz w:val="20"/>
          <w:szCs w:val="20"/>
          <w:color w:val="auto"/>
        </w:rPr>
      </w:pPr>
    </w:p>
    <w:p>
      <w:pPr>
        <w:ind w:left="740"/>
        <w:spacing w:after="0"/>
        <w:rPr>
          <w:sz w:val="20"/>
          <w:szCs w:val="20"/>
          <w:color w:val="auto"/>
        </w:rPr>
      </w:pPr>
      <w:r>
        <w:rPr>
          <w:rFonts w:ascii="Arial" w:cs="Arial" w:eastAsia="Arial" w:hAnsi="Arial"/>
          <w:sz w:val="16"/>
          <w:szCs w:val="16"/>
          <w:color w:val="auto"/>
        </w:rPr>
        <w:t>Arrow Sign Company</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1051 46</w:t>
      </w:r>
      <w:r>
        <w:rPr>
          <w:rFonts w:ascii="Arial" w:cs="Arial" w:eastAsia="Arial" w:hAnsi="Arial"/>
          <w:sz w:val="13"/>
          <w:szCs w:val="13"/>
          <w:color w:val="auto"/>
        </w:rPr>
        <w:t>th</w:t>
      </w:r>
      <w:r>
        <w:rPr>
          <w:rFonts w:ascii="Arial" w:cs="Arial" w:eastAsia="Arial" w:hAnsi="Arial"/>
          <w:sz w:val="16"/>
          <w:szCs w:val="16"/>
          <w:color w:val="auto"/>
        </w:rPr>
        <w:t xml:space="preserve"> Avenue</w:t>
      </w:r>
    </w:p>
    <w:p>
      <w:pPr>
        <w:spacing w:after="0" w:line="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Oakland, CA 94601</w:t>
      </w:r>
    </w:p>
    <w:p>
      <w:pPr>
        <w:spacing w:after="0" w:line="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Contact: Jeremy Blackburn</w:t>
      </w:r>
    </w:p>
    <w:p>
      <w:pPr>
        <w:sectPr>
          <w:pgSz w:w="11900" w:h="16838" w:orient="portrait"/>
          <w:cols w:equalWidth="0" w:num="2">
            <w:col w:w="3540" w:space="720"/>
            <w:col w:w="5059"/>
          </w:cols>
          <w:pgMar w:left="1140" w:top="252" w:right="1440" w:bottom="1440" w:gutter="0" w:footer="0" w:header="0"/>
        </w:sectPr>
      </w:pPr>
    </w:p>
    <w:bookmarkStart w:id="467" w:name="page468"/>
    <w:bookmarkEnd w:id="467"/>
    <w:p>
      <w:pPr>
        <w:jc w:val="center"/>
        <w:ind w:right="-306"/>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w:t>
      </w:r>
    </w:p>
    <w:p>
      <w:pPr>
        <w:spacing w:after="0" w:line="193" w:lineRule="exact"/>
        <w:rPr>
          <w:sz w:val="20"/>
          <w:szCs w:val="20"/>
          <w:color w:val="auto"/>
        </w:rPr>
      </w:pPr>
    </w:p>
    <w:p>
      <w:pPr>
        <w:jc w:val="center"/>
        <w:ind w:right="-306"/>
        <w:spacing w:after="0"/>
        <w:rPr>
          <w:sz w:val="20"/>
          <w:szCs w:val="20"/>
          <w:color w:val="auto"/>
        </w:rPr>
      </w:pPr>
      <w:r>
        <w:rPr>
          <w:rFonts w:ascii="Arial" w:cs="Arial" w:eastAsia="Arial" w:hAnsi="Arial"/>
          <w:sz w:val="16"/>
          <w:szCs w:val="16"/>
          <w:b w:val="1"/>
          <w:bCs w:val="1"/>
          <w:u w:val="single" w:color="auto"/>
          <w:color w:val="auto"/>
        </w:rPr>
        <w:t>THE COVE AT OYSTER POINT</w:t>
      </w:r>
    </w:p>
    <w:p>
      <w:pPr>
        <w:spacing w:after="0" w:line="193" w:lineRule="exact"/>
        <w:rPr>
          <w:sz w:val="20"/>
          <w:szCs w:val="20"/>
          <w:color w:val="auto"/>
        </w:rPr>
      </w:pPr>
    </w:p>
    <w:p>
      <w:pPr>
        <w:jc w:val="center"/>
        <w:ind w:right="-306"/>
        <w:spacing w:after="0"/>
        <w:rPr>
          <w:sz w:val="20"/>
          <w:szCs w:val="20"/>
          <w:color w:val="auto"/>
        </w:rPr>
      </w:pPr>
      <w:r>
        <w:rPr>
          <w:rFonts w:ascii="Arial" w:cs="Arial" w:eastAsia="Arial" w:hAnsi="Arial"/>
          <w:sz w:val="16"/>
          <w:szCs w:val="16"/>
          <w:b w:val="1"/>
          <w:bCs w:val="1"/>
          <w:u w:val="single" w:color="auto"/>
          <w:color w:val="auto"/>
        </w:rPr>
        <w:t>NOTICE OF LEASE TERM DATES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TENAYA THERAPEUTICS</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171 Oyster Point, 5TH Floor</w:t>
      </w:r>
    </w:p>
    <w:p>
      <w:pPr>
        <w:spacing w:after="0" w:line="5" w:lineRule="exact"/>
        <w:rPr>
          <w:sz w:val="20"/>
          <w:szCs w:val="20"/>
          <w:color w:val="auto"/>
        </w:rPr>
      </w:pPr>
    </w:p>
    <w:p>
      <w:pPr>
        <w:ind w:left="6"/>
        <w:spacing w:after="0"/>
        <w:rPr>
          <w:sz w:val="20"/>
          <w:szCs w:val="20"/>
          <w:color w:val="auto"/>
        </w:rPr>
      </w:pPr>
      <w:r>
        <w:rPr>
          <w:rFonts w:ascii="Arial" w:cs="Arial" w:eastAsia="Arial" w:hAnsi="Arial"/>
          <w:sz w:val="16"/>
          <w:szCs w:val="16"/>
          <w:color w:val="auto"/>
        </w:rPr>
        <w:t>South San Francisco, CA 94080</w:t>
      </w:r>
    </w:p>
    <w:p>
      <w:pPr>
        <w:spacing w:after="0" w:line="201" w:lineRule="exact"/>
        <w:rPr>
          <w:sz w:val="20"/>
          <w:szCs w:val="20"/>
          <w:color w:val="auto"/>
        </w:rPr>
      </w:pPr>
    </w:p>
    <w:p>
      <w:pPr>
        <w:ind w:left="6"/>
        <w:spacing w:after="0"/>
        <w:tabs>
          <w:tab w:leader="none" w:pos="366" w:val="left"/>
        </w:tabs>
        <w:rPr>
          <w:sz w:val="20"/>
          <w:szCs w:val="20"/>
          <w:color w:val="auto"/>
        </w:rPr>
      </w:pPr>
      <w:r>
        <w:rPr>
          <w:rFonts w:ascii="Arial" w:cs="Arial" w:eastAsia="Arial" w:hAnsi="Arial"/>
          <w:sz w:val="16"/>
          <w:szCs w:val="16"/>
          <w:color w:val="auto"/>
        </w:rPr>
        <w:t>Re:</w:t>
      </w:r>
      <w:r>
        <w:rPr>
          <w:sz w:val="20"/>
          <w:szCs w:val="20"/>
          <w:color w:val="auto"/>
        </w:rPr>
        <w:tab/>
      </w:r>
      <w:r>
        <w:rPr>
          <w:rFonts w:ascii="Arial" w:cs="Arial" w:eastAsia="Arial" w:hAnsi="Arial"/>
          <w:sz w:val="13"/>
          <w:szCs w:val="13"/>
          <w:color w:val="auto"/>
        </w:rPr>
        <w:t xml:space="preserve">That certain Lease dated September 6, 2016 by and between </w:t>
      </w:r>
      <w:r>
        <w:rPr>
          <w:rFonts w:ascii="Arial" w:cs="Arial" w:eastAsia="Arial" w:hAnsi="Arial"/>
          <w:sz w:val="13"/>
          <w:szCs w:val="13"/>
          <w:b w:val="1"/>
          <w:bCs w:val="1"/>
          <w:color w:val="auto"/>
        </w:rPr>
        <w:t>HCP OYSTER POINT III, LLC</w:t>
      </w:r>
      <w:r>
        <w:rPr>
          <w:rFonts w:ascii="Arial" w:cs="Arial" w:eastAsia="Arial" w:hAnsi="Arial"/>
          <w:sz w:val="13"/>
          <w:szCs w:val="13"/>
          <w:color w:val="auto"/>
        </w:rPr>
        <w:t>, a Delaware limited liability company</w:t>
      </w:r>
    </w:p>
    <w:p>
      <w:pPr>
        <w:spacing w:after="0" w:line="20" w:lineRule="exact"/>
        <w:rPr>
          <w:sz w:val="20"/>
          <w:szCs w:val="20"/>
          <w:color w:val="auto"/>
        </w:rPr>
      </w:pPr>
    </w:p>
    <w:p>
      <w:pPr>
        <w:ind w:left="386"/>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Landlord</w:t>
      </w:r>
      <w:r>
        <w:rPr>
          <w:rFonts w:ascii="Arial" w:cs="Arial" w:eastAsia="Arial" w:hAnsi="Arial"/>
          <w:sz w:val="13"/>
          <w:szCs w:val="13"/>
          <w:color w:val="auto"/>
        </w:rPr>
        <w:t xml:space="preserve">”) and </w:t>
      </w:r>
      <w:r>
        <w:rPr>
          <w:rFonts w:ascii="Arial" w:cs="Arial" w:eastAsia="Arial" w:hAnsi="Arial"/>
          <w:sz w:val="13"/>
          <w:szCs w:val="13"/>
          <w:b w:val="1"/>
          <w:bCs w:val="1"/>
          <w:color w:val="auto"/>
        </w:rPr>
        <w:t>TENAYA THERAPEUTICS</w:t>
      </w:r>
      <w:r>
        <w:rPr>
          <w:rFonts w:ascii="Arial" w:cs="Arial" w:eastAsia="Arial" w:hAnsi="Arial"/>
          <w:sz w:val="13"/>
          <w:szCs w:val="13"/>
          <w:color w:val="auto"/>
        </w:rPr>
        <w:t>, a Delaware corporation (“</w:t>
      </w:r>
      <w:r>
        <w:rPr>
          <w:rFonts w:ascii="Arial" w:cs="Arial" w:eastAsia="Arial" w:hAnsi="Arial"/>
          <w:sz w:val="13"/>
          <w:szCs w:val="13"/>
          <w:b w:val="1"/>
          <w:bCs w:val="1"/>
          <w:color w:val="auto"/>
        </w:rPr>
        <w:t>Tenant</w:t>
      </w:r>
      <w:r>
        <w:rPr>
          <w:rFonts w:ascii="Arial" w:cs="Arial" w:eastAsia="Arial" w:hAnsi="Arial"/>
          <w:sz w:val="13"/>
          <w:szCs w:val="13"/>
          <w:color w:val="auto"/>
        </w:rPr>
        <w:t xml:space="preserve">”), as successor by assignment from </w:t>
      </w:r>
      <w:r>
        <w:rPr>
          <w:rFonts w:ascii="Arial" w:cs="Arial" w:eastAsia="Arial" w:hAnsi="Arial"/>
          <w:sz w:val="13"/>
          <w:szCs w:val="13"/>
          <w:b w:val="1"/>
          <w:bCs w:val="1"/>
          <w:color w:val="auto"/>
        </w:rPr>
        <w:t>THE COLUMN</w:t>
      </w:r>
    </w:p>
    <w:p>
      <w:pPr>
        <w:spacing w:after="0" w:line="39" w:lineRule="exact"/>
        <w:rPr>
          <w:sz w:val="20"/>
          <w:szCs w:val="20"/>
          <w:color w:val="auto"/>
        </w:rPr>
      </w:pPr>
    </w:p>
    <w:p>
      <w:pPr>
        <w:ind w:left="386"/>
        <w:spacing w:after="0"/>
        <w:rPr>
          <w:sz w:val="20"/>
          <w:szCs w:val="20"/>
          <w:color w:val="auto"/>
        </w:rPr>
      </w:pPr>
      <w:r>
        <w:rPr>
          <w:rFonts w:ascii="Arial" w:cs="Arial" w:eastAsia="Arial" w:hAnsi="Arial"/>
          <w:sz w:val="15"/>
          <w:szCs w:val="15"/>
          <w:b w:val="1"/>
          <w:bCs w:val="1"/>
          <w:color w:val="auto"/>
        </w:rPr>
        <w:t xml:space="preserve">GROUP, LLC </w:t>
      </w:r>
      <w:r>
        <w:rPr>
          <w:rFonts w:ascii="Arial" w:cs="Arial" w:eastAsia="Arial" w:hAnsi="Arial"/>
          <w:sz w:val="15"/>
          <w:szCs w:val="15"/>
          <w:color w:val="auto"/>
        </w:rPr>
        <w:t>for a certain premises located at 171 Oyster Point Boulevard, 5th Floor, South San Francisco, California 94080.</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accordance with the Lease (the “</w:t>
      </w:r>
      <w:r>
        <w:rPr>
          <w:rFonts w:ascii="Arial" w:cs="Arial" w:eastAsia="Arial" w:hAnsi="Arial"/>
          <w:sz w:val="16"/>
          <w:szCs w:val="16"/>
          <w:b w:val="1"/>
          <w:bCs w:val="1"/>
          <w:color w:val="auto"/>
        </w:rPr>
        <w:t>Lease</w:t>
      </w:r>
      <w:r>
        <w:rPr>
          <w:rFonts w:ascii="Arial" w:cs="Arial" w:eastAsia="Arial" w:hAnsi="Arial"/>
          <w:sz w:val="16"/>
          <w:szCs w:val="16"/>
          <w:color w:val="auto"/>
        </w:rPr>
        <w:t>”), we wish to advise you and/or confirm as follows:</w:t>
      </w:r>
    </w:p>
    <w:p>
      <w:pPr>
        <w:spacing w:after="0" w:line="111" w:lineRule="exact"/>
        <w:rPr>
          <w:sz w:val="20"/>
          <w:szCs w:val="20"/>
          <w:color w:val="auto"/>
        </w:rPr>
      </w:pPr>
    </w:p>
    <w:p>
      <w:pPr>
        <w:ind w:left="386" w:hanging="386"/>
        <w:spacing w:after="0"/>
        <w:tabs>
          <w:tab w:leader="none" w:pos="386" w:val="left"/>
        </w:tabs>
        <w:numPr>
          <w:ilvl w:val="0"/>
          <w:numId w:val="342"/>
        </w:numPr>
        <w:rPr>
          <w:rFonts w:ascii="Arial" w:cs="Arial" w:eastAsia="Arial" w:hAnsi="Arial"/>
          <w:sz w:val="13"/>
          <w:szCs w:val="13"/>
          <w:color w:val="auto"/>
        </w:rPr>
      </w:pPr>
      <w:r>
        <w:rPr>
          <w:rFonts w:ascii="Arial" w:cs="Arial" w:eastAsia="Arial" w:hAnsi="Arial"/>
          <w:sz w:val="13"/>
          <w:szCs w:val="13"/>
          <w:color w:val="auto"/>
        </w:rPr>
        <w:t xml:space="preserve">The Lease Term shall commence on or has commenced on </w:t>
      </w:r>
      <w:r>
        <w:rPr>
          <w:rFonts w:ascii="Arial" w:cs="Arial" w:eastAsia="Arial" w:hAnsi="Arial"/>
          <w:sz w:val="13"/>
          <w:szCs w:val="13"/>
          <w:b w:val="1"/>
          <w:bCs w:val="1"/>
          <w:u w:val="single" w:color="auto"/>
          <w:color w:val="auto"/>
        </w:rPr>
        <w:t>June 1, 2017</w:t>
      </w:r>
      <w:r>
        <w:rPr>
          <w:rFonts w:ascii="Arial" w:cs="Arial" w:eastAsia="Arial" w:hAnsi="Arial"/>
          <w:sz w:val="13"/>
          <w:szCs w:val="13"/>
          <w:color w:val="auto"/>
        </w:rPr>
        <w:t xml:space="preserve"> for a term of </w:t>
      </w:r>
      <w:r>
        <w:rPr>
          <w:rFonts w:ascii="Arial" w:cs="Arial" w:eastAsia="Arial" w:hAnsi="Arial"/>
          <w:sz w:val="13"/>
          <w:szCs w:val="13"/>
          <w:b w:val="1"/>
          <w:bCs w:val="1"/>
          <w:u w:val="single" w:color="auto"/>
          <w:color w:val="auto"/>
        </w:rPr>
        <w:t>ninety-six (96) months</w:t>
      </w:r>
      <w:r>
        <w:rPr>
          <w:rFonts w:ascii="Arial" w:cs="Arial" w:eastAsia="Arial" w:hAnsi="Arial"/>
          <w:sz w:val="13"/>
          <w:szCs w:val="13"/>
          <w:color w:val="auto"/>
        </w:rPr>
        <w:t xml:space="preserve"> ending on </w:t>
      </w:r>
      <w:r>
        <w:rPr>
          <w:rFonts w:ascii="Arial" w:cs="Arial" w:eastAsia="Arial" w:hAnsi="Arial"/>
          <w:sz w:val="13"/>
          <w:szCs w:val="13"/>
          <w:b w:val="1"/>
          <w:bCs w:val="1"/>
          <w:u w:val="single" w:color="auto"/>
          <w:color w:val="auto"/>
        </w:rPr>
        <w:t>May 31, 2025</w:t>
      </w:r>
      <w:r>
        <w:rPr>
          <w:rFonts w:ascii="Arial" w:cs="Arial" w:eastAsia="Arial" w:hAnsi="Arial"/>
          <w:sz w:val="13"/>
          <w:szCs w:val="13"/>
          <w:color w:val="auto"/>
        </w:rPr>
        <w:t>.</w:t>
      </w:r>
    </w:p>
    <w:p>
      <w:pPr>
        <w:spacing w:after="0" w:line="145" w:lineRule="exact"/>
        <w:rPr>
          <w:rFonts w:ascii="Arial" w:cs="Arial" w:eastAsia="Arial" w:hAnsi="Arial"/>
          <w:sz w:val="13"/>
          <w:szCs w:val="13"/>
          <w:color w:val="auto"/>
        </w:rPr>
      </w:pPr>
    </w:p>
    <w:p>
      <w:pPr>
        <w:ind w:left="386" w:hanging="386"/>
        <w:spacing w:after="0"/>
        <w:tabs>
          <w:tab w:leader="none" w:pos="38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Base Rent commenced to accrue on </w:t>
      </w:r>
      <w:r>
        <w:rPr>
          <w:rFonts w:ascii="Arial" w:cs="Arial" w:eastAsia="Arial" w:hAnsi="Arial"/>
          <w:sz w:val="16"/>
          <w:szCs w:val="16"/>
          <w:b w:val="1"/>
          <w:bCs w:val="1"/>
          <w:u w:val="single" w:color="auto"/>
          <w:color w:val="auto"/>
        </w:rPr>
        <w:t>June 1, 2017</w:t>
      </w:r>
      <w:r>
        <w:rPr>
          <w:rFonts w:ascii="Arial" w:cs="Arial" w:eastAsia="Arial" w:hAnsi="Arial"/>
          <w:sz w:val="16"/>
          <w:szCs w:val="16"/>
          <w:color w:val="auto"/>
        </w:rPr>
        <w:t xml:space="preserve">, in the amount of </w:t>
      </w:r>
      <w:r>
        <w:rPr>
          <w:rFonts w:ascii="Arial" w:cs="Arial" w:eastAsia="Arial" w:hAnsi="Arial"/>
          <w:sz w:val="16"/>
          <w:szCs w:val="16"/>
          <w:b w:val="1"/>
          <w:bCs w:val="1"/>
          <w:u w:val="single" w:color="auto"/>
          <w:color w:val="auto"/>
        </w:rPr>
        <w:t>$78,497.25</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ind w:left="386" w:hanging="386"/>
        <w:spacing w:after="0"/>
        <w:tabs>
          <w:tab w:leader="none" w:pos="386" w:val="left"/>
        </w:tabs>
        <w:numPr>
          <w:ilvl w:val="0"/>
          <w:numId w:val="342"/>
        </w:numPr>
        <w:rPr>
          <w:rFonts w:ascii="Arial" w:cs="Arial" w:eastAsia="Arial" w:hAnsi="Arial"/>
          <w:sz w:val="16"/>
          <w:szCs w:val="16"/>
          <w:color w:val="auto"/>
        </w:rPr>
      </w:pPr>
      <w:r>
        <w:rPr>
          <w:rFonts w:ascii="Arial" w:cs="Arial" w:eastAsia="Arial" w:hAnsi="Arial"/>
          <w:sz w:val="16"/>
          <w:szCs w:val="16"/>
          <w:color w:val="auto"/>
        </w:rPr>
        <w:t>Your rent checks should be made payable to:</w:t>
      </w:r>
    </w:p>
    <w:p>
      <w:pPr>
        <w:spacing w:after="0" w:line="95"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HCP Life Science Reit</w:t>
      </w:r>
    </w:p>
    <w:p>
      <w:pPr>
        <w:spacing w:after="0" w:line="20"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File 55142</w:t>
      </w:r>
    </w:p>
    <w:p>
      <w:pPr>
        <w:spacing w:after="0" w:line="5" w:lineRule="exact"/>
        <w:rPr>
          <w:sz w:val="20"/>
          <w:szCs w:val="20"/>
          <w:color w:val="auto"/>
        </w:rPr>
      </w:pPr>
    </w:p>
    <w:p>
      <w:pPr>
        <w:ind w:left="746"/>
        <w:spacing w:after="0"/>
        <w:rPr>
          <w:sz w:val="20"/>
          <w:szCs w:val="20"/>
          <w:color w:val="auto"/>
        </w:rPr>
      </w:pPr>
      <w:r>
        <w:rPr>
          <w:rFonts w:ascii="Arial" w:cs="Arial" w:eastAsia="Arial" w:hAnsi="Arial"/>
          <w:sz w:val="16"/>
          <w:szCs w:val="16"/>
          <w:b w:val="1"/>
          <w:bCs w:val="1"/>
          <w:color w:val="auto"/>
        </w:rPr>
        <w:t>Los Angeles, California 90074-1142</w:t>
      </w:r>
    </w:p>
    <w:p>
      <w:pPr>
        <w:spacing w:after="0" w:line="95" w:lineRule="exact"/>
        <w:rPr>
          <w:sz w:val="20"/>
          <w:szCs w:val="20"/>
          <w:color w:val="auto"/>
        </w:rPr>
      </w:pPr>
    </w:p>
    <w:p>
      <w:pPr>
        <w:ind w:left="386" w:hanging="386"/>
        <w:spacing w:after="0"/>
        <w:tabs>
          <w:tab w:leader="none" w:pos="38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The exact number of rentable/usable square feet within the Premises is </w:t>
      </w:r>
      <w:r>
        <w:rPr>
          <w:rFonts w:ascii="Arial" w:cs="Arial" w:eastAsia="Arial" w:hAnsi="Arial"/>
          <w:sz w:val="16"/>
          <w:szCs w:val="16"/>
          <w:b w:val="1"/>
          <w:bCs w:val="1"/>
          <w:u w:val="single" w:color="auto"/>
          <w:color w:val="auto"/>
        </w:rPr>
        <w:t>32,370</w:t>
      </w:r>
      <w:r>
        <w:rPr>
          <w:rFonts w:ascii="Arial" w:cs="Arial" w:eastAsia="Arial" w:hAnsi="Arial"/>
          <w:sz w:val="16"/>
          <w:szCs w:val="16"/>
          <w:color w:val="auto"/>
        </w:rPr>
        <w:t xml:space="preserve"> square feet.</w:t>
      </w:r>
    </w:p>
    <w:p>
      <w:pPr>
        <w:spacing w:after="0" w:line="110" w:lineRule="exact"/>
        <w:rPr>
          <w:rFonts w:ascii="Arial" w:cs="Arial" w:eastAsia="Arial" w:hAnsi="Arial"/>
          <w:sz w:val="16"/>
          <w:szCs w:val="16"/>
          <w:color w:val="auto"/>
        </w:rPr>
      </w:pPr>
    </w:p>
    <w:p>
      <w:pPr>
        <w:ind w:left="386" w:hanging="386"/>
        <w:spacing w:after="0"/>
        <w:tabs>
          <w:tab w:leader="none" w:pos="386" w:val="left"/>
        </w:tabs>
        <w:numPr>
          <w:ilvl w:val="0"/>
          <w:numId w:val="343"/>
        </w:numPr>
        <w:rPr>
          <w:rFonts w:ascii="Arial" w:cs="Arial" w:eastAsia="Arial" w:hAnsi="Arial"/>
          <w:sz w:val="16"/>
          <w:szCs w:val="16"/>
          <w:color w:val="auto"/>
        </w:rPr>
      </w:pPr>
      <w:r>
        <w:rPr>
          <w:rFonts w:ascii="Arial" w:cs="Arial" w:eastAsia="Arial" w:hAnsi="Arial"/>
          <w:sz w:val="16"/>
          <w:szCs w:val="16"/>
          <w:color w:val="auto"/>
        </w:rPr>
        <w:t xml:space="preserve">Tenant’s Share based upon the number of usable square feet within the Premises is </w:t>
      </w:r>
      <w:r>
        <w:rPr>
          <w:rFonts w:ascii="Arial" w:cs="Arial" w:eastAsia="Arial" w:hAnsi="Arial"/>
          <w:sz w:val="16"/>
          <w:szCs w:val="16"/>
          <w:b w:val="1"/>
          <w:bCs w:val="1"/>
          <w:u w:val="single" w:color="auto"/>
          <w:color w:val="auto"/>
        </w:rPr>
        <w:t>24.38</w:t>
      </w:r>
      <w:r>
        <w:rPr>
          <w:rFonts w:ascii="Arial" w:cs="Arial" w:eastAsia="Arial" w:hAnsi="Arial"/>
          <w:sz w:val="16"/>
          <w:szCs w:val="16"/>
          <w:color w:val="auto"/>
        </w:rPr>
        <w:t>%.</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“L</w:t>
      </w:r>
      <w:r>
        <w:rPr>
          <w:rFonts w:ascii="Arial" w:cs="Arial" w:eastAsia="Arial" w:hAnsi="Arial"/>
          <w:sz w:val="13"/>
          <w:szCs w:val="13"/>
          <w:b w:val="1"/>
          <w:bCs w:val="1"/>
          <w:color w:val="auto"/>
        </w:rPr>
        <w:t>ANDLORD</w:t>
      </w:r>
      <w:r>
        <w:rPr>
          <w:rFonts w:ascii="Arial" w:cs="Arial" w:eastAsia="Arial" w:hAnsi="Arial"/>
          <w:sz w:val="16"/>
          <w:szCs w:val="16"/>
          <w:b w:val="1"/>
          <w:bCs w:val="1"/>
          <w:color w:val="auto"/>
        </w:rPr>
        <w:t>”:</w:t>
      </w:r>
    </w:p>
    <w:p>
      <w:pPr>
        <w:spacing w:after="0" w:line="217"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HCP OYSTER POINT III, LLC</w:t>
      </w:r>
      <w:r>
        <w:rPr>
          <w:rFonts w:ascii="Arial" w:cs="Arial" w:eastAsia="Arial" w:hAnsi="Arial"/>
          <w:sz w:val="16"/>
          <w:szCs w:val="16"/>
          <w:color w:val="auto"/>
        </w:rPr>
        <w:t>,</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a Delaware limited liability company</w:t>
      </w:r>
    </w:p>
    <w:p>
      <w:pPr>
        <w:spacing w:after="0" w:line="194" w:lineRule="exact"/>
        <w:rPr>
          <w:sz w:val="20"/>
          <w:szCs w:val="20"/>
          <w:color w:val="auto"/>
        </w:rPr>
      </w:pPr>
    </w:p>
    <w:p>
      <w:pPr>
        <w:jc w:val="right"/>
        <w:ind w:right="7119"/>
        <w:spacing w:after="0"/>
        <w:rPr>
          <w:sz w:val="20"/>
          <w:szCs w:val="20"/>
          <w:color w:val="auto"/>
        </w:rPr>
      </w:pPr>
      <w:r>
        <w:rPr>
          <w:rFonts w:ascii="Arial" w:cs="Arial" w:eastAsia="Arial" w:hAnsi="Arial"/>
          <w:sz w:val="13"/>
          <w:szCs w:val="13"/>
          <w:color w:val="auto"/>
        </w:rPr>
        <w:t>By: /s/ Jonathan M. Bergschneider</w:t>
      </w:r>
    </w:p>
    <w:p>
      <w:pPr>
        <w:spacing w:after="0" w:line="51" w:lineRule="exact"/>
        <w:rPr>
          <w:sz w:val="20"/>
          <w:szCs w:val="20"/>
          <w:color w:val="auto"/>
        </w:rPr>
      </w:pPr>
    </w:p>
    <w:p>
      <w:pPr>
        <w:jc w:val="right"/>
        <w:ind w:right="7099"/>
        <w:spacing w:after="0"/>
        <w:rPr>
          <w:sz w:val="20"/>
          <w:szCs w:val="20"/>
          <w:color w:val="auto"/>
        </w:rPr>
      </w:pPr>
      <w:r>
        <w:rPr>
          <w:rFonts w:ascii="Arial" w:cs="Arial" w:eastAsia="Arial" w:hAnsi="Arial"/>
          <w:sz w:val="16"/>
          <w:szCs w:val="16"/>
          <w:color w:val="auto"/>
        </w:rPr>
        <w:t>Its: Senior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10795</wp:posOffset>
            </wp:positionV>
            <wp:extent cx="2103755" cy="762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-115570</wp:posOffset>
            </wp:positionV>
            <wp:extent cx="2275840"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color w:val="auto"/>
        </w:rPr>
        <w:t>Agreed to and Accepted as</w:t>
      </w:r>
    </w:p>
    <w:tbl>
      <w:tblPr>
        <w:tblLayout w:type="fixed"/>
        <w:tblInd w:w="6" w:type="dxa"/>
        <w:tblCellMar>
          <w:top w:w="0" w:type="dxa"/>
          <w:left w:w="0" w:type="dxa"/>
          <w:bottom w:w="0" w:type="dxa"/>
          <w:right w:w="0" w:type="dxa"/>
        </w:tblCellMar>
      </w:tblPr>
      <w:tr>
        <w:trPr>
          <w:trHeight w:val="170"/>
        </w:trPr>
        <w:tc>
          <w:tcPr>
            <w:tcW w:w="160" w:type="dxa"/>
            <w:vAlign w:val="bottom"/>
          </w:tcPr>
          <w:p>
            <w:pPr>
              <w:spacing w:after="0" w:line="171" w:lineRule="exact"/>
              <w:rPr>
                <w:sz w:val="20"/>
                <w:szCs w:val="20"/>
                <w:color w:val="auto"/>
              </w:rPr>
            </w:pPr>
            <w:r>
              <w:rPr>
                <w:rFonts w:ascii="Arial" w:cs="Arial" w:eastAsia="Arial" w:hAnsi="Arial"/>
                <w:sz w:val="16"/>
                <w:szCs w:val="16"/>
                <w:color w:val="auto"/>
              </w:rPr>
              <w:t>of</w:t>
            </w:r>
          </w:p>
        </w:tc>
        <w:tc>
          <w:tcPr>
            <w:tcW w:w="640" w:type="dxa"/>
            <w:vAlign w:val="bottom"/>
          </w:tcPr>
          <w:p>
            <w:pPr>
              <w:spacing w:after="0"/>
              <w:rPr>
                <w:sz w:val="14"/>
                <w:szCs w:val="14"/>
                <w:color w:val="auto"/>
              </w:rPr>
            </w:pPr>
          </w:p>
        </w:tc>
        <w:tc>
          <w:tcPr>
            <w:tcW w:w="260" w:type="dxa"/>
            <w:vAlign w:val="bottom"/>
          </w:tcPr>
          <w:p>
            <w:pPr>
              <w:jc w:val="right"/>
              <w:spacing w:after="0" w:line="171" w:lineRule="exact"/>
              <w:rPr>
                <w:sz w:val="20"/>
                <w:szCs w:val="20"/>
                <w:color w:val="auto"/>
              </w:rPr>
            </w:pPr>
            <w:r>
              <w:rPr>
                <w:rFonts w:ascii="Arial" w:cs="Arial" w:eastAsia="Arial" w:hAnsi="Arial"/>
                <w:sz w:val="16"/>
                <w:szCs w:val="16"/>
                <w:color w:val="auto"/>
                <w:w w:val="74"/>
              </w:rPr>
              <w:t>, 20</w:t>
            </w:r>
          </w:p>
        </w:tc>
        <w:tc>
          <w:tcPr>
            <w:tcW w:w="360" w:type="dxa"/>
            <w:vAlign w:val="bottom"/>
            <w:gridSpan w:val="2"/>
          </w:tcPr>
          <w:p>
            <w:pPr>
              <w:jc w:val="right"/>
              <w:spacing w:after="0" w:line="171" w:lineRule="exact"/>
              <w:rPr>
                <w:sz w:val="20"/>
                <w:szCs w:val="20"/>
                <w:color w:val="auto"/>
              </w:rPr>
            </w:pPr>
            <w:r>
              <w:rPr>
                <w:rFonts w:ascii="Arial" w:cs="Arial" w:eastAsia="Arial" w:hAnsi="Arial"/>
                <w:sz w:val="16"/>
                <w:szCs w:val="16"/>
                <w:color w:val="auto"/>
              </w:rPr>
              <w:t>.</w:t>
            </w:r>
          </w:p>
        </w:tc>
      </w:tr>
      <w:tr>
        <w:trPr>
          <w:trHeight w:val="20"/>
        </w:trPr>
        <w:tc>
          <w:tcPr>
            <w:tcW w:w="16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5"/>
        </w:trPr>
        <w:tc>
          <w:tcPr>
            <w:tcW w:w="800" w:type="dxa"/>
            <w:vAlign w:val="bottom"/>
            <w:gridSpan w:val="2"/>
          </w:tcPr>
          <w:p>
            <w:pPr>
              <w:spacing w:after="0"/>
              <w:rPr>
                <w:sz w:val="20"/>
                <w:szCs w:val="20"/>
                <w:color w:val="auto"/>
              </w:rPr>
            </w:pPr>
            <w:r>
              <w:rPr>
                <w:rFonts w:ascii="Arial" w:cs="Arial" w:eastAsia="Arial" w:hAnsi="Arial"/>
                <w:sz w:val="16"/>
                <w:szCs w:val="16"/>
                <w:b w:val="1"/>
                <w:bCs w:val="1"/>
                <w:color w:val="auto"/>
              </w:rPr>
              <w:t>“T</w:t>
            </w:r>
            <w:r>
              <w:rPr>
                <w:rFonts w:ascii="Arial" w:cs="Arial" w:eastAsia="Arial" w:hAnsi="Arial"/>
                <w:sz w:val="13"/>
                <w:szCs w:val="13"/>
                <w:b w:val="1"/>
                <w:bCs w:val="1"/>
                <w:color w:val="auto"/>
              </w:rPr>
              <w:t>ENANT</w:t>
            </w:r>
            <w:r>
              <w:rPr>
                <w:rFonts w:ascii="Arial" w:cs="Arial" w:eastAsia="Arial" w:hAnsi="Arial"/>
                <w:sz w:val="16"/>
                <w:szCs w:val="16"/>
                <w:b w:val="1"/>
                <w:bCs w:val="1"/>
                <w:color w:val="auto"/>
              </w:rPr>
              <w:t>”:</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303"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TENAYA THERAPEUTICS</w:t>
      </w:r>
    </w:p>
    <w:p>
      <w:pPr>
        <w:spacing w:after="0" w:line="20" w:lineRule="exact"/>
        <w:rPr>
          <w:sz w:val="20"/>
          <w:szCs w:val="20"/>
          <w:color w:val="auto"/>
        </w:rPr>
      </w:pPr>
    </w:p>
    <w:p>
      <w:pPr>
        <w:ind w:left="6"/>
        <w:spacing w:after="0"/>
        <w:rPr>
          <w:sz w:val="20"/>
          <w:szCs w:val="20"/>
          <w:color w:val="auto"/>
        </w:rPr>
      </w:pPr>
      <w:r>
        <w:rPr>
          <w:rFonts w:ascii="Arial" w:cs="Arial" w:eastAsia="Arial" w:hAnsi="Arial"/>
          <w:sz w:val="16"/>
          <w:szCs w:val="16"/>
          <w:color w:val="auto"/>
        </w:rPr>
        <w:t>A Delaware corporation</w:t>
      </w:r>
    </w:p>
    <w:p>
      <w:pPr>
        <w:spacing w:after="0" w:line="194" w:lineRule="exact"/>
        <w:rPr>
          <w:sz w:val="20"/>
          <w:szCs w:val="20"/>
          <w:color w:val="auto"/>
        </w:rPr>
      </w:pPr>
    </w:p>
    <w:p>
      <w:pPr>
        <w:ind w:left="6"/>
        <w:spacing w:after="0"/>
        <w:rPr>
          <w:sz w:val="20"/>
          <w:szCs w:val="20"/>
          <w:color w:val="auto"/>
        </w:rPr>
      </w:pPr>
      <w:r>
        <w:rPr>
          <w:rFonts w:ascii="Arial" w:cs="Arial" w:eastAsia="Arial" w:hAnsi="Arial"/>
          <w:sz w:val="16"/>
          <w:szCs w:val="16"/>
          <w:color w:val="auto"/>
        </w:rPr>
        <w:t>By: /s/ JeenJoo S. Kang</w:t>
      </w:r>
    </w:p>
    <w:p>
      <w:pPr>
        <w:spacing w:after="0" w:line="16" w:lineRule="exact"/>
        <w:rPr>
          <w:sz w:val="20"/>
          <w:szCs w:val="20"/>
          <w:color w:val="auto"/>
        </w:rPr>
      </w:pPr>
    </w:p>
    <w:p>
      <w:pPr>
        <w:ind w:left="306"/>
        <w:spacing w:after="0"/>
        <w:rPr>
          <w:sz w:val="20"/>
          <w:szCs w:val="20"/>
          <w:color w:val="auto"/>
        </w:rPr>
      </w:pPr>
      <w:r>
        <w:rPr>
          <w:rFonts w:ascii="Arial" w:cs="Arial" w:eastAsia="Arial" w:hAnsi="Arial"/>
          <w:sz w:val="16"/>
          <w:szCs w:val="16"/>
          <w:color w:val="auto"/>
        </w:rPr>
        <w:t>Its: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10795</wp:posOffset>
            </wp:positionV>
            <wp:extent cx="2103755" cy="762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-115570</wp:posOffset>
            </wp:positionV>
            <wp:extent cx="2275840" cy="76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ectPr>
          <w:pgSz w:w="11900" w:h="16838" w:orient="portrait"/>
          <w:cols w:equalWidth="0" w:num="1">
            <w:col w:w="9325"/>
          </w:cols>
          <w:pgMar w:left="1134" w:top="252" w:right="1440"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 D</w:t>
            </w:r>
          </w:p>
        </w:tc>
        <w:tc>
          <w:tcPr>
            <w:tcW w:w="188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57"/>
        </w:trPr>
        <w:tc>
          <w:tcPr>
            <w:tcW w:w="1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8"/>
              </w:rPr>
              <w:t>FORM OF TENANT’S ESTOPPEL CERTIFICATE</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7"/>
        </w:trPr>
        <w:tc>
          <w:tcPr>
            <w:tcW w:w="6320" w:type="dxa"/>
            <w:vAlign w:val="bottom"/>
            <w:gridSpan w:val="5"/>
          </w:tcPr>
          <w:p>
            <w:pPr>
              <w:ind w:left="380"/>
              <w:spacing w:after="0"/>
              <w:rPr>
                <w:sz w:val="20"/>
                <w:szCs w:val="20"/>
                <w:color w:val="auto"/>
              </w:rPr>
            </w:pPr>
            <w:r>
              <w:rPr>
                <w:rFonts w:ascii="Arial" w:cs="Arial" w:eastAsia="Arial" w:hAnsi="Arial"/>
                <w:sz w:val="16"/>
                <w:szCs w:val="16"/>
                <w:color w:val="auto"/>
                <w:w w:val="87"/>
              </w:rPr>
              <w:t>The undersigned as Tenant under that certain Lease (the “</w:t>
            </w:r>
            <w:r>
              <w:rPr>
                <w:rFonts w:ascii="Arial" w:cs="Arial" w:eastAsia="Arial" w:hAnsi="Arial"/>
                <w:sz w:val="16"/>
                <w:szCs w:val="16"/>
                <w:b w:val="1"/>
                <w:bCs w:val="1"/>
                <w:color w:val="auto"/>
                <w:w w:val="87"/>
              </w:rPr>
              <w:t>Lease</w:t>
            </w:r>
            <w:r>
              <w:rPr>
                <w:rFonts w:ascii="Arial" w:cs="Arial" w:eastAsia="Arial" w:hAnsi="Arial"/>
                <w:sz w:val="16"/>
                <w:szCs w:val="16"/>
                <w:color w:val="auto"/>
                <w:w w:val="87"/>
              </w:rPr>
              <w:t>”) made and entered into as of</w:t>
            </w:r>
          </w:p>
        </w:tc>
        <w:tc>
          <w:tcPr>
            <w:tcW w:w="780" w:type="dxa"/>
            <w:vAlign w:val="bottom"/>
            <w:gridSpan w:val="2"/>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6"/>
                <w:szCs w:val="16"/>
                <w:color w:val="auto"/>
              </w:rPr>
              <w:t>, 20   by and between</w:t>
            </w:r>
          </w:p>
        </w:tc>
        <w:tc>
          <w:tcPr>
            <w:tcW w:w="4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100" w:type="dxa"/>
            <w:vAlign w:val="bottom"/>
            <w:tcBorders>
              <w:bottom w:val="single" w:sz="8" w:color="auto"/>
            </w:tcBorders>
          </w:tcPr>
          <w:p>
            <w:pPr>
              <w:spacing w:after="0"/>
              <w:rPr>
                <w:sz w:val="14"/>
                <w:szCs w:val="14"/>
                <w:color w:val="auto"/>
              </w:rPr>
            </w:pPr>
          </w:p>
        </w:tc>
        <w:tc>
          <w:tcPr>
            <w:tcW w:w="6720" w:type="dxa"/>
            <w:vAlign w:val="bottom"/>
            <w:gridSpan w:val="9"/>
          </w:tcPr>
          <w:p>
            <w:pPr>
              <w:ind w:left="40"/>
              <w:spacing w:after="0" w:line="168" w:lineRule="exact"/>
              <w:rPr>
                <w:sz w:val="20"/>
                <w:szCs w:val="20"/>
                <w:color w:val="auto"/>
              </w:rPr>
            </w:pPr>
            <w:r>
              <w:rPr>
                <w:rFonts w:ascii="Arial" w:cs="Arial" w:eastAsia="Arial" w:hAnsi="Arial"/>
                <w:sz w:val="16"/>
                <w:szCs w:val="16"/>
                <w:color w:val="auto"/>
                <w:w w:val="88"/>
              </w:rPr>
              <w:t>as Landlord, and the undersigned as Tenant, for Premises consisting of a portion of the building located at</w:t>
            </w:r>
          </w:p>
        </w:tc>
        <w:tc>
          <w:tcPr>
            <w:tcW w:w="158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California, certifies as follows:</w:t>
      </w:r>
    </w:p>
    <w:p>
      <w:pPr>
        <w:spacing w:after="0" w:line="189" w:lineRule="exact"/>
        <w:rPr>
          <w:sz w:val="20"/>
          <w:szCs w:val="20"/>
          <w:color w:val="auto"/>
        </w:rPr>
      </w:pPr>
    </w:p>
    <w:p>
      <w:pPr>
        <w:ind w:right="80" w:firstLine="378"/>
        <w:spacing w:after="0" w:line="272" w:lineRule="auto"/>
        <w:tabs>
          <w:tab w:leader="none" w:pos="542" w:val="left"/>
        </w:tabs>
        <w:numPr>
          <w:ilvl w:val="0"/>
          <w:numId w:val="344"/>
        </w:numPr>
        <w:rPr>
          <w:rFonts w:ascii="Arial" w:cs="Arial" w:eastAsia="Arial" w:hAnsi="Arial"/>
          <w:sz w:val="16"/>
          <w:szCs w:val="16"/>
          <w:color w:val="auto"/>
        </w:rPr>
      </w:pPr>
      <w:r>
        <w:rPr>
          <w:rFonts w:ascii="Arial" w:cs="Arial" w:eastAsia="Arial" w:hAnsi="Arial"/>
          <w:sz w:val="16"/>
          <w:szCs w:val="16"/>
          <w:color w:val="auto"/>
        </w:rPr>
        <w:t xml:space="preserve">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is a true and correct copy of the Lease and all amendments and modifications thereto. The documents contained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represent the entire agreement between the parties as to the Premises.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 w:type="dxa"/>
            <w:vAlign w:val="bottom"/>
          </w:tcPr>
          <w:p>
            <w:pPr>
              <w:jc w:val="right"/>
              <w:spacing w:after="0"/>
              <w:rPr>
                <w:sz w:val="20"/>
                <w:szCs w:val="20"/>
                <w:color w:val="auto"/>
              </w:rPr>
            </w:pPr>
            <w:r>
              <w:rPr>
                <w:rFonts w:ascii="Arial" w:cs="Arial" w:eastAsia="Arial" w:hAnsi="Arial"/>
                <w:sz w:val="16"/>
                <w:szCs w:val="16"/>
                <w:color w:val="auto"/>
              </w:rPr>
              <w:t>2.</w:t>
            </w:r>
          </w:p>
        </w:tc>
        <w:tc>
          <w:tcPr>
            <w:tcW w:w="6620" w:type="dxa"/>
            <w:vAlign w:val="bottom"/>
            <w:gridSpan w:val="5"/>
          </w:tcPr>
          <w:p>
            <w:pPr>
              <w:ind w:left="20"/>
              <w:spacing w:after="0"/>
              <w:rPr>
                <w:sz w:val="20"/>
                <w:szCs w:val="20"/>
                <w:color w:val="auto"/>
              </w:rPr>
            </w:pPr>
            <w:r>
              <w:rPr>
                <w:rFonts w:ascii="Arial" w:cs="Arial" w:eastAsia="Arial" w:hAnsi="Arial"/>
                <w:sz w:val="16"/>
                <w:szCs w:val="16"/>
                <w:color w:val="auto"/>
                <w:w w:val="87"/>
              </w:rPr>
              <w:t>The undersigned currently occupies the Premises described in the Lease, the Lease Term commenced on</w:t>
            </w:r>
          </w:p>
        </w:tc>
        <w:tc>
          <w:tcPr>
            <w:tcW w:w="780" w:type="dxa"/>
            <w:vAlign w:val="bottom"/>
            <w:tcBorders>
              <w:bottom w:val="single" w:sz="8" w:color="auto"/>
            </w:tcBorders>
          </w:tcPr>
          <w:p>
            <w:pPr>
              <w:spacing w:after="0"/>
              <w:rPr>
                <w:sz w:val="16"/>
                <w:szCs w:val="16"/>
                <w:color w:val="auto"/>
              </w:rPr>
            </w:pPr>
          </w:p>
        </w:tc>
        <w:tc>
          <w:tcPr>
            <w:tcW w:w="1540" w:type="dxa"/>
            <w:vAlign w:val="bottom"/>
          </w:tcPr>
          <w:p>
            <w:pPr>
              <w:spacing w:after="0"/>
              <w:rPr>
                <w:sz w:val="20"/>
                <w:szCs w:val="20"/>
                <w:color w:val="auto"/>
              </w:rPr>
            </w:pPr>
            <w:r>
              <w:rPr>
                <w:rFonts w:ascii="Arial" w:cs="Arial" w:eastAsia="Arial" w:hAnsi="Arial"/>
                <w:sz w:val="16"/>
                <w:szCs w:val="16"/>
                <w:color w:val="auto"/>
                <w:w w:val="99"/>
              </w:rPr>
              <w:t>, and the Lease Term</w:t>
            </w:r>
          </w:p>
        </w:tc>
      </w:tr>
      <w:tr>
        <w:trPr>
          <w:trHeight w:val="169"/>
        </w:trPr>
        <w:tc>
          <w:tcPr>
            <w:tcW w:w="680" w:type="dxa"/>
            <w:vAlign w:val="bottom"/>
            <w:gridSpan w:val="2"/>
          </w:tcPr>
          <w:p>
            <w:pPr>
              <w:spacing w:after="0" w:line="168" w:lineRule="exact"/>
              <w:rPr>
                <w:sz w:val="20"/>
                <w:szCs w:val="20"/>
                <w:color w:val="auto"/>
              </w:rPr>
            </w:pPr>
            <w:r>
              <w:rPr>
                <w:rFonts w:ascii="Arial" w:cs="Arial" w:eastAsia="Arial" w:hAnsi="Arial"/>
                <w:sz w:val="16"/>
                <w:szCs w:val="16"/>
                <w:color w:val="auto"/>
                <w:w w:val="89"/>
              </w:rPr>
              <w:t>expires on</w:t>
            </w:r>
          </w:p>
        </w:tc>
        <w:tc>
          <w:tcPr>
            <w:tcW w:w="780" w:type="dxa"/>
            <w:vAlign w:val="bottom"/>
            <w:tcBorders>
              <w:bottom w:val="single" w:sz="8" w:color="auto"/>
            </w:tcBorders>
          </w:tcPr>
          <w:p>
            <w:pPr>
              <w:spacing w:after="0"/>
              <w:rPr>
                <w:sz w:val="14"/>
                <w:szCs w:val="14"/>
                <w:color w:val="auto"/>
              </w:rPr>
            </w:pPr>
          </w:p>
        </w:tc>
        <w:tc>
          <w:tcPr>
            <w:tcW w:w="8000" w:type="dxa"/>
            <w:vAlign w:val="bottom"/>
            <w:gridSpan w:val="5"/>
          </w:tcPr>
          <w:p>
            <w:pPr>
              <w:spacing w:after="0" w:line="168" w:lineRule="exact"/>
              <w:rPr>
                <w:sz w:val="20"/>
                <w:szCs w:val="20"/>
                <w:color w:val="auto"/>
              </w:rPr>
            </w:pPr>
            <w:r>
              <w:rPr>
                <w:rFonts w:ascii="Arial" w:cs="Arial" w:eastAsia="Arial" w:hAnsi="Arial"/>
                <w:sz w:val="16"/>
                <w:szCs w:val="16"/>
                <w:color w:val="auto"/>
                <w:w w:val="88"/>
              </w:rPr>
              <w:t>, and the undersigned has no option to terminate or cancel the Lease or to purchase all or any part of the Premises, the Building</w:t>
            </w:r>
          </w:p>
        </w:tc>
      </w:tr>
      <w:tr>
        <w:trPr>
          <w:trHeight w:val="203"/>
        </w:trPr>
        <w:tc>
          <w:tcPr>
            <w:tcW w:w="7140" w:type="dxa"/>
            <w:vAlign w:val="bottom"/>
            <w:gridSpan w:val="6"/>
          </w:tcPr>
          <w:p>
            <w:pPr>
              <w:spacing w:after="0"/>
              <w:rPr>
                <w:sz w:val="20"/>
                <w:szCs w:val="20"/>
                <w:color w:val="auto"/>
              </w:rPr>
            </w:pPr>
            <w:r>
              <w:rPr>
                <w:rFonts w:ascii="Arial" w:cs="Arial" w:eastAsia="Arial" w:hAnsi="Arial"/>
                <w:sz w:val="16"/>
                <w:szCs w:val="16"/>
                <w:color w:val="auto"/>
              </w:rPr>
              <w:t>and/or the Project, except as expressly set forth in the Lease.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343"/>
        </w:trPr>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1940" w:type="dxa"/>
            <w:vAlign w:val="bottom"/>
            <w:gridSpan w:val="3"/>
          </w:tcPr>
          <w:p>
            <w:pPr>
              <w:ind w:left="20"/>
              <w:spacing w:after="0"/>
              <w:rPr>
                <w:sz w:val="20"/>
                <w:szCs w:val="20"/>
                <w:color w:val="auto"/>
              </w:rPr>
            </w:pPr>
            <w:r>
              <w:rPr>
                <w:rFonts w:ascii="Arial" w:cs="Arial" w:eastAsia="Arial" w:hAnsi="Arial"/>
                <w:sz w:val="16"/>
                <w:szCs w:val="16"/>
                <w:color w:val="auto"/>
                <w:w w:val="86"/>
              </w:rPr>
              <w:t>Base Rent became payable on</w:t>
            </w:r>
          </w:p>
        </w:tc>
        <w:tc>
          <w:tcPr>
            <w:tcW w:w="780" w:type="dxa"/>
            <w:vAlign w:val="bottom"/>
            <w:tcBorders>
              <w:bottom w:val="single" w:sz="8" w:color="auto"/>
            </w:tcBorders>
          </w:tcPr>
          <w:p>
            <w:pPr>
              <w:spacing w:after="0"/>
              <w:rPr>
                <w:sz w:val="24"/>
                <w:szCs w:val="24"/>
                <w:color w:val="auto"/>
              </w:rPr>
            </w:pPr>
          </w:p>
        </w:tc>
        <w:tc>
          <w:tcPr>
            <w:tcW w:w="3900" w:type="dxa"/>
            <w:vAlign w:val="bottom"/>
          </w:tcPr>
          <w:p>
            <w:pPr>
              <w:jc w:val="right"/>
              <w:ind w:right="3809"/>
              <w:spacing w:after="0"/>
              <w:rPr>
                <w:sz w:val="20"/>
                <w:szCs w:val="20"/>
                <w:color w:val="auto"/>
              </w:rPr>
            </w:pPr>
            <w:r>
              <w:rPr>
                <w:rFonts w:ascii="Arial" w:cs="Arial" w:eastAsia="Arial" w:hAnsi="Arial"/>
                <w:sz w:val="10"/>
                <w:szCs w:val="10"/>
                <w:color w:val="auto"/>
                <w:w w:val="70"/>
              </w:rPr>
              <w:t>.</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96" w:lineRule="exact"/>
        <w:rPr>
          <w:sz w:val="20"/>
          <w:szCs w:val="20"/>
          <w:color w:val="auto"/>
        </w:rPr>
      </w:pPr>
    </w:p>
    <w:p>
      <w:pPr>
        <w:ind w:left="540" w:hanging="162"/>
        <w:spacing w:after="0"/>
        <w:tabs>
          <w:tab w:leader="none" w:pos="540" w:val="left"/>
        </w:tabs>
        <w:numPr>
          <w:ilvl w:val="0"/>
          <w:numId w:val="345"/>
        </w:numPr>
        <w:rPr>
          <w:rFonts w:ascii="Arial" w:cs="Arial" w:eastAsia="Arial" w:hAnsi="Arial"/>
          <w:sz w:val="15"/>
          <w:szCs w:val="15"/>
          <w:color w:val="auto"/>
        </w:rPr>
      </w:pPr>
      <w:r>
        <w:rPr>
          <w:rFonts w:ascii="Arial" w:cs="Arial" w:eastAsia="Arial" w:hAnsi="Arial"/>
          <w:sz w:val="15"/>
          <w:szCs w:val="15"/>
          <w:color w:val="auto"/>
        </w:rPr>
        <w:t xml:space="preserve">The Lease is in full force and effect and has not been modified, supplemented or amended in any way except as provided in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w:t>
      </w:r>
    </w:p>
    <w:p>
      <w:pPr>
        <w:spacing w:after="0" w:line="208" w:lineRule="exact"/>
        <w:rPr>
          <w:rFonts w:ascii="Arial" w:cs="Arial" w:eastAsia="Arial" w:hAnsi="Arial"/>
          <w:sz w:val="15"/>
          <w:szCs w:val="15"/>
          <w:color w:val="auto"/>
        </w:rPr>
      </w:pPr>
    </w:p>
    <w:p>
      <w:pPr>
        <w:ind w:right="120" w:firstLine="378"/>
        <w:spacing w:after="0" w:line="266" w:lineRule="auto"/>
        <w:tabs>
          <w:tab w:leader="none" w:pos="542"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Tenant has not transferred, assigned, or sublet any portion of the Premises nor entered into any license or concession agreements with respect thereto except as follows:</w:t>
      </w:r>
    </w:p>
    <w:p>
      <w:pPr>
        <w:spacing w:after="0" w:line="154" w:lineRule="exact"/>
        <w:rPr>
          <w:rFonts w:ascii="Arial" w:cs="Arial" w:eastAsia="Arial" w:hAnsi="Arial"/>
          <w:sz w:val="16"/>
          <w:szCs w:val="16"/>
          <w:color w:val="auto"/>
        </w:rPr>
      </w:pPr>
    </w:p>
    <w:p>
      <w:pPr>
        <w:ind w:left="540" w:hanging="162"/>
        <w:spacing w:after="0"/>
        <w:tabs>
          <w:tab w:leader="none" w:pos="54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Tenant shall not modify the documents contained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without the prior written consent of Landlord’s mortgagee.</w:t>
      </w:r>
    </w:p>
    <w:p>
      <w:pPr>
        <w:spacing w:after="0" w:line="197" w:lineRule="exact"/>
        <w:rPr>
          <w:rFonts w:ascii="Arial" w:cs="Arial" w:eastAsia="Arial" w:hAnsi="Arial"/>
          <w:sz w:val="16"/>
          <w:szCs w:val="16"/>
          <w:color w:val="auto"/>
        </w:rPr>
      </w:pPr>
    </w:p>
    <w:p>
      <w:pPr>
        <w:ind w:left="540" w:hanging="162"/>
        <w:spacing w:after="0"/>
        <w:tabs>
          <w:tab w:leader="none" w:pos="540" w:val="left"/>
        </w:tabs>
        <w:numPr>
          <w:ilvl w:val="0"/>
          <w:numId w:val="345"/>
        </w:numPr>
        <w:rPr>
          <w:rFonts w:ascii="Arial" w:cs="Arial" w:eastAsia="Arial" w:hAnsi="Arial"/>
          <w:sz w:val="13"/>
          <w:szCs w:val="13"/>
          <w:color w:val="auto"/>
        </w:rPr>
      </w:pPr>
      <w:r>
        <w:rPr>
          <w:rFonts w:ascii="Arial" w:cs="Arial" w:eastAsia="Arial" w:hAnsi="Arial"/>
          <w:sz w:val="13"/>
          <w:szCs w:val="13"/>
          <w:color w:val="auto"/>
        </w:rPr>
        <w:t>All monthly installments of Base Rent, all Additional Rent and all monthly installments of estimated Additional Rent have been paid when due</w:t>
      </w:r>
    </w:p>
    <w:p>
      <w:pPr>
        <w:spacing w:after="0" w:line="51" w:lineRule="exact"/>
        <w:rPr>
          <w:sz w:val="20"/>
          <w:szCs w:val="20"/>
          <w:color w:val="auto"/>
        </w:rPr>
      </w:pPr>
    </w:p>
    <w:p>
      <w:pPr>
        <w:spacing w:after="0"/>
        <w:tabs>
          <w:tab w:leader="none" w:pos="1280" w:val="left"/>
          <w:tab w:leader="none" w:pos="5600" w:val="left"/>
        </w:tabs>
        <w:rPr>
          <w:sz w:val="20"/>
          <w:szCs w:val="20"/>
          <w:color w:val="auto"/>
        </w:rPr>
      </w:pPr>
      <w:r>
        <w:rPr>
          <w:rFonts w:ascii="Arial" w:cs="Arial" w:eastAsia="Arial" w:hAnsi="Arial"/>
          <w:sz w:val="16"/>
          <w:szCs w:val="16"/>
          <w:color w:val="auto"/>
        </w:rPr>
        <w:t>through</w:t>
      </w:r>
      <w:r>
        <w:rPr>
          <w:sz w:val="20"/>
          <w:szCs w:val="20"/>
          <w:color w:val="auto"/>
        </w:rPr>
        <w:tab/>
      </w:r>
      <w:r>
        <w:rPr>
          <w:rFonts w:ascii="Arial" w:cs="Arial" w:eastAsia="Arial" w:hAnsi="Arial"/>
          <w:sz w:val="16"/>
          <w:szCs w:val="16"/>
          <w:color w:val="auto"/>
        </w:rPr>
        <w:t>. The current monthly installment of Base Rent is $</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-18415</wp:posOffset>
            </wp:positionV>
            <wp:extent cx="499110"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499110" cy="7620"/>
                    </a:xfrm>
                    <a:prstGeom prst="rect">
                      <a:avLst/>
                    </a:prstGeom>
                    <a:noFill/>
                  </pic:spPr>
                </pic:pic>
              </a:graphicData>
            </a:graphic>
          </wp:anchor>
        </w:drawing>
        <w:drawing>
          <wp:anchor simplePos="0" relativeHeight="251657728" behindDoc="1" locked="0" layoutInCell="0" allowOverlap="1">
            <wp:simplePos x="0" y="0"/>
            <wp:positionH relativeFrom="column">
              <wp:posOffset>2875280</wp:posOffset>
            </wp:positionH>
            <wp:positionV relativeFrom="paragraph">
              <wp:posOffset>-18415</wp:posOffset>
            </wp:positionV>
            <wp:extent cx="698500" cy="762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8500" cy="7620"/>
                    </a:xfrm>
                    <a:prstGeom prst="rect">
                      <a:avLst/>
                    </a:prstGeom>
                    <a:noFill/>
                  </pic:spPr>
                </pic:pic>
              </a:graphicData>
            </a:graphic>
          </wp:anchor>
        </w:drawing>
      </w:r>
    </w:p>
    <w:p>
      <w:pPr>
        <w:spacing w:after="0" w:line="162" w:lineRule="exact"/>
        <w:rPr>
          <w:sz w:val="20"/>
          <w:szCs w:val="20"/>
          <w:color w:val="auto"/>
        </w:rPr>
      </w:pPr>
    </w:p>
    <w:p>
      <w:pPr>
        <w:jc w:val="both"/>
        <w:ind w:right="140" w:firstLine="378"/>
        <w:spacing w:after="0" w:line="253" w:lineRule="auto"/>
        <w:tabs>
          <w:tab w:leader="none" w:pos="54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To Tenant’s actual knowledge, without inquiry, all conditions of the Lease to be performed by Landlord necessary to the enforceability of the Lease have been satisfied and Landlord is not in default thereunder. In addition, the undersigned has not delivered any notice to Landlord regarding a default by Landlord thereunder. The Lease does not require Landlord to provide any rental concessions or to pay any leasing brokerage commissions except as expressly set forth therein.</w:t>
      </w:r>
    </w:p>
    <w:p>
      <w:pPr>
        <w:spacing w:after="0" w:line="167" w:lineRule="exact"/>
        <w:rPr>
          <w:rFonts w:ascii="Arial" w:cs="Arial" w:eastAsia="Arial" w:hAnsi="Arial"/>
          <w:sz w:val="16"/>
          <w:szCs w:val="16"/>
          <w:color w:val="auto"/>
        </w:rPr>
      </w:pPr>
    </w:p>
    <w:p>
      <w:pPr>
        <w:ind w:right="20" w:firstLine="378"/>
        <w:spacing w:after="0" w:line="251" w:lineRule="auto"/>
        <w:tabs>
          <w:tab w:leader="none" w:pos="542" w:val="left"/>
        </w:tabs>
        <w:numPr>
          <w:ilvl w:val="0"/>
          <w:numId w:val="346"/>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has been deposited with Landlord except as provided in the Lease. Neither Landlord, nor its successors or assigns, shall in any event be liable or responsible for, or with respect to, the retention, application and/or return to Tenant of any security deposit paid to any prior landlord of the Premises, whether or not still held by any such prior landlord, unless and until the party from whom the security deposit is being sought, whether it be a lender, or any of its successors or assigns, has actually received for its own account, as landlord, the full amount of such security deposit.</w:t>
      </w:r>
    </w:p>
    <w:p>
      <w:pPr>
        <w:spacing w:after="0" w:line="169" w:lineRule="exact"/>
        <w:rPr>
          <w:rFonts w:ascii="Arial" w:cs="Arial" w:eastAsia="Arial" w:hAnsi="Arial"/>
          <w:sz w:val="16"/>
          <w:szCs w:val="16"/>
          <w:color w:val="auto"/>
        </w:rPr>
      </w:pPr>
    </w:p>
    <w:p>
      <w:pPr>
        <w:ind w:right="540" w:firstLine="378"/>
        <w:spacing w:after="0" w:line="266" w:lineRule="auto"/>
        <w:tabs>
          <w:tab w:leader="none" w:pos="62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To Tenant’s actual knowledge, without inquiry, as of the date hereof, there are no existing defenses or offsets, or, to the undersigned’s knowledge, claims or any basis for a claim, that the undersigned has against Landlord.</w:t>
      </w:r>
    </w:p>
    <w:p>
      <w:pPr>
        <w:sectPr>
          <w:pgSz w:w="11900" w:h="16838" w:orient="portrait"/>
          <w:cols w:equalWidth="0" w:num="1">
            <w:col w:w="9540"/>
          </w:cols>
          <w:pgMar w:left="1140" w:top="238" w:right="1219" w:bottom="1440" w:gutter="0" w:footer="0" w:header="0"/>
        </w:sectPr>
      </w:pPr>
    </w:p>
    <w:bookmarkStart w:id="469" w:name="page470"/>
    <w:bookmarkEnd w:id="469"/>
    <w:p>
      <w:pPr>
        <w:jc w:val="both"/>
        <w:ind w:right="60" w:firstLine="378"/>
        <w:spacing w:after="0" w:line="256" w:lineRule="auto"/>
        <w:tabs>
          <w:tab w:leader="none" w:pos="614" w:val="left"/>
        </w:tabs>
        <w:numPr>
          <w:ilvl w:val="0"/>
          <w:numId w:val="3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If Tenant is a corporation or partnership, Tenant hereby represents and warrants that Tenant is a duly formed and existing entity qualified to do business in California and that Tenant has full right and authority to execute and deliver this Estoppel Certificate and that each person signing on behalf of Tenant is authorized to do so.</w:t>
      </w:r>
    </w:p>
    <w:p>
      <w:pPr>
        <w:spacing w:after="0" w:line="165" w:lineRule="exact"/>
        <w:rPr>
          <w:rFonts w:ascii="Arial" w:cs="Arial" w:eastAsia="Arial" w:hAnsi="Arial"/>
          <w:sz w:val="16"/>
          <w:szCs w:val="16"/>
          <w:color w:val="auto"/>
        </w:rPr>
      </w:pPr>
    </w:p>
    <w:p>
      <w:pPr>
        <w:ind w:left="620" w:hanging="242"/>
        <w:spacing w:after="0"/>
        <w:tabs>
          <w:tab w:leader="none" w:pos="6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There are no actions pending against the undersigned under the bankruptcy or similar laws of the United States or any state.</w:t>
      </w:r>
    </w:p>
    <w:p>
      <w:pPr>
        <w:spacing w:after="0" w:line="193" w:lineRule="exact"/>
        <w:rPr>
          <w:rFonts w:ascii="Arial" w:cs="Arial" w:eastAsia="Arial" w:hAnsi="Arial"/>
          <w:sz w:val="16"/>
          <w:szCs w:val="16"/>
          <w:color w:val="auto"/>
        </w:rPr>
      </w:pPr>
    </w:p>
    <w:p>
      <w:pPr>
        <w:ind w:right="60" w:firstLine="378"/>
        <w:spacing w:after="0" w:line="251" w:lineRule="auto"/>
        <w:tabs>
          <w:tab w:leader="none" w:pos="620" w:val="left"/>
        </w:tabs>
        <w:numPr>
          <w:ilvl w:val="0"/>
          <w:numId w:val="347"/>
        </w:numPr>
        <w:rPr>
          <w:rFonts w:ascii="Arial" w:cs="Arial" w:eastAsia="Arial" w:hAnsi="Arial"/>
          <w:sz w:val="16"/>
          <w:szCs w:val="16"/>
          <w:color w:val="auto"/>
        </w:rPr>
      </w:pPr>
      <w:r>
        <w:rPr>
          <w:rFonts w:ascii="Arial" w:cs="Arial" w:eastAsia="Arial" w:hAnsi="Arial"/>
          <w:sz w:val="16"/>
          <w:szCs w:val="16"/>
          <w:color w:val="auto"/>
        </w:rPr>
        <w:t>Tenant is in full compliance with all federal, state and local laws, ordinances, rules and regulations affecting its use of the Premises, including, but not limited to, those laws, ordinances, rules or regulations relating to hazardous or toxic materials. Tenant has never permitted its agents, employees or contractors to engage in the generation, manufacture, treatment, use, storage, disposal or discharge of any hazardous, toxic or dangerous waste, substance or material in, on, under or about the Project or the Premises or any adjacent premises or property in violation of any federal, state or local law, ordinance, rule or regulation.</w:t>
      </w:r>
    </w:p>
    <w:p>
      <w:pPr>
        <w:spacing w:after="0" w:line="169" w:lineRule="exact"/>
        <w:rPr>
          <w:rFonts w:ascii="Arial" w:cs="Arial" w:eastAsia="Arial" w:hAnsi="Arial"/>
          <w:sz w:val="16"/>
          <w:szCs w:val="16"/>
          <w:color w:val="auto"/>
        </w:rPr>
      </w:pPr>
    </w:p>
    <w:p>
      <w:pPr>
        <w:ind w:left="620" w:hanging="242"/>
        <w:spacing w:after="0"/>
        <w:tabs>
          <w:tab w:leader="none" w:pos="620" w:val="left"/>
        </w:tabs>
        <w:numPr>
          <w:ilvl w:val="0"/>
          <w:numId w:val="347"/>
        </w:numPr>
        <w:rPr>
          <w:rFonts w:ascii="Arial" w:cs="Arial" w:eastAsia="Arial" w:hAnsi="Arial"/>
          <w:sz w:val="15"/>
          <w:szCs w:val="15"/>
          <w:color w:val="auto"/>
        </w:rPr>
      </w:pPr>
      <w:r>
        <w:rPr>
          <w:rFonts w:ascii="Arial" w:cs="Arial" w:eastAsia="Arial" w:hAnsi="Arial"/>
          <w:sz w:val="15"/>
          <w:szCs w:val="15"/>
          <w:color w:val="auto"/>
        </w:rPr>
        <w:t>To the undersigned’s knowledge, all tenant improvement work to be performed by Landlord under the Lease has been completed in</w:t>
      </w:r>
    </w:p>
    <w:p>
      <w:pPr>
        <w:spacing w:after="0" w:line="27" w:lineRule="exact"/>
        <w:rPr>
          <w:rFonts w:ascii="Arial" w:cs="Arial" w:eastAsia="Arial" w:hAnsi="Arial"/>
          <w:sz w:val="15"/>
          <w:szCs w:val="15"/>
          <w:color w:val="auto"/>
        </w:rPr>
      </w:pPr>
    </w:p>
    <w:p>
      <w:pPr>
        <w:ind w:right="20"/>
        <w:spacing w:after="0" w:line="248" w:lineRule="auto"/>
        <w:rPr>
          <w:rFonts w:ascii="Arial" w:cs="Arial" w:eastAsia="Arial" w:hAnsi="Arial"/>
          <w:sz w:val="15"/>
          <w:szCs w:val="15"/>
          <w:color w:val="auto"/>
        </w:rPr>
      </w:pPr>
      <w:r>
        <w:rPr>
          <w:rFonts w:ascii="Arial" w:cs="Arial" w:eastAsia="Arial" w:hAnsi="Arial"/>
          <w:sz w:val="16"/>
          <w:szCs w:val="16"/>
          <w:color w:val="auto"/>
        </w:rPr>
        <w:t>accordance with the Lease and has been accepted by the undersigned and all reimbursements and allowances due to the undersigned under the Lease in connection with any tenant improvement work have been paid in full. All work (if any) in the common areas required by the Lease to be completed by Landlord has been completed and all parking spaces required by the Lease have been furnished and/or all parking ratios required by the Lease have been met.</w:t>
      </w:r>
    </w:p>
    <w:p>
      <w:pPr>
        <w:spacing w:after="0" w:line="171" w:lineRule="exact"/>
        <w:rPr>
          <w:sz w:val="20"/>
          <w:szCs w:val="20"/>
          <w:color w:val="auto"/>
        </w:rPr>
      </w:pPr>
    </w:p>
    <w:p>
      <w:pPr>
        <w:ind w:firstLine="385"/>
        <w:spacing w:after="0" w:line="253" w:lineRule="auto"/>
        <w:rPr>
          <w:sz w:val="20"/>
          <w:szCs w:val="20"/>
          <w:color w:val="auto"/>
        </w:rPr>
      </w:pPr>
      <w:r>
        <w:rPr>
          <w:rFonts w:ascii="Arial" w:cs="Arial" w:eastAsia="Arial" w:hAnsi="Arial"/>
          <w:sz w:val="16"/>
          <w:szCs w:val="16"/>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pacing w:after="0" w:line="167" w:lineRule="exact"/>
        <w:rPr>
          <w:sz w:val="20"/>
          <w:szCs w:val="20"/>
          <w:color w:val="auto"/>
        </w:rPr>
      </w:pPr>
    </w:p>
    <w:p>
      <w:pPr>
        <w:ind w:left="380"/>
        <w:spacing w:after="0"/>
        <w:tabs>
          <w:tab w:leader="none" w:pos="1960" w:val="left"/>
          <w:tab w:leader="none" w:pos="2740" w:val="left"/>
          <w:tab w:leader="none" w:pos="3960" w:val="left"/>
          <w:tab w:leader="none" w:pos="4520" w:val="left"/>
        </w:tabs>
        <w:rPr>
          <w:sz w:val="20"/>
          <w:szCs w:val="20"/>
          <w:color w:val="auto"/>
        </w:rPr>
      </w:pPr>
      <w:r>
        <w:rPr>
          <w:rFonts w:ascii="Arial" w:cs="Arial" w:eastAsia="Arial" w:hAnsi="Arial"/>
          <w:sz w:val="16"/>
          <w:szCs w:val="16"/>
          <w:color w:val="auto"/>
        </w:rPr>
        <w:t>Executed at</w:t>
      </w:r>
      <w:r>
        <w:rPr>
          <w:sz w:val="20"/>
          <w:szCs w:val="20"/>
          <w:color w:val="auto"/>
        </w:rPr>
        <w:tab/>
      </w:r>
      <w:r>
        <w:rPr>
          <w:rFonts w:ascii="Arial" w:cs="Arial" w:eastAsia="Arial" w:hAnsi="Arial"/>
          <w:sz w:val="16"/>
          <w:szCs w:val="16"/>
          <w:color w:val="auto"/>
        </w:rPr>
        <w:t>on the</w:t>
      </w:r>
      <w:r>
        <w:rPr>
          <w:sz w:val="20"/>
          <w:szCs w:val="20"/>
          <w:color w:val="auto"/>
        </w:rPr>
        <w:tab/>
      </w:r>
      <w:r>
        <w:rPr>
          <w:rFonts w:ascii="Arial" w:cs="Arial" w:eastAsia="Arial" w:hAnsi="Arial"/>
          <w:sz w:val="16"/>
          <w:szCs w:val="16"/>
          <w:color w:val="auto"/>
        </w:rPr>
        <w:t>day of</w:t>
      </w:r>
      <w:r>
        <w:rPr>
          <w:sz w:val="20"/>
          <w:szCs w:val="20"/>
          <w:color w:val="auto"/>
        </w:rPr>
        <w:tab/>
      </w:r>
      <w:r>
        <w:rPr>
          <w:rFonts w:ascii="Arial" w:cs="Arial" w:eastAsia="Arial" w:hAnsi="Arial"/>
          <w:sz w:val="16"/>
          <w:szCs w:val="16"/>
          <w:color w:val="auto"/>
        </w:rPr>
        <w:t>, 20</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-10795</wp:posOffset>
            </wp:positionV>
            <wp:extent cx="499110" cy="762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499110" cy="7620"/>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-10795</wp:posOffset>
            </wp:positionV>
            <wp:extent cx="199390"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99390" cy="7620"/>
                    </a:xfrm>
                    <a:prstGeom prst="rect">
                      <a:avLst/>
                    </a:prstGeom>
                    <a:noFill/>
                  </pic:spPr>
                </pic:pic>
              </a:graphicData>
            </a:graphic>
          </wp:anchor>
        </w:drawing>
        <w:drawing>
          <wp:anchor simplePos="0" relativeHeight="251657728" behindDoc="1" locked="0" layoutInCell="0" allowOverlap="1">
            <wp:simplePos x="0" y="0"/>
            <wp:positionH relativeFrom="column">
              <wp:posOffset>2030095</wp:posOffset>
            </wp:positionH>
            <wp:positionV relativeFrom="paragraph">
              <wp:posOffset>-10795</wp:posOffset>
            </wp:positionV>
            <wp:extent cx="848360" cy="762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48360" cy="7620"/>
                    </a:xfrm>
                    <a:prstGeom prst="rect">
                      <a:avLst/>
                    </a:prstGeom>
                    <a:noFill/>
                  </pic:spPr>
                </pic:pic>
              </a:graphicData>
            </a:graphic>
          </wp:anchor>
        </w:drawing>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6"/>
          <w:szCs w:val="16"/>
          <w:b w:val="1"/>
          <w:bCs w:val="1"/>
          <w:color w:val="auto"/>
        </w:rPr>
        <w:t>“Tenant”:</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10795</wp:posOffset>
            </wp:positionV>
            <wp:extent cx="2275840" cy="76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275840" cy="7620"/>
                    </a:xfrm>
                    <a:prstGeom prst="rect">
                      <a:avLst/>
                    </a:prstGeom>
                    <a:noFill/>
                  </pic:spPr>
                </pic:pic>
              </a:graphicData>
            </a:graphic>
          </wp:anchor>
        </w:drawing>
        <w:drawing>
          <wp:anchor simplePos="0" relativeHeight="251657728" behindDoc="1" locked="0" layoutInCell="0" allowOverlap="1">
            <wp:simplePos x="0" y="0"/>
            <wp:positionH relativeFrom="column">
              <wp:posOffset>3668395</wp:posOffset>
            </wp:positionH>
            <wp:positionV relativeFrom="paragraph">
              <wp:posOffset>-115570</wp:posOffset>
            </wp:positionV>
            <wp:extent cx="244094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44094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10795</wp:posOffset>
            </wp:positionV>
            <wp:extent cx="210375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03755" cy="7620"/>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-115570</wp:posOffset>
            </wp:positionV>
            <wp:extent cx="2275840" cy="762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10795</wp:posOffset>
            </wp:positionV>
            <wp:extent cx="2275840" cy="76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275840" cy="7620"/>
                    </a:xfrm>
                    <a:prstGeom prst="rect">
                      <a:avLst/>
                    </a:prstGeom>
                    <a:noFill/>
                  </pic:spPr>
                </pic:pic>
              </a:graphicData>
            </a:graphic>
          </wp:anchor>
        </w:drawing>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10795</wp:posOffset>
            </wp:positionV>
            <wp:extent cx="2103755" cy="76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470" w:name="page471"/>
    <w:bookmarkEnd w:id="470"/>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ENVIRONMENTAL QUESTIONNAIRE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ENVIRONMENTAL QUESTIONNAIRE</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 COMMERCIAL AND INDUSTRIAL PROPERTIES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13335</wp:posOffset>
            </wp:positionV>
            <wp:extent cx="5187950" cy="762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18795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13335</wp:posOffset>
            </wp:positionV>
            <wp:extent cx="5187950" cy="762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187950" cy="7620"/>
                    </a:xfrm>
                    <a:prstGeom prst="rect">
                      <a:avLst/>
                    </a:prstGeom>
                    <a:noFill/>
                  </pic:spPr>
                </pic:pic>
              </a:graphicData>
            </a:graphic>
          </wp:anchor>
        </w:drawing>
      </w:r>
    </w:p>
    <w:p>
      <w:pPr>
        <w:spacing w:after="0" w:line="185" w:lineRule="exact"/>
        <w:rPr>
          <w:sz w:val="20"/>
          <w:szCs w:val="20"/>
          <w:color w:val="auto"/>
        </w:rPr>
      </w:pPr>
    </w:p>
    <w:p>
      <w:pPr>
        <w:ind w:right="140" w:firstLine="866"/>
        <w:spacing w:after="0" w:line="272" w:lineRule="auto"/>
        <w:rPr>
          <w:sz w:val="20"/>
          <w:szCs w:val="20"/>
          <w:color w:val="auto"/>
        </w:rPr>
      </w:pPr>
      <w:r>
        <w:rPr>
          <w:rFonts w:ascii="Arial" w:cs="Arial" w:eastAsia="Arial" w:hAnsi="Arial"/>
          <w:sz w:val="16"/>
          <w:szCs w:val="16"/>
          <w:b w:val="1"/>
          <w:bCs w:val="1"/>
          <w:u w:val="single" w:color="auto"/>
          <w:color w:val="auto"/>
        </w:rPr>
        <w:t>Instructions</w:t>
      </w:r>
      <w:r>
        <w:rPr>
          <w:rFonts w:ascii="Arial" w:cs="Arial" w:eastAsia="Arial" w:hAnsi="Arial"/>
          <w:sz w:val="16"/>
          <w:szCs w:val="16"/>
          <w:color w:val="auto"/>
        </w:rPr>
        <w:t>: The following questionnaire is to be completed by the Lessee representative with knowledge of the planned operations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specified building/location. Please print clearly and attach additional sheets as necessary.</w:t>
      </w:r>
    </w:p>
    <w:p>
      <w:pPr>
        <w:spacing w:after="0" w:line="27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u w:val="single" w:color="auto"/>
          <w:color w:val="auto"/>
        </w:rPr>
        <w:t>PROCESS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Describe planned use, and include brief description of manufacturing processes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6109335" cy="762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610933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6109335" cy="762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5"/>
          <w:szCs w:val="15"/>
          <w:b w:val="1"/>
          <w:bCs w:val="1"/>
          <w:u w:val="single" w:color="auto"/>
          <w:color w:val="auto"/>
        </w:rPr>
        <w:t>HAZARDOUS MATERIALS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Are hazardous materials used or stored? If so, continue with the next question. If not, go to Section 3.0.</w:t>
      </w:r>
    </w:p>
    <w:p>
      <w:pPr>
        <w:spacing w:after="0" w:line="83" w:lineRule="exact"/>
        <w:rPr>
          <w:sz w:val="20"/>
          <w:szCs w:val="20"/>
          <w:color w:val="auto"/>
        </w:rPr>
      </w:pPr>
    </w:p>
    <w:p>
      <w:pPr>
        <w:spacing w:after="0" w:line="184" w:lineRule="exact"/>
        <w:tabs>
          <w:tab w:leader="none" w:pos="360" w:val="left"/>
          <w:tab w:leader="none" w:pos="8440" w:val="left"/>
          <w:tab w:leader="none" w:pos="9040" w:val="left"/>
        </w:tabs>
        <w:rPr>
          <w:sz w:val="20"/>
          <w:szCs w:val="20"/>
          <w:color w:val="auto"/>
        </w:rPr>
      </w:pPr>
      <w:r>
        <w:rPr>
          <w:rFonts w:ascii="Arial" w:cs="Arial" w:eastAsia="Arial" w:hAnsi="Arial"/>
          <w:sz w:val="16"/>
          <w:szCs w:val="16"/>
          <w:color w:val="auto"/>
        </w:rPr>
        <w:t>2.1</w:t>
        <w:tab/>
        <w:t>Are any of the following materials handled on the Property?</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9" w:lineRule="exact"/>
        <w:rPr>
          <w:sz w:val="20"/>
          <w:szCs w:val="20"/>
          <w:color w:val="auto"/>
        </w:rPr>
      </w:pPr>
    </w:p>
    <w:p>
      <w:pPr>
        <w:ind w:left="380" w:right="200"/>
        <w:spacing w:after="0" w:line="266" w:lineRule="auto"/>
        <w:rPr>
          <w:sz w:val="20"/>
          <w:szCs w:val="20"/>
          <w:color w:val="auto"/>
        </w:rPr>
      </w:pPr>
      <w:r>
        <w:rPr>
          <w:rFonts w:ascii="Arial" w:cs="Arial" w:eastAsia="Arial" w:hAnsi="Arial"/>
          <w:sz w:val="16"/>
          <w:szCs w:val="16"/>
          <w:color w:val="auto"/>
        </w:rPr>
        <w:t>(A material is handled if it is used, generated, processed, produced, packaged, treated, stored, emitted, discharged, or disposed.) If so, complete this section. If this question is not applicable, skip this section and go on to Section 5.0.</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Explosives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Fuels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Oils</w:t>
            </w:r>
          </w:p>
        </w:tc>
      </w:t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Solvents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Oxidizers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Organics/Inorganics</w:t>
            </w:r>
          </w:p>
        </w:tc>
      </w:tr>
      <w:tr>
        <w:trPr>
          <w:trHeight w:val="189"/>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Acids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Bases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Pesticides</w:t>
            </w:r>
          </w:p>
        </w:tc>
      </w:tr>
      <w:tr>
        <w:trPr>
          <w:trHeight w:val="225"/>
        </w:trPr>
        <w:tc>
          <w:tcPr>
            <w:tcW w:w="2040" w:type="dxa"/>
            <w:vAlign w:val="bottom"/>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Gases</w:t>
            </w:r>
          </w:p>
        </w:tc>
        <w:tc>
          <w:tcPr>
            <w:tcW w:w="3000" w:type="dxa"/>
            <w:vAlign w:val="bottom"/>
          </w:tcPr>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PCBs</w:t>
            </w:r>
          </w:p>
        </w:tc>
        <w:tc>
          <w:tcPr>
            <w:tcW w:w="2640" w:type="dxa"/>
            <w:vAlign w:val="bottom"/>
          </w:tcPr>
          <w:p>
            <w:pPr>
              <w:ind w:left="1080"/>
              <w:spacing w:after="0" w:line="184" w:lineRule="exact"/>
              <w:rPr>
                <w:sz w:val="20"/>
                <w:szCs w:val="20"/>
                <w:color w:val="auto"/>
              </w:rPr>
            </w:pPr>
            <w:r>
              <w:rPr>
                <w:rFonts w:ascii="MS PGothic" w:cs="MS PGothic" w:eastAsia="MS PGothic" w:hAnsi="MS PGothic"/>
                <w:sz w:val="16"/>
                <w:szCs w:val="16"/>
                <w:color w:val="auto"/>
                <w:w w:val="88"/>
              </w:rPr>
              <w:t>☐</w:t>
            </w:r>
            <w:r>
              <w:rPr>
                <w:rFonts w:ascii="Arial" w:cs="Arial" w:eastAsia="Arial" w:hAnsi="Arial"/>
                <w:sz w:val="16"/>
                <w:szCs w:val="16"/>
                <w:color w:val="auto"/>
                <w:w w:val="88"/>
              </w:rPr>
              <w:t xml:space="preserve"> Radioactive Materials</w:t>
            </w:r>
          </w:p>
        </w:tc>
      </w:tr>
    </w:tbl>
    <w:p>
      <w:pPr>
        <w:ind w:left="560" w:hanging="177"/>
        <w:spacing w:after="0"/>
        <w:tabs>
          <w:tab w:leader="none" w:pos="560" w:val="left"/>
        </w:tabs>
        <w:numPr>
          <w:ilvl w:val="0"/>
          <w:numId w:val="348"/>
        </w:numPr>
        <w:rPr>
          <w:rFonts w:ascii="MS PGothic" w:cs="MS PGothic" w:eastAsia="MS PGothic" w:hAnsi="MS PGothic"/>
          <w:sz w:val="16"/>
          <w:szCs w:val="16"/>
          <w:color w:val="auto"/>
        </w:rPr>
      </w:pPr>
      <w:r>
        <w:rPr>
          <w:rFonts w:ascii="Arial" w:cs="Arial" w:eastAsia="Arial" w:hAnsi="Arial"/>
          <w:sz w:val="16"/>
          <w:szCs w:val="16"/>
          <w:color w:val="auto"/>
        </w:rPr>
        <w:t>Other (please specify)</w:t>
      </w:r>
    </w:p>
    <w:p>
      <w:pPr>
        <w:spacing w:after="0" w:line="103" w:lineRule="exact"/>
        <w:rPr>
          <w:sz w:val="20"/>
          <w:szCs w:val="20"/>
          <w:color w:val="auto"/>
        </w:rPr>
      </w:pPr>
    </w:p>
    <w:p>
      <w:pPr>
        <w:ind w:left="380" w:hanging="376"/>
        <w:spacing w:after="0" w:line="256" w:lineRule="auto"/>
        <w:tabs>
          <w:tab w:leader="none" w:pos="360" w:val="left"/>
        </w:tabs>
        <w:rPr>
          <w:sz w:val="20"/>
          <w:szCs w:val="20"/>
          <w:color w:val="auto"/>
        </w:rPr>
      </w:pPr>
      <w:r>
        <w:rPr>
          <w:rFonts w:ascii="Arial" w:cs="Arial" w:eastAsia="Arial" w:hAnsi="Arial"/>
          <w:sz w:val="16"/>
          <w:szCs w:val="16"/>
          <w:color w:val="auto"/>
        </w:rPr>
        <w:t>2-2.</w:t>
        <w:tab/>
        <w:t>If any of the groups of materials checked in Section 2.1, please list the specific material(s), use(s), and quantity of each chemical used or stored on the site in the Table below. If convenient, you may substitute a chemical inventory and list the uses of each of the chemicals in each category separately.</w:t>
      </w:r>
    </w:p>
    <w:p>
      <w:pPr>
        <w:spacing w:after="0" w:line="194" w:lineRule="exact"/>
        <w:rPr>
          <w:sz w:val="20"/>
          <w:szCs w:val="20"/>
          <w:color w:val="auto"/>
        </w:rPr>
      </w:pPr>
    </w:p>
    <w:tbl>
      <w:tblPr>
        <w:tblLayout w:type="fixed"/>
        <w:tblInd w:w="74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3"/>
                <w:szCs w:val="13"/>
                <w:b w:val="1"/>
                <w:bCs w:val="1"/>
                <w:color w:val="auto"/>
              </w:rPr>
              <w:t>Material</w:t>
            </w:r>
          </w:p>
        </w:tc>
        <w:tc>
          <w:tcPr>
            <w:tcW w:w="2720" w:type="dxa"/>
            <w:vAlign w:val="bottom"/>
          </w:tcPr>
          <w:p>
            <w:pPr>
              <w:ind w:left="400"/>
              <w:spacing w:after="0"/>
              <w:rPr>
                <w:sz w:val="20"/>
                <w:szCs w:val="20"/>
                <w:color w:val="auto"/>
              </w:rPr>
            </w:pPr>
            <w:r>
              <w:rPr>
                <w:rFonts w:ascii="Arial" w:cs="Arial" w:eastAsia="Arial" w:hAnsi="Arial"/>
                <w:sz w:val="13"/>
                <w:szCs w:val="13"/>
                <w:b w:val="1"/>
                <w:bCs w:val="1"/>
                <w:color w:val="auto"/>
              </w:rPr>
              <w:t>Physical State (Solid, Liquid, or Gas)</w:t>
            </w:r>
          </w:p>
        </w:tc>
        <w:tc>
          <w:tcPr>
            <w:tcW w:w="1060" w:type="dxa"/>
            <w:vAlign w:val="bottom"/>
          </w:tcPr>
          <w:p>
            <w:pPr>
              <w:ind w:left="340"/>
              <w:spacing w:after="0"/>
              <w:rPr>
                <w:sz w:val="20"/>
                <w:szCs w:val="20"/>
                <w:color w:val="auto"/>
              </w:rPr>
            </w:pPr>
            <w:r>
              <w:rPr>
                <w:rFonts w:ascii="Arial" w:cs="Arial" w:eastAsia="Arial" w:hAnsi="Arial"/>
                <w:sz w:val="13"/>
                <w:szCs w:val="13"/>
                <w:b w:val="1"/>
                <w:bCs w:val="1"/>
                <w:color w:val="auto"/>
              </w:rPr>
              <w:t>Usage</w:t>
            </w:r>
          </w:p>
        </w:tc>
        <w:tc>
          <w:tcPr>
            <w:tcW w:w="1380" w:type="dxa"/>
            <w:vAlign w:val="bottom"/>
          </w:tcPr>
          <w:p>
            <w:pPr>
              <w:ind w:left="400"/>
              <w:spacing w:after="0"/>
              <w:rPr>
                <w:sz w:val="20"/>
                <w:szCs w:val="20"/>
                <w:color w:val="auto"/>
              </w:rPr>
            </w:pPr>
            <w:r>
              <w:rPr>
                <w:rFonts w:ascii="Arial" w:cs="Arial" w:eastAsia="Arial" w:hAnsi="Arial"/>
                <w:sz w:val="13"/>
                <w:szCs w:val="13"/>
                <w:b w:val="1"/>
                <w:bCs w:val="1"/>
                <w:color w:val="auto"/>
              </w:rPr>
              <w:t>Container Size</w:t>
            </w:r>
          </w:p>
        </w:tc>
        <w:tc>
          <w:tcPr>
            <w:tcW w:w="1600" w:type="dxa"/>
            <w:vAlign w:val="bottom"/>
          </w:tcPr>
          <w:p>
            <w:pPr>
              <w:ind w:left="200"/>
              <w:spacing w:after="0"/>
              <w:rPr>
                <w:sz w:val="20"/>
                <w:szCs w:val="20"/>
                <w:color w:val="auto"/>
              </w:rPr>
            </w:pPr>
            <w:r>
              <w:rPr>
                <w:rFonts w:ascii="Arial" w:cs="Arial" w:eastAsia="Arial" w:hAnsi="Arial"/>
                <w:sz w:val="13"/>
                <w:szCs w:val="13"/>
                <w:b w:val="1"/>
                <w:bCs w:val="1"/>
                <w:color w:val="auto"/>
              </w:rPr>
              <w:t>Number of Containers</w:t>
            </w:r>
          </w:p>
        </w:tc>
        <w:tc>
          <w:tcPr>
            <w:tcW w:w="960" w:type="dxa"/>
            <w:vAlign w:val="bottom"/>
          </w:tcPr>
          <w:p>
            <w:pPr>
              <w:ind w:left="180"/>
              <w:spacing w:after="0"/>
              <w:rPr>
                <w:sz w:val="20"/>
                <w:szCs w:val="20"/>
                <w:color w:val="auto"/>
              </w:rPr>
            </w:pPr>
            <w:r>
              <w:rPr>
                <w:rFonts w:ascii="Arial" w:cs="Arial" w:eastAsia="Arial" w:hAnsi="Arial"/>
                <w:sz w:val="13"/>
                <w:szCs w:val="13"/>
                <w:b w:val="1"/>
                <w:bCs w:val="1"/>
                <w:color w:val="auto"/>
                <w:w w:val="86"/>
              </w:rPr>
              <w:t>Total Quantity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116320" cy="73342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116320" cy="73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2-3.</w:t>
      </w:r>
      <w:r>
        <w:rPr>
          <w:sz w:val="20"/>
          <w:szCs w:val="20"/>
          <w:color w:val="auto"/>
        </w:rPr>
        <w:tab/>
      </w:r>
      <w:r>
        <w:rPr>
          <w:rFonts w:ascii="Arial" w:cs="Arial" w:eastAsia="Arial" w:hAnsi="Arial"/>
          <w:sz w:val="13"/>
          <w:szCs w:val="13"/>
          <w:color w:val="auto"/>
        </w:rPr>
        <w:t>Describe the planned storage area location(s) for these materials. Please include site maps and drawings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6109335" cy="762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392430</wp:posOffset>
            </wp:positionV>
            <wp:extent cx="610933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265430</wp:posOffset>
            </wp:positionV>
            <wp:extent cx="6109335" cy="762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ectPr>
          <w:pgSz w:w="11900" w:h="16838" w:orient="portrait"/>
          <w:cols w:equalWidth="0" w:num="1">
            <w:col w:w="9580"/>
          </w:cols>
          <w:pgMar w:left="1140" w:top="252" w:right="1179" w:bottom="1440" w:gutter="0" w:footer="0" w:header="0"/>
        </w:sectPr>
      </w:pPr>
    </w:p>
    <w:bookmarkStart w:id="471" w:name="page472"/>
    <w:bookmarkEnd w:id="471"/>
    <w:p>
      <w:pPr>
        <w:spacing w:after="0"/>
        <w:tabs>
          <w:tab w:leader="none" w:pos="3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3.0</w:t>
      </w:r>
      <w:r>
        <w:rPr>
          <w:sz w:val="20"/>
          <w:szCs w:val="20"/>
          <w:color w:val="auto"/>
        </w:rPr>
        <w:tab/>
      </w:r>
      <w:r>
        <w:rPr>
          <w:rFonts w:ascii="Arial" w:cs="Arial" w:eastAsia="Arial" w:hAnsi="Arial"/>
          <w:sz w:val="15"/>
          <w:szCs w:val="15"/>
          <w:b w:val="1"/>
          <w:bCs w:val="1"/>
          <w:u w:val="single" w:color="auto"/>
          <w:color w:val="auto"/>
        </w:rPr>
        <w:t>HAZARDOUS WASTES</w:t>
      </w:r>
    </w:p>
    <w:p>
      <w:pPr>
        <w:spacing w:after="0" w:line="87" w:lineRule="exact"/>
        <w:rPr>
          <w:sz w:val="20"/>
          <w:szCs w:val="20"/>
          <w:color w:val="auto"/>
        </w:rPr>
      </w:pPr>
    </w:p>
    <w:p>
      <w:pPr>
        <w:spacing w:after="0" w:line="184" w:lineRule="exact"/>
        <w:tabs>
          <w:tab w:leader="none" w:pos="8560" w:val="left"/>
          <w:tab w:leader="none" w:pos="9180" w:val="left"/>
        </w:tabs>
        <w:rPr>
          <w:sz w:val="20"/>
          <w:szCs w:val="20"/>
          <w:color w:val="auto"/>
        </w:rPr>
      </w:pPr>
      <w:r>
        <w:rPr>
          <w:rFonts w:ascii="Arial" w:cs="Arial" w:eastAsia="Arial" w:hAnsi="Arial"/>
          <w:sz w:val="16"/>
          <w:szCs w:val="16"/>
          <w:color w:val="auto"/>
        </w:rPr>
        <w:t>Are hazardous wastes generated?</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If yes, continue with the next question. If not, skip this section and go to section 4.0.</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3"/>
          <w:szCs w:val="13"/>
          <w:color w:val="auto"/>
        </w:rPr>
        <w:t>Are any of the following wastes generated, handled, or disposed of (where applicable) on the Property?</w:t>
      </w:r>
    </w:p>
    <w:p>
      <w:pPr>
        <w:spacing w:after="0" w:line="83" w:lineRule="exact"/>
        <w:rPr>
          <w:sz w:val="20"/>
          <w:szCs w:val="20"/>
          <w:color w:val="auto"/>
        </w:rPr>
      </w:pPr>
    </w:p>
    <w:p>
      <w:pPr>
        <w:ind w:left="560" w:hanging="177"/>
        <w:spacing w:after="0" w:line="184" w:lineRule="exact"/>
        <w:tabs>
          <w:tab w:leader="none" w:pos="560" w:val="left"/>
        </w:tabs>
        <w:numPr>
          <w:ilvl w:val="0"/>
          <w:numId w:val="349"/>
        </w:numPr>
        <w:rPr>
          <w:rFonts w:ascii="MS PGothic" w:cs="MS PGothic" w:eastAsia="MS PGothic" w:hAnsi="MS PGothic"/>
          <w:sz w:val="16"/>
          <w:szCs w:val="16"/>
          <w:color w:val="auto"/>
        </w:rPr>
      </w:pPr>
      <w:r>
        <w:rPr>
          <w:rFonts w:ascii="Arial" w:cs="Arial" w:eastAsia="Arial" w:hAnsi="Arial"/>
          <w:sz w:val="16"/>
          <w:szCs w:val="16"/>
          <w:color w:val="auto"/>
        </w:rPr>
        <w:t xml:space="preserve">Hazardous wastes   </w:t>
      </w:r>
      <w:r>
        <w:rPr>
          <w:rFonts w:ascii="MS PGothic" w:cs="MS PGothic" w:eastAsia="MS PGothic" w:hAnsi="MS PGothic"/>
          <w:sz w:val="16"/>
          <w:szCs w:val="16"/>
          <w:color w:val="auto"/>
        </w:rPr>
        <w:t>☐</w:t>
      </w:r>
      <w:r>
        <w:rPr>
          <w:rFonts w:ascii="Arial" w:cs="Arial" w:eastAsia="Arial" w:hAnsi="Arial"/>
          <w:sz w:val="16"/>
          <w:szCs w:val="16"/>
          <w:color w:val="auto"/>
        </w:rPr>
        <w:t xml:space="preserve"> Industrial Wastewater</w:t>
      </w:r>
    </w:p>
    <w:p>
      <w:pPr>
        <w:sectPr>
          <w:pgSz w:w="11900" w:h="16838" w:orient="portrait"/>
          <w:cols w:equalWidth="0" w:num="1">
            <w:col w:w="9640"/>
          </w:cols>
          <w:pgMar w:left="1140" w:top="252" w:right="1119" w:bottom="1440" w:gutter="0" w:footer="0" w:header="0"/>
        </w:sectPr>
      </w:pPr>
    </w:p>
    <w:p>
      <w:pPr>
        <w:spacing w:after="0" w:line="62" w:lineRule="exact"/>
        <w:rPr>
          <w:sz w:val="20"/>
          <w:szCs w:val="20"/>
          <w:color w:val="auto"/>
        </w:rPr>
      </w:pPr>
    </w:p>
    <w:p>
      <w:pPr>
        <w:ind w:left="380"/>
        <w:spacing w:after="0" w:line="189"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Waste oils </w:t>
      </w:r>
      <w:r>
        <w:rPr>
          <w:rFonts w:ascii="MS PGothic" w:cs="MS PGothic" w:eastAsia="MS PGothic" w:hAnsi="MS PGothic"/>
          <w:sz w:val="13"/>
          <w:szCs w:val="13"/>
          <w:color w:val="auto"/>
        </w:rPr>
        <w:t>☐</w:t>
      </w:r>
      <w:r>
        <w:rPr>
          <w:rFonts w:ascii="Arial" w:cs="Arial" w:eastAsia="Arial" w:hAnsi="Arial"/>
          <w:sz w:val="13"/>
          <w:szCs w:val="13"/>
          <w:color w:val="auto"/>
        </w:rPr>
        <w:t xml:space="preserve"> Air emissions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PCBs</w:t>
      </w:r>
    </w:p>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Sludges</w:t>
      </w:r>
    </w:p>
    <w:p>
      <w:pPr>
        <w:spacing w:after="0" w:line="54" w:lineRule="exact"/>
        <w:rPr>
          <w:sz w:val="20"/>
          <w:szCs w:val="20"/>
          <w:color w:val="auto"/>
        </w:rPr>
      </w:pPr>
    </w:p>
    <w:p>
      <w:pPr>
        <w:sectPr>
          <w:pgSz w:w="11900" w:h="16838" w:orient="portrait"/>
          <w:cols w:equalWidth="0" w:num="2">
            <w:col w:w="1440" w:space="460"/>
            <w:col w:w="7740"/>
          </w:cols>
          <w:pgMar w:left="1140" w:top="252" w:right="1119" w:bottom="1440" w:gutter="0" w:footer="0" w:header="0"/>
          <w:type w:val="continuous"/>
        </w:sectPr>
      </w:pPr>
    </w:p>
    <w:p>
      <w:pPr>
        <w:ind w:left="560" w:hanging="177"/>
        <w:spacing w:after="0" w:line="184" w:lineRule="exact"/>
        <w:tabs>
          <w:tab w:leader="none" w:pos="560" w:val="left"/>
        </w:tabs>
        <w:numPr>
          <w:ilvl w:val="0"/>
          <w:numId w:val="350"/>
        </w:numPr>
        <w:rPr>
          <w:rFonts w:ascii="MS PGothic" w:cs="MS PGothic" w:eastAsia="MS PGothic" w:hAnsi="MS PGothic"/>
          <w:sz w:val="16"/>
          <w:szCs w:val="16"/>
          <w:color w:val="auto"/>
        </w:rPr>
      </w:pPr>
      <w:r>
        <w:rPr>
          <w:rFonts w:ascii="Arial" w:cs="Arial" w:eastAsia="Arial" w:hAnsi="Arial"/>
          <w:sz w:val="16"/>
          <w:szCs w:val="16"/>
          <w:color w:val="auto"/>
        </w:rPr>
        <w:t xml:space="preserve">Regulated Wastes   </w:t>
      </w:r>
      <w:r>
        <w:rPr>
          <w:rFonts w:ascii="MS PGothic" w:cs="MS PGothic" w:eastAsia="MS PGothic" w:hAnsi="MS PGothic"/>
          <w:sz w:val="16"/>
          <w:szCs w:val="16"/>
          <w:color w:val="auto"/>
        </w:rPr>
        <w:t>☐</w:t>
      </w:r>
      <w:r>
        <w:rPr>
          <w:rFonts w:ascii="Arial" w:cs="Arial" w:eastAsia="Arial" w:hAnsi="Arial"/>
          <w:sz w:val="16"/>
          <w:szCs w:val="16"/>
          <w:color w:val="auto"/>
        </w:rPr>
        <w:t xml:space="preserve"> Other (please specify)</w:t>
      </w:r>
    </w:p>
    <w:p>
      <w:pPr>
        <w:spacing w:after="0" w:line="8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3"/>
          <w:szCs w:val="13"/>
          <w:color w:val="auto"/>
        </w:rPr>
        <w:t>List and quantify the materials identified in Question 3-1 of this section.</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860" w:type="dxa"/>
            <w:vAlign w:val="bottom"/>
            <w:tcBorders>
              <w:top w:val="single" w:sz="8" w:color="auto"/>
              <w:left w:val="single" w:sz="8" w:color="auto"/>
              <w:right w:val="single" w:sz="8" w:color="auto"/>
            </w:tcBorders>
          </w:tcPr>
          <w:p>
            <w:pPr>
              <w:spacing w:after="0"/>
              <w:rPr>
                <w:sz w:val="10"/>
                <w:szCs w:val="10"/>
                <w:color w:val="auto"/>
              </w:rPr>
            </w:pPr>
          </w:p>
        </w:tc>
        <w:tc>
          <w:tcPr>
            <w:tcW w:w="1560" w:type="dxa"/>
            <w:vAlign w:val="bottom"/>
            <w:tcBorders>
              <w:top w:val="single" w:sz="8" w:color="auto"/>
              <w:right w:val="single" w:sz="8" w:color="auto"/>
            </w:tcBorders>
          </w:tcPr>
          <w:p>
            <w:pPr>
              <w:spacing w:after="0"/>
              <w:rPr>
                <w:sz w:val="10"/>
                <w:szCs w:val="10"/>
                <w:color w:val="auto"/>
              </w:rPr>
            </w:pPr>
          </w:p>
        </w:tc>
        <w:tc>
          <w:tcPr>
            <w:tcW w:w="1520" w:type="dxa"/>
            <w:vAlign w:val="bottom"/>
            <w:tcBorders>
              <w:top w:val="single" w:sz="8" w:color="auto"/>
              <w:right w:val="single" w:sz="8" w:color="auto"/>
            </w:tcBorders>
          </w:tcPr>
          <w:p>
            <w:pPr>
              <w:spacing w:after="0"/>
              <w:rPr>
                <w:sz w:val="10"/>
                <w:szCs w:val="10"/>
                <w:color w:val="auto"/>
              </w:rPr>
            </w:pPr>
          </w:p>
        </w:tc>
        <w:tc>
          <w:tcPr>
            <w:tcW w:w="164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8"/>
              </w:rPr>
              <w:t>APPROXIMATE</w:t>
            </w:r>
          </w:p>
        </w:tc>
        <w:tc>
          <w:tcPr>
            <w:tcW w:w="1520" w:type="dxa"/>
            <w:vAlign w:val="bottom"/>
            <w:tcBorders>
              <w:top w:val="single" w:sz="8" w:color="auto"/>
              <w:right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3"/>
              </w:rPr>
              <w:t>WASTE</w:t>
            </w:r>
          </w:p>
        </w:tc>
        <w:tc>
          <w:tcPr>
            <w:tcW w:w="1540" w:type="dxa"/>
            <w:vAlign w:val="bottom"/>
            <w:tcBorders>
              <w:top w:val="single" w:sz="8" w:color="auto"/>
              <w:right w:val="single" w:sz="8" w:color="auto"/>
            </w:tcBorders>
          </w:tcPr>
          <w:p>
            <w:pPr>
              <w:spacing w:after="0"/>
              <w:rPr>
                <w:sz w:val="10"/>
                <w:szCs w:val="10"/>
                <w:color w:val="auto"/>
              </w:rPr>
            </w:pPr>
          </w:p>
        </w:tc>
      </w:tr>
      <w:tr>
        <w:trPr>
          <w:trHeight w:val="150"/>
        </w:trPr>
        <w:tc>
          <w:tcPr>
            <w:tcW w:w="1860" w:type="dxa"/>
            <w:vAlign w:val="bottom"/>
            <w:tcBorders>
              <w:left w:val="single" w:sz="8" w:color="auto"/>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WASTE GENERATED</w:t>
            </w:r>
          </w:p>
        </w:tc>
        <w:tc>
          <w:tcPr>
            <w:tcW w:w="15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b w:val="1"/>
                <w:bCs w:val="1"/>
                <w:color w:val="auto"/>
              </w:rPr>
              <w:t>RCRA listed Waste?</w:t>
            </w:r>
          </w:p>
        </w:tc>
        <w:tc>
          <w:tcPr>
            <w:tcW w:w="152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3"/>
                <w:szCs w:val="13"/>
                <w:b w:val="1"/>
                <w:bCs w:val="1"/>
                <w:color w:val="auto"/>
              </w:rPr>
              <w:t>SOURCE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MONTHLY QUANTITY</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CHARACTERIZATION</w:t>
            </w:r>
          </w:p>
        </w:tc>
        <w:tc>
          <w:tcPr>
            <w:tcW w:w="1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DISPOSITION</w:t>
            </w: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r>
        <w:trPr>
          <w:trHeight w:val="180"/>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right w:val="single" w:sz="8" w:color="auto"/>
            </w:tcBorders>
          </w:tcPr>
          <w:p>
            <w:pPr>
              <w:spacing w:after="0"/>
              <w:rPr>
                <w:sz w:val="15"/>
                <w:szCs w:val="15"/>
                <w:color w:val="auto"/>
              </w:rPr>
            </w:pPr>
          </w:p>
        </w:tc>
      </w:tr>
    </w:tbl>
    <w:p>
      <w:pPr>
        <w:spacing w:after="0" w:line="94" w:lineRule="exact"/>
        <w:rPr>
          <w:sz w:val="20"/>
          <w:szCs w:val="20"/>
          <w:color w:val="auto"/>
        </w:rPr>
      </w:pPr>
    </w:p>
    <w:p>
      <w:pPr>
        <w:ind w:left="380" w:right="200" w:hanging="376"/>
        <w:spacing w:after="0" w:line="266" w:lineRule="auto"/>
        <w:tabs>
          <w:tab w:leader="none" w:pos="360" w:val="left"/>
        </w:tabs>
        <w:rPr>
          <w:sz w:val="20"/>
          <w:szCs w:val="20"/>
          <w:color w:val="auto"/>
        </w:rPr>
      </w:pPr>
      <w:r>
        <w:rPr>
          <w:rFonts w:ascii="Arial" w:cs="Arial" w:eastAsia="Arial" w:hAnsi="Arial"/>
          <w:sz w:val="16"/>
          <w:szCs w:val="16"/>
          <w:color w:val="auto"/>
        </w:rPr>
        <w:t>3-3.</w:t>
        <w:tab/>
        <w:t>Please include name, location, and permit number (e.g. EPA ID No.) for transporter and disposal facility, if applicable). Attach separate pages as necessary.</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Arial" w:cs="Arial" w:eastAsia="Arial" w:hAnsi="Arial"/>
                <w:sz w:val="13"/>
                <w:szCs w:val="13"/>
                <w:b w:val="1"/>
                <w:bCs w:val="1"/>
                <w:color w:val="auto"/>
              </w:rPr>
              <w:t>Transporter/Disposal Facility Name</w:t>
            </w:r>
          </w:p>
        </w:tc>
        <w:tc>
          <w:tcPr>
            <w:tcW w:w="1860" w:type="dxa"/>
            <w:vAlign w:val="bottom"/>
          </w:tcPr>
          <w:p>
            <w:pPr>
              <w:ind w:left="500"/>
              <w:spacing w:after="0"/>
              <w:rPr>
                <w:sz w:val="20"/>
                <w:szCs w:val="20"/>
                <w:color w:val="auto"/>
              </w:rPr>
            </w:pPr>
            <w:r>
              <w:rPr>
                <w:rFonts w:ascii="Arial" w:cs="Arial" w:eastAsia="Arial" w:hAnsi="Arial"/>
                <w:sz w:val="13"/>
                <w:szCs w:val="13"/>
                <w:b w:val="1"/>
                <w:bCs w:val="1"/>
                <w:color w:val="auto"/>
              </w:rPr>
              <w:t>Facility Location</w:t>
            </w:r>
          </w:p>
        </w:tc>
        <w:tc>
          <w:tcPr>
            <w:tcW w:w="3000" w:type="dxa"/>
            <w:vAlign w:val="bottom"/>
          </w:tcPr>
          <w:p>
            <w:pPr>
              <w:ind w:left="440"/>
              <w:spacing w:after="0"/>
              <w:rPr>
                <w:sz w:val="20"/>
                <w:szCs w:val="20"/>
                <w:color w:val="auto"/>
              </w:rPr>
            </w:pPr>
            <w:r>
              <w:rPr>
                <w:rFonts w:ascii="Arial" w:cs="Arial" w:eastAsia="Arial" w:hAnsi="Arial"/>
                <w:sz w:val="13"/>
                <w:szCs w:val="13"/>
                <w:b w:val="1"/>
                <w:bCs w:val="1"/>
                <w:color w:val="auto"/>
              </w:rPr>
              <w:t>Transporter (I) or Disposal (D) Facility</w:t>
            </w:r>
          </w:p>
        </w:tc>
        <w:tc>
          <w:tcPr>
            <w:tcW w:w="1300" w:type="dxa"/>
            <w:vAlign w:val="bottom"/>
          </w:tcPr>
          <w:p>
            <w:pPr>
              <w:ind w:left="460"/>
              <w:spacing w:after="0"/>
              <w:rPr>
                <w:sz w:val="20"/>
                <w:szCs w:val="20"/>
                <w:color w:val="auto"/>
              </w:rPr>
            </w:pPr>
            <w:r>
              <w:rPr>
                <w:rFonts w:ascii="Arial" w:cs="Arial" w:eastAsia="Arial" w:hAnsi="Arial"/>
                <w:sz w:val="13"/>
                <w:szCs w:val="13"/>
                <w:b w:val="1"/>
                <w:bCs w:val="1"/>
                <w:color w:val="auto"/>
                <w:w w:val="87"/>
              </w:rPr>
              <w:t>Permit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6116320" cy="60642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116320" cy="606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00" w:type="dxa"/>
            <w:vAlign w:val="bottom"/>
          </w:tcPr>
          <w:p>
            <w:pPr>
              <w:jc w:val="right"/>
              <w:spacing w:after="0"/>
              <w:rPr>
                <w:sz w:val="20"/>
                <w:szCs w:val="20"/>
                <w:color w:val="auto"/>
              </w:rPr>
            </w:pPr>
            <w:r>
              <w:rPr>
                <w:rFonts w:ascii="Arial" w:cs="Arial" w:eastAsia="Arial" w:hAnsi="Arial"/>
                <w:sz w:val="16"/>
                <w:szCs w:val="16"/>
                <w:color w:val="auto"/>
                <w:w w:val="79"/>
              </w:rPr>
              <w:t>3-4.</w:t>
            </w:r>
          </w:p>
        </w:tc>
        <w:tc>
          <w:tcPr>
            <w:tcW w:w="9320" w:type="dxa"/>
            <w:vAlign w:val="bottom"/>
          </w:tcPr>
          <w:p>
            <w:pPr>
              <w:ind w:left="80"/>
              <w:spacing w:after="0" w:line="184" w:lineRule="exact"/>
              <w:rPr>
                <w:sz w:val="20"/>
                <w:szCs w:val="20"/>
                <w:color w:val="auto"/>
              </w:rPr>
            </w:pPr>
            <w:r>
              <w:rPr>
                <w:rFonts w:ascii="Arial" w:cs="Arial" w:eastAsia="Arial" w:hAnsi="Arial"/>
                <w:sz w:val="16"/>
                <w:szCs w:val="16"/>
                <w:color w:val="auto"/>
                <w:w w:val="92"/>
              </w:rPr>
              <w:t xml:space="preserve">Are pollution controls or monitoring employed in the process to prevent or minimize the release of wastes into the environment? Yes </w:t>
            </w:r>
            <w:r>
              <w:rPr>
                <w:rFonts w:ascii="MS PGothic" w:cs="MS PGothic" w:eastAsia="MS PGothic" w:hAnsi="MS PGothic"/>
                <w:sz w:val="16"/>
                <w:szCs w:val="16"/>
                <w:color w:val="auto"/>
                <w:w w:val="92"/>
              </w:rPr>
              <w:t>☐</w:t>
            </w:r>
            <w:r>
              <w:rPr>
                <w:rFonts w:ascii="Arial" w:cs="Arial" w:eastAsia="Arial" w:hAnsi="Arial"/>
                <w:sz w:val="16"/>
                <w:szCs w:val="16"/>
                <w:color w:val="auto"/>
                <w:w w:val="92"/>
              </w:rPr>
              <w:t xml:space="preserve"> No </w:t>
            </w:r>
            <w:r>
              <w:rPr>
                <w:rFonts w:ascii="MS PGothic" w:cs="MS PGothic" w:eastAsia="MS PGothic" w:hAnsi="MS PGothic"/>
                <w:sz w:val="16"/>
                <w:szCs w:val="16"/>
                <w:color w:val="auto"/>
                <w:w w:val="92"/>
              </w:rPr>
              <w:t>☐</w:t>
            </w:r>
          </w:p>
        </w:tc>
      </w:tr>
      <w:tr>
        <w:trPr>
          <w:trHeight w:val="277"/>
        </w:trPr>
        <w:tc>
          <w:tcPr>
            <w:tcW w:w="300" w:type="dxa"/>
            <w:vAlign w:val="bottom"/>
          </w:tcPr>
          <w:p>
            <w:pPr>
              <w:jc w:val="right"/>
              <w:spacing w:after="0"/>
              <w:rPr>
                <w:sz w:val="20"/>
                <w:szCs w:val="20"/>
                <w:color w:val="auto"/>
              </w:rPr>
            </w:pPr>
            <w:r>
              <w:rPr>
                <w:rFonts w:ascii="Arial" w:cs="Arial" w:eastAsia="Arial" w:hAnsi="Arial"/>
                <w:sz w:val="16"/>
                <w:szCs w:val="16"/>
                <w:color w:val="auto"/>
                <w:w w:val="79"/>
              </w:rPr>
              <w:t>3-5.</w:t>
            </w:r>
          </w:p>
        </w:tc>
        <w:tc>
          <w:tcPr>
            <w:tcW w:w="9320" w:type="dxa"/>
            <w:vAlign w:val="bottom"/>
          </w:tcPr>
          <w:p>
            <w:pPr>
              <w:ind w:left="80"/>
              <w:spacing w:after="0"/>
              <w:rPr>
                <w:sz w:val="20"/>
                <w:szCs w:val="20"/>
                <w:color w:val="auto"/>
              </w:rPr>
            </w:pPr>
            <w:r>
              <w:rPr>
                <w:rFonts w:ascii="Arial" w:cs="Arial" w:eastAsia="Arial" w:hAnsi="Arial"/>
                <w:sz w:val="16"/>
                <w:szCs w:val="16"/>
                <w:color w:val="auto"/>
              </w:rPr>
              <w:t>If so, please describe.</w:t>
            </w:r>
          </w:p>
        </w:tc>
      </w:tr>
      <w:tr>
        <w:trPr>
          <w:trHeight w:val="296"/>
        </w:trPr>
        <w:tc>
          <w:tcPr>
            <w:tcW w:w="30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tcPr>
          <w:p>
            <w:pPr>
              <w:spacing w:after="0"/>
              <w:rPr>
                <w:sz w:val="15"/>
                <w:szCs w:val="15"/>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9320" w:type="dxa"/>
            <w:vAlign w:val="bottom"/>
            <w:tcBorders>
              <w:bottom w:val="single" w:sz="8" w:color="auto"/>
            </w:tcBorders>
          </w:tcPr>
          <w:p>
            <w:pPr>
              <w:spacing w:after="0"/>
              <w:rPr>
                <w:sz w:val="15"/>
                <w:szCs w:val="15"/>
                <w:color w:val="auto"/>
              </w:rPr>
            </w:pPr>
          </w:p>
        </w:tc>
      </w:tr>
    </w:tbl>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380" w:type="dxa"/>
            <w:vAlign w:val="bottom"/>
          </w:tcPr>
          <w:p>
            <w:pPr>
              <w:jc w:val="right"/>
              <w:ind w:right="101"/>
              <w:spacing w:after="0"/>
              <w:rPr>
                <w:sz w:val="20"/>
                <w:szCs w:val="20"/>
                <w:color w:val="auto"/>
              </w:rPr>
            </w:pPr>
            <w:r>
              <w:rPr>
                <w:rFonts w:ascii="Arial" w:cs="Arial" w:eastAsia="Arial" w:hAnsi="Arial"/>
                <w:sz w:val="16"/>
                <w:szCs w:val="16"/>
                <w:b w:val="1"/>
                <w:bCs w:val="1"/>
                <w:color w:val="auto"/>
                <w:w w:val="80"/>
              </w:rPr>
              <w:t>4.0</w:t>
            </w:r>
          </w:p>
        </w:tc>
        <w:tc>
          <w:tcPr>
            <w:tcW w:w="1660" w:type="dxa"/>
            <w:vAlign w:val="bottom"/>
            <w:gridSpan w:val="2"/>
          </w:tcPr>
          <w:p>
            <w:pPr>
              <w:spacing w:after="0"/>
              <w:rPr>
                <w:sz w:val="20"/>
                <w:szCs w:val="20"/>
                <w:color w:val="auto"/>
              </w:rPr>
            </w:pPr>
            <w:r>
              <w:rPr>
                <w:rFonts w:ascii="Arial" w:cs="Arial" w:eastAsia="Arial" w:hAnsi="Arial"/>
                <w:sz w:val="16"/>
                <w:szCs w:val="16"/>
                <w:b w:val="1"/>
                <w:bCs w:val="1"/>
                <w:color w:val="auto"/>
              </w:rPr>
              <w:t>USTS/ASTS</w:t>
            </w:r>
          </w:p>
        </w:tc>
        <w:tc>
          <w:tcPr>
            <w:tcW w:w="19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spacing w:after="0"/>
              <w:rPr>
                <w:sz w:val="16"/>
                <w:szCs w:val="16"/>
                <w:color w:val="auto"/>
              </w:rPr>
            </w:pPr>
          </w:p>
        </w:tc>
      </w:tr>
      <w:tr>
        <w:trPr>
          <w:trHeight w:val="20"/>
        </w:trPr>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40" w:type="dxa"/>
            <w:vAlign w:val="bottom"/>
            <w:gridSpan w:val="6"/>
          </w:tcPr>
          <w:p>
            <w:pPr>
              <w:spacing w:after="0" w:line="20" w:lineRule="exact"/>
              <w:rPr>
                <w:sz w:val="1"/>
                <w:szCs w:val="1"/>
                <w:color w:val="auto"/>
              </w:rPr>
            </w:pPr>
          </w:p>
        </w:tc>
      </w:tr>
      <w:tr>
        <w:trPr>
          <w:trHeight w:val="298"/>
        </w:trPr>
        <w:tc>
          <w:tcPr>
            <w:tcW w:w="380" w:type="dxa"/>
            <w:vAlign w:val="bottom"/>
          </w:tcPr>
          <w:p>
            <w:pPr>
              <w:jc w:val="right"/>
              <w:ind w:right="101"/>
              <w:spacing w:after="0"/>
              <w:rPr>
                <w:sz w:val="20"/>
                <w:szCs w:val="20"/>
                <w:color w:val="auto"/>
              </w:rPr>
            </w:pPr>
            <w:r>
              <w:rPr>
                <w:rFonts w:ascii="Arial" w:cs="Arial" w:eastAsia="Arial" w:hAnsi="Arial"/>
                <w:sz w:val="16"/>
                <w:szCs w:val="16"/>
                <w:color w:val="auto"/>
                <w:w w:val="80"/>
              </w:rPr>
              <w:t>4.1</w:t>
            </w:r>
          </w:p>
        </w:tc>
        <w:tc>
          <w:tcPr>
            <w:tcW w:w="9260" w:type="dxa"/>
            <w:vAlign w:val="bottom"/>
            <w:gridSpan w:val="7"/>
          </w:tcPr>
          <w:p>
            <w:pPr>
              <w:spacing w:after="0"/>
              <w:rPr>
                <w:sz w:val="20"/>
                <w:szCs w:val="20"/>
                <w:color w:val="auto"/>
              </w:rPr>
            </w:pPr>
            <w:r>
              <w:rPr>
                <w:rFonts w:ascii="Arial" w:cs="Arial" w:eastAsia="Arial" w:hAnsi="Arial"/>
                <w:sz w:val="16"/>
                <w:szCs w:val="16"/>
                <w:color w:val="auto"/>
                <w:w w:val="90"/>
              </w:rPr>
              <w:t>Are underground storage tanks (USTs), aboveground storage tanks (ASTs), or associated pipelines used for the storage of petroleum products,</w:t>
            </w:r>
          </w:p>
        </w:tc>
      </w:tr>
      <w:tr>
        <w:trPr>
          <w:trHeight w:val="200"/>
        </w:trPr>
        <w:tc>
          <w:tcPr>
            <w:tcW w:w="380" w:type="dxa"/>
            <w:vAlign w:val="bottom"/>
          </w:tcPr>
          <w:p>
            <w:pPr>
              <w:spacing w:after="0"/>
              <w:rPr>
                <w:sz w:val="17"/>
                <w:szCs w:val="17"/>
                <w:color w:val="auto"/>
              </w:rPr>
            </w:pPr>
          </w:p>
        </w:tc>
        <w:tc>
          <w:tcPr>
            <w:tcW w:w="7000" w:type="dxa"/>
            <w:vAlign w:val="bottom"/>
            <w:gridSpan w:val="5"/>
          </w:tcPr>
          <w:p>
            <w:pPr>
              <w:spacing w:after="0"/>
              <w:rPr>
                <w:sz w:val="20"/>
                <w:szCs w:val="20"/>
                <w:color w:val="auto"/>
              </w:rPr>
            </w:pPr>
            <w:r>
              <w:rPr>
                <w:rFonts w:ascii="Arial" w:cs="Arial" w:eastAsia="Arial" w:hAnsi="Arial"/>
                <w:sz w:val="16"/>
                <w:szCs w:val="16"/>
                <w:color w:val="auto"/>
                <w:w w:val="89"/>
              </w:rPr>
              <w:t>chemicals, or liquid wastes present on site (lease renewals) or required for planned operations (new tenants)?</w:t>
            </w:r>
          </w:p>
        </w:tc>
        <w:tc>
          <w:tcPr>
            <w:tcW w:w="2260" w:type="dxa"/>
            <w:vAlign w:val="bottom"/>
            <w:gridSpan w:val="2"/>
          </w:tcPr>
          <w:p>
            <w:pPr>
              <w:ind w:left="140"/>
              <w:spacing w:after="0"/>
              <w:rPr>
                <w:sz w:val="20"/>
                <w:szCs w:val="20"/>
                <w:color w:val="auto"/>
              </w:rPr>
            </w:pPr>
            <w:r>
              <w:rPr>
                <w:rFonts w:ascii="Arial" w:cs="Arial" w:eastAsia="Arial" w:hAnsi="Arial"/>
                <w:sz w:val="16"/>
                <w:szCs w:val="16"/>
                <w:color w:val="auto"/>
              </w:rPr>
              <w:t>Yes___No___</w:t>
            </w:r>
          </w:p>
        </w:tc>
      </w:tr>
      <w:tr>
        <w:trPr>
          <w:trHeight w:val="272"/>
        </w:trPr>
        <w:tc>
          <w:tcPr>
            <w:tcW w:w="380" w:type="dxa"/>
            <w:vAlign w:val="bottom"/>
          </w:tcPr>
          <w:p>
            <w:pPr>
              <w:spacing w:after="0"/>
              <w:rPr>
                <w:sz w:val="23"/>
                <w:szCs w:val="23"/>
                <w:color w:val="auto"/>
              </w:rPr>
            </w:pPr>
          </w:p>
        </w:tc>
        <w:tc>
          <w:tcPr>
            <w:tcW w:w="9260" w:type="dxa"/>
            <w:vAlign w:val="bottom"/>
            <w:gridSpan w:val="7"/>
          </w:tcPr>
          <w:p>
            <w:pPr>
              <w:spacing w:after="0"/>
              <w:rPr>
                <w:sz w:val="20"/>
                <w:szCs w:val="20"/>
                <w:color w:val="auto"/>
              </w:rPr>
            </w:pPr>
            <w:r>
              <w:rPr>
                <w:rFonts w:ascii="Arial" w:cs="Arial" w:eastAsia="Arial" w:hAnsi="Arial"/>
                <w:sz w:val="16"/>
                <w:szCs w:val="16"/>
                <w:color w:val="auto"/>
                <w:w w:val="97"/>
              </w:rPr>
              <w:t>If not, continue with section 5.0. If yes, please describe capacity, contents, age, type of the USTs or ASTs, as well any associated leak</w:t>
            </w:r>
          </w:p>
        </w:tc>
      </w:tr>
      <w:tr>
        <w:trPr>
          <w:trHeight w:val="200"/>
        </w:trPr>
        <w:tc>
          <w:tcPr>
            <w:tcW w:w="380" w:type="dxa"/>
            <w:vAlign w:val="bottom"/>
          </w:tcPr>
          <w:p>
            <w:pPr>
              <w:spacing w:after="0"/>
              <w:rPr>
                <w:sz w:val="17"/>
                <w:szCs w:val="17"/>
                <w:color w:val="auto"/>
              </w:rPr>
            </w:pPr>
          </w:p>
        </w:tc>
        <w:tc>
          <w:tcPr>
            <w:tcW w:w="5520" w:type="dxa"/>
            <w:vAlign w:val="bottom"/>
            <w:gridSpan w:val="4"/>
          </w:tcPr>
          <w:p>
            <w:pPr>
              <w:spacing w:after="0"/>
              <w:rPr>
                <w:sz w:val="20"/>
                <w:szCs w:val="20"/>
                <w:color w:val="auto"/>
              </w:rPr>
            </w:pPr>
            <w:r>
              <w:rPr>
                <w:rFonts w:ascii="Arial" w:cs="Arial" w:eastAsia="Arial" w:hAnsi="Arial"/>
                <w:sz w:val="16"/>
                <w:szCs w:val="16"/>
                <w:color w:val="auto"/>
                <w:w w:val="95"/>
              </w:rPr>
              <w:t>detection/spill prevention measures. Please attach additional pages if necessary.</w:t>
            </w:r>
          </w:p>
        </w:tc>
        <w:tc>
          <w:tcPr>
            <w:tcW w:w="1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3"/>
        </w:trPr>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r>
      <w:tr>
        <w:trPr>
          <w:trHeight w:val="102"/>
        </w:trPr>
        <w:tc>
          <w:tcPr>
            <w:tcW w:w="380" w:type="dxa"/>
            <w:vAlign w:val="bottom"/>
            <w:tcBorders>
              <w:left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44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ind w:left="180"/>
              <w:spacing w:after="0" w:line="102" w:lineRule="exact"/>
              <w:rPr>
                <w:sz w:val="20"/>
                <w:szCs w:val="20"/>
                <w:color w:val="auto"/>
              </w:rPr>
            </w:pPr>
            <w:r>
              <w:rPr>
                <w:rFonts w:ascii="Arial" w:cs="Arial" w:eastAsia="Arial" w:hAnsi="Arial"/>
                <w:sz w:val="10"/>
                <w:szCs w:val="10"/>
                <w:b w:val="1"/>
                <w:bCs w:val="1"/>
                <w:color w:val="auto"/>
              </w:rPr>
              <w:t>Associated Leak Detection /</w:t>
            </w:r>
          </w:p>
        </w:tc>
      </w:tr>
      <w:tr>
        <w:trPr>
          <w:trHeight w:val="150"/>
        </w:trPr>
        <w:tc>
          <w:tcPr>
            <w:tcW w:w="380" w:type="dxa"/>
            <w:vAlign w:val="bottom"/>
            <w:tcBorders>
              <w:left w:val="single" w:sz="8" w:color="auto"/>
              <w:bottom w:val="single" w:sz="8" w:color="auto"/>
            </w:tcBorders>
          </w:tcPr>
          <w:p>
            <w:pPr>
              <w:spacing w:after="0"/>
              <w:rPr>
                <w:sz w:val="13"/>
                <w:szCs w:val="13"/>
                <w:color w:val="auto"/>
              </w:rPr>
            </w:pPr>
          </w:p>
        </w:tc>
        <w:tc>
          <w:tcPr>
            <w:tcW w:w="166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Capacity</w:t>
            </w:r>
          </w:p>
        </w:tc>
        <w:tc>
          <w:tcPr>
            <w:tcW w:w="194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3"/>
                <w:szCs w:val="13"/>
                <w:b w:val="1"/>
                <w:bCs w:val="1"/>
                <w:color w:val="auto"/>
              </w:rPr>
              <w:t>Contents</w:t>
            </w:r>
          </w:p>
        </w:tc>
        <w:tc>
          <w:tcPr>
            <w:tcW w:w="19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3"/>
                <w:szCs w:val="13"/>
                <w:b w:val="1"/>
                <w:bCs w:val="1"/>
                <w:color w:val="auto"/>
              </w:rPr>
              <w:t>Year Installed</w:t>
            </w:r>
          </w:p>
        </w:tc>
        <w:tc>
          <w:tcPr>
            <w:tcW w:w="1920" w:type="dxa"/>
            <w:vAlign w:val="bottom"/>
            <w:tcBorders>
              <w:bottom w:val="single" w:sz="8" w:color="auto"/>
              <w:right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94"/>
              </w:rPr>
              <w:t>Type (Steel, Fiberglass, etc)</w:t>
            </w:r>
          </w:p>
        </w:tc>
        <w:tc>
          <w:tcPr>
            <w:tcW w:w="182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b w:val="1"/>
                <w:bCs w:val="1"/>
                <w:color w:val="auto"/>
                <w:w w:val="96"/>
              </w:rPr>
              <w:t>Spill Prevention Measures</w:t>
            </w:r>
            <w:r>
              <w:rPr>
                <w:rFonts w:ascii="Arial" w:cs="Arial" w:eastAsia="Arial" w:hAnsi="Arial"/>
                <w:sz w:val="10"/>
                <w:szCs w:val="10"/>
                <w:b w:val="1"/>
                <w:bCs w:val="1"/>
                <w:color w:val="auto"/>
                <w:w w:val="96"/>
              </w:rPr>
              <w:t>*</w:t>
            </w: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r>
        <w:trPr>
          <w:trHeight w:val="180"/>
        </w:trPr>
        <w:tc>
          <w:tcPr>
            <w:tcW w:w="380" w:type="dxa"/>
            <w:vAlign w:val="bottom"/>
            <w:tcBorders>
              <w:left w:val="single" w:sz="8" w:color="auto"/>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44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spacing w:after="0"/>
              <w:rPr>
                <w:sz w:val="15"/>
                <w:szCs w:val="15"/>
                <w:color w:val="auto"/>
              </w:rPr>
            </w:pPr>
          </w:p>
        </w:tc>
      </w:tr>
    </w:tbl>
    <w:p>
      <w:pPr>
        <w:spacing w:after="0" w:line="199" w:lineRule="exact"/>
        <w:rPr>
          <w:sz w:val="20"/>
          <w:szCs w:val="20"/>
          <w:color w:val="auto"/>
        </w:rPr>
      </w:pPr>
    </w:p>
    <w:p>
      <w:pPr>
        <w:sectPr>
          <w:pgSz w:w="11900" w:h="16838" w:orient="portrait"/>
          <w:cols w:equalWidth="0" w:num="1">
            <w:col w:w="9640"/>
          </w:cols>
          <w:pgMar w:left="1140" w:top="252" w:right="1119" w:bottom="1440" w:gutter="0" w:footer="0" w:header="0"/>
          <w:type w:val="continuous"/>
        </w:sect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4"/>
          <w:szCs w:val="14"/>
          <w:color w:val="auto"/>
        </w:rPr>
        <w:t>Note: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following are examples of leak detection / spill prevention measures:</w:t>
      </w:r>
    </w:p>
    <w:p>
      <w:pPr>
        <w:spacing w:after="0" w:line="51"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Integrity testing</w:t>
      </w:r>
      <w:r>
        <w:rPr>
          <w:sz w:val="20"/>
          <w:szCs w:val="20"/>
          <w:color w:val="auto"/>
        </w:rPr>
        <w:tab/>
      </w:r>
      <w:r>
        <w:rPr>
          <w:rFonts w:ascii="Arial" w:cs="Arial" w:eastAsia="Arial" w:hAnsi="Arial"/>
          <w:sz w:val="13"/>
          <w:szCs w:val="13"/>
          <w:color w:val="auto"/>
        </w:rPr>
        <w:t>Inventory reconciliation</w:t>
      </w:r>
    </w:p>
    <w:p>
      <w:pPr>
        <w:spacing w:after="0" w:line="5"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6"/>
          <w:szCs w:val="16"/>
          <w:color w:val="auto"/>
        </w:rPr>
        <w:t>Overfill spill protection</w:t>
      </w:r>
      <w:r>
        <w:rPr>
          <w:sz w:val="20"/>
          <w:szCs w:val="20"/>
          <w:color w:val="auto"/>
        </w:rPr>
        <w:tab/>
      </w:r>
      <w:r>
        <w:rPr>
          <w:rFonts w:ascii="Arial" w:cs="Arial" w:eastAsia="Arial" w:hAnsi="Arial"/>
          <w:sz w:val="13"/>
          <w:szCs w:val="13"/>
          <w:color w:val="auto"/>
        </w:rPr>
        <w:t>Secondary containment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Leak detection system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Cathodic protection</w:t>
      </w:r>
    </w:p>
    <w:p>
      <w:pPr>
        <w:sectPr>
          <w:pgSz w:w="11900" w:h="16838" w:orient="portrait"/>
          <w:cols w:equalWidth="0" w:num="3">
            <w:col w:w="400" w:space="60"/>
            <w:col w:w="5280" w:space="720"/>
            <w:col w:w="3180"/>
          </w:cols>
          <w:pgMar w:left="1140" w:top="252" w:right="1119" w:bottom="1440" w:gutter="0" w:footer="0" w:header="0"/>
          <w:type w:val="continuous"/>
        </w:sectPr>
      </w:pPr>
    </w:p>
    <w:bookmarkStart w:id="472" w:name="page473"/>
    <w:bookmarkEnd w:id="472"/>
    <w:tbl>
      <w:tblPr>
        <w:tblLayout w:type="fixed"/>
        <w:tblInd w:w="0" w:type="dxa"/>
        <w:tblCellMar>
          <w:top w:w="0" w:type="dxa"/>
          <w:left w:w="0" w:type="dxa"/>
          <w:bottom w:w="0" w:type="dxa"/>
          <w:right w:w="0" w:type="dxa"/>
        </w:tblCellMar>
      </w:tblPr>
      <w:tr>
        <w:trPr>
          <w:trHeight w:val="200"/>
        </w:trPr>
        <w:tc>
          <w:tcPr>
            <w:tcW w:w="300" w:type="dxa"/>
            <w:vAlign w:val="bottom"/>
          </w:tcPr>
          <w:p>
            <w:pPr>
              <w:jc w:val="right"/>
              <w:spacing w:after="0"/>
              <w:rPr>
                <w:sz w:val="20"/>
                <w:szCs w:val="20"/>
                <w:color w:val="auto"/>
              </w:rPr>
            </w:pPr>
            <w:r>
              <w:rPr>
                <w:rFonts w:ascii="Arial" w:cs="Arial" w:eastAsia="Arial" w:hAnsi="Arial"/>
                <w:sz w:val="16"/>
                <w:szCs w:val="16"/>
                <w:color w:val="auto"/>
                <w:w w:val="79"/>
              </w:rPr>
              <w:t>4-2.</w:t>
            </w:r>
          </w:p>
        </w:tc>
        <w:tc>
          <w:tcPr>
            <w:tcW w:w="7640" w:type="dxa"/>
            <w:vAlign w:val="bottom"/>
          </w:tcPr>
          <w:p>
            <w:pPr>
              <w:ind w:left="80"/>
              <w:spacing w:after="0"/>
              <w:rPr>
                <w:sz w:val="20"/>
                <w:szCs w:val="20"/>
                <w:color w:val="auto"/>
              </w:rPr>
            </w:pPr>
            <w:r>
              <w:rPr>
                <w:rFonts w:ascii="Arial" w:cs="Arial" w:eastAsia="Arial" w:hAnsi="Arial"/>
                <w:sz w:val="16"/>
                <w:szCs w:val="16"/>
                <w:color w:val="auto"/>
              </w:rPr>
              <w:t>Please provide copies of written tank integrity test results and/or monitoring documentation, if available.</w:t>
            </w:r>
          </w:p>
        </w:tc>
        <w:tc>
          <w:tcPr>
            <w:tcW w:w="1680" w:type="dxa"/>
            <w:vAlign w:val="bottom"/>
          </w:tcPr>
          <w:p>
            <w:pPr>
              <w:spacing w:after="0"/>
              <w:rPr>
                <w:sz w:val="17"/>
                <w:szCs w:val="17"/>
                <w:color w:val="auto"/>
              </w:rPr>
            </w:pPr>
          </w:p>
        </w:tc>
      </w:tr>
      <w:tr>
        <w:trPr>
          <w:trHeight w:val="283"/>
        </w:trPr>
        <w:tc>
          <w:tcPr>
            <w:tcW w:w="300" w:type="dxa"/>
            <w:vAlign w:val="bottom"/>
          </w:tcPr>
          <w:p>
            <w:pPr>
              <w:jc w:val="right"/>
              <w:spacing w:after="0"/>
              <w:rPr>
                <w:sz w:val="20"/>
                <w:szCs w:val="20"/>
                <w:color w:val="auto"/>
              </w:rPr>
            </w:pPr>
            <w:r>
              <w:rPr>
                <w:rFonts w:ascii="Arial" w:cs="Arial" w:eastAsia="Arial" w:hAnsi="Arial"/>
                <w:sz w:val="16"/>
                <w:szCs w:val="16"/>
                <w:color w:val="auto"/>
                <w:w w:val="79"/>
              </w:rPr>
              <w:t>4-3.</w:t>
            </w:r>
          </w:p>
        </w:tc>
        <w:tc>
          <w:tcPr>
            <w:tcW w:w="7640" w:type="dxa"/>
            <w:vAlign w:val="bottom"/>
          </w:tcPr>
          <w:p>
            <w:pPr>
              <w:ind w:left="80"/>
              <w:spacing w:after="0"/>
              <w:rPr>
                <w:sz w:val="20"/>
                <w:szCs w:val="20"/>
                <w:color w:val="auto"/>
              </w:rPr>
            </w:pPr>
            <w:r>
              <w:rPr>
                <w:rFonts w:ascii="Arial" w:cs="Arial" w:eastAsia="Arial" w:hAnsi="Arial"/>
                <w:sz w:val="16"/>
                <w:szCs w:val="16"/>
                <w:color w:val="auto"/>
              </w:rPr>
              <w:t>Is the UST/AST registered and permitted with the appropriate regulatory agencies?</w:t>
            </w:r>
          </w:p>
        </w:tc>
        <w:tc>
          <w:tcPr>
            <w:tcW w:w="1680" w:type="dxa"/>
            <w:vAlign w:val="bottom"/>
          </w:tcPr>
          <w:p>
            <w:pPr>
              <w:ind w:left="6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00"/>
        </w:trPr>
        <w:tc>
          <w:tcPr>
            <w:tcW w:w="300" w:type="dxa"/>
            <w:vAlign w:val="bottom"/>
          </w:tcPr>
          <w:p>
            <w:pPr>
              <w:spacing w:after="0"/>
              <w:rPr>
                <w:sz w:val="17"/>
                <w:szCs w:val="17"/>
                <w:color w:val="auto"/>
              </w:rPr>
            </w:pPr>
          </w:p>
        </w:tc>
        <w:tc>
          <w:tcPr>
            <w:tcW w:w="7640" w:type="dxa"/>
            <w:vAlign w:val="bottom"/>
          </w:tcPr>
          <w:p>
            <w:pPr>
              <w:ind w:left="80"/>
              <w:spacing w:after="0"/>
              <w:rPr>
                <w:sz w:val="20"/>
                <w:szCs w:val="20"/>
                <w:color w:val="auto"/>
              </w:rPr>
            </w:pPr>
            <w:r>
              <w:rPr>
                <w:rFonts w:ascii="Arial" w:cs="Arial" w:eastAsia="Arial" w:hAnsi="Arial"/>
                <w:sz w:val="16"/>
                <w:szCs w:val="16"/>
                <w:color w:val="auto"/>
              </w:rPr>
              <w:t>If so, please attach a copy of the required permits.</w:t>
            </w:r>
          </w:p>
        </w:tc>
        <w:tc>
          <w:tcPr>
            <w:tcW w:w="1680" w:type="dxa"/>
            <w:vAlign w:val="bottom"/>
          </w:tcPr>
          <w:p>
            <w:pPr>
              <w:spacing w:after="0"/>
              <w:rPr>
                <w:sz w:val="17"/>
                <w:szCs w:val="17"/>
                <w:color w:val="auto"/>
              </w:rPr>
            </w:pPr>
          </w:p>
        </w:tc>
      </w:tr>
      <w:tr>
        <w:trPr>
          <w:trHeight w:val="283"/>
        </w:trPr>
        <w:tc>
          <w:tcPr>
            <w:tcW w:w="300" w:type="dxa"/>
            <w:vAlign w:val="bottom"/>
          </w:tcPr>
          <w:p>
            <w:pPr>
              <w:jc w:val="right"/>
              <w:spacing w:after="0"/>
              <w:rPr>
                <w:sz w:val="20"/>
                <w:szCs w:val="20"/>
                <w:color w:val="auto"/>
              </w:rPr>
            </w:pPr>
            <w:r>
              <w:rPr>
                <w:rFonts w:ascii="Arial" w:cs="Arial" w:eastAsia="Arial" w:hAnsi="Arial"/>
                <w:sz w:val="16"/>
                <w:szCs w:val="16"/>
                <w:color w:val="auto"/>
                <w:w w:val="79"/>
              </w:rPr>
              <w:t>4-4.</w:t>
            </w:r>
          </w:p>
        </w:tc>
        <w:tc>
          <w:tcPr>
            <w:tcW w:w="9320" w:type="dxa"/>
            <w:vAlign w:val="bottom"/>
            <w:gridSpan w:val="2"/>
          </w:tcPr>
          <w:p>
            <w:pPr>
              <w:ind w:left="80"/>
              <w:spacing w:after="0"/>
              <w:rPr>
                <w:sz w:val="20"/>
                <w:szCs w:val="20"/>
                <w:color w:val="auto"/>
              </w:rPr>
            </w:pPr>
            <w:r>
              <w:rPr>
                <w:rFonts w:ascii="Arial" w:cs="Arial" w:eastAsia="Arial" w:hAnsi="Arial"/>
                <w:sz w:val="16"/>
                <w:szCs w:val="16"/>
                <w:color w:val="auto"/>
                <w:w w:val="90"/>
              </w:rPr>
              <w:t>If this Questionnaire is being completed for a lease renewal, and if any of the USTs/ASTs have leaked, please state the substance released, the</w:t>
            </w:r>
          </w:p>
        </w:tc>
      </w:tr>
      <w:tr>
        <w:trPr>
          <w:trHeight w:val="200"/>
        </w:trPr>
        <w:tc>
          <w:tcPr>
            <w:tcW w:w="300" w:type="dxa"/>
            <w:vAlign w:val="bottom"/>
          </w:tcPr>
          <w:p>
            <w:pPr>
              <w:spacing w:after="0"/>
              <w:rPr>
                <w:sz w:val="17"/>
                <w:szCs w:val="17"/>
                <w:color w:val="auto"/>
              </w:rPr>
            </w:pPr>
          </w:p>
        </w:tc>
        <w:tc>
          <w:tcPr>
            <w:tcW w:w="7640" w:type="dxa"/>
            <w:vAlign w:val="bottom"/>
          </w:tcPr>
          <w:p>
            <w:pPr>
              <w:ind w:left="80"/>
              <w:spacing w:after="0"/>
              <w:rPr>
                <w:sz w:val="20"/>
                <w:szCs w:val="20"/>
                <w:color w:val="auto"/>
              </w:rPr>
            </w:pPr>
            <w:r>
              <w:rPr>
                <w:rFonts w:ascii="Arial" w:cs="Arial" w:eastAsia="Arial" w:hAnsi="Arial"/>
                <w:sz w:val="16"/>
                <w:szCs w:val="16"/>
                <w:color w:val="auto"/>
                <w:w w:val="95"/>
              </w:rPr>
              <w:t>media(s) impacted (e.g., soil, water, asphalt, etc.), the actions taken, and all remedial responses to the incident.</w:t>
            </w:r>
          </w:p>
        </w:tc>
        <w:tc>
          <w:tcPr>
            <w:tcW w:w="1680" w:type="dxa"/>
            <w:vAlign w:val="bottom"/>
          </w:tcPr>
          <w:p>
            <w:pPr>
              <w:spacing w:after="0"/>
              <w:rPr>
                <w:sz w:val="17"/>
                <w:szCs w:val="17"/>
                <w:color w:val="auto"/>
              </w:rPr>
            </w:pPr>
          </w:p>
        </w:tc>
      </w:tr>
      <w:tr>
        <w:trPr>
          <w:trHeight w:val="296"/>
        </w:trPr>
        <w:tc>
          <w:tcPr>
            <w:tcW w:w="30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r>
        <w:trPr>
          <w:trHeight w:val="180"/>
        </w:trPr>
        <w:tc>
          <w:tcPr>
            <w:tcW w:w="300" w:type="dxa"/>
            <w:vAlign w:val="bottom"/>
            <w:tcBorders>
              <w:bottom w:val="single" w:sz="8" w:color="auto"/>
            </w:tcBorders>
          </w:tcPr>
          <w:p>
            <w:pPr>
              <w:spacing w:after="0"/>
              <w:rPr>
                <w:sz w:val="15"/>
                <w:szCs w:val="15"/>
                <w:color w:val="auto"/>
              </w:rPr>
            </w:pPr>
          </w:p>
        </w:tc>
        <w:tc>
          <w:tcPr>
            <w:tcW w:w="76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spacing w:after="0"/>
              <w:rPr>
                <w:sz w:val="15"/>
                <w:szCs w:val="15"/>
                <w:color w:val="auto"/>
              </w:rPr>
            </w:pPr>
          </w:p>
        </w:tc>
      </w:tr>
    </w:tbl>
    <w:p>
      <w:pPr>
        <w:spacing w:after="0" w:line="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line="184" w:lineRule="exact"/>
        <w:tabs>
          <w:tab w:leader="none" w:pos="360" w:val="left"/>
          <w:tab w:leader="none" w:pos="8560" w:val="left"/>
          <w:tab w:leader="none" w:pos="9180" w:val="left"/>
        </w:tabs>
        <w:rPr>
          <w:sz w:val="20"/>
          <w:szCs w:val="20"/>
          <w:color w:val="auto"/>
        </w:rPr>
      </w:pPr>
      <w:r>
        <w:rPr>
          <w:rFonts w:ascii="Arial" w:cs="Arial" w:eastAsia="Arial" w:hAnsi="Arial"/>
          <w:sz w:val="16"/>
          <w:szCs w:val="16"/>
          <w:color w:val="auto"/>
        </w:rPr>
        <w:t>4-5.</w:t>
        <w:tab/>
        <w:t>If this Questionnaire is being completed for a lease renewal, have USTs/ASTs been removed from the Property?</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ind w:left="380" w:right="180"/>
        <w:spacing w:after="0" w:line="266" w:lineRule="auto"/>
        <w:rPr>
          <w:sz w:val="20"/>
          <w:szCs w:val="20"/>
          <w:color w:val="auto"/>
        </w:rPr>
      </w:pPr>
      <w:r>
        <w:rPr>
          <w:rFonts w:ascii="Arial" w:cs="Arial" w:eastAsia="Arial" w:hAnsi="Arial"/>
          <w:sz w:val="16"/>
          <w:szCs w:val="16"/>
          <w:color w:val="auto"/>
        </w:rPr>
        <w:t>If yes, please provide any official closure letters or reports and supporting documentation (e.g., analytical test results, remediation report results, etc.).</w:t>
      </w:r>
    </w:p>
    <w:p>
      <w:pPr>
        <w:spacing w:after="0" w:line="48" w:lineRule="exact"/>
        <w:rPr>
          <w:sz w:val="20"/>
          <w:szCs w:val="20"/>
          <w:color w:val="auto"/>
        </w:rPr>
      </w:pPr>
    </w:p>
    <w:p>
      <w:pPr>
        <w:spacing w:after="0" w:line="184" w:lineRule="exact"/>
        <w:tabs>
          <w:tab w:leader="none" w:pos="360" w:val="left"/>
          <w:tab w:leader="none" w:pos="8560" w:val="left"/>
          <w:tab w:leader="none" w:pos="9180" w:val="left"/>
        </w:tabs>
        <w:rPr>
          <w:sz w:val="20"/>
          <w:szCs w:val="20"/>
          <w:color w:val="auto"/>
        </w:rPr>
      </w:pPr>
      <w:r>
        <w:rPr>
          <w:rFonts w:ascii="Arial" w:cs="Arial" w:eastAsia="Arial" w:hAnsi="Arial"/>
          <w:sz w:val="16"/>
          <w:szCs w:val="16"/>
          <w:color w:val="auto"/>
        </w:rPr>
        <w:t>4-6.</w:t>
        <w:tab/>
        <w:t>For Lease renewals, are there any above or below ground pipelines on site used to transfer chemicals or wastes?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 new tenants, are installations of this type required for the planned operations?</w:t>
      </w:r>
    </w:p>
    <w:p>
      <w:pPr>
        <w:spacing w:after="0" w:line="165" w:lineRule="exact"/>
        <w:rPr>
          <w:sz w:val="20"/>
          <w:szCs w:val="20"/>
          <w:color w:val="auto"/>
        </w:rPr>
      </w:pPr>
    </w:p>
    <w:p>
      <w:pPr>
        <w:jc w:val="right"/>
        <w:spacing w:after="0" w:line="184" w:lineRule="exact"/>
        <w:tabs>
          <w:tab w:leader="none" w:pos="40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If yes to either question,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6109335"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6109335"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10933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6109335"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1093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5.0</w:t>
      </w:r>
      <w:r>
        <w:rPr>
          <w:sz w:val="20"/>
          <w:szCs w:val="20"/>
          <w:color w:val="auto"/>
        </w:rPr>
        <w:tab/>
      </w:r>
      <w:r>
        <w:rPr>
          <w:rFonts w:ascii="Arial" w:cs="Arial" w:eastAsia="Arial" w:hAnsi="Arial"/>
          <w:sz w:val="15"/>
          <w:szCs w:val="15"/>
          <w:b w:val="1"/>
          <w:bCs w:val="1"/>
          <w:u w:val="single" w:color="auto"/>
          <w:color w:val="auto"/>
        </w:rPr>
        <w:t>ASBESTOS CONTAINING BUILDING MATERIALS</w:t>
      </w:r>
    </w:p>
    <w:p>
      <w:pPr>
        <w:spacing w:after="0" w:line="10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Please be advised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 w:type="dxa"/>
            <w:vAlign w:val="bottom"/>
          </w:tcPr>
          <w:p>
            <w:pPr>
              <w:spacing w:after="0"/>
              <w:rPr>
                <w:sz w:val="20"/>
                <w:szCs w:val="20"/>
                <w:color w:val="auto"/>
              </w:rPr>
            </w:pPr>
            <w:r>
              <w:rPr>
                <w:rFonts w:ascii="Arial" w:cs="Arial" w:eastAsia="Arial" w:hAnsi="Arial"/>
                <w:sz w:val="16"/>
                <w:szCs w:val="16"/>
                <w:b w:val="1"/>
                <w:bCs w:val="1"/>
                <w:color w:val="auto"/>
              </w:rPr>
              <w:t>6.0</w:t>
            </w: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6"/>
              </w:rPr>
              <w:t>REGULATORY</w:t>
            </w:r>
          </w:p>
        </w:tc>
        <w:tc>
          <w:tcPr>
            <w:tcW w:w="6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98"/>
        </w:trPr>
        <w:tc>
          <w:tcPr>
            <w:tcW w:w="380" w:type="dxa"/>
            <w:vAlign w:val="bottom"/>
          </w:tcPr>
          <w:p>
            <w:pPr>
              <w:spacing w:after="0"/>
              <w:rPr>
                <w:sz w:val="20"/>
                <w:szCs w:val="20"/>
                <w:color w:val="auto"/>
              </w:rPr>
            </w:pPr>
            <w:r>
              <w:rPr>
                <w:rFonts w:ascii="Arial" w:cs="Arial" w:eastAsia="Arial" w:hAnsi="Arial"/>
                <w:sz w:val="16"/>
                <w:szCs w:val="16"/>
                <w:color w:val="auto"/>
              </w:rPr>
              <w:t>6-1.</w:t>
            </w:r>
          </w:p>
        </w:tc>
        <w:tc>
          <w:tcPr>
            <w:tcW w:w="7840" w:type="dxa"/>
            <w:vAlign w:val="bottom"/>
            <w:gridSpan w:val="2"/>
          </w:tcPr>
          <w:p>
            <w:pPr>
              <w:spacing w:after="0"/>
              <w:rPr>
                <w:sz w:val="20"/>
                <w:szCs w:val="20"/>
                <w:color w:val="auto"/>
              </w:rPr>
            </w:pPr>
            <w:r>
              <w:rPr>
                <w:rFonts w:ascii="Arial" w:cs="Arial" w:eastAsia="Arial" w:hAnsi="Arial"/>
                <w:sz w:val="16"/>
                <w:szCs w:val="16"/>
                <w:color w:val="auto"/>
                <w:w w:val="94"/>
              </w:rPr>
              <w:t>Does the operation have or require a National Pollutant Discharge Elimination System (NPDES) or equivalent permit?</w:t>
            </w:r>
          </w:p>
        </w:tc>
        <w:tc>
          <w:tcPr>
            <w:tcW w:w="640" w:type="dxa"/>
            <w:vAlign w:val="bottom"/>
          </w:tcPr>
          <w:p>
            <w:pPr>
              <w:ind w:left="360"/>
              <w:spacing w:after="0"/>
              <w:rPr>
                <w:sz w:val="20"/>
                <w:szCs w:val="20"/>
                <w:color w:val="auto"/>
              </w:rPr>
            </w:pPr>
            <w:r>
              <w:rPr>
                <w:rFonts w:ascii="Arial" w:cs="Arial" w:eastAsia="Arial" w:hAnsi="Arial"/>
                <w:sz w:val="16"/>
                <w:szCs w:val="16"/>
                <w:color w:val="auto"/>
                <w:w w:val="94"/>
              </w:rPr>
              <w:t>Yes</w:t>
            </w:r>
          </w:p>
        </w:tc>
        <w:tc>
          <w:tcPr>
            <w:tcW w:w="2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w w:val="97"/>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38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If so, please attach a copy of this permit.</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83"/>
        </w:trPr>
        <w:tc>
          <w:tcPr>
            <w:tcW w:w="380" w:type="dxa"/>
            <w:vAlign w:val="bottom"/>
          </w:tcPr>
          <w:p>
            <w:pPr>
              <w:spacing w:after="0"/>
              <w:rPr>
                <w:sz w:val="20"/>
                <w:szCs w:val="20"/>
                <w:color w:val="auto"/>
              </w:rPr>
            </w:pPr>
            <w:r>
              <w:rPr>
                <w:rFonts w:ascii="Arial" w:cs="Arial" w:eastAsia="Arial" w:hAnsi="Arial"/>
                <w:sz w:val="16"/>
                <w:szCs w:val="16"/>
                <w:color w:val="auto"/>
              </w:rPr>
              <w:t>6-2.</w:t>
            </w:r>
          </w:p>
        </w:tc>
        <w:tc>
          <w:tcPr>
            <w:tcW w:w="7840" w:type="dxa"/>
            <w:vAlign w:val="bottom"/>
            <w:gridSpan w:val="2"/>
          </w:tcPr>
          <w:p>
            <w:pPr>
              <w:spacing w:after="0"/>
              <w:rPr>
                <w:sz w:val="20"/>
                <w:szCs w:val="20"/>
                <w:color w:val="auto"/>
              </w:rPr>
            </w:pPr>
            <w:r>
              <w:rPr>
                <w:rFonts w:ascii="Arial" w:cs="Arial" w:eastAsia="Arial" w:hAnsi="Arial"/>
                <w:sz w:val="16"/>
                <w:szCs w:val="16"/>
                <w:color w:val="auto"/>
              </w:rPr>
              <w:t>Has a Hazardous Materials Business Plan been developed for the site?</w:t>
            </w:r>
          </w:p>
        </w:tc>
        <w:tc>
          <w:tcPr>
            <w:tcW w:w="640" w:type="dxa"/>
            <w:vAlign w:val="bottom"/>
          </w:tcPr>
          <w:p>
            <w:pPr>
              <w:ind w:left="360"/>
              <w:spacing w:after="0"/>
              <w:rPr>
                <w:sz w:val="20"/>
                <w:szCs w:val="20"/>
                <w:color w:val="auto"/>
              </w:rPr>
            </w:pPr>
            <w:r>
              <w:rPr>
                <w:rFonts w:ascii="Arial" w:cs="Arial" w:eastAsia="Arial" w:hAnsi="Arial"/>
                <w:sz w:val="16"/>
                <w:szCs w:val="16"/>
                <w:color w:val="auto"/>
                <w:w w:val="94"/>
              </w:rPr>
              <w:t>Yes</w:t>
            </w:r>
          </w:p>
        </w:tc>
        <w:tc>
          <w:tcPr>
            <w:tcW w:w="2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00" w:type="dxa"/>
            <w:vAlign w:val="bottom"/>
          </w:tcPr>
          <w:p>
            <w:pPr>
              <w:ind w:left="80"/>
              <w:spacing w:after="0"/>
              <w:rPr>
                <w:sz w:val="20"/>
                <w:szCs w:val="20"/>
                <w:color w:val="auto"/>
              </w:rPr>
            </w:pPr>
            <w:r>
              <w:rPr>
                <w:rFonts w:ascii="Arial" w:cs="Arial" w:eastAsia="Arial" w:hAnsi="Arial"/>
                <w:sz w:val="16"/>
                <w:szCs w:val="16"/>
                <w:color w:val="auto"/>
                <w:w w:val="97"/>
              </w:rPr>
              <w:t>No</w:t>
            </w:r>
          </w:p>
        </w:tc>
        <w:tc>
          <w:tcPr>
            <w:tcW w:w="18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0"/>
        </w:trPr>
        <w:tc>
          <w:tcPr>
            <w:tcW w:w="380" w:type="dxa"/>
            <w:vAlign w:val="bottom"/>
          </w:tcPr>
          <w:p>
            <w:pPr>
              <w:spacing w:after="0"/>
              <w:rPr>
                <w:sz w:val="17"/>
                <w:szCs w:val="17"/>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If so, please attach a copy.</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r>
    </w:tbl>
    <w:p>
      <w:pPr>
        <w:sectPr>
          <w:pgSz w:w="11900" w:h="16838" w:orient="portrait"/>
          <w:cols w:equalWidth="0" w:num="1">
            <w:col w:w="9620"/>
          </w:cols>
          <w:pgMar w:left="1140" w:top="256" w:right="1139" w:bottom="1440" w:gutter="0" w:footer="0" w:header="0"/>
        </w:sectPr>
      </w:pPr>
    </w:p>
    <w:bookmarkStart w:id="473" w:name="page474"/>
    <w:bookmarkEnd w:id="473"/>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CERTIFICATION</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 am familiar with the real property described in this questionnaire. By signing below, I represent and warrant that the answers to the above questions are complete and accurate to the best of my knowledge. I also understand that Lessor will rely on the completeness and accuracy of my answers in assessing any environmental liability risks associated with the property.</w:t>
      </w:r>
    </w:p>
    <w:p>
      <w:pPr>
        <w:spacing w:after="0" w:line="27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pacing w:after="0" w:line="17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10795</wp:posOffset>
            </wp:positionV>
            <wp:extent cx="1931670"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931670" cy="7620"/>
                    </a:xfrm>
                    <a:prstGeom prst="rect">
                      <a:avLst/>
                    </a:prstGeom>
                    <a:noFill/>
                  </pic:spPr>
                </pic:pic>
              </a:graphicData>
            </a:graphic>
          </wp:anchor>
        </w:drawing>
      </w:r>
    </w:p>
    <w:p>
      <w:pPr>
        <w:sectPr>
          <w:pgSz w:w="11900" w:h="16838" w:orient="portrait"/>
          <w:cols w:equalWidth="0" w:num="1">
            <w:col w:w="9600"/>
          </w:cols>
          <w:pgMar w:left="1140" w:top="252" w:right="1159" w:bottom="1440" w:gutter="0" w:footer="0" w:header="0"/>
        </w:sectPr>
      </w:pPr>
    </w:p>
    <w:bookmarkStart w:id="474" w:name="page475"/>
    <w:bookmarkEnd w:id="474"/>
    <w:p>
      <w:pPr>
        <w:jc w:val="center"/>
        <w:ind w:right="-2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F</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u w:val="single" w:color="auto"/>
          <w:color w:val="auto"/>
        </w:rPr>
        <w:t>TENANT’S PROPERTY</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items, to the extent (i) not purchased with the Tenant Improvement Allowance or Additional Improvement Allowance, and (ii) not tied into the Base Building systems, shall be deemed “Tenant’s Property”:</w:t>
      </w:r>
    </w:p>
    <w:p>
      <w:pPr>
        <w:spacing w:after="0" w:line="76" w:lineRule="exact"/>
        <w:rPr>
          <w:sz w:val="20"/>
          <w:szCs w:val="20"/>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All moveable furniture and equipment that is not “built-in”.</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Moveable lab casework (other than “built-in” lab casework), including moveable lab benches.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Servers, server racks and back-up batteries.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Furniture.</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Portable fume hoods.</w:t>
      </w:r>
    </w:p>
    <w:p>
      <w:pPr>
        <w:spacing w:after="0" w:line="110" w:lineRule="exact"/>
        <w:rPr>
          <w:rFonts w:ascii="Arial" w:cs="Arial" w:eastAsia="Arial" w:hAnsi="Arial"/>
          <w:sz w:val="16"/>
          <w:szCs w:val="16"/>
          <w:color w:val="auto"/>
        </w:rPr>
      </w:pPr>
    </w:p>
    <w:p>
      <w:pPr>
        <w:ind w:left="840" w:hanging="469"/>
        <w:spacing w:after="0"/>
        <w:tabs>
          <w:tab w:leader="none" w:pos="84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Biosafety cabinets.</w:t>
      </w:r>
    </w:p>
    <w:p>
      <w:pPr>
        <w:sectPr>
          <w:pgSz w:w="11900" w:h="16838" w:orient="portrait"/>
          <w:cols w:equalWidth="0" w:num="1">
            <w:col w:w="9380"/>
          </w:cols>
          <w:pgMar w:left="1140" w:top="252" w:right="137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EXHIBIT 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AGREEMENT FOR ADDITIONAL MONTHLY BASE RENT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FIRST AMENDMENT TO LEASE</w:t>
      </w:r>
    </w:p>
    <w:p>
      <w:pPr>
        <w:spacing w:after="0" w:line="193" w:lineRule="exact"/>
        <w:rPr>
          <w:sz w:val="20"/>
          <w:szCs w:val="20"/>
          <w:color w:val="auto"/>
        </w:rPr>
      </w:pPr>
    </w:p>
    <w:p>
      <w:pPr>
        <w:ind w:left="380"/>
        <w:spacing w:after="0"/>
        <w:tabs>
          <w:tab w:leader="none" w:pos="6800" w:val="left"/>
        </w:tabs>
        <w:rPr>
          <w:sz w:val="20"/>
          <w:szCs w:val="20"/>
          <w:color w:val="auto"/>
        </w:rPr>
      </w:pPr>
      <w:r>
        <w:rPr>
          <w:rFonts w:ascii="Arial" w:cs="Arial" w:eastAsia="Arial" w:hAnsi="Arial"/>
          <w:sz w:val="16"/>
          <w:szCs w:val="16"/>
          <w:color w:val="auto"/>
        </w:rPr>
        <w:t>This FIRST AMENDMENT TO LEASE (“</w:t>
      </w:r>
      <w:r>
        <w:rPr>
          <w:rFonts w:ascii="Arial" w:cs="Arial" w:eastAsia="Arial" w:hAnsi="Arial"/>
          <w:sz w:val="16"/>
          <w:szCs w:val="16"/>
          <w:b w:val="1"/>
          <w:bCs w:val="1"/>
          <w:color w:val="auto"/>
        </w:rPr>
        <w:t>Amendment</w:t>
      </w:r>
      <w:r>
        <w:rPr>
          <w:rFonts w:ascii="Arial" w:cs="Arial" w:eastAsia="Arial" w:hAnsi="Arial"/>
          <w:sz w:val="16"/>
          <w:szCs w:val="16"/>
          <w:color w:val="auto"/>
        </w:rPr>
        <w:t>”) is made and entered into as of</w:t>
      </w:r>
      <w:r>
        <w:rPr>
          <w:sz w:val="20"/>
          <w:szCs w:val="20"/>
          <w:color w:val="auto"/>
        </w:rPr>
        <w:tab/>
      </w:r>
      <w:r>
        <w:rPr>
          <w:rFonts w:ascii="Arial" w:cs="Arial" w:eastAsia="Arial" w:hAnsi="Arial"/>
          <w:sz w:val="13"/>
          <w:szCs w:val="13"/>
          <w:color w:val="auto"/>
        </w:rPr>
        <w:t>, 2017, by and between HCP OYSTER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3827145</wp:posOffset>
            </wp:positionH>
            <wp:positionV relativeFrom="paragraph">
              <wp:posOffset>-8255</wp:posOffset>
            </wp:positionV>
            <wp:extent cx="499110"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POINT III LLC, a Delaware limited partner (“</w:t>
      </w:r>
      <w:r>
        <w:rPr>
          <w:rFonts w:ascii="Arial" w:cs="Arial" w:eastAsia="Arial" w:hAnsi="Arial"/>
          <w:sz w:val="15"/>
          <w:szCs w:val="15"/>
          <w:b w:val="1"/>
          <w:bCs w:val="1"/>
          <w:color w:val="auto"/>
        </w:rPr>
        <w:t>Landlord</w:t>
      </w:r>
      <w:r>
        <w:rPr>
          <w:rFonts w:ascii="Arial" w:cs="Arial" w:eastAsia="Arial" w:hAnsi="Arial"/>
          <w:sz w:val="15"/>
          <w:szCs w:val="15"/>
          <w:color w:val="auto"/>
        </w:rPr>
        <w:t>”), and THE COLUMN GROUP, LLC, a Delaware limited liability company (“</w:t>
      </w:r>
      <w:r>
        <w:rPr>
          <w:rFonts w:ascii="Arial" w:cs="Arial" w:eastAsia="Arial" w:hAnsi="Arial"/>
          <w:sz w:val="15"/>
          <w:szCs w:val="15"/>
          <w:b w:val="1"/>
          <w:bCs w:val="1"/>
          <w:color w:val="auto"/>
        </w:rPr>
        <w:t>Tenant</w:t>
      </w:r>
      <w:r>
        <w:rPr>
          <w:rFonts w:ascii="Arial" w:cs="Arial" w:eastAsia="Arial" w:hAnsi="Arial"/>
          <w:sz w:val="15"/>
          <w:szCs w:val="15"/>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 E C I T A L S</w:t>
      </w:r>
      <w:r>
        <w:rPr>
          <w:rFonts w:ascii="Arial" w:cs="Arial" w:eastAsia="Arial" w:hAnsi="Arial"/>
          <w:sz w:val="16"/>
          <w:szCs w:val="16"/>
          <w:color w:val="auto"/>
        </w:rPr>
        <w:t xml:space="preserve"> :</w:t>
      </w:r>
    </w:p>
    <w:p>
      <w:pPr>
        <w:spacing w:after="0" w:line="189" w:lineRule="exact"/>
        <w:rPr>
          <w:sz w:val="20"/>
          <w:szCs w:val="20"/>
          <w:color w:val="auto"/>
        </w:rPr>
      </w:pPr>
    </w:p>
    <w:p>
      <w:pPr>
        <w:ind w:left="380"/>
        <w:spacing w:after="0"/>
        <w:tabs>
          <w:tab w:leader="none" w:pos="5080" w:val="left"/>
        </w:tabs>
        <w:rPr>
          <w:sz w:val="20"/>
          <w:szCs w:val="20"/>
          <w:color w:val="auto"/>
        </w:rPr>
      </w:pPr>
      <w:r>
        <w:rPr>
          <w:rFonts w:ascii="Arial" w:cs="Arial" w:eastAsia="Arial" w:hAnsi="Arial"/>
          <w:sz w:val="16"/>
          <w:szCs w:val="16"/>
          <w:color w:val="auto"/>
        </w:rPr>
        <w:t>A. Landlord and Tenant are parties to that certain Lease dated August</w:t>
      </w:r>
      <w:r>
        <w:rPr>
          <w:sz w:val="20"/>
          <w:szCs w:val="20"/>
          <w:color w:val="auto"/>
        </w:rPr>
        <w:tab/>
      </w:r>
      <w:r>
        <w:rPr>
          <w:rFonts w:ascii="Arial" w:cs="Arial" w:eastAsia="Arial" w:hAnsi="Arial"/>
          <w:sz w:val="13"/>
          <w:szCs w:val="13"/>
          <w:color w:val="auto"/>
        </w:rPr>
        <w:t>, 2016, (the “</w:t>
      </w:r>
      <w:r>
        <w:rPr>
          <w:rFonts w:ascii="Arial" w:cs="Arial" w:eastAsia="Arial" w:hAnsi="Arial"/>
          <w:sz w:val="13"/>
          <w:szCs w:val="13"/>
          <w:b w:val="1"/>
          <w:bCs w:val="1"/>
          <w:color w:val="auto"/>
        </w:rPr>
        <w:t>Lease</w:t>
      </w:r>
      <w:r>
        <w:rPr>
          <w:rFonts w:ascii="Arial" w:cs="Arial" w:eastAsia="Arial" w:hAnsi="Arial"/>
          <w:sz w:val="13"/>
          <w:szCs w:val="13"/>
          <w:color w:val="auto"/>
        </w:rPr>
        <w:t>”), pursuant to which Tenant leases the fifth (5</w:t>
      </w:r>
      <w:r>
        <w:rPr>
          <w:rFonts w:ascii="Arial" w:cs="Arial" w:eastAsia="Arial" w:hAnsi="Arial"/>
          <w:sz w:val="11"/>
          <w:szCs w:val="11"/>
          <w:color w:val="auto"/>
        </w:rPr>
        <w:t>th</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-8255</wp:posOffset>
            </wp:positionV>
            <wp:extent cx="199390" cy="762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99390" cy="7620"/>
                    </a:xfrm>
                    <a:prstGeom prst="rect">
                      <a:avLst/>
                    </a:prstGeom>
                    <a:noFill/>
                  </pic:spPr>
                </pic:pic>
              </a:graphicData>
            </a:graphic>
          </wp:anchor>
        </w:drawing>
      </w:r>
    </w:p>
    <w:p>
      <w:pPr>
        <w:ind w:right="120"/>
        <w:spacing w:after="0" w:line="252" w:lineRule="auto"/>
        <w:rPr>
          <w:sz w:val="20"/>
          <w:szCs w:val="20"/>
          <w:color w:val="auto"/>
        </w:rPr>
      </w:pPr>
      <w:r>
        <w:rPr>
          <w:rFonts w:ascii="Arial" w:cs="Arial" w:eastAsia="Arial" w:hAnsi="Arial"/>
          <w:sz w:val="16"/>
          <w:szCs w:val="16"/>
          <w:color w:val="auto"/>
        </w:rPr>
        <w:t>floor (the “</w:t>
      </w:r>
      <w:r>
        <w:rPr>
          <w:rFonts w:ascii="Arial" w:cs="Arial" w:eastAsia="Arial" w:hAnsi="Arial"/>
          <w:sz w:val="16"/>
          <w:szCs w:val="16"/>
          <w:b w:val="1"/>
          <w:bCs w:val="1"/>
          <w:color w:val="auto"/>
        </w:rPr>
        <w:t>Premises</w:t>
      </w:r>
      <w:r>
        <w:rPr>
          <w:rFonts w:ascii="Arial" w:cs="Arial" w:eastAsia="Arial" w:hAnsi="Arial"/>
          <w:sz w:val="16"/>
          <w:szCs w:val="16"/>
          <w:color w:val="auto"/>
        </w:rPr>
        <w:t>”) containing approximately 32,370 rentable square feet of space in the building located at 171 Oyster Point Boulevard, South San Francisco, California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 Landlord and Tenant desire to amend the Lease on the terms and conditions set forth in this Amendment.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 G R E E M E N T</w:t>
      </w:r>
      <w:r>
        <w:rPr>
          <w:rFonts w:ascii="Arial" w:cs="Arial" w:eastAsia="Arial" w:hAnsi="Arial"/>
          <w:sz w:val="16"/>
          <w:szCs w:val="16"/>
          <w:color w:val="auto"/>
        </w:rPr>
        <w:t xml:space="preserve"> :</w:t>
      </w:r>
    </w:p>
    <w:p>
      <w:pPr>
        <w:spacing w:after="0" w:line="193" w:lineRule="exact"/>
        <w:rPr>
          <w:sz w:val="20"/>
          <w:szCs w:val="20"/>
          <w:color w:val="auto"/>
        </w:rPr>
      </w:pPr>
    </w:p>
    <w:p>
      <w:pPr>
        <w:ind w:right="440" w:firstLine="385"/>
        <w:spacing w:after="0" w:line="300" w:lineRule="auto"/>
        <w:rPr>
          <w:sz w:val="20"/>
          <w:szCs w:val="20"/>
          <w:color w:val="auto"/>
        </w:rPr>
      </w:pPr>
      <w:r>
        <w:rPr>
          <w:rFonts w:ascii="Arial" w:cs="Arial" w:eastAsia="Arial" w:hAnsi="Arial"/>
          <w:sz w:val="15"/>
          <w:szCs w:val="15"/>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35" w:lineRule="exact"/>
        <w:rPr>
          <w:sz w:val="20"/>
          <w:szCs w:val="20"/>
          <w:color w:val="auto"/>
        </w:rPr>
      </w:pPr>
    </w:p>
    <w:p>
      <w:pPr>
        <w:ind w:right="200" w:firstLine="378"/>
        <w:spacing w:after="0" w:line="266" w:lineRule="auto"/>
        <w:tabs>
          <w:tab w:leader="none" w:pos="542" w:val="left"/>
        </w:tabs>
        <w:numPr>
          <w:ilvl w:val="0"/>
          <w:numId w:val="352"/>
        </w:numPr>
        <w:rPr>
          <w:rFonts w:ascii="Arial" w:cs="Arial" w:eastAsia="Arial" w:hAnsi="Arial"/>
          <w:sz w:val="16"/>
          <w:szCs w:val="16"/>
          <w:color w:val="auto"/>
        </w:rPr>
      </w:pPr>
      <w:r>
        <w:rPr>
          <w:rFonts w:ascii="Arial" w:cs="Arial" w:eastAsia="Arial" w:hAnsi="Arial"/>
          <w:sz w:val="16"/>
          <w:szCs w:val="16"/>
          <w:u w:val="single" w:color="auto"/>
          <w:color w:val="auto"/>
        </w:rPr>
        <w:t>Terms</w:t>
      </w:r>
      <w:r>
        <w:rPr>
          <w:rFonts w:ascii="Arial" w:cs="Arial" w:eastAsia="Arial" w:hAnsi="Arial"/>
          <w:sz w:val="16"/>
          <w:szCs w:val="16"/>
          <w:color w:val="auto"/>
        </w:rPr>
        <w:t>. All capitalized terms when used herein shall have the same respective meanings as are given such terms in the Lease unless expressly provided otherwise in this Amendment.</w:t>
      </w:r>
    </w:p>
    <w:p>
      <w:pPr>
        <w:spacing w:after="0" w:line="154" w:lineRule="exact"/>
        <w:rPr>
          <w:rFonts w:ascii="Arial" w:cs="Arial" w:eastAsia="Arial" w:hAnsi="Arial"/>
          <w:sz w:val="16"/>
          <w:szCs w:val="16"/>
          <w:color w:val="auto"/>
        </w:rPr>
      </w:pPr>
    </w:p>
    <w:p>
      <w:pPr>
        <w:ind w:right="100" w:firstLine="378"/>
        <w:spacing w:after="0" w:line="315" w:lineRule="auto"/>
        <w:tabs>
          <w:tab w:leader="none" w:pos="542" w:val="left"/>
        </w:tabs>
        <w:numPr>
          <w:ilvl w:val="0"/>
          <w:numId w:val="352"/>
        </w:numPr>
        <w:rPr>
          <w:rFonts w:ascii="Arial" w:cs="Arial" w:eastAsia="Arial" w:hAnsi="Arial"/>
          <w:sz w:val="13"/>
          <w:szCs w:val="13"/>
          <w:color w:val="auto"/>
        </w:rPr>
      </w:pPr>
      <w:r>
        <w:rPr>
          <w:rFonts w:ascii="Arial" w:cs="Arial" w:eastAsia="Arial" w:hAnsi="Arial"/>
          <w:sz w:val="13"/>
          <w:szCs w:val="13"/>
          <w:u w:val="single" w:color="auto"/>
          <w:color w:val="auto"/>
        </w:rPr>
        <w:t>Additional TI Allowance</w:t>
      </w:r>
      <w:r>
        <w:rPr>
          <w:rFonts w:ascii="Arial" w:cs="Arial" w:eastAsia="Arial" w:hAnsi="Arial"/>
          <w:sz w:val="13"/>
          <w:szCs w:val="13"/>
          <w:color w:val="auto"/>
        </w:rPr>
        <w:t xml:space="preserve">. Pursuant to the terms of </w:t>
      </w:r>
      <w:r>
        <w:rPr>
          <w:rFonts w:ascii="Arial" w:cs="Arial" w:eastAsia="Arial" w:hAnsi="Arial"/>
          <w:sz w:val="13"/>
          <w:szCs w:val="13"/>
          <w:u w:val="single" w:color="auto"/>
          <w:color w:val="auto"/>
        </w:rPr>
        <w:t>Section 4</w:t>
      </w:r>
      <w:r>
        <w:rPr>
          <w:rFonts w:ascii="Arial" w:cs="Arial" w:eastAsia="Arial" w:hAnsi="Arial"/>
          <w:sz w:val="13"/>
          <w:szCs w:val="13"/>
          <w:color w:val="auto"/>
        </w:rPr>
        <w:t xml:space="preserve"> of the Tenant Work Letter attached to the Lease as </w:t>
      </w:r>
      <w:r>
        <w:rPr>
          <w:rFonts w:ascii="Arial" w:cs="Arial" w:eastAsia="Arial" w:hAnsi="Arial"/>
          <w:sz w:val="13"/>
          <w:szCs w:val="13"/>
          <w:b w:val="1"/>
          <w:bCs w:val="1"/>
          <w:u w:val="single" w:color="auto"/>
          <w:color w:val="auto"/>
        </w:rPr>
        <w:t>Exhibit B</w:t>
      </w:r>
      <w:r>
        <w:rPr>
          <w:rFonts w:ascii="Arial" w:cs="Arial" w:eastAsia="Arial" w:hAnsi="Arial"/>
          <w:sz w:val="13"/>
          <w:szCs w:val="13"/>
          <w:color w:val="auto"/>
        </w:rPr>
        <w:t>, Tenant was entitled to a First Additional TI Allowance and a Second Additional TI Allowance of up to $647,400.00 each. Notwithstanding any provision to the contrary</w:t>
      </w:r>
    </w:p>
    <w:tbl>
      <w:tblPr>
        <w:tblLayout w:type="fixed"/>
        <w:tblInd w:w="0" w:type="dxa"/>
        <w:tblCellMar>
          <w:top w:w="0" w:type="dxa"/>
          <w:left w:w="0" w:type="dxa"/>
          <w:bottom w:w="0" w:type="dxa"/>
          <w:right w:w="0" w:type="dxa"/>
        </w:tblCellMar>
      </w:tblPr>
      <w:tr>
        <w:trPr>
          <w:trHeight w:val="155"/>
        </w:trPr>
        <w:tc>
          <w:tcPr>
            <w:tcW w:w="6300" w:type="dxa"/>
            <w:vAlign w:val="bottom"/>
            <w:gridSpan w:val="15"/>
          </w:tcPr>
          <w:p>
            <w:pPr>
              <w:spacing w:after="0" w:line="155" w:lineRule="exact"/>
              <w:rPr>
                <w:sz w:val="20"/>
                <w:szCs w:val="20"/>
                <w:color w:val="auto"/>
              </w:rPr>
            </w:pPr>
            <w:r>
              <w:rPr>
                <w:rFonts w:ascii="Arial" w:cs="Arial" w:eastAsia="Arial" w:hAnsi="Arial"/>
                <w:sz w:val="16"/>
                <w:szCs w:val="16"/>
                <w:color w:val="auto"/>
                <w:w w:val="87"/>
              </w:rPr>
              <w:t>contained in the Lease, Landlord and Tenant hereby acknowledge and agree that Tenant has utilized</w:t>
            </w:r>
          </w:p>
        </w:tc>
        <w:tc>
          <w:tcPr>
            <w:tcW w:w="800" w:type="dxa"/>
            <w:vAlign w:val="bottom"/>
          </w:tcPr>
          <w:p>
            <w:pPr>
              <w:spacing w:after="0"/>
              <w:rPr>
                <w:sz w:val="13"/>
                <w:szCs w:val="13"/>
                <w:color w:val="auto"/>
              </w:rPr>
            </w:pPr>
          </w:p>
        </w:tc>
        <w:tc>
          <w:tcPr>
            <w:tcW w:w="2020" w:type="dxa"/>
            <w:vAlign w:val="bottom"/>
            <w:gridSpan w:val="5"/>
          </w:tcPr>
          <w:p>
            <w:pPr>
              <w:ind w:left="40"/>
              <w:spacing w:after="0" w:line="155" w:lineRule="exact"/>
              <w:rPr>
                <w:sz w:val="20"/>
                <w:szCs w:val="20"/>
                <w:color w:val="auto"/>
              </w:rPr>
            </w:pPr>
            <w:r>
              <w:rPr>
                <w:rFonts w:ascii="Arial" w:cs="Arial" w:eastAsia="Arial" w:hAnsi="Arial"/>
                <w:sz w:val="16"/>
                <w:szCs w:val="16"/>
                <w:color w:val="auto"/>
              </w:rPr>
              <w:t>and   /100 Dollars ($</w:t>
            </w:r>
          </w:p>
        </w:tc>
        <w:tc>
          <w:tcPr>
            <w:tcW w:w="300" w:type="dxa"/>
            <w:vAlign w:val="bottom"/>
            <w:gridSpan w:val="2"/>
          </w:tcPr>
          <w:p>
            <w:pPr>
              <w:ind w:left="20"/>
              <w:spacing w:after="0" w:line="155" w:lineRule="exact"/>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60"/>
              <w:spacing w:after="0" w:line="155" w:lineRule="exact"/>
              <w:rPr>
                <w:sz w:val="20"/>
                <w:szCs w:val="20"/>
                <w:color w:val="auto"/>
              </w:rPr>
            </w:pPr>
            <w:r>
              <w:rPr>
                <w:rFonts w:ascii="Arial" w:cs="Arial" w:eastAsia="Arial" w:hAnsi="Arial"/>
                <w:sz w:val="16"/>
                <w:szCs w:val="16"/>
                <w:color w:val="auto"/>
              </w:rPr>
              <w:t>)</w:t>
            </w:r>
          </w:p>
        </w:tc>
      </w:tr>
      <w:tr>
        <w:trPr>
          <w:trHeight w:val="20"/>
        </w:trPr>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600" w:type="dxa"/>
            <w:vAlign w:val="bottom"/>
            <w:gridSpan w:val="3"/>
          </w:tcPr>
          <w:p>
            <w:pPr>
              <w:spacing w:after="0" w:line="168" w:lineRule="exact"/>
              <w:rPr>
                <w:sz w:val="20"/>
                <w:szCs w:val="20"/>
                <w:color w:val="auto"/>
              </w:rPr>
            </w:pPr>
            <w:r>
              <w:rPr>
                <w:rFonts w:ascii="Arial" w:cs="Arial" w:eastAsia="Arial" w:hAnsi="Arial"/>
                <w:sz w:val="16"/>
                <w:szCs w:val="16"/>
                <w:color w:val="auto"/>
                <w:w w:val="92"/>
              </w:rPr>
              <w:t>of the First Additional TI Allowance and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ind w:left="20"/>
              <w:spacing w:after="0" w:line="168" w:lineRule="exact"/>
              <w:rPr>
                <w:sz w:val="20"/>
                <w:szCs w:val="20"/>
                <w:color w:val="auto"/>
              </w:rPr>
            </w:pPr>
            <w:r>
              <w:rPr>
                <w:rFonts w:ascii="Arial" w:cs="Arial" w:eastAsia="Arial" w:hAnsi="Arial"/>
                <w:sz w:val="16"/>
                <w:szCs w:val="16"/>
                <w:color w:val="auto"/>
                <w:w w:val="99"/>
              </w:rPr>
              <w:t>and   /100 Dollars ($</w:t>
            </w:r>
          </w:p>
        </w:tc>
        <w:tc>
          <w:tcPr>
            <w:tcW w:w="780" w:type="dxa"/>
            <w:vAlign w:val="bottom"/>
            <w:gridSpan w:val="3"/>
          </w:tcPr>
          <w:p>
            <w:pPr>
              <w:jc w:val="right"/>
              <w:ind w:right="180"/>
              <w:spacing w:after="0" w:line="168"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660" w:type="dxa"/>
            <w:vAlign w:val="bottom"/>
            <w:gridSpan w:val="11"/>
          </w:tcPr>
          <w:p>
            <w:pPr>
              <w:jc w:val="right"/>
              <w:spacing w:after="0" w:line="168" w:lineRule="exact"/>
              <w:rPr>
                <w:sz w:val="20"/>
                <w:szCs w:val="20"/>
                <w:color w:val="auto"/>
              </w:rPr>
            </w:pPr>
            <w:r>
              <w:rPr>
                <w:rFonts w:ascii="Arial" w:cs="Arial" w:eastAsia="Arial" w:hAnsi="Arial"/>
                <w:sz w:val="16"/>
                <w:szCs w:val="16"/>
                <w:color w:val="auto"/>
                <w:w w:val="91"/>
              </w:rPr>
              <w:t>) of the Second Additional TI Allowance (collectively, the</w:t>
            </w:r>
          </w:p>
        </w:tc>
      </w:tr>
      <w:tr>
        <w:trPr>
          <w:trHeight w:val="203"/>
        </w:trPr>
        <w:tc>
          <w:tcPr>
            <w:tcW w:w="2600" w:type="dxa"/>
            <w:vAlign w:val="bottom"/>
            <w:gridSpan w:val="3"/>
          </w:tcPr>
          <w:p>
            <w:pPr>
              <w:spacing w:after="0"/>
              <w:rPr>
                <w:sz w:val="20"/>
                <w:szCs w:val="20"/>
                <w:color w:val="auto"/>
              </w:rPr>
            </w:pPr>
            <w:r>
              <w:rPr>
                <w:rFonts w:ascii="Arial" w:cs="Arial" w:eastAsia="Arial" w:hAnsi="Arial"/>
                <w:sz w:val="16"/>
                <w:szCs w:val="16"/>
                <w:color w:val="auto"/>
              </w:rPr>
              <w:t>“Utilized Additional TI Allowance”).</w:t>
            </w: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43"/>
        </w:trPr>
        <w:tc>
          <w:tcPr>
            <w:tcW w:w="9120" w:type="dxa"/>
            <w:vAlign w:val="bottom"/>
            <w:gridSpan w:val="21"/>
          </w:tcPr>
          <w:p>
            <w:pPr>
              <w:ind w:left="380"/>
              <w:spacing w:after="0"/>
              <w:rPr>
                <w:sz w:val="20"/>
                <w:szCs w:val="20"/>
                <w:color w:val="auto"/>
              </w:rPr>
            </w:pPr>
            <w:r>
              <w:rPr>
                <w:rFonts w:ascii="Arial" w:cs="Arial" w:eastAsia="Arial" w:hAnsi="Arial"/>
                <w:sz w:val="16"/>
                <w:szCs w:val="16"/>
                <w:color w:val="auto"/>
                <w:w w:val="90"/>
              </w:rPr>
              <w:t>4. Additional Monthly Base Rent. As a result of Tenant’s use of the Utilized Additional TI Allowance, Tenant is required to pay additional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0" w:type="dxa"/>
            <w:vAlign w:val="bottom"/>
            <w:gridSpan w:val="1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9120" w:type="dxa"/>
            <w:vAlign w:val="bottom"/>
            <w:gridSpan w:val="21"/>
          </w:tcPr>
          <w:p>
            <w:pPr>
              <w:spacing w:after="0" w:line="168" w:lineRule="exact"/>
              <w:rPr>
                <w:sz w:val="20"/>
                <w:szCs w:val="20"/>
                <w:color w:val="auto"/>
              </w:rPr>
            </w:pPr>
            <w:r>
              <w:rPr>
                <w:rFonts w:ascii="Arial" w:cs="Arial" w:eastAsia="Arial" w:hAnsi="Arial"/>
                <w:sz w:val="16"/>
                <w:szCs w:val="16"/>
                <w:color w:val="auto"/>
                <w:w w:val="93"/>
              </w:rPr>
              <w:t>monthly Base Rent calculated as provided in Section 4 of the Tenant Work Letter, which additional monthly Base Rent shall be equal to $</w:t>
            </w:r>
          </w:p>
        </w:tc>
        <w:tc>
          <w:tcPr>
            <w:tcW w:w="300" w:type="dxa"/>
            <w:vAlign w:val="bottom"/>
            <w:gridSpan w:val="2"/>
          </w:tcPr>
          <w:p>
            <w:pPr>
              <w:ind w:left="40"/>
              <w:spacing w:after="0" w:line="168" w:lineRule="exact"/>
              <w:rPr>
                <w:sz w:val="20"/>
                <w:szCs w:val="20"/>
                <w:color w:val="auto"/>
              </w:rPr>
            </w:pPr>
            <w:r>
              <w:rPr>
                <w:rFonts w:ascii="Arial" w:cs="Arial" w:eastAsia="Arial" w:hAnsi="Arial"/>
                <w:sz w:val="16"/>
                <w:szCs w:val="16"/>
                <w:color w:val="auto"/>
              </w:rPr>
              <w:t>per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2840" w:type="dxa"/>
            <w:vAlign w:val="bottom"/>
            <w:gridSpan w:val="4"/>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r>
      <w:tr>
        <w:trPr>
          <w:trHeight w:val="169"/>
        </w:trPr>
        <w:tc>
          <w:tcPr>
            <w:tcW w:w="5040" w:type="dxa"/>
            <w:vAlign w:val="bottom"/>
            <w:gridSpan w:val="10"/>
          </w:tcPr>
          <w:p>
            <w:pPr>
              <w:spacing w:after="0" w:line="168" w:lineRule="exact"/>
              <w:rPr>
                <w:sz w:val="20"/>
                <w:szCs w:val="20"/>
                <w:color w:val="auto"/>
              </w:rPr>
            </w:pPr>
            <w:r>
              <w:rPr>
                <w:rFonts w:ascii="Arial" w:cs="Arial" w:eastAsia="Arial" w:hAnsi="Arial"/>
                <w:sz w:val="16"/>
                <w:szCs w:val="16"/>
                <w:color w:val="auto"/>
                <w:w w:val="89"/>
              </w:rPr>
              <w:t>month, payable on or before the first (1</w:t>
            </w:r>
            <w:r>
              <w:rPr>
                <w:rFonts w:ascii="Arial" w:cs="Arial" w:eastAsia="Arial" w:hAnsi="Arial"/>
                <w:sz w:val="13"/>
                <w:szCs w:val="13"/>
                <w:color w:val="auto"/>
                <w:w w:val="89"/>
              </w:rPr>
              <w:t>st</w:t>
            </w:r>
            <w:r>
              <w:rPr>
                <w:rFonts w:ascii="Arial" w:cs="Arial" w:eastAsia="Arial" w:hAnsi="Arial"/>
                <w:sz w:val="16"/>
                <w:szCs w:val="16"/>
                <w:color w:val="auto"/>
                <w:w w:val="89"/>
              </w:rPr>
              <w:t>) day of each month commencing as of</w:t>
            </w: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80" w:type="dxa"/>
            <w:vAlign w:val="bottom"/>
            <w:gridSpan w:val="12"/>
          </w:tcPr>
          <w:p>
            <w:pPr>
              <w:jc w:val="right"/>
              <w:ind w:right="100"/>
              <w:spacing w:after="0" w:line="168" w:lineRule="exact"/>
              <w:rPr>
                <w:sz w:val="20"/>
                <w:szCs w:val="20"/>
                <w:color w:val="auto"/>
              </w:rPr>
            </w:pPr>
            <w:r>
              <w:rPr>
                <w:rFonts w:ascii="Arial" w:cs="Arial" w:eastAsia="Arial" w:hAnsi="Arial"/>
                <w:sz w:val="16"/>
                <w:szCs w:val="16"/>
                <w:color w:val="auto"/>
                <w:w w:val="90"/>
              </w:rPr>
              <w:t>, and continuing through the expiration of the initial Lease</w:t>
            </w:r>
          </w:p>
        </w:tc>
      </w:tr>
      <w:tr>
        <w:trPr>
          <w:trHeight w:val="203"/>
        </w:trPr>
        <w:tc>
          <w:tcPr>
            <w:tcW w:w="2600" w:type="dxa"/>
            <w:vAlign w:val="bottom"/>
            <w:gridSpan w:val="3"/>
          </w:tcPr>
          <w:p>
            <w:pPr>
              <w:spacing w:after="0"/>
              <w:rPr>
                <w:sz w:val="20"/>
                <w:szCs w:val="20"/>
                <w:color w:val="auto"/>
              </w:rPr>
            </w:pPr>
            <w:r>
              <w:rPr>
                <w:rFonts w:ascii="Arial" w:cs="Arial" w:eastAsia="Arial" w:hAnsi="Arial"/>
                <w:sz w:val="16"/>
                <w:szCs w:val="16"/>
                <w:color w:val="auto"/>
              </w:rPr>
              <w:t>Term.</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177" w:lineRule="exact"/>
        <w:rPr>
          <w:sz w:val="20"/>
          <w:szCs w:val="20"/>
          <w:color w:val="auto"/>
        </w:rPr>
      </w:pPr>
    </w:p>
    <w:p>
      <w:pPr>
        <w:ind w:right="660" w:firstLine="378"/>
        <w:spacing w:after="0" w:line="266" w:lineRule="auto"/>
        <w:tabs>
          <w:tab w:leader="none" w:pos="542"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No Further Modification</w:t>
      </w:r>
      <w:r>
        <w:rPr>
          <w:rFonts w:ascii="Arial" w:cs="Arial" w:eastAsia="Arial" w:hAnsi="Arial"/>
          <w:sz w:val="16"/>
          <w:szCs w:val="16"/>
          <w:color w:val="auto"/>
        </w:rPr>
        <w:t>. Except as specifically set forth in this Amendment, all of the terms and provisions of the Lease shall remain unmodified and in full force and effect.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WITNESS WHEREOF, this Amendment has been executed as of the day and year first above written.</w:t>
      </w:r>
    </w:p>
    <w:p>
      <w:pPr>
        <w:sectPr>
          <w:pgSz w:w="11900" w:h="16838" w:orient="portrait"/>
          <w:cols w:equalWidth="0" w:num="1">
            <w:col w:w="9600"/>
          </w:cols>
          <w:pgMar w:left="1140" w:top="252" w:right="115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184"/>
        </w:trPr>
        <w:tc>
          <w:tcPr>
            <w:tcW w:w="3400" w:type="dxa"/>
            <w:vAlign w:val="bottom"/>
            <w:gridSpan w:val="3"/>
          </w:tcPr>
          <w:p>
            <w:pPr>
              <w:spacing w:after="0"/>
              <w:rPr>
                <w:sz w:val="20"/>
                <w:szCs w:val="20"/>
                <w:color w:val="auto"/>
              </w:rPr>
            </w:pPr>
            <w:r>
              <w:rPr>
                <w:rFonts w:ascii="Arial" w:cs="Arial" w:eastAsia="Arial" w:hAnsi="Arial"/>
                <w:sz w:val="16"/>
                <w:szCs w:val="16"/>
                <w:color w:val="auto"/>
              </w:rPr>
              <w:t>LANDLORD:</w:t>
            </w:r>
          </w:p>
        </w:tc>
        <w:tc>
          <w:tcPr>
            <w:tcW w:w="268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TENANT:</w:t>
            </w: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404"/>
        </w:trPr>
        <w:tc>
          <w:tcPr>
            <w:tcW w:w="3400" w:type="dxa"/>
            <w:vAlign w:val="bottom"/>
            <w:gridSpan w:val="3"/>
          </w:tcPr>
          <w:p>
            <w:pPr>
              <w:spacing w:after="0"/>
              <w:rPr>
                <w:sz w:val="20"/>
                <w:szCs w:val="20"/>
                <w:color w:val="auto"/>
              </w:rPr>
            </w:pPr>
            <w:r>
              <w:rPr>
                <w:rFonts w:ascii="Arial" w:cs="Arial" w:eastAsia="Arial" w:hAnsi="Arial"/>
                <w:sz w:val="16"/>
                <w:szCs w:val="16"/>
                <w:color w:val="auto"/>
                <w:w w:val="96"/>
              </w:rPr>
              <w:t>HCP OYSTER POINT III LLC, a Delaware limited</w:t>
            </w:r>
          </w:p>
        </w:tc>
        <w:tc>
          <w:tcPr>
            <w:tcW w:w="268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THE COLUMN GROUP, LLC,</w:t>
            </w:r>
          </w:p>
        </w:tc>
      </w:tr>
      <w:tr>
        <w:trPr>
          <w:trHeight w:val="200"/>
        </w:trPr>
        <w:tc>
          <w:tcPr>
            <w:tcW w:w="3400" w:type="dxa"/>
            <w:vAlign w:val="bottom"/>
            <w:gridSpan w:val="3"/>
          </w:tcPr>
          <w:p>
            <w:pPr>
              <w:spacing w:after="0"/>
              <w:rPr>
                <w:sz w:val="20"/>
                <w:szCs w:val="20"/>
                <w:color w:val="auto"/>
              </w:rPr>
            </w:pPr>
            <w:r>
              <w:rPr>
                <w:rFonts w:ascii="Arial" w:cs="Arial" w:eastAsia="Arial" w:hAnsi="Arial"/>
                <w:sz w:val="16"/>
                <w:szCs w:val="16"/>
                <w:color w:val="auto"/>
              </w:rPr>
              <w:t>liability company</w:t>
            </w:r>
          </w:p>
        </w:tc>
        <w:tc>
          <w:tcPr>
            <w:tcW w:w="2680" w:type="dxa"/>
            <w:vAlign w:val="bottom"/>
          </w:tcPr>
          <w:p>
            <w:pPr>
              <w:spacing w:after="0"/>
              <w:rPr>
                <w:sz w:val="17"/>
                <w:szCs w:val="17"/>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a Delaware limited liability company</w:t>
            </w:r>
          </w:p>
        </w:tc>
      </w:tr>
      <w:tr>
        <w:trPr>
          <w:trHeight w:val="378"/>
        </w:trPr>
        <w:tc>
          <w:tcPr>
            <w:tcW w:w="3400" w:type="dxa"/>
            <w:vAlign w:val="bottom"/>
            <w:gridSpan w:val="3"/>
          </w:tcPr>
          <w:p>
            <w:pPr>
              <w:spacing w:after="0"/>
              <w:rPr>
                <w:sz w:val="20"/>
                <w:szCs w:val="20"/>
                <w:color w:val="auto"/>
              </w:rPr>
            </w:pPr>
            <w:r>
              <w:rPr>
                <w:rFonts w:ascii="Arial" w:cs="Arial" w:eastAsia="Arial" w:hAnsi="Arial"/>
                <w:sz w:val="16"/>
                <w:szCs w:val="16"/>
                <w:color w:val="auto"/>
              </w:rPr>
              <w:t>By:  HCP-Pointe Grand, Incorporated</w:t>
            </w: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12"/>
        </w:trPr>
        <w:tc>
          <w:tcPr>
            <w:tcW w:w="3400" w:type="dxa"/>
            <w:vAlign w:val="bottom"/>
            <w:gridSpan w:val="3"/>
          </w:tcPr>
          <w:p>
            <w:pPr>
              <w:ind w:left="380"/>
              <w:spacing w:after="0"/>
              <w:rPr>
                <w:sz w:val="20"/>
                <w:szCs w:val="20"/>
                <w:color w:val="auto"/>
              </w:rPr>
            </w:pPr>
            <w:r>
              <w:rPr>
                <w:rFonts w:ascii="Arial" w:cs="Arial" w:eastAsia="Arial" w:hAnsi="Arial"/>
                <w:sz w:val="16"/>
                <w:szCs w:val="16"/>
                <w:color w:val="auto"/>
              </w:rPr>
              <w:t>its general partner</w:t>
            </w:r>
          </w:p>
        </w:tc>
        <w:tc>
          <w:tcPr>
            <w:tcW w:w="2680" w:type="dxa"/>
            <w:vAlign w:val="bottom"/>
          </w:tcPr>
          <w:p>
            <w:pPr>
              <w:spacing w:after="0"/>
              <w:rPr>
                <w:sz w:val="18"/>
                <w:szCs w:val="18"/>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By:</w:t>
            </w:r>
          </w:p>
        </w:tc>
      </w:tr>
      <w:tr>
        <w:trPr>
          <w:trHeight w:val="357"/>
        </w:trPr>
        <w:tc>
          <w:tcPr>
            <w:tcW w:w="3400" w:type="dxa"/>
            <w:vAlign w:val="bottom"/>
            <w:gridSpan w:val="3"/>
          </w:tcPr>
          <w:p>
            <w:pPr>
              <w:ind w:left="380"/>
              <w:spacing w:after="0"/>
              <w:rPr>
                <w:sz w:val="20"/>
                <w:szCs w:val="20"/>
                <w:color w:val="auto"/>
              </w:rPr>
            </w:pPr>
            <w:r>
              <w:rPr>
                <w:rFonts w:ascii="Arial" w:cs="Arial" w:eastAsia="Arial" w:hAnsi="Arial"/>
                <w:sz w:val="16"/>
                <w:szCs w:val="16"/>
                <w:color w:val="auto"/>
              </w:rPr>
              <w:t>By:</w:t>
            </w: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Borders>
              <w:top w:val="single" w:sz="8" w:color="auto"/>
            </w:tcBorders>
            <w:gridSpan w:val="3"/>
          </w:tcPr>
          <w:p>
            <w:pPr>
              <w:ind w:left="80"/>
              <w:spacing w:after="0"/>
              <w:rPr>
                <w:sz w:val="20"/>
                <w:szCs w:val="20"/>
                <w:color w:val="auto"/>
              </w:rPr>
            </w:pPr>
            <w:r>
              <w:rPr>
                <w:rFonts w:ascii="Arial" w:cs="Arial" w:eastAsia="Arial" w:hAnsi="Arial"/>
                <w:sz w:val="16"/>
                <w:szCs w:val="16"/>
                <w:color w:val="auto"/>
              </w:rPr>
              <w:t>Name:</w:t>
            </w:r>
          </w:p>
        </w:tc>
      </w:tr>
      <w:tr>
        <w:trPr>
          <w:trHeight w:val="169"/>
        </w:trPr>
        <w:tc>
          <w:tcPr>
            <w:tcW w:w="7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Jonathan M. Bergschneider</w:t>
            </w: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Borders>
              <w:top w:val="single" w:sz="8" w:color="auto"/>
            </w:tcBorders>
          </w:tcPr>
          <w:p>
            <w:pPr>
              <w:spacing w:after="0"/>
              <w:rPr>
                <w:sz w:val="14"/>
                <w:szCs w:val="14"/>
                <w:color w:val="auto"/>
              </w:rPr>
            </w:pPr>
          </w:p>
        </w:tc>
      </w:tr>
      <w:tr>
        <w:trPr>
          <w:trHeight w:val="212"/>
        </w:trPr>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tcPr>
          <w:p>
            <w:pPr>
              <w:ind w:left="20"/>
              <w:spacing w:after="0"/>
              <w:rPr>
                <w:sz w:val="20"/>
                <w:szCs w:val="20"/>
                <w:color w:val="auto"/>
              </w:rPr>
            </w:pPr>
            <w:r>
              <w:rPr>
                <w:rFonts w:ascii="Arial" w:cs="Arial" w:eastAsia="Arial" w:hAnsi="Arial"/>
                <w:sz w:val="16"/>
                <w:szCs w:val="16"/>
                <w:color w:val="auto"/>
              </w:rPr>
              <w:t>Executive Vice President</w:t>
            </w:r>
          </w:p>
        </w:tc>
        <w:tc>
          <w:tcPr>
            <w:tcW w:w="2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gridSpan w:val="2"/>
          </w:tcPr>
          <w:p>
            <w:pPr>
              <w:ind w:left="80"/>
              <w:spacing w:after="0"/>
              <w:rPr>
                <w:sz w:val="20"/>
                <w:szCs w:val="20"/>
                <w:color w:val="auto"/>
              </w:rPr>
            </w:pPr>
            <w:r>
              <w:rPr>
                <w:rFonts w:ascii="Arial" w:cs="Arial" w:eastAsia="Arial" w:hAnsi="Arial"/>
                <w:sz w:val="16"/>
                <w:szCs w:val="16"/>
                <w:color w:val="auto"/>
              </w:rPr>
              <w:t>Its:</w:t>
            </w:r>
          </w:p>
        </w:tc>
        <w:tc>
          <w:tcPr>
            <w:tcW w:w="2600" w:type="dxa"/>
            <w:vAlign w:val="bottom"/>
            <w:tcBorders>
              <w:bottom w:val="single" w:sz="8" w:color="auto"/>
            </w:tcBorders>
          </w:tcPr>
          <w:p>
            <w:pPr>
              <w:spacing w:after="0"/>
              <w:rPr>
                <w:sz w:val="18"/>
                <w:szCs w:val="18"/>
                <w:color w:val="auto"/>
              </w:rPr>
            </w:pP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540" w:type="dxa"/>
            <w:vAlign w:val="bottom"/>
            <w:gridSpan w:val="4"/>
          </w:tcPr>
          <w:p>
            <w:pPr>
              <w:spacing w:after="0"/>
              <w:rPr>
                <w:sz w:val="20"/>
                <w:szCs w:val="20"/>
                <w:color w:val="auto"/>
              </w:rPr>
            </w:pPr>
            <w:r>
              <w:rPr>
                <w:rFonts w:ascii="Arial" w:cs="Arial" w:eastAsia="Arial" w:hAnsi="Arial"/>
                <w:sz w:val="16"/>
                <w:szCs w:val="16"/>
                <w:color w:val="auto"/>
              </w:rPr>
              <w:t>By:</w:t>
            </w: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color w:val="auto"/>
                <w:w w:val="97"/>
              </w:rPr>
              <w:t>Name:</w:t>
            </w:r>
          </w:p>
        </w:tc>
        <w:tc>
          <w:tcPr>
            <w:tcW w:w="2600" w:type="dxa"/>
            <w:vAlign w:val="bottom"/>
            <w:tcBorders>
              <w:top w:val="single" w:sz="8" w:color="auto"/>
              <w:bottom w:val="single" w:sz="8" w:color="auto"/>
            </w:tcBorders>
          </w:tcPr>
          <w:p>
            <w:pPr>
              <w:spacing w:after="0"/>
              <w:rPr>
                <w:sz w:val="24"/>
                <w:szCs w:val="24"/>
                <w:color w:val="auto"/>
              </w:rPr>
            </w:pPr>
          </w:p>
        </w:tc>
      </w:tr>
      <w:tr>
        <w:trPr>
          <w:trHeight w:val="357"/>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gridSpan w:val="2"/>
          </w:tcPr>
          <w:p>
            <w:pPr>
              <w:ind w:left="80"/>
              <w:spacing w:after="0"/>
              <w:rPr>
                <w:sz w:val="20"/>
                <w:szCs w:val="20"/>
                <w:color w:val="auto"/>
              </w:rPr>
            </w:pPr>
            <w:r>
              <w:rPr>
                <w:rFonts w:ascii="Arial" w:cs="Arial" w:eastAsia="Arial" w:hAnsi="Arial"/>
                <w:sz w:val="16"/>
                <w:szCs w:val="16"/>
                <w:color w:val="auto"/>
              </w:rPr>
              <w:t>Its:</w:t>
            </w:r>
          </w:p>
        </w:tc>
        <w:tc>
          <w:tcPr>
            <w:tcW w:w="2600" w:type="dxa"/>
            <w:vAlign w:val="bottom"/>
            <w:tcBorders>
              <w:bottom w:val="single" w:sz="8" w:color="auto"/>
            </w:tcBorders>
          </w:tcPr>
          <w:p>
            <w:pPr>
              <w:spacing w:after="0"/>
              <w:rPr>
                <w:sz w:val="24"/>
                <w:szCs w:val="24"/>
                <w:color w:val="auto"/>
              </w:rPr>
            </w:pPr>
          </w:p>
        </w:tc>
      </w:tr>
    </w:tbl>
    <w:p>
      <w:pPr>
        <w:spacing w:after="0"/>
        <w:rPr>
          <w:sz w:val="20"/>
          <w:szCs w:val="20"/>
          <w:color w:val="auto"/>
        </w:rPr>
        <w:sectPr>
          <w:pgSz w:w="11900" w:h="16838" w:orient="portrait"/>
          <w:cols w:equalWidth="0" w:num="1">
            <w:col w:w="9620"/>
          </w:cols>
          <w:pgMar w:left="1140" w:top="238" w:right="113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477" w:name="page478"/>
    <w:bookmarkEnd w:id="477"/>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gridSpan w:val="5"/>
          </w:tcPr>
          <w:p>
            <w:pPr>
              <w:jc w:val="center"/>
              <w:ind w:right="2440"/>
              <w:spacing w:after="0"/>
              <w:rPr>
                <w:sz w:val="20"/>
                <w:szCs w:val="20"/>
                <w:color w:val="auto"/>
              </w:rPr>
            </w:pPr>
            <w:r>
              <w:rPr>
                <w:rFonts w:ascii="Arial" w:cs="Arial" w:eastAsia="Arial" w:hAnsi="Arial"/>
                <w:sz w:val="16"/>
                <w:szCs w:val="16"/>
                <w:b w:val="1"/>
                <w:bCs w:val="1"/>
                <w:color w:val="auto"/>
              </w:rPr>
              <w:t>EXHIBIT H</w:t>
            </w:r>
          </w:p>
        </w:tc>
      </w:tr>
      <w:tr>
        <w:trPr>
          <w:trHeight w:val="20"/>
        </w:trPr>
        <w:tc>
          <w:tcPr>
            <w:tcW w:w="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1"/>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rPr>
              <w:t>FORM OF LETTER OF CREDIT</w:t>
            </w:r>
          </w:p>
        </w:tc>
      </w:tr>
      <w:tr>
        <w:trPr>
          <w:trHeight w:val="362"/>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600" w:type="dxa"/>
            <w:vAlign w:val="bottom"/>
            <w:gridSpan w:val="6"/>
          </w:tcPr>
          <w:p>
            <w:pPr>
              <w:jc w:val="center"/>
              <w:ind w:right="1120"/>
              <w:spacing w:after="0"/>
              <w:rPr>
                <w:sz w:val="20"/>
                <w:szCs w:val="20"/>
                <w:color w:val="auto"/>
              </w:rPr>
            </w:pPr>
            <w:r>
              <w:rPr>
                <w:rFonts w:ascii="Arial" w:cs="Arial" w:eastAsia="Arial" w:hAnsi="Arial"/>
                <w:sz w:val="16"/>
                <w:szCs w:val="16"/>
                <w:b w:val="1"/>
                <w:bCs w:val="1"/>
                <w:color w:val="auto"/>
                <w:w w:val="88"/>
              </w:rPr>
              <w:t>(Letterhead of a money center bank</w:t>
            </w:r>
          </w:p>
        </w:tc>
      </w:tr>
      <w:tr>
        <w:trPr>
          <w:trHeight w:val="204"/>
        </w:trPr>
        <w:tc>
          <w:tcPr>
            <w:tcW w:w="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4600" w:type="dxa"/>
            <w:vAlign w:val="bottom"/>
            <w:gridSpan w:val="6"/>
          </w:tcPr>
          <w:p>
            <w:pPr>
              <w:jc w:val="center"/>
              <w:ind w:right="1100"/>
              <w:spacing w:after="0"/>
              <w:rPr>
                <w:sz w:val="20"/>
                <w:szCs w:val="20"/>
                <w:color w:val="auto"/>
              </w:rPr>
            </w:pPr>
            <w:r>
              <w:rPr>
                <w:rFonts w:ascii="Arial" w:cs="Arial" w:eastAsia="Arial" w:hAnsi="Arial"/>
                <w:sz w:val="16"/>
                <w:szCs w:val="16"/>
                <w:b w:val="1"/>
                <w:bCs w:val="1"/>
                <w:color w:val="auto"/>
                <w:w w:val="89"/>
              </w:rPr>
              <w:t>acceptable to the Landlord)</w:t>
            </w:r>
          </w:p>
        </w:tc>
      </w:tr>
      <w:tr>
        <w:trPr>
          <w:trHeight w:val="496"/>
        </w:trPr>
        <w:tc>
          <w:tcPr>
            <w:tcW w:w="3060" w:type="dxa"/>
            <w:vAlign w:val="bottom"/>
            <w:gridSpan w:val="2"/>
          </w:tcPr>
          <w:p>
            <w:pPr>
              <w:spacing w:after="0"/>
              <w:rPr>
                <w:sz w:val="20"/>
                <w:szCs w:val="20"/>
                <w:color w:val="auto"/>
              </w:rPr>
            </w:pPr>
            <w:r>
              <w:rPr>
                <w:rFonts w:ascii="Arial" w:cs="Arial" w:eastAsia="Arial" w:hAnsi="Arial"/>
                <w:sz w:val="16"/>
                <w:szCs w:val="16"/>
                <w:color w:val="auto"/>
              </w:rPr>
              <w:t>FAX NO. [(___) ___-____]</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[Insert Bank Name And Address]</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SWIFT: [Insert No., if any]</w:t>
            </w:r>
          </w:p>
        </w:tc>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55"/>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gridSpan w:val="2"/>
          </w:tcPr>
          <w:p>
            <w:pPr>
              <w:ind w:left="620"/>
              <w:spacing w:after="0"/>
              <w:rPr>
                <w:sz w:val="20"/>
                <w:szCs w:val="20"/>
                <w:color w:val="auto"/>
              </w:rPr>
            </w:pPr>
            <w:r>
              <w:rPr>
                <w:rFonts w:ascii="Arial" w:cs="Arial" w:eastAsia="Arial" w:hAnsi="Arial"/>
                <w:sz w:val="16"/>
                <w:szCs w:val="16"/>
                <w:color w:val="auto"/>
                <w:w w:val="96"/>
              </w:rPr>
              <w:t>DATE OF ISSUE:</w:t>
            </w:r>
          </w:p>
        </w:tc>
        <w:tc>
          <w:tcPr>
            <w:tcW w:w="1420" w:type="dxa"/>
            <w:vAlign w:val="bottom"/>
            <w:tcBorders>
              <w:bottom w:val="single" w:sz="8" w:color="auto"/>
            </w:tcBorders>
            <w:gridSpan w:val="3"/>
          </w:tcPr>
          <w:p>
            <w:pPr>
              <w:spacing w:after="0"/>
              <w:rPr>
                <w:sz w:val="24"/>
                <w:szCs w:val="24"/>
                <w:color w:val="auto"/>
              </w:rPr>
            </w:pPr>
          </w:p>
        </w:tc>
      </w:tr>
      <w:tr>
        <w:trPr>
          <w:trHeight w:val="380"/>
        </w:trPr>
        <w:tc>
          <w:tcPr>
            <w:tcW w:w="3060" w:type="dxa"/>
            <w:vAlign w:val="bottom"/>
            <w:gridSpan w:val="2"/>
          </w:tcPr>
          <w:p>
            <w:pPr>
              <w:spacing w:after="0"/>
              <w:rPr>
                <w:sz w:val="20"/>
                <w:szCs w:val="20"/>
                <w:color w:val="auto"/>
              </w:rPr>
            </w:pPr>
            <w:r>
              <w:rPr>
                <w:rFonts w:ascii="Arial" w:cs="Arial" w:eastAsia="Arial" w:hAnsi="Arial"/>
                <w:sz w:val="16"/>
                <w:szCs w:val="16"/>
                <w:color w:val="auto"/>
              </w:rPr>
              <w:t>BENEFICIARY:</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APPLICANT:</w:t>
            </w:r>
          </w:p>
        </w:tc>
      </w:tr>
      <w:tr>
        <w:trPr>
          <w:trHeight w:val="200"/>
        </w:trPr>
        <w:tc>
          <w:tcPr>
            <w:tcW w:w="3060" w:type="dxa"/>
            <w:vAlign w:val="bottom"/>
            <w:gridSpan w:val="2"/>
          </w:tcPr>
          <w:p>
            <w:pPr>
              <w:spacing w:after="0"/>
              <w:rPr>
                <w:sz w:val="20"/>
                <w:szCs w:val="20"/>
                <w:color w:val="auto"/>
              </w:rPr>
            </w:pPr>
            <w:r>
              <w:rPr>
                <w:rFonts w:ascii="Arial" w:cs="Arial" w:eastAsia="Arial" w:hAnsi="Arial"/>
                <w:sz w:val="16"/>
                <w:szCs w:val="16"/>
                <w:color w:val="auto"/>
              </w:rPr>
              <w:t>[Insert Beneficiary Name And Address]</w:t>
            </w:r>
          </w:p>
        </w:tc>
        <w:tc>
          <w:tcPr>
            <w:tcW w:w="1320" w:type="dxa"/>
            <w:vAlign w:val="bottom"/>
          </w:tcPr>
          <w:p>
            <w:pPr>
              <w:spacing w:after="0"/>
              <w:rPr>
                <w:sz w:val="17"/>
                <w:szCs w:val="17"/>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[Insert Applicant Name And Address]</w:t>
            </w:r>
          </w:p>
        </w:tc>
      </w:tr>
      <w:tr>
        <w:trPr>
          <w:trHeight w:val="355"/>
        </w:trPr>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40" w:type="dxa"/>
            <w:vAlign w:val="bottom"/>
            <w:gridSpan w:val="3"/>
          </w:tcPr>
          <w:p>
            <w:pPr>
              <w:ind w:left="620"/>
              <w:spacing w:after="0"/>
              <w:rPr>
                <w:sz w:val="20"/>
                <w:szCs w:val="20"/>
                <w:color w:val="auto"/>
              </w:rPr>
            </w:pPr>
            <w:r>
              <w:rPr>
                <w:rFonts w:ascii="Arial" w:cs="Arial" w:eastAsia="Arial" w:hAnsi="Arial"/>
                <w:sz w:val="16"/>
                <w:szCs w:val="16"/>
                <w:color w:val="auto"/>
                <w:w w:val="97"/>
              </w:rPr>
              <w:t>LETTER OF CREDIT NO.</w:t>
            </w:r>
          </w:p>
        </w:tc>
        <w:tc>
          <w:tcPr>
            <w:tcW w:w="6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80"/>
        </w:trPr>
        <w:tc>
          <w:tcPr>
            <w:tcW w:w="3060" w:type="dxa"/>
            <w:vAlign w:val="bottom"/>
            <w:gridSpan w:val="2"/>
          </w:tcPr>
          <w:p>
            <w:pPr>
              <w:spacing w:after="0"/>
              <w:rPr>
                <w:sz w:val="20"/>
                <w:szCs w:val="20"/>
                <w:color w:val="auto"/>
              </w:rPr>
            </w:pPr>
            <w:r>
              <w:rPr>
                <w:rFonts w:ascii="Arial" w:cs="Arial" w:eastAsia="Arial" w:hAnsi="Arial"/>
                <w:sz w:val="16"/>
                <w:szCs w:val="16"/>
                <w:color w:val="auto"/>
              </w:rPr>
              <w:t>EXPIRATION DATE:</w:t>
            </w:r>
          </w:p>
        </w:tc>
        <w:tc>
          <w:tcPr>
            <w:tcW w:w="132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rPr>
              <w:t>AMOUNT AVAILABLE:</w:t>
            </w:r>
          </w:p>
        </w:tc>
      </w:tr>
      <w:tr>
        <w:trPr>
          <w:trHeight w:val="166"/>
        </w:trPr>
        <w:tc>
          <w:tcPr>
            <w:tcW w:w="780" w:type="dxa"/>
            <w:vAlign w:val="bottom"/>
            <w:tcBorders>
              <w:bottom w:val="single" w:sz="8" w:color="auto"/>
            </w:tcBorders>
          </w:tcPr>
          <w:p>
            <w:pPr>
              <w:spacing w:after="0"/>
              <w:rPr>
                <w:sz w:val="14"/>
                <w:szCs w:val="14"/>
                <w:color w:val="auto"/>
              </w:rPr>
            </w:pPr>
          </w:p>
        </w:tc>
        <w:tc>
          <w:tcPr>
            <w:tcW w:w="2280" w:type="dxa"/>
            <w:vAlign w:val="bottom"/>
          </w:tcPr>
          <w:p>
            <w:pPr>
              <w:ind w:left="60"/>
              <w:spacing w:after="0" w:line="166" w:lineRule="exact"/>
              <w:rPr>
                <w:sz w:val="20"/>
                <w:szCs w:val="20"/>
                <w:color w:val="auto"/>
              </w:rPr>
            </w:pPr>
            <w:r>
              <w:rPr>
                <w:rFonts w:ascii="Arial" w:cs="Arial" w:eastAsia="Arial" w:hAnsi="Arial"/>
                <w:sz w:val="16"/>
                <w:szCs w:val="16"/>
                <w:color w:val="auto"/>
              </w:rPr>
              <w:t>AT OUR COUNTERS</w:t>
            </w:r>
          </w:p>
        </w:tc>
        <w:tc>
          <w:tcPr>
            <w:tcW w:w="1320" w:type="dxa"/>
            <w:vAlign w:val="bottom"/>
          </w:tcPr>
          <w:p>
            <w:pPr>
              <w:spacing w:after="0"/>
              <w:rPr>
                <w:sz w:val="14"/>
                <w:szCs w:val="14"/>
                <w:color w:val="auto"/>
              </w:rPr>
            </w:pPr>
          </w:p>
        </w:tc>
        <w:tc>
          <w:tcPr>
            <w:tcW w:w="3280" w:type="dxa"/>
            <w:vAlign w:val="bottom"/>
            <w:gridSpan w:val="5"/>
          </w:tcPr>
          <w:p>
            <w:pPr>
              <w:ind w:left="620"/>
              <w:spacing w:after="0" w:line="166" w:lineRule="exact"/>
              <w:rPr>
                <w:sz w:val="20"/>
                <w:szCs w:val="20"/>
                <w:color w:val="auto"/>
              </w:rPr>
            </w:pPr>
            <w:r>
              <w:rPr>
                <w:rFonts w:ascii="Arial" w:cs="Arial" w:eastAsia="Arial" w:hAnsi="Arial"/>
                <w:sz w:val="16"/>
                <w:szCs w:val="16"/>
                <w:color w:val="auto"/>
              </w:rPr>
              <w:t>USD[Insert Dollar Amount]</w:t>
            </w:r>
          </w:p>
        </w:tc>
      </w:tr>
      <w:tr>
        <w:trPr>
          <w:trHeight w:val="203"/>
        </w:trPr>
        <w:tc>
          <w:tcPr>
            <w:tcW w:w="7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80" w:type="dxa"/>
            <w:vAlign w:val="bottom"/>
            <w:gridSpan w:val="5"/>
          </w:tcPr>
          <w:p>
            <w:pPr>
              <w:ind w:left="620"/>
              <w:spacing w:after="0"/>
              <w:rPr>
                <w:sz w:val="20"/>
                <w:szCs w:val="20"/>
                <w:color w:val="auto"/>
              </w:rPr>
            </w:pPr>
            <w:r>
              <w:rPr>
                <w:rFonts w:ascii="Arial" w:cs="Arial" w:eastAsia="Arial" w:hAnsi="Arial"/>
                <w:sz w:val="16"/>
                <w:szCs w:val="16"/>
                <w:color w:val="auto"/>
                <w:w w:val="94"/>
              </w:rPr>
              <w:t>(U.S. DOLLARS [Insert Dollar Amount])</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LADIES AND GENTLEMEN: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WE HEREBY ESTABLISH OUR IRREVOCABLE STANDBY LETTER OF CREDIT NO. ___________ IN YOUR FAVOR FOR THE ACCOUNT</w:t>
      </w:r>
    </w:p>
    <w:p>
      <w:pPr>
        <w:spacing w:after="0" w:line="28"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 xml:space="preserve">OF [Insert Tenant’s Name], A [Insert Entity Type], UP TO THE AGGREGATE AMOUNT OF USD[Insert Dollar Amount] ([Insert Dollar Amount] U.S. DOLLARS) EFFECTIVE IMMEDIATELY AND EXPIRING ON </w:t>
      </w:r>
      <w:r>
        <w:rPr>
          <w:rFonts w:ascii="Arial" w:cs="Arial" w:eastAsia="Arial" w:hAnsi="Arial"/>
          <w:sz w:val="16"/>
          <w:szCs w:val="16"/>
          <w:u w:val="single" w:color="auto"/>
          <w:color w:val="auto"/>
        </w:rPr>
        <w:t>___(Expiration Date)___</w:t>
      </w:r>
      <w:r>
        <w:rPr>
          <w:rFonts w:ascii="Arial" w:cs="Arial" w:eastAsia="Arial" w:hAnsi="Arial"/>
          <w:sz w:val="16"/>
          <w:szCs w:val="16"/>
          <w:color w:val="auto"/>
        </w:rPr>
        <w:t xml:space="preserve"> AVAILABLE BY PAYMENT UPON PRESENTATION OF YOUR DRAFT AT SIGHT DRAWN ON [Insert Bank Name] WHEN ACCOMPANIED BY THE FOLLOWING DOCUMENT(S):</w:t>
      </w:r>
    </w:p>
    <w:p>
      <w:pPr>
        <w:spacing w:after="0" w:line="167" w:lineRule="exact"/>
        <w:rPr>
          <w:sz w:val="20"/>
          <w:szCs w:val="20"/>
          <w:color w:val="auto"/>
        </w:rPr>
      </w:pPr>
    </w:p>
    <w:p>
      <w:pPr>
        <w:ind w:left="540" w:hanging="162"/>
        <w:spacing w:after="0"/>
        <w:tabs>
          <w:tab w:leader="none" w:pos="540"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THE ORIGINAL OF THIS IRREVOCABLE STANDBY LETTER OF CREDIT AND AMENDMENT(S), IF ANY.</w:t>
      </w:r>
    </w:p>
    <w:p>
      <w:pPr>
        <w:spacing w:after="0" w:line="193" w:lineRule="exact"/>
        <w:rPr>
          <w:rFonts w:ascii="Arial" w:cs="Arial" w:eastAsia="Arial" w:hAnsi="Arial"/>
          <w:sz w:val="16"/>
          <w:szCs w:val="16"/>
          <w:b w:val="1"/>
          <w:bCs w:val="1"/>
          <w:color w:val="auto"/>
        </w:rPr>
      </w:pPr>
    </w:p>
    <w:p>
      <w:pPr>
        <w:ind w:right="500" w:firstLine="378"/>
        <w:spacing w:after="0" w:line="272" w:lineRule="auto"/>
        <w:tabs>
          <w:tab w:leader="none" w:pos="542" w:val="left"/>
        </w:tabs>
        <w:numPr>
          <w:ilvl w:val="0"/>
          <w:numId w:val="354"/>
        </w:numPr>
        <w:rPr>
          <w:rFonts w:ascii="Arial" w:cs="Arial" w:eastAsia="Arial" w:hAnsi="Arial"/>
          <w:sz w:val="16"/>
          <w:szCs w:val="16"/>
          <w:b w:val="1"/>
          <w:bCs w:val="1"/>
          <w:color w:val="auto"/>
        </w:rPr>
      </w:pPr>
      <w:r>
        <w:rPr>
          <w:rFonts w:ascii="Arial" w:cs="Arial" w:eastAsia="Arial" w:hAnsi="Arial"/>
          <w:sz w:val="16"/>
          <w:szCs w:val="16"/>
          <w:b w:val="1"/>
          <w:bCs w:val="1"/>
          <w:color w:val="auto"/>
        </w:rPr>
        <w:t>BENEFICIARY’S SIGNED STATEMENT PURPORTEDLY SIGNED BY AN AUTHORIZED REPRESENTATIVE OF [Insert Landlord’s Name], A [Insert Entity Type] (“LANDLORD”) STATING THE FOLLOWING:</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UNDERSIGNED HEREBY CERTIFIES THAT THE LANDLORD, EITHER (A) UNDER THE LEASE (DEFINED BELOW), OR (B) AS</w:t>
      </w:r>
    </w:p>
    <w:p>
      <w:pPr>
        <w:spacing w:after="0" w:line="28" w:lineRule="exact"/>
        <w:rPr>
          <w:sz w:val="20"/>
          <w:szCs w:val="20"/>
          <w:color w:val="auto"/>
        </w:rPr>
      </w:pPr>
    </w:p>
    <w:p>
      <w:pPr>
        <w:ind w:left="380" w:right="80"/>
        <w:spacing w:after="0" w:line="247" w:lineRule="auto"/>
        <w:rPr>
          <w:sz w:val="20"/>
          <w:szCs w:val="20"/>
          <w:color w:val="auto"/>
        </w:rPr>
      </w:pPr>
      <w:r>
        <w:rPr>
          <w:rFonts w:ascii="Arial" w:cs="Arial" w:eastAsia="Arial" w:hAnsi="Arial"/>
          <w:sz w:val="16"/>
          <w:szCs w:val="16"/>
          <w:color w:val="auto"/>
        </w:rPr>
        <w:t>A RESULT OF THE TERMINATION OF SUCH LEASE, HAS THE RIGHT TO DRAW DOWN THE AMOUNT OF USD IN ACCORDANCE WITH THE TERMS OF THAT CERTAIN OFFICE LEASE DATED [Insert Lease Date], AS AMENDED (COLLECTIVELY, THE “LEASE”), OR SUCH AMOUNT CONSTITUTES DAMAGES OWING BY THE TENANT TO BENEFICIARY RESULTING FROM THE BREACH OF SUCH LEASE BY THE TENANT THEREUNDER, OR THE TERMINATION OF SUCH LEASE, AND SUCH AMOUNT REMAINS UNPAID AT THE TIME OF THIS DRAWING.”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5257165</wp:posOffset>
            </wp:positionH>
            <wp:positionV relativeFrom="paragraph">
              <wp:posOffset>-502285</wp:posOffset>
            </wp:positionV>
            <wp:extent cx="499110"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9911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ind w:left="380" w:right="60"/>
        <w:spacing w:after="0" w:line="256" w:lineRule="auto"/>
        <w:rPr>
          <w:sz w:val="20"/>
          <w:szCs w:val="20"/>
          <w:color w:val="auto"/>
        </w:rPr>
      </w:pPr>
      <w:r>
        <w:rPr>
          <w:rFonts w:ascii="Arial" w:cs="Arial" w:eastAsia="Arial" w:hAnsi="Arial"/>
          <w:sz w:val="16"/>
          <w:szCs w:val="16"/>
          <w:color w:val="auto"/>
        </w:rPr>
        <w:t>“THE UNDERSIGNED HEREBY CERTIFIES THAT WE HAVE RECEIVED A WRITTEN NOTICE OF [Insert Bank Name]’S ELECTION NOT TO EXTEND ITS STANDBY LETTER OF CREDIT NO. ___________ AND HAVE NOT RECEIVED A REPLACEMENT LETTER OF CREDIT WITHIN AT LEAST THIRTY (30) DAYS PRIOR TO THE PRESENT EXPIRATION DATE.”</w:t>
      </w:r>
    </w:p>
    <w:p>
      <w:pPr>
        <w:sectPr>
          <w:pgSz w:w="11900" w:h="16838" w:orient="portrait"/>
          <w:cols w:equalWidth="0" w:num="1">
            <w:col w:w="9620"/>
          </w:cols>
          <w:pgMar w:left="1140" w:top="238" w:right="1139" w:bottom="1440" w:gutter="0" w:footer="0" w:header="0"/>
        </w:sectPr>
      </w:pPr>
    </w:p>
    <w:bookmarkStart w:id="478" w:name="page479"/>
    <w:bookmarkEnd w:id="478"/>
    <w:p>
      <w:pPr>
        <w:ind w:left="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w:t>
      </w:r>
    </w:p>
    <w:p>
      <w:pPr>
        <w:spacing w:after="0" w:line="99" w:lineRule="exact"/>
        <w:rPr>
          <w:sz w:val="20"/>
          <w:szCs w:val="20"/>
          <w:color w:val="auto"/>
        </w:rPr>
      </w:pPr>
    </w:p>
    <w:p>
      <w:pPr>
        <w:jc w:val="both"/>
        <w:ind w:left="386" w:right="40"/>
        <w:spacing w:after="0" w:line="270"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 AS THE RESULT OF THE FILING OF A VOLUNTARY PETITION UNDER THE U.S. BANKRUPTCY</w:t>
      </w:r>
    </w:p>
    <w:p>
      <w:pPr>
        <w:spacing w:after="0" w:line="1" w:lineRule="exact"/>
        <w:rPr>
          <w:sz w:val="20"/>
          <w:szCs w:val="20"/>
          <w:color w:val="auto"/>
        </w:rPr>
      </w:pPr>
    </w:p>
    <w:p>
      <w:pPr>
        <w:ind w:left="386" w:right="100"/>
        <w:spacing w:after="0" w:line="284" w:lineRule="auto"/>
        <w:rPr>
          <w:sz w:val="20"/>
          <w:szCs w:val="20"/>
          <w:color w:val="auto"/>
        </w:rPr>
      </w:pPr>
      <w:r>
        <w:rPr>
          <w:rFonts w:ascii="Arial" w:cs="Arial" w:eastAsia="Arial" w:hAnsi="Arial"/>
          <w:sz w:val="15"/>
          <w:szCs w:val="15"/>
          <w:color w:val="auto"/>
        </w:rPr>
        <w:t>CODE OR A STATE BANKRUPTCY CODE BY THE TENANT UNDER THAT CERTAIN OFFICE LEASE DATED [Insert Lease Date], AS AMENDED (COLLECTIVELY, THE “LEASE”), WHICH FILING HAS NOT BEEN DISMISSED AT THE TIME OF THIS DRAWING.”</w:t>
      </w:r>
    </w:p>
    <w:p>
      <w:pPr>
        <w:spacing w:after="0" w:line="146"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jc w:val="both"/>
        <w:ind w:left="386" w:right="40"/>
        <w:spacing w:after="0" w:line="270"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 AS THE RESULT OF AN INVOLUNTARY PETITION HAVING BEEN FILED UNDER THE U.S.</w:t>
      </w:r>
    </w:p>
    <w:p>
      <w:pPr>
        <w:spacing w:after="0" w:line="1" w:lineRule="exact"/>
        <w:rPr>
          <w:sz w:val="20"/>
          <w:szCs w:val="20"/>
          <w:color w:val="auto"/>
        </w:rPr>
      </w:pPr>
    </w:p>
    <w:p>
      <w:pPr>
        <w:jc w:val="both"/>
        <w:ind w:left="386" w:right="40"/>
        <w:spacing w:after="0" w:line="249" w:lineRule="auto"/>
        <w:rPr>
          <w:sz w:val="20"/>
          <w:szCs w:val="20"/>
          <w:color w:val="auto"/>
        </w:rPr>
      </w:pPr>
      <w:r>
        <w:rPr>
          <w:rFonts w:ascii="Arial" w:cs="Arial" w:eastAsia="Arial" w:hAnsi="Arial"/>
          <w:sz w:val="16"/>
          <w:szCs w:val="16"/>
          <w:color w:val="auto"/>
        </w:rPr>
        <w:t>BANKRUPTCY CODE OR A STATE BANKRUPTCY CODE AGAINST THE TENANT UNDER THAT CERTAIN OFFICE LEASE DATED [Insert Lease Date], AS AMENDED (COLLECTIVELY, THE “LEASE”), WHICH FILING HAS NOT BEEN DISMISSED AT THE TIME OF THIS DRAWING.”</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6"/>
          <w:szCs w:val="16"/>
          <w:color w:val="auto"/>
        </w:rPr>
        <w:t>OR</w:t>
      </w:r>
    </w:p>
    <w:p>
      <w:pPr>
        <w:spacing w:after="0" w:line="99" w:lineRule="exact"/>
        <w:rPr>
          <w:sz w:val="20"/>
          <w:szCs w:val="20"/>
          <w:color w:val="auto"/>
        </w:rPr>
      </w:pPr>
    </w:p>
    <w:p>
      <w:pPr>
        <w:ind w:left="386" w:right="40"/>
        <w:spacing w:after="0" w:line="281" w:lineRule="auto"/>
        <w:rPr>
          <w:sz w:val="20"/>
          <w:szCs w:val="20"/>
          <w:color w:val="auto"/>
        </w:rPr>
      </w:pPr>
      <w:r>
        <w:rPr>
          <w:rFonts w:ascii="Arial" w:cs="Arial" w:eastAsia="Arial" w:hAnsi="Arial"/>
          <w:sz w:val="15"/>
          <w:szCs w:val="15"/>
          <w:color w:val="auto"/>
        </w:rPr>
        <w:t>“THE UNDERSIGNED HEREBY CERTIFIES THAT BENEFICIARY IS ENTITLED TO DRAW DOWN THE FULL AMOUNT OF LETTER OF CREDIT NO. ________________ AS THE RESULT OF THE REJECTION, OR DEEMED REJECTION, OF THAT CERTAIN OFFICE LEASE DATED [Insert Lease Date], AS AMENDED, UNDER SECTION 365 OF THE U.S. BANKRUPTCY CODE.”</w:t>
      </w:r>
    </w:p>
    <w:p>
      <w:pPr>
        <w:spacing w:after="0" w:line="149" w:lineRule="exact"/>
        <w:rPr>
          <w:sz w:val="20"/>
          <w:szCs w:val="20"/>
          <w:color w:val="auto"/>
        </w:rPr>
      </w:pPr>
    </w:p>
    <w:p>
      <w:pPr>
        <w:ind w:left="6"/>
        <w:spacing w:after="0"/>
        <w:rPr>
          <w:sz w:val="20"/>
          <w:szCs w:val="20"/>
          <w:color w:val="auto"/>
        </w:rPr>
      </w:pPr>
      <w:r>
        <w:rPr>
          <w:rFonts w:ascii="Arial" w:cs="Arial" w:eastAsia="Arial" w:hAnsi="Arial"/>
          <w:sz w:val="16"/>
          <w:szCs w:val="16"/>
          <w:color w:val="auto"/>
        </w:rPr>
        <w:t>SPECIAL CONDITIONS:</w:t>
      </w:r>
    </w:p>
    <w:p>
      <w:pPr>
        <w:spacing w:after="0" w:line="193" w:lineRule="exact"/>
        <w:rPr>
          <w:sz w:val="20"/>
          <w:szCs w:val="20"/>
          <w:color w:val="auto"/>
        </w:rPr>
      </w:pPr>
    </w:p>
    <w:p>
      <w:pPr>
        <w:ind w:left="6" w:right="220"/>
        <w:spacing w:after="0" w:line="256" w:lineRule="auto"/>
        <w:rPr>
          <w:sz w:val="20"/>
          <w:szCs w:val="20"/>
          <w:color w:val="auto"/>
        </w:rPr>
      </w:pPr>
      <w:r>
        <w:rPr>
          <w:rFonts w:ascii="Arial" w:cs="Arial" w:eastAsia="Arial" w:hAnsi="Arial"/>
          <w:sz w:val="16"/>
          <w:szCs w:val="16"/>
          <w:color w:val="auto"/>
        </w:rPr>
        <w:t>PARTIAL DRAWINGS AND MULTIPLE PRESENTATIONS MAY BE MADE UNDER THIS STANDBY LETTER OF CREDIT, PROVIDED, HOWEVER, THAT EACH SUCH DEMAND THAT IS PAID BY US SHALL REDUCE THE AMOUNT AVAILABLE UNDER THIS STANDBY LETTER OF CREDIT.</w:t>
      </w:r>
    </w:p>
    <w:p>
      <w:pPr>
        <w:spacing w:after="0" w:line="166" w:lineRule="exact"/>
        <w:rPr>
          <w:sz w:val="20"/>
          <w:szCs w:val="20"/>
          <w:color w:val="auto"/>
        </w:rPr>
      </w:pPr>
    </w:p>
    <w:p>
      <w:pPr>
        <w:ind w:left="6" w:right="280"/>
        <w:spacing w:after="0" w:line="300" w:lineRule="auto"/>
        <w:rPr>
          <w:sz w:val="20"/>
          <w:szCs w:val="20"/>
          <w:color w:val="auto"/>
        </w:rPr>
      </w:pPr>
      <w:r>
        <w:rPr>
          <w:rFonts w:ascii="Arial" w:cs="Arial" w:eastAsia="Arial" w:hAnsi="Arial"/>
          <w:sz w:val="15"/>
          <w:szCs w:val="15"/>
          <w:color w:val="auto"/>
        </w:rPr>
        <w:t>ALL INFORMATION REQUIRED WHETHER INDICATED BY BLANKS, BRACKETS OR OTHERWISE, MUST BE COMPLETED AT THE TIME OF DRAWING. [Please Provide The Required Forms For Review, And Attach As Schedules To The Letter Of Credit.]</w:t>
      </w:r>
    </w:p>
    <w:p>
      <w:pPr>
        <w:spacing w:after="0" w:line="135"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SIGNATURES MUST BE MANUALLY EXECUTED IN ORIGINALS.</w:t>
      </w:r>
    </w:p>
    <w:p>
      <w:pPr>
        <w:spacing w:after="0" w:line="193" w:lineRule="exact"/>
        <w:rPr>
          <w:sz w:val="20"/>
          <w:szCs w:val="20"/>
          <w:color w:val="auto"/>
        </w:rPr>
      </w:pPr>
    </w:p>
    <w:p>
      <w:pPr>
        <w:ind w:left="6"/>
        <w:spacing w:after="0"/>
        <w:rPr>
          <w:sz w:val="20"/>
          <w:szCs w:val="20"/>
          <w:color w:val="auto"/>
        </w:rPr>
      </w:pPr>
      <w:r>
        <w:rPr>
          <w:rFonts w:ascii="Arial" w:cs="Arial" w:eastAsia="Arial" w:hAnsi="Arial"/>
          <w:sz w:val="16"/>
          <w:szCs w:val="16"/>
          <w:color w:val="auto"/>
        </w:rPr>
        <w:t>ALL BANKING CHARGES ARE FOR THE APPLICANT’S ACCOUNT.</w:t>
      </w:r>
    </w:p>
    <w:p>
      <w:pPr>
        <w:spacing w:after="0" w:line="193" w:lineRule="exact"/>
        <w:rPr>
          <w:sz w:val="20"/>
          <w:szCs w:val="20"/>
          <w:color w:val="auto"/>
        </w:rPr>
      </w:pPr>
    </w:p>
    <w:p>
      <w:pPr>
        <w:ind w:left="6" w:right="180"/>
        <w:spacing w:after="0" w:line="270" w:lineRule="auto"/>
        <w:rPr>
          <w:sz w:val="20"/>
          <w:szCs w:val="20"/>
          <w:color w:val="auto"/>
        </w:rPr>
      </w:pPr>
      <w:r>
        <w:rPr>
          <w:rFonts w:ascii="Arial" w:cs="Arial" w:eastAsia="Arial" w:hAnsi="Arial"/>
          <w:sz w:val="15"/>
          <w:szCs w:val="15"/>
          <w:color w:val="auto"/>
        </w:rPr>
        <w:t>IT IS A CONDITION OF THIS STANDBY LETTER OF CREDIT THAT IT SHALL BE DEEMED AUTOMATICALLY EXTENDED WITHOUT AMENDMENT FOR A PERIOD OF ONE YEAR FROM THE PRESENT OR ANY FUTURE EXPIRATION DATE, UNLESS AT LEAST SIXTY</w:t>
      </w:r>
    </w:p>
    <w:p>
      <w:pPr>
        <w:spacing w:after="0" w:line="1" w:lineRule="exact"/>
        <w:rPr>
          <w:sz w:val="20"/>
          <w:szCs w:val="20"/>
          <w:color w:val="auto"/>
        </w:rPr>
      </w:pPr>
    </w:p>
    <w:p>
      <w:pPr>
        <w:ind w:left="6" w:hanging="6"/>
        <w:spacing w:after="0" w:line="266" w:lineRule="auto"/>
        <w:tabs>
          <w:tab w:leader="none" w:pos="307" w:val="left"/>
        </w:tabs>
        <w:numPr>
          <w:ilvl w:val="0"/>
          <w:numId w:val="355"/>
        </w:numPr>
        <w:rPr>
          <w:rFonts w:ascii="Arial" w:cs="Arial" w:eastAsia="Arial" w:hAnsi="Arial"/>
          <w:sz w:val="15"/>
          <w:szCs w:val="15"/>
          <w:color w:val="auto"/>
        </w:rPr>
      </w:pPr>
      <w:r>
        <w:rPr>
          <w:rFonts w:ascii="Arial" w:cs="Arial" w:eastAsia="Arial" w:hAnsi="Arial"/>
          <w:sz w:val="15"/>
          <w:szCs w:val="15"/>
          <w:color w:val="auto"/>
        </w:rPr>
        <w:t>DAYS PRIOR TO THE EXPIRATION DATE WE SEND YOU NOTICE BY NATIONALLY RECOGNIZED OVERNIGHT COURIER SERVICE THAT WE ELECT NOT TO EXTEND THIS LETTER OF CREDIT FOR ANY SUCH ADDITIONAL PERIOD. SAID NOTICE WILL BE SENT TO THE ADDRESS INDICATED ABOVE, UNLESS A CHANGE OF ADDRESS IS OTHERWISE NOTIFIED BY YOU TO US IN WRITING BY RECEIPTED MAIL OR COURIER. ANY NOTICE TO US WILL BE DEEMED EFFECTIVE ONLY UPON ACTUAL RECEIPT BY US AT OUR DESIGNATED OFFICE. IN NO EVENT, AND WITHOUT FURTHER NOTICE FROM OURSELVES, SHALL THE EXPIRATION DATE BE EXTENDED BEYOND A FINAL EXPIRATION DATE OF ___ (60 days from the Lease Expiration Date).</w:t>
      </w:r>
    </w:p>
    <w:p>
      <w:pPr>
        <w:sectPr>
          <w:pgSz w:w="11900" w:h="16838" w:orient="portrait"/>
          <w:cols w:equalWidth="0" w:num="1">
            <w:col w:w="9566"/>
          </w:cols>
          <w:pgMar w:left="1134" w:top="256" w:right="1199" w:bottom="1440" w:gutter="0" w:footer="0" w:header="0"/>
        </w:sectPr>
      </w:pPr>
    </w:p>
    <w:bookmarkStart w:id="479" w:name="page480"/>
    <w:bookmarkEnd w:id="479"/>
    <w:p>
      <w:pPr>
        <w:ind w:right="16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THIS LETTER OF CREDIT MAY BE TRANSFERRED SUCCESSIVELY IN WHOLE OR IN PART ONLY UP TO THE THEN AVAILABLE AMOUNT IN FAVOR OF A NOMINATED TRANSFEREE (“TRANSFEREE”), ASSUMING SUCH TRANSFER TO SUCH TRANSFEREE IS IN COMPLIANCE WITH ALL APPLICABLE U.S. LAWS AND REGULATIONS. AT THE TIME OF TRANSFER, THE ORIGINAL LETTER OF CREDIT AND ORIGINAL AMENDMENT(S) IF ANY, MUST BE SURRENDERED TO US TOGETHER WITH OUR TRANSFER FORM (AVAILABLE UPON REQUEST) AND PAYMENT OF OUR CUSTOMARY TRANSFER FEES, WHICH FEES SHALL BE PAYABLE BY APPLICANT (PROVIDED THAT BENEFICIARY MAY, BUT SHALL NOT BE OBLIGATED TO, PAY SUCH FEES TO US ON BEHALF OF APPLICANT, AND SEEK REIMBURSEMENT THEREOF FROM APPLICANT). IN CASE OF ANY TRANSFER UNDER THIS LETTER OF CREDIT, THE DRAFT AND ANY REQUIRED STATEMENT MUST BE EXECUTED BY THE TRANSFEREE AND WHERE THE BENEFICIARY’S NAME APPEARS WITHIN THIS STANDBY LETTER OF CREDIT, THE TRANSFEREE’S NAME IS AUTOMATICALLY SUBSTITUTED THEREFOR.</w:t>
      </w:r>
    </w:p>
    <w:p>
      <w:pPr>
        <w:spacing w:after="0" w:line="174"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ALL DRAFTS REQUIRED UNDER THIS STANDBY LETTER OF CREDIT MUST BE MARKED: “DRAWN UNDER [Insert Bank Name] STANDBY LETTER OF CREDIT NO. ___________.”</w:t>
      </w:r>
    </w:p>
    <w:p>
      <w:pPr>
        <w:spacing w:after="0" w:line="158"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WE HEREBY AGREE WITH YOU THAT IF DRAFTS ARE PRESENTED TO [Insert Bank Name] UNDER THIS LETTER OF CREDIT AT OR PRIOR TO [Insert Time – (</w:t>
      </w:r>
      <w:r>
        <w:rPr>
          <w:rFonts w:ascii="Arial" w:cs="Arial" w:eastAsia="Arial" w:hAnsi="Arial"/>
          <w:sz w:val="15"/>
          <w:szCs w:val="15"/>
          <w:i w:val="1"/>
          <w:iCs w:val="1"/>
          <w:color w:val="auto"/>
        </w:rPr>
        <w:t>e.g.</w:t>
      </w:r>
      <w:r>
        <w:rPr>
          <w:rFonts w:ascii="Arial" w:cs="Arial" w:eastAsia="Arial" w:hAnsi="Arial"/>
          <w:sz w:val="15"/>
          <w:szCs w:val="15"/>
          <w:color w:val="auto"/>
        </w:rPr>
        <w:t>, 11:00 AM)], ON A BUSINESS DAY, AND PROVIDED THAT SUCH DRAFTS PRESENTED CONFORM TO THE TERMS AND CONDITIONS OF THIS LETTER OF CREDIT, PAYMENT SHALL BE INITIATED BY US IN IMMEDIATELY AVAILABLE FUNDS BY OUR CLOSE OF BUSINESS ON THE SUCCEEDING BUSINESS DAY. IF DRAFTS ARE PRESENTED TO [Insert Bank Name] UNDER THIS LETTER OF CREDIT AFTER [Insert Time – (</w:t>
      </w:r>
      <w:r>
        <w:rPr>
          <w:rFonts w:ascii="Arial" w:cs="Arial" w:eastAsia="Arial" w:hAnsi="Arial"/>
          <w:sz w:val="15"/>
          <w:szCs w:val="15"/>
          <w:i w:val="1"/>
          <w:iCs w:val="1"/>
          <w:color w:val="auto"/>
        </w:rPr>
        <w:t>e.g.</w:t>
      </w:r>
      <w:r>
        <w:rPr>
          <w:rFonts w:ascii="Arial" w:cs="Arial" w:eastAsia="Arial" w:hAnsi="Arial"/>
          <w:sz w:val="15"/>
          <w:szCs w:val="15"/>
          <w:color w:val="auto"/>
        </w:rPr>
        <w:t>, 11:00 AM)], ON A BUSINESS DAY, AND PROVIDED THAT SUCH DRAFTS CONFORM WITH THE TERMS AND CONDITIONS OF THIS LETTER OF CREDIT, PAYMENT SHALL BE INITIATED BY US IN IMMEDIATELY AVAILABLE FUNDS BY OUR CLOSE OF BUSINESS ON THE SECOND SUCCEEDING BUSINESS DAY. AS USED IN THIS LETTER OF CREDIT, “BUSINESS DAY” SHALL MEAN ANY DAY OTHER THAN A SATURDAY, SUNDAY OR A DAY ON WHICH BANKING INSTITUTIONS IN THE STATE OF CALIFORNIA ARE AUTHORIZED OR REQUIRED BY LAW TO CLOSE. IF THE EXPIRATION DATE FOR THIS LETTER OF CREDIT SHALL EVER FALL ON A DAY WHICH IS NOT A BUSINESS DAY THEN SUCH EXPIRATION DATE SHALL AUTOMATICALLY BE EXTENDED TO THE DATE WHICH IS THE NEXT BUSINESS DAY.</w:t>
      </w:r>
    </w:p>
    <w:p>
      <w:pPr>
        <w:spacing w:after="0" w:line="161" w:lineRule="exact"/>
        <w:rPr>
          <w:sz w:val="20"/>
          <w:szCs w:val="20"/>
          <w:color w:val="auto"/>
        </w:rPr>
      </w:pPr>
    </w:p>
    <w:p>
      <w:pPr>
        <w:ind w:right="300"/>
        <w:spacing w:after="0" w:line="266" w:lineRule="auto"/>
        <w:rPr>
          <w:sz w:val="20"/>
          <w:szCs w:val="20"/>
          <w:color w:val="auto"/>
        </w:rPr>
      </w:pPr>
      <w:r>
        <w:rPr>
          <w:rFonts w:ascii="Arial" w:cs="Arial" w:eastAsia="Arial" w:hAnsi="Arial"/>
          <w:sz w:val="15"/>
          <w:szCs w:val="15"/>
          <w:color w:val="auto"/>
        </w:rPr>
        <w:t>PRESENTATION OF A DRAWING UNDER THIS LETTER OF CREDIT MAY BE MADE ON OR PRIOR TO THE THEN CURRENT EXPIRATION DATE HEREOF BY HAND DELIVERY, COURIER SERVICE, OVERNIGHT MAIL, OR FACSIMILE. PRESENTATION BY FACSIMILE TRANSMISSION SHALL BE BY TRANSMISSION OF THE ABOVE REQUIRED SIGHT DRAFT DRAWN ON US TOGETHER WITH THIS LETTER OF CREDIT TO OUR FACSIMILE NUMBER, [Insert Fax Number – (___) ___-____], ATTENTION: [Insert Appropriate</w:t>
      </w:r>
    </w:p>
    <w:p>
      <w:pPr>
        <w:spacing w:after="0" w:line="1" w:lineRule="exact"/>
        <w:rPr>
          <w:sz w:val="20"/>
          <w:szCs w:val="20"/>
          <w:color w:val="auto"/>
        </w:rPr>
      </w:pPr>
    </w:p>
    <w:p>
      <w:pPr>
        <w:ind w:right="180"/>
        <w:spacing w:after="0" w:line="302" w:lineRule="auto"/>
        <w:rPr>
          <w:sz w:val="20"/>
          <w:szCs w:val="20"/>
          <w:color w:val="auto"/>
        </w:rPr>
      </w:pPr>
      <w:r>
        <w:rPr>
          <w:rFonts w:ascii="Arial" w:cs="Arial" w:eastAsia="Arial" w:hAnsi="Arial"/>
          <w:sz w:val="13"/>
          <w:szCs w:val="13"/>
          <w:color w:val="auto"/>
        </w:rPr>
        <w:t>Recipient], WITH TELEPHONIC CONFIRMATION OF OUR RECEIPT OF SUCH FACSIMILE TRANSMISSION AT OUR TELEPHONE NUMBER [Insert Telephone Number – (___) ___-____] OR TO SUCH OTHER FACSIMILE OR TELEPHONE NUMBERS, AS TO WHICH YOU</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HAVE RECEIVED WRITTEN NOTICE FROM US AS BEING THE APPLICABLE SUCH NUMBER. WE AGREE TO NOTIFY YOU IN WRITING, BY NATIONALLY RECOGNIZED OVERNIGHT COURIER SERVICE, OF ANY CHANGE IN SUCH DIRECTION. ANY FACSIMILE PRESENTATION PURSUANT TO THIS PARAGRAPH SHALL ALSO STATE THEREON THAT THE ORIGINAL OF SUCH SIGHT DRAFT AND LETTER OF CREDIT ARE BEING REMITTED, FOR DELIVERY ON THE NEXT BUSINESS DAY, TO [Insert Bank Name] AT THE APPLICABLE ADDRESS FOR PRESENTMENT PURSUANT TO THE PARAGRAPH FOLLOWING THIS ONE.</w:t>
      </w:r>
    </w:p>
    <w:p>
      <w:pPr>
        <w:spacing w:after="0" w:line="174"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WE HEREBY ENGAGE WITH YOU THAT ALL DOCUMENT(S) DRAWN UNDER AND IN COMPLIANCE WITH THE TERMS OF THIS STANDBY LETTER OF CREDIT WILL BE DULY HONORED IF DRAWN AND PRESENTED FOR PAYMENT AT OUR OFFICE LOCATED AT [Insert Bank Name], [Insert Bank Address], ATTN: [Insert Appropriate Recipient], ON OR BEFORE THE EXPIRATION DATE OF THIS CREDIT,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___(Expiration Date)___</w:t>
      </w:r>
      <w:r>
        <w:rPr>
          <w:rFonts w:ascii="Arial" w:cs="Arial" w:eastAsia="Arial" w:hAnsi="Arial"/>
          <w:sz w:val="16"/>
          <w:szCs w:val="16"/>
          <w:color w:val="auto"/>
        </w:rPr>
        <w:t>.</w:t>
      </w:r>
    </w:p>
    <w:p>
      <w:pPr>
        <w:spacing w:after="0" w:line="18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THE EVENT THAT THE ORIGINAL OF THIS STANDBY LETTER OF CREDIT IS LOST, STOLEN, MUTILATED, OR OTHERWISE DESTROYED, WE HEREBY AGREE TO ISSUE A DUPLICATE ORIGINAL HEREOF UPON RECEIPT OF A WRITTEN REQUEST FROM YOU AND A CERTIFICATION BY YOU (PURPORTEDLY SIGNED BY YOUR AUTHORIZED REPRESENTATIVE) OF THE LOSS, THEFT, MUTILATION, OR OTHER DESTRUCTION OF THE ORIGINAL HEREOF.</w:t>
      </w:r>
    </w:p>
    <w:p>
      <w:pPr>
        <w:sectPr>
          <w:pgSz w:w="11900" w:h="16838" w:orient="portrait"/>
          <w:cols w:equalWidth="0" w:num="1">
            <w:col w:w="9600"/>
          </w:cols>
          <w:pgMar w:left="1140" w:top="256" w:right="1159" w:bottom="1440" w:gutter="0" w:footer="0" w:header="0"/>
        </w:sectPr>
      </w:pPr>
    </w:p>
    <w:bookmarkStart w:id="480" w:name="page481"/>
    <w:bookmarkEnd w:id="480"/>
    <w:p>
      <w:pPr>
        <w:ind w:right="619"/>
        <w:spacing w:after="0" w:line="38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EXCEPT SO FAR AS OTHERWISE EXPRESSLY STATED HEREIN, THIS STANDBY LETTER OF CREDIT IS SUBJECT TO THE “INTERNATIONAL STANDBY PRACTICES” (ISP 98) INTERNATIONAL CHAMBER OF COMMERCE (PUBLICATION NO. 590).</w:t>
      </w:r>
    </w:p>
    <w:p>
      <w:pPr>
        <w:spacing w:after="0" w:line="11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Very truly yours,</w:t>
      </w:r>
    </w:p>
    <w:p>
      <w:pPr>
        <w:spacing w:after="0" w:line="217"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(Name of Issuing Bank)</w:t>
      </w:r>
    </w:p>
    <w:p>
      <w:pPr>
        <w:spacing w:after="0" w:line="20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10795</wp:posOffset>
            </wp:positionV>
            <wp:extent cx="2268220"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268220" cy="7620"/>
                    </a:xfrm>
                    <a:prstGeom prst="rect">
                      <a:avLst/>
                    </a:prstGeom>
                    <a:noFill/>
                  </pic:spPr>
                </pic:pic>
              </a:graphicData>
            </a:graphic>
          </wp:anchor>
        </w:drawing>
      </w:r>
    </w:p>
    <w:p>
      <w:pPr>
        <w:sectPr>
          <w:pgSz w:w="11900" w:h="16838" w:orient="portrait"/>
          <w:cols w:equalWidth="0" w:num="1">
            <w:col w:w="9319"/>
          </w:cols>
          <w:pgMar w:left="1140" w:top="257" w:right="1440" w:bottom="1440" w:gutter="0" w:footer="0" w:header="0"/>
        </w:sectPr>
      </w:pPr>
    </w:p>
    <w:bookmarkStart w:id="481" w:name="page482"/>
    <w:bookmarkEnd w:id="481"/>
    <w:p>
      <w:pPr>
        <w:jc w:val="center"/>
        <w:ind w:right="-3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I</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ASSIGNMENT OF LEASE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ASSIGNMENT OF LEASE</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THIS ASSIGNMENT OF LEASE (this “Agreement”) is made as of this _____ day of __________, 20__ by and between THE COLUMN</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GROUP, LLC, a Delaware limited liability company (“Assignor”) and __________________ (“Assignee”).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RECITALS</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 HCP OYSTER POINT III LLC, as landlord, and Assignor, as tenant, executed a lease dated ____________, 2016, for the lease of premises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known as Fifth Floor, 171 Oyster Point Boulevard, South San Francisco, California (the “Lease”).</w:t>
      </w:r>
    </w:p>
    <w:p>
      <w:pPr>
        <w:spacing w:after="0" w:line="182" w:lineRule="exact"/>
        <w:rPr>
          <w:sz w:val="20"/>
          <w:szCs w:val="20"/>
          <w:color w:val="auto"/>
        </w:rPr>
      </w:pPr>
    </w:p>
    <w:p>
      <w:pPr>
        <w:ind w:right="640" w:firstLine="385"/>
        <w:spacing w:after="0" w:line="266" w:lineRule="auto"/>
        <w:rPr>
          <w:sz w:val="20"/>
          <w:szCs w:val="20"/>
          <w:color w:val="auto"/>
        </w:rPr>
      </w:pPr>
      <w:r>
        <w:rPr>
          <w:rFonts w:ascii="Arial" w:cs="Arial" w:eastAsia="Arial" w:hAnsi="Arial"/>
          <w:sz w:val="16"/>
          <w:szCs w:val="16"/>
          <w:color w:val="auto"/>
        </w:rPr>
        <w:t>B. Assignor owns at least fifty percent (50%) of the preferred shares of Assignee, and Assignee has closed on an equity financing with a commitment of not less than Thirty Million Dollars ($30,000,000).</w:t>
      </w:r>
    </w:p>
    <w:p>
      <w:pPr>
        <w:spacing w:after="0" w:line="158"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C. Assignor desires to assign its interest in the Lease to Assignee in accordance with the terms of Section 14.9 of the Lease, and Assignee desires to assume the obligations of Assignor under the Lease accruing after such assignment.</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NOW, THEREFORE, for and in consideration of the foregoing premises, the Lease and the mutual covenants and agreements set forth herein,</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Assignor and Assignee agree as follows:</w:t>
      </w:r>
    </w:p>
    <w:p>
      <w:pPr>
        <w:spacing w:after="0" w:line="182" w:lineRule="exact"/>
        <w:rPr>
          <w:sz w:val="20"/>
          <w:szCs w:val="20"/>
          <w:color w:val="auto"/>
        </w:rPr>
      </w:pPr>
    </w:p>
    <w:p>
      <w:pPr>
        <w:ind w:left="540" w:hanging="162"/>
        <w:spacing w:after="0"/>
        <w:tabs>
          <w:tab w:leader="none" w:pos="540" w:val="left"/>
        </w:tabs>
        <w:numPr>
          <w:ilvl w:val="0"/>
          <w:numId w:val="356"/>
        </w:numPr>
        <w:rPr>
          <w:rFonts w:ascii="Arial" w:cs="Arial" w:eastAsia="Arial" w:hAnsi="Arial"/>
          <w:sz w:val="15"/>
          <w:szCs w:val="15"/>
          <w:color w:val="auto"/>
        </w:rPr>
      </w:pPr>
      <w:r>
        <w:rPr>
          <w:rFonts w:ascii="Arial" w:cs="Arial" w:eastAsia="Arial" w:hAnsi="Arial"/>
          <w:sz w:val="15"/>
          <w:szCs w:val="15"/>
          <w:u w:val="single" w:color="auto"/>
          <w:color w:val="auto"/>
        </w:rPr>
        <w:t>Effective Date of Assignment</w:t>
      </w:r>
      <w:r>
        <w:rPr>
          <w:rFonts w:ascii="Arial" w:cs="Arial" w:eastAsia="Arial" w:hAnsi="Arial"/>
          <w:sz w:val="15"/>
          <w:szCs w:val="15"/>
          <w:color w:val="auto"/>
        </w:rPr>
        <w:t>. The assignment in this Agreement shall take effect on the date first set forth above (the “Effective Date”).</w:t>
      </w:r>
    </w:p>
    <w:p>
      <w:pPr>
        <w:spacing w:after="0" w:line="204" w:lineRule="exact"/>
        <w:rPr>
          <w:rFonts w:ascii="Arial" w:cs="Arial" w:eastAsia="Arial" w:hAnsi="Arial"/>
          <w:sz w:val="15"/>
          <w:szCs w:val="15"/>
          <w:color w:val="auto"/>
        </w:rPr>
      </w:pPr>
    </w:p>
    <w:p>
      <w:pPr>
        <w:jc w:val="both"/>
        <w:ind w:firstLine="378"/>
        <w:spacing w:after="0" w:line="253" w:lineRule="auto"/>
        <w:tabs>
          <w:tab w:leader="none" w:pos="542"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of Lease</w:t>
      </w:r>
      <w:r>
        <w:rPr>
          <w:rFonts w:ascii="Arial" w:cs="Arial" w:eastAsia="Arial" w:hAnsi="Arial"/>
          <w:sz w:val="16"/>
          <w:szCs w:val="16"/>
          <w:color w:val="auto"/>
        </w:rPr>
        <w:t>. Assignor does by these presents grant, bargain and sell, convey, transfer and assign unto Assignee all of Assignor’s right, title and interest in and to the Lease. Assignee does hereby accept the assignment of Assignor’s right, title and interest in the Lease and assumes and agrees to pay and perform all of the terms, covenants, conditions, agreements and obligations of Assignor under the Lease accruing from and after the Effective Date.</w:t>
      </w:r>
    </w:p>
    <w:p>
      <w:pPr>
        <w:spacing w:after="0" w:line="167" w:lineRule="exact"/>
        <w:rPr>
          <w:rFonts w:ascii="Arial" w:cs="Arial" w:eastAsia="Arial" w:hAnsi="Arial"/>
          <w:sz w:val="16"/>
          <w:szCs w:val="16"/>
          <w:color w:val="auto"/>
        </w:rPr>
      </w:pPr>
    </w:p>
    <w:p>
      <w:pPr>
        <w:ind w:right="200" w:firstLine="378"/>
        <w:spacing w:after="0" w:line="253" w:lineRule="auto"/>
        <w:tabs>
          <w:tab w:leader="none" w:pos="542"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Assignee shall defend, indemnify, protect and hold Assignor harmless from any and all losses, damages, claims, demands, liabilities, costs and expenses, including reasonable attorneys’ fees, arising from or based upon Assignee’s violation of the Lease or the negligence or willful misconduct of Assignee or its contractors, concessionaires, licensees, agents, servants, invitees, employees or anyone else for whom Assignee may be responsible after the Effective Date.</w:t>
      </w:r>
    </w:p>
    <w:p>
      <w:pPr>
        <w:sectPr>
          <w:pgSz w:w="11900" w:h="16838" w:orient="portrait"/>
          <w:cols w:equalWidth="0" w:num="1">
            <w:col w:w="9580"/>
          </w:cols>
          <w:pgMar w:left="1140" w:top="252" w:right="1179" w:bottom="1440" w:gutter="0" w:footer="0" w:header="0"/>
        </w:sectPr>
      </w:pPr>
    </w:p>
    <w:bookmarkStart w:id="482" w:name="page483"/>
    <w:bookmarkEnd w:id="482"/>
    <w:p>
      <w:pPr>
        <w:ind w:left="8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90105" cy="34290"/>
                    </a:xfrm>
                    <a:prstGeom prst="rect">
                      <a:avLst/>
                    </a:prstGeom>
                    <a:noFill/>
                  </pic:spPr>
                </pic:pic>
              </a:graphicData>
            </a:graphic>
          </wp:anchor>
        </w:drawing>
        <w:t>IN WITNESS WHEREOF, Assignor and Assignee have executed this Agreement as of the day and year first above written.</w:t>
      </w:r>
    </w:p>
    <w:p>
      <w:pPr>
        <w:sectPr>
          <w:pgSz w:w="11900" w:h="16838" w:orient="portrait"/>
          <w:cols w:equalWidth="0" w:num="1">
            <w:col w:w="9019"/>
          </w:cols>
          <w:pgMar w:left="1440" w:top="256" w:right="1440" w:bottom="1440" w:gutter="0" w:footer="0" w:header="0"/>
        </w:sect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00"/>
        </w:trPr>
        <w:tc>
          <w:tcPr>
            <w:tcW w:w="3360" w:type="dxa"/>
            <w:vAlign w:val="bottom"/>
            <w:gridSpan w:val="2"/>
          </w:tcPr>
          <w:p>
            <w:pPr>
              <w:spacing w:after="0"/>
              <w:rPr>
                <w:sz w:val="20"/>
                <w:szCs w:val="20"/>
                <w:color w:val="auto"/>
              </w:rPr>
            </w:pPr>
            <w:r>
              <w:rPr>
                <w:rFonts w:ascii="Arial" w:cs="Arial" w:eastAsia="Arial" w:hAnsi="Arial"/>
                <w:sz w:val="16"/>
                <w:szCs w:val="16"/>
                <w:color w:val="auto"/>
              </w:rPr>
              <w:t>ASSIGNOR:</w:t>
            </w:r>
          </w:p>
        </w:tc>
        <w:tc>
          <w:tcPr>
            <w:tcW w:w="4420" w:type="dxa"/>
            <w:vAlign w:val="bottom"/>
            <w:gridSpan w:val="3"/>
          </w:tcPr>
          <w:p>
            <w:pPr>
              <w:ind w:left="1140"/>
              <w:spacing w:after="0"/>
              <w:rPr>
                <w:sz w:val="20"/>
                <w:szCs w:val="20"/>
                <w:color w:val="auto"/>
              </w:rPr>
            </w:pPr>
            <w:r>
              <w:rPr>
                <w:rFonts w:ascii="Arial" w:cs="Arial" w:eastAsia="Arial" w:hAnsi="Arial"/>
                <w:sz w:val="16"/>
                <w:szCs w:val="16"/>
                <w:color w:val="auto"/>
              </w:rPr>
              <w:t>ASSIGNEE:</w:t>
            </w:r>
          </w:p>
        </w:tc>
      </w:tr>
      <w:tr>
        <w:trPr>
          <w:trHeight w:val="377"/>
        </w:trPr>
        <w:tc>
          <w:tcPr>
            <w:tcW w:w="3360" w:type="dxa"/>
            <w:vAlign w:val="bottom"/>
            <w:gridSpan w:val="2"/>
          </w:tcPr>
          <w:p>
            <w:pPr>
              <w:spacing w:after="0"/>
              <w:rPr>
                <w:sz w:val="20"/>
                <w:szCs w:val="20"/>
                <w:color w:val="auto"/>
              </w:rPr>
            </w:pPr>
            <w:r>
              <w:rPr>
                <w:rFonts w:ascii="Arial" w:cs="Arial" w:eastAsia="Arial" w:hAnsi="Arial"/>
                <w:sz w:val="16"/>
                <w:szCs w:val="16"/>
                <w:color w:val="auto"/>
              </w:rPr>
              <w:t>THE COLUMN GROUP, LLC,</w:t>
            </w:r>
          </w:p>
        </w:tc>
        <w:tc>
          <w:tcPr>
            <w:tcW w:w="1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180"/>
        </w:trPr>
        <w:tc>
          <w:tcPr>
            <w:tcW w:w="3360" w:type="dxa"/>
            <w:vAlign w:val="bottom"/>
            <w:gridSpan w:val="2"/>
          </w:tcPr>
          <w:p>
            <w:pPr>
              <w:spacing w:after="0" w:line="181" w:lineRule="exact"/>
              <w:rPr>
                <w:sz w:val="20"/>
                <w:szCs w:val="20"/>
                <w:color w:val="auto"/>
              </w:rPr>
            </w:pPr>
            <w:r>
              <w:rPr>
                <w:rFonts w:ascii="Arial" w:cs="Arial" w:eastAsia="Arial" w:hAnsi="Arial"/>
                <w:sz w:val="16"/>
                <w:szCs w:val="16"/>
                <w:color w:val="auto"/>
              </w:rPr>
              <w:t>a Delaware limited liability company</w:t>
            </w: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r>
      <w:tr>
        <w:trPr>
          <w:trHeight w:val="378"/>
        </w:trPr>
        <w:tc>
          <w:tcPr>
            <w:tcW w:w="440" w:type="dxa"/>
            <w:vAlign w:val="bottom"/>
          </w:tcPr>
          <w:p>
            <w:pPr>
              <w:spacing w:after="0"/>
              <w:rPr>
                <w:sz w:val="20"/>
                <w:szCs w:val="20"/>
                <w:color w:val="auto"/>
              </w:rPr>
            </w:pPr>
            <w:r>
              <w:rPr>
                <w:rFonts w:ascii="Arial" w:cs="Arial" w:eastAsia="Arial" w:hAnsi="Arial"/>
                <w:sz w:val="16"/>
                <w:szCs w:val="16"/>
                <w:color w:val="auto"/>
              </w:rPr>
              <w:t>By:</w:t>
            </w:r>
          </w:p>
        </w:tc>
        <w:tc>
          <w:tcPr>
            <w:tcW w:w="2920" w:type="dxa"/>
            <w:vAlign w:val="bottom"/>
            <w:tcBorders>
              <w:bottom w:val="single" w:sz="8" w:color="auto"/>
            </w:tcBorders>
          </w:tcPr>
          <w:p>
            <w:pPr>
              <w:spacing w:after="0"/>
              <w:rPr>
                <w:sz w:val="24"/>
                <w:szCs w:val="24"/>
                <w:color w:val="auto"/>
              </w:rPr>
            </w:pPr>
          </w:p>
        </w:tc>
        <w:tc>
          <w:tcPr>
            <w:tcW w:w="1580" w:type="dxa"/>
            <w:vAlign w:val="bottom"/>
            <w:gridSpan w:val="2"/>
          </w:tcPr>
          <w:p>
            <w:pPr>
              <w:ind w:left="1140"/>
              <w:spacing w:after="0"/>
              <w:rPr>
                <w:sz w:val="20"/>
                <w:szCs w:val="20"/>
                <w:color w:val="auto"/>
              </w:rPr>
            </w:pPr>
            <w:r>
              <w:rPr>
                <w:rFonts w:ascii="Arial" w:cs="Arial" w:eastAsia="Arial" w:hAnsi="Arial"/>
                <w:sz w:val="16"/>
                <w:szCs w:val="16"/>
                <w:color w:val="auto"/>
              </w:rPr>
              <w:t>By:</w:t>
            </w:r>
          </w:p>
        </w:tc>
        <w:tc>
          <w:tcPr>
            <w:tcW w:w="2840" w:type="dxa"/>
            <w:vAlign w:val="bottom"/>
            <w:tcBorders>
              <w:bottom w:val="single" w:sz="8" w:color="auto"/>
            </w:tcBorders>
          </w:tcPr>
          <w:p>
            <w:pPr>
              <w:spacing w:after="0"/>
              <w:rPr>
                <w:sz w:val="24"/>
                <w:szCs w:val="24"/>
                <w:color w:val="auto"/>
              </w:rPr>
            </w:pPr>
          </w:p>
        </w:tc>
      </w:tr>
      <w:tr>
        <w:trPr>
          <w:trHeight w:val="357"/>
        </w:trPr>
        <w:tc>
          <w:tcPr>
            <w:tcW w:w="3360" w:type="dxa"/>
            <w:vAlign w:val="bottom"/>
            <w:gridSpan w:val="2"/>
          </w:tcPr>
          <w:p>
            <w:pPr>
              <w:spacing w:after="0"/>
              <w:rPr>
                <w:sz w:val="20"/>
                <w:szCs w:val="20"/>
                <w:color w:val="auto"/>
              </w:rPr>
            </w:pPr>
            <w:r>
              <w:rPr>
                <w:rFonts w:ascii="Arial" w:cs="Arial" w:eastAsia="Arial" w:hAnsi="Arial"/>
                <w:sz w:val="16"/>
                <w:szCs w:val="16"/>
                <w:color w:val="auto"/>
              </w:rPr>
              <w:t>Name:</w:t>
            </w:r>
          </w:p>
        </w:tc>
        <w:tc>
          <w:tcPr>
            <w:tcW w:w="4420" w:type="dxa"/>
            <w:vAlign w:val="bottom"/>
            <w:gridSpan w:val="3"/>
          </w:tcPr>
          <w:p>
            <w:pPr>
              <w:ind w:left="1140"/>
              <w:spacing w:after="0"/>
              <w:rPr>
                <w:sz w:val="20"/>
                <w:szCs w:val="20"/>
                <w:color w:val="auto"/>
              </w:rPr>
            </w:pPr>
            <w:r>
              <w:rPr>
                <w:rFonts w:ascii="Arial" w:cs="Arial" w:eastAsia="Arial" w:hAnsi="Arial"/>
                <w:sz w:val="16"/>
                <w:szCs w:val="16"/>
                <w:color w:val="auto"/>
              </w:rPr>
              <w:t>Name:</w:t>
            </w:r>
          </w:p>
        </w:tc>
      </w:tr>
      <w:tr>
        <w:trPr>
          <w:trHeight w:val="181"/>
        </w:trPr>
        <w:tc>
          <w:tcPr>
            <w:tcW w:w="440" w:type="dxa"/>
            <w:vAlign w:val="bottom"/>
          </w:tcPr>
          <w:p>
            <w:pPr>
              <w:spacing w:after="0" w:line="180" w:lineRule="exact"/>
              <w:rPr>
                <w:sz w:val="20"/>
                <w:szCs w:val="20"/>
                <w:color w:val="auto"/>
              </w:rPr>
            </w:pPr>
            <w:r>
              <w:rPr>
                <w:rFonts w:ascii="Arial" w:cs="Arial" w:eastAsia="Arial" w:hAnsi="Arial"/>
                <w:sz w:val="16"/>
                <w:szCs w:val="16"/>
                <w:color w:val="auto"/>
              </w:rPr>
              <w:t>Title:</w:t>
            </w:r>
          </w:p>
        </w:tc>
        <w:tc>
          <w:tcPr>
            <w:tcW w:w="2920" w:type="dxa"/>
            <w:vAlign w:val="bottom"/>
            <w:tcBorders>
              <w:top w:val="single" w:sz="8" w:color="auto"/>
              <w:bottom w:val="single" w:sz="8" w:color="auto"/>
            </w:tcBorders>
          </w:tcPr>
          <w:p>
            <w:pPr>
              <w:spacing w:after="0"/>
              <w:rPr>
                <w:sz w:val="15"/>
                <w:szCs w:val="15"/>
                <w:color w:val="auto"/>
              </w:rPr>
            </w:pPr>
          </w:p>
        </w:tc>
        <w:tc>
          <w:tcPr>
            <w:tcW w:w="1580" w:type="dxa"/>
            <w:vAlign w:val="bottom"/>
            <w:gridSpan w:val="2"/>
          </w:tcPr>
          <w:p>
            <w:pPr>
              <w:ind w:left="1140"/>
              <w:spacing w:after="0" w:line="180" w:lineRule="exact"/>
              <w:rPr>
                <w:sz w:val="20"/>
                <w:szCs w:val="20"/>
                <w:color w:val="auto"/>
              </w:rPr>
            </w:pPr>
            <w:r>
              <w:rPr>
                <w:rFonts w:ascii="Arial" w:cs="Arial" w:eastAsia="Arial" w:hAnsi="Arial"/>
                <w:sz w:val="16"/>
                <w:szCs w:val="16"/>
                <w:color w:val="auto"/>
              </w:rPr>
              <w:t>Title:</w:t>
            </w:r>
          </w:p>
        </w:tc>
        <w:tc>
          <w:tcPr>
            <w:tcW w:w="2840" w:type="dxa"/>
            <w:vAlign w:val="bottom"/>
            <w:tcBorders>
              <w:top w:val="single" w:sz="8" w:color="auto"/>
              <w:bottom w:val="single" w:sz="8" w:color="auto"/>
            </w:tcBorders>
          </w:tcPr>
          <w:p>
            <w:pPr>
              <w:spacing w:after="0"/>
              <w:rPr>
                <w:sz w:val="15"/>
                <w:szCs w:val="15"/>
                <w:color w:val="auto"/>
              </w:rPr>
            </w:pPr>
          </w:p>
        </w:tc>
      </w:tr>
    </w:tbl>
    <w:p>
      <w:pPr>
        <w:sectPr>
          <w:pgSz w:w="11900" w:h="16838" w:orient="portrait"/>
          <w:cols w:equalWidth="0" w:num="1">
            <w:col w:w="9019"/>
          </w:cols>
          <w:pgMar w:left="1440" w:top="256" w:right="1440" w:bottom="1440" w:gutter="0" w:footer="0" w:header="0"/>
          <w:type w:val="continuous"/>
        </w:sectPr>
      </w:pPr>
    </w:p>
    <w:bookmarkStart w:id="483" w:name="page484"/>
    <w:bookmarkEnd w:id="483"/>
    <w:p>
      <w:pPr>
        <w:jc w:val="center"/>
        <w:ind w:right="19"/>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LEASE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COVE AT OYSTER 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HCP OYSTER POINT III LLC,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limited liability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Landlord,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COLUMN GROUP, LLC,</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 Delaware limited liability company,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Tenant.</w:t>
      </w:r>
    </w:p>
    <w:p>
      <w:pPr>
        <w:sectPr>
          <w:pgSz w:w="11900" w:h="16838" w:orient="portrait"/>
          <w:cols w:equalWidth="0" w:num="1">
            <w:col w:w="9019"/>
          </w:cols>
          <w:pgMar w:left="1440" w:top="252" w:right="1440" w:bottom="1440" w:gutter="0" w:footer="0" w:header="0"/>
        </w:sectPr>
      </w:pPr>
    </w:p>
    <w:bookmarkStart w:id="484" w:name="page485"/>
    <w:bookmarkEnd w:id="484"/>
    <w:tbl>
      <w:tblPr>
        <w:tblLayout w:type="fixed"/>
        <w:tblInd w:w="6" w:type="dxa"/>
        <w:tblCellMar>
          <w:top w:w="0" w:type="dxa"/>
          <w:left w:w="0" w:type="dxa"/>
          <w:bottom w:w="0" w:type="dxa"/>
          <w:right w:w="0" w:type="dxa"/>
        </w:tblCellMar>
      </w:tblP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1.</w:t>
            </w:r>
          </w:p>
        </w:tc>
        <w:tc>
          <w:tcPr>
            <w:tcW w:w="7480" w:type="dxa"/>
            <w:vAlign w:val="bottom"/>
          </w:tcPr>
          <w:p>
            <w:pPr>
              <w:ind w:left="40"/>
              <w:spacing w:after="0"/>
              <w:rPr>
                <w:sz w:val="20"/>
                <w:szCs w:val="20"/>
                <w:color w:val="auto"/>
              </w:rPr>
            </w:pPr>
            <w:r>
              <w:rPr>
                <w:rFonts w:ascii="Arial" w:cs="Arial" w:eastAsia="Arial" w:hAnsi="Arial"/>
                <w:sz w:val="16"/>
                <w:szCs w:val="16"/>
                <w:color w:val="auto"/>
              </w:rPr>
              <w:t>PREMISES, BUILDING, PROJECT, AND COMMON AREAS</w:t>
            </w:r>
          </w:p>
        </w:tc>
        <w:tc>
          <w:tcPr>
            <w:tcW w:w="1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2.</w:t>
            </w:r>
          </w:p>
        </w:tc>
        <w:tc>
          <w:tcPr>
            <w:tcW w:w="7480" w:type="dxa"/>
            <w:vAlign w:val="bottom"/>
          </w:tcPr>
          <w:p>
            <w:pPr>
              <w:ind w:left="40"/>
              <w:spacing w:after="0"/>
              <w:rPr>
                <w:sz w:val="20"/>
                <w:szCs w:val="20"/>
                <w:color w:val="auto"/>
              </w:rPr>
            </w:pPr>
            <w:r>
              <w:rPr>
                <w:rFonts w:ascii="Arial" w:cs="Arial" w:eastAsia="Arial" w:hAnsi="Arial"/>
                <w:sz w:val="16"/>
                <w:szCs w:val="16"/>
                <w:color w:val="auto"/>
              </w:rPr>
              <w:t>LEASE TERM; OPTION TERM</w:t>
            </w:r>
          </w:p>
        </w:tc>
        <w:tc>
          <w:tcPr>
            <w:tcW w:w="1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3.</w:t>
            </w:r>
          </w:p>
        </w:tc>
        <w:tc>
          <w:tcPr>
            <w:tcW w:w="7480" w:type="dxa"/>
            <w:vAlign w:val="bottom"/>
          </w:tcPr>
          <w:p>
            <w:pPr>
              <w:ind w:left="40"/>
              <w:spacing w:after="0"/>
              <w:rPr>
                <w:sz w:val="20"/>
                <w:szCs w:val="20"/>
                <w:color w:val="auto"/>
              </w:rPr>
            </w:pPr>
            <w:r>
              <w:rPr>
                <w:rFonts w:ascii="Arial" w:cs="Arial" w:eastAsia="Arial" w:hAnsi="Arial"/>
                <w:sz w:val="16"/>
                <w:szCs w:val="16"/>
                <w:color w:val="auto"/>
              </w:rPr>
              <w:t>BASE RENT</w:t>
            </w:r>
          </w:p>
        </w:tc>
        <w:tc>
          <w:tcPr>
            <w:tcW w:w="1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4.</w:t>
            </w:r>
          </w:p>
        </w:tc>
        <w:tc>
          <w:tcPr>
            <w:tcW w:w="7480" w:type="dxa"/>
            <w:vAlign w:val="bottom"/>
          </w:tcPr>
          <w:p>
            <w:pPr>
              <w:ind w:left="40"/>
              <w:spacing w:after="0"/>
              <w:rPr>
                <w:sz w:val="20"/>
                <w:szCs w:val="20"/>
                <w:color w:val="auto"/>
              </w:rPr>
            </w:pPr>
            <w:r>
              <w:rPr>
                <w:rFonts w:ascii="Arial" w:cs="Arial" w:eastAsia="Arial" w:hAnsi="Arial"/>
                <w:sz w:val="16"/>
                <w:szCs w:val="16"/>
                <w:color w:val="auto"/>
              </w:rPr>
              <w:t>ADDITIONAL RENT</w:t>
            </w:r>
          </w:p>
        </w:tc>
        <w:tc>
          <w:tcPr>
            <w:tcW w:w="1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5.</w:t>
            </w:r>
          </w:p>
        </w:tc>
        <w:tc>
          <w:tcPr>
            <w:tcW w:w="7480" w:type="dxa"/>
            <w:vAlign w:val="bottom"/>
          </w:tcPr>
          <w:p>
            <w:pPr>
              <w:ind w:left="40"/>
              <w:spacing w:after="0"/>
              <w:rPr>
                <w:sz w:val="20"/>
                <w:szCs w:val="20"/>
                <w:color w:val="auto"/>
              </w:rPr>
            </w:pPr>
            <w:r>
              <w:rPr>
                <w:rFonts w:ascii="Arial" w:cs="Arial" w:eastAsia="Arial" w:hAnsi="Arial"/>
                <w:sz w:val="16"/>
                <w:szCs w:val="16"/>
                <w:color w:val="auto"/>
              </w:rPr>
              <w:t>USE OF PREMISES</w:t>
            </w:r>
          </w:p>
        </w:tc>
        <w:tc>
          <w:tcPr>
            <w:tcW w:w="18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6.</w:t>
            </w:r>
          </w:p>
        </w:tc>
        <w:tc>
          <w:tcPr>
            <w:tcW w:w="7480" w:type="dxa"/>
            <w:vAlign w:val="bottom"/>
          </w:tcPr>
          <w:p>
            <w:pPr>
              <w:ind w:left="40"/>
              <w:spacing w:after="0"/>
              <w:rPr>
                <w:sz w:val="20"/>
                <w:szCs w:val="20"/>
                <w:color w:val="auto"/>
              </w:rPr>
            </w:pPr>
            <w:r>
              <w:rPr>
                <w:rFonts w:ascii="Arial" w:cs="Arial" w:eastAsia="Arial" w:hAnsi="Arial"/>
                <w:sz w:val="16"/>
                <w:szCs w:val="16"/>
                <w:color w:val="auto"/>
              </w:rPr>
              <w:t>SERVICES AND UTILITIES</w:t>
            </w:r>
          </w:p>
        </w:tc>
        <w:tc>
          <w:tcPr>
            <w:tcW w:w="18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7.</w:t>
            </w:r>
          </w:p>
        </w:tc>
        <w:tc>
          <w:tcPr>
            <w:tcW w:w="7480" w:type="dxa"/>
            <w:vAlign w:val="bottom"/>
          </w:tcPr>
          <w:p>
            <w:pPr>
              <w:ind w:left="40"/>
              <w:spacing w:after="0"/>
              <w:rPr>
                <w:sz w:val="20"/>
                <w:szCs w:val="20"/>
                <w:color w:val="auto"/>
              </w:rPr>
            </w:pPr>
            <w:r>
              <w:rPr>
                <w:rFonts w:ascii="Arial" w:cs="Arial" w:eastAsia="Arial" w:hAnsi="Arial"/>
                <w:sz w:val="16"/>
                <w:szCs w:val="16"/>
                <w:color w:val="auto"/>
              </w:rPr>
              <w:t>REPAIRS</w:t>
            </w:r>
          </w:p>
        </w:tc>
        <w:tc>
          <w:tcPr>
            <w:tcW w:w="18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8.</w:t>
            </w:r>
          </w:p>
        </w:tc>
        <w:tc>
          <w:tcPr>
            <w:tcW w:w="7480" w:type="dxa"/>
            <w:vAlign w:val="bottom"/>
          </w:tcPr>
          <w:p>
            <w:pPr>
              <w:ind w:left="40"/>
              <w:spacing w:after="0"/>
              <w:rPr>
                <w:sz w:val="20"/>
                <w:szCs w:val="20"/>
                <w:color w:val="auto"/>
              </w:rPr>
            </w:pPr>
            <w:r>
              <w:rPr>
                <w:rFonts w:ascii="Arial" w:cs="Arial" w:eastAsia="Arial" w:hAnsi="Arial"/>
                <w:sz w:val="16"/>
                <w:szCs w:val="16"/>
                <w:color w:val="auto"/>
              </w:rPr>
              <w:t>ADDITIONS AND ALTERATIONS</w:t>
            </w:r>
          </w:p>
        </w:tc>
        <w:tc>
          <w:tcPr>
            <w:tcW w:w="1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rPr>
              <w:t>9.</w:t>
            </w:r>
          </w:p>
        </w:tc>
        <w:tc>
          <w:tcPr>
            <w:tcW w:w="7480" w:type="dxa"/>
            <w:vAlign w:val="bottom"/>
          </w:tcPr>
          <w:p>
            <w:pPr>
              <w:ind w:left="40"/>
              <w:spacing w:after="0"/>
              <w:rPr>
                <w:sz w:val="20"/>
                <w:szCs w:val="20"/>
                <w:color w:val="auto"/>
              </w:rPr>
            </w:pPr>
            <w:r>
              <w:rPr>
                <w:rFonts w:ascii="Arial" w:cs="Arial" w:eastAsia="Arial" w:hAnsi="Arial"/>
                <w:sz w:val="16"/>
                <w:szCs w:val="16"/>
                <w:color w:val="auto"/>
              </w:rPr>
              <w:t>COVENANT AGAINST LIENS</w:t>
            </w: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10.</w:t>
            </w:r>
          </w:p>
        </w:tc>
        <w:tc>
          <w:tcPr>
            <w:tcW w:w="7480" w:type="dxa"/>
            <w:vAlign w:val="bottom"/>
          </w:tcPr>
          <w:p>
            <w:pPr>
              <w:ind w:left="40"/>
              <w:spacing w:after="0"/>
              <w:rPr>
                <w:sz w:val="20"/>
                <w:szCs w:val="20"/>
                <w:color w:val="auto"/>
              </w:rPr>
            </w:pPr>
            <w:r>
              <w:rPr>
                <w:rFonts w:ascii="Arial" w:cs="Arial" w:eastAsia="Arial" w:hAnsi="Arial"/>
                <w:sz w:val="16"/>
                <w:szCs w:val="16"/>
                <w:color w:val="auto"/>
              </w:rPr>
              <w:t>INSURANCE</w:t>
            </w:r>
          </w:p>
        </w:tc>
        <w:tc>
          <w:tcPr>
            <w:tcW w:w="18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11.</w:t>
            </w:r>
          </w:p>
        </w:tc>
        <w:tc>
          <w:tcPr>
            <w:tcW w:w="7480" w:type="dxa"/>
            <w:vAlign w:val="bottom"/>
          </w:tcPr>
          <w:p>
            <w:pPr>
              <w:ind w:left="40"/>
              <w:spacing w:after="0"/>
              <w:rPr>
                <w:sz w:val="20"/>
                <w:szCs w:val="20"/>
                <w:color w:val="auto"/>
              </w:rPr>
            </w:pPr>
            <w:r>
              <w:rPr>
                <w:rFonts w:ascii="Arial" w:cs="Arial" w:eastAsia="Arial" w:hAnsi="Arial"/>
                <w:sz w:val="16"/>
                <w:szCs w:val="16"/>
                <w:color w:val="auto"/>
              </w:rPr>
              <w:t>DAMAGE AND DESTRUCTION</w:t>
            </w:r>
          </w:p>
        </w:tc>
        <w:tc>
          <w:tcPr>
            <w:tcW w:w="18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12.</w:t>
            </w:r>
          </w:p>
        </w:tc>
        <w:tc>
          <w:tcPr>
            <w:tcW w:w="7480" w:type="dxa"/>
            <w:vAlign w:val="bottom"/>
          </w:tcPr>
          <w:p>
            <w:pPr>
              <w:ind w:left="40"/>
              <w:spacing w:after="0"/>
              <w:rPr>
                <w:sz w:val="20"/>
                <w:szCs w:val="20"/>
                <w:color w:val="auto"/>
              </w:rPr>
            </w:pPr>
            <w:r>
              <w:rPr>
                <w:rFonts w:ascii="Arial" w:cs="Arial" w:eastAsia="Arial" w:hAnsi="Arial"/>
                <w:sz w:val="16"/>
                <w:szCs w:val="16"/>
                <w:color w:val="auto"/>
              </w:rPr>
              <w:t>NONWAIVER</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13.</w:t>
            </w:r>
          </w:p>
        </w:tc>
        <w:tc>
          <w:tcPr>
            <w:tcW w:w="7480" w:type="dxa"/>
            <w:vAlign w:val="bottom"/>
          </w:tcPr>
          <w:p>
            <w:pPr>
              <w:ind w:left="40"/>
              <w:spacing w:after="0"/>
              <w:rPr>
                <w:sz w:val="20"/>
                <w:szCs w:val="20"/>
                <w:color w:val="auto"/>
              </w:rPr>
            </w:pPr>
            <w:r>
              <w:rPr>
                <w:rFonts w:ascii="Arial" w:cs="Arial" w:eastAsia="Arial" w:hAnsi="Arial"/>
                <w:sz w:val="16"/>
                <w:szCs w:val="16"/>
                <w:color w:val="auto"/>
              </w:rPr>
              <w:t>CONDEMNATION</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14.</w:t>
            </w:r>
          </w:p>
        </w:tc>
        <w:tc>
          <w:tcPr>
            <w:tcW w:w="7480" w:type="dxa"/>
            <w:vAlign w:val="bottom"/>
          </w:tcPr>
          <w:p>
            <w:pPr>
              <w:ind w:left="40"/>
              <w:spacing w:after="0"/>
              <w:rPr>
                <w:sz w:val="20"/>
                <w:szCs w:val="20"/>
                <w:color w:val="auto"/>
              </w:rPr>
            </w:pPr>
            <w:r>
              <w:rPr>
                <w:rFonts w:ascii="Arial" w:cs="Arial" w:eastAsia="Arial" w:hAnsi="Arial"/>
                <w:sz w:val="16"/>
                <w:szCs w:val="16"/>
                <w:color w:val="auto"/>
              </w:rPr>
              <w:t>ASSIGNMENT AND SUBLETTING</w:t>
            </w:r>
          </w:p>
        </w:tc>
        <w:tc>
          <w:tcPr>
            <w:tcW w:w="18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15.</w:t>
            </w:r>
          </w:p>
        </w:tc>
        <w:tc>
          <w:tcPr>
            <w:tcW w:w="7480" w:type="dxa"/>
            <w:vAlign w:val="bottom"/>
          </w:tcPr>
          <w:p>
            <w:pPr>
              <w:ind w:left="40"/>
              <w:spacing w:after="0"/>
              <w:rPr>
                <w:sz w:val="20"/>
                <w:szCs w:val="20"/>
                <w:color w:val="auto"/>
              </w:rPr>
            </w:pPr>
            <w:r>
              <w:rPr>
                <w:rFonts w:ascii="Arial" w:cs="Arial" w:eastAsia="Arial" w:hAnsi="Arial"/>
                <w:sz w:val="16"/>
                <w:szCs w:val="16"/>
                <w:color w:val="auto"/>
              </w:rPr>
              <w:t>SURRENDER OF PREMISES; OWNERSHIP AND REMOVAL OF TRADE FIXTURES</w:t>
            </w:r>
          </w:p>
        </w:tc>
        <w:tc>
          <w:tcPr>
            <w:tcW w:w="18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16.</w:t>
            </w:r>
          </w:p>
        </w:tc>
        <w:tc>
          <w:tcPr>
            <w:tcW w:w="7480" w:type="dxa"/>
            <w:vAlign w:val="bottom"/>
          </w:tcPr>
          <w:p>
            <w:pPr>
              <w:ind w:left="40"/>
              <w:spacing w:after="0"/>
              <w:rPr>
                <w:sz w:val="20"/>
                <w:szCs w:val="20"/>
                <w:color w:val="auto"/>
              </w:rPr>
            </w:pPr>
            <w:r>
              <w:rPr>
                <w:rFonts w:ascii="Arial" w:cs="Arial" w:eastAsia="Arial" w:hAnsi="Arial"/>
                <w:sz w:val="16"/>
                <w:szCs w:val="16"/>
                <w:color w:val="auto"/>
              </w:rPr>
              <w:t>HOLDING OVER</w:t>
            </w: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17.</w:t>
            </w:r>
          </w:p>
        </w:tc>
        <w:tc>
          <w:tcPr>
            <w:tcW w:w="7480" w:type="dxa"/>
            <w:vAlign w:val="bottom"/>
          </w:tcPr>
          <w:p>
            <w:pPr>
              <w:ind w:left="40"/>
              <w:spacing w:after="0"/>
              <w:rPr>
                <w:sz w:val="20"/>
                <w:szCs w:val="20"/>
                <w:color w:val="auto"/>
              </w:rPr>
            </w:pPr>
            <w:r>
              <w:rPr>
                <w:rFonts w:ascii="Arial" w:cs="Arial" w:eastAsia="Arial" w:hAnsi="Arial"/>
                <w:sz w:val="16"/>
                <w:szCs w:val="16"/>
                <w:color w:val="auto"/>
              </w:rPr>
              <w:t>ESTOPPEL CERTIFICATES</w:t>
            </w:r>
          </w:p>
        </w:tc>
        <w:tc>
          <w:tcPr>
            <w:tcW w:w="1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18.</w:t>
            </w:r>
          </w:p>
        </w:tc>
        <w:tc>
          <w:tcPr>
            <w:tcW w:w="7480" w:type="dxa"/>
            <w:vAlign w:val="bottom"/>
          </w:tcPr>
          <w:p>
            <w:pPr>
              <w:ind w:left="40"/>
              <w:spacing w:after="0"/>
              <w:rPr>
                <w:sz w:val="20"/>
                <w:szCs w:val="20"/>
                <w:color w:val="auto"/>
              </w:rPr>
            </w:pPr>
            <w:r>
              <w:rPr>
                <w:rFonts w:ascii="Arial" w:cs="Arial" w:eastAsia="Arial" w:hAnsi="Arial"/>
                <w:sz w:val="16"/>
                <w:szCs w:val="16"/>
                <w:color w:val="auto"/>
              </w:rPr>
              <w:t>SUBORDINATION</w:t>
            </w:r>
          </w:p>
        </w:tc>
        <w:tc>
          <w:tcPr>
            <w:tcW w:w="1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19.</w:t>
            </w:r>
          </w:p>
        </w:tc>
        <w:tc>
          <w:tcPr>
            <w:tcW w:w="7480" w:type="dxa"/>
            <w:vAlign w:val="bottom"/>
          </w:tcPr>
          <w:p>
            <w:pPr>
              <w:ind w:left="40"/>
              <w:spacing w:after="0"/>
              <w:rPr>
                <w:sz w:val="20"/>
                <w:szCs w:val="20"/>
                <w:color w:val="auto"/>
              </w:rPr>
            </w:pPr>
            <w:r>
              <w:rPr>
                <w:rFonts w:ascii="Arial" w:cs="Arial" w:eastAsia="Arial" w:hAnsi="Arial"/>
                <w:sz w:val="16"/>
                <w:szCs w:val="16"/>
                <w:color w:val="auto"/>
              </w:rPr>
              <w:t>DEFAULTS; REMEDIES</w:t>
            </w:r>
          </w:p>
        </w:tc>
        <w:tc>
          <w:tcPr>
            <w:tcW w:w="18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20.</w:t>
            </w:r>
          </w:p>
        </w:tc>
        <w:tc>
          <w:tcPr>
            <w:tcW w:w="7480" w:type="dxa"/>
            <w:vAlign w:val="bottom"/>
          </w:tcPr>
          <w:p>
            <w:pPr>
              <w:ind w:left="40"/>
              <w:spacing w:after="0"/>
              <w:rPr>
                <w:sz w:val="20"/>
                <w:szCs w:val="20"/>
                <w:color w:val="auto"/>
              </w:rPr>
            </w:pPr>
            <w:r>
              <w:rPr>
                <w:rFonts w:ascii="Arial" w:cs="Arial" w:eastAsia="Arial" w:hAnsi="Arial"/>
                <w:sz w:val="16"/>
                <w:szCs w:val="16"/>
                <w:color w:val="auto"/>
              </w:rPr>
              <w:t>COVENANT OF QUIET ENJOYMENT</w:t>
            </w:r>
          </w:p>
        </w:tc>
        <w:tc>
          <w:tcPr>
            <w:tcW w:w="1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21.</w:t>
            </w:r>
          </w:p>
        </w:tc>
        <w:tc>
          <w:tcPr>
            <w:tcW w:w="7480" w:type="dxa"/>
            <w:vAlign w:val="bottom"/>
          </w:tcPr>
          <w:p>
            <w:pPr>
              <w:ind w:left="40"/>
              <w:spacing w:after="0"/>
              <w:rPr>
                <w:sz w:val="20"/>
                <w:szCs w:val="20"/>
                <w:color w:val="auto"/>
              </w:rPr>
            </w:pPr>
            <w:r>
              <w:rPr>
                <w:rFonts w:ascii="Arial" w:cs="Arial" w:eastAsia="Arial" w:hAnsi="Arial"/>
                <w:sz w:val="16"/>
                <w:szCs w:val="16"/>
                <w:color w:val="auto"/>
              </w:rPr>
              <w:t>LETTER OF CREDIT</w:t>
            </w:r>
          </w:p>
        </w:tc>
        <w:tc>
          <w:tcPr>
            <w:tcW w:w="18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22.</w:t>
            </w:r>
          </w:p>
        </w:tc>
        <w:tc>
          <w:tcPr>
            <w:tcW w:w="7480" w:type="dxa"/>
            <w:vAlign w:val="bottom"/>
          </w:tcPr>
          <w:p>
            <w:pPr>
              <w:ind w:left="40"/>
              <w:spacing w:after="0"/>
              <w:rPr>
                <w:sz w:val="20"/>
                <w:szCs w:val="20"/>
                <w:color w:val="auto"/>
              </w:rPr>
            </w:pPr>
            <w:r>
              <w:rPr>
                <w:rFonts w:ascii="Arial" w:cs="Arial" w:eastAsia="Arial" w:hAnsi="Arial"/>
                <w:sz w:val="16"/>
                <w:szCs w:val="16"/>
                <w:color w:val="auto"/>
              </w:rPr>
              <w:t>COMMUNICATIONS AND COMPUTER LINE</w:t>
            </w: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23.</w:t>
            </w:r>
          </w:p>
        </w:tc>
        <w:tc>
          <w:tcPr>
            <w:tcW w:w="7480" w:type="dxa"/>
            <w:vAlign w:val="bottom"/>
          </w:tcPr>
          <w:p>
            <w:pPr>
              <w:ind w:left="40"/>
              <w:spacing w:after="0"/>
              <w:rPr>
                <w:sz w:val="20"/>
                <w:szCs w:val="20"/>
                <w:color w:val="auto"/>
              </w:rPr>
            </w:pPr>
            <w:r>
              <w:rPr>
                <w:rFonts w:ascii="Arial" w:cs="Arial" w:eastAsia="Arial" w:hAnsi="Arial"/>
                <w:sz w:val="16"/>
                <w:szCs w:val="16"/>
                <w:color w:val="auto"/>
              </w:rPr>
              <w:t>SIGNS</w:t>
            </w:r>
          </w:p>
        </w:tc>
        <w:tc>
          <w:tcPr>
            <w:tcW w:w="18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24.</w:t>
            </w:r>
          </w:p>
        </w:tc>
        <w:tc>
          <w:tcPr>
            <w:tcW w:w="7480" w:type="dxa"/>
            <w:vAlign w:val="bottom"/>
          </w:tcPr>
          <w:p>
            <w:pPr>
              <w:ind w:left="40"/>
              <w:spacing w:after="0"/>
              <w:rPr>
                <w:sz w:val="20"/>
                <w:szCs w:val="20"/>
                <w:color w:val="auto"/>
              </w:rPr>
            </w:pPr>
            <w:r>
              <w:rPr>
                <w:rFonts w:ascii="Arial" w:cs="Arial" w:eastAsia="Arial" w:hAnsi="Arial"/>
                <w:sz w:val="16"/>
                <w:szCs w:val="16"/>
                <w:color w:val="auto"/>
              </w:rPr>
              <w:t>COMPLIANCE WITH LAW</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25.</w:t>
            </w:r>
          </w:p>
        </w:tc>
        <w:tc>
          <w:tcPr>
            <w:tcW w:w="7480" w:type="dxa"/>
            <w:vAlign w:val="bottom"/>
          </w:tcPr>
          <w:p>
            <w:pPr>
              <w:ind w:left="40"/>
              <w:spacing w:after="0"/>
              <w:rPr>
                <w:sz w:val="20"/>
                <w:szCs w:val="20"/>
                <w:color w:val="auto"/>
              </w:rPr>
            </w:pPr>
            <w:r>
              <w:rPr>
                <w:rFonts w:ascii="Arial" w:cs="Arial" w:eastAsia="Arial" w:hAnsi="Arial"/>
                <w:sz w:val="16"/>
                <w:szCs w:val="16"/>
                <w:color w:val="auto"/>
              </w:rPr>
              <w:t>LATE CHARGES</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26.</w:t>
            </w:r>
          </w:p>
        </w:tc>
        <w:tc>
          <w:tcPr>
            <w:tcW w:w="7480" w:type="dxa"/>
            <w:vAlign w:val="bottom"/>
          </w:tcPr>
          <w:p>
            <w:pPr>
              <w:ind w:left="40"/>
              <w:spacing w:after="0"/>
              <w:rPr>
                <w:sz w:val="20"/>
                <w:szCs w:val="20"/>
                <w:color w:val="auto"/>
              </w:rPr>
            </w:pPr>
            <w:r>
              <w:rPr>
                <w:rFonts w:ascii="Arial" w:cs="Arial" w:eastAsia="Arial" w:hAnsi="Arial"/>
                <w:sz w:val="16"/>
                <w:szCs w:val="16"/>
                <w:color w:val="auto"/>
              </w:rPr>
              <w:t>LANDLORD’S RIGHT TO CURE DEFAULT; PAYMENTS BY TENANT</w:t>
            </w:r>
          </w:p>
        </w:tc>
        <w:tc>
          <w:tcPr>
            <w:tcW w:w="18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27.</w:t>
            </w:r>
          </w:p>
        </w:tc>
        <w:tc>
          <w:tcPr>
            <w:tcW w:w="7480" w:type="dxa"/>
            <w:vAlign w:val="bottom"/>
          </w:tcPr>
          <w:p>
            <w:pPr>
              <w:ind w:left="40"/>
              <w:spacing w:after="0"/>
              <w:rPr>
                <w:sz w:val="20"/>
                <w:szCs w:val="20"/>
                <w:color w:val="auto"/>
              </w:rPr>
            </w:pPr>
            <w:r>
              <w:rPr>
                <w:rFonts w:ascii="Arial" w:cs="Arial" w:eastAsia="Arial" w:hAnsi="Arial"/>
                <w:sz w:val="16"/>
                <w:szCs w:val="16"/>
                <w:color w:val="auto"/>
              </w:rPr>
              <w:t>ENTRY BY LANDLORD</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28.</w:t>
            </w:r>
          </w:p>
        </w:tc>
        <w:tc>
          <w:tcPr>
            <w:tcW w:w="7480" w:type="dxa"/>
            <w:vAlign w:val="bottom"/>
          </w:tcPr>
          <w:p>
            <w:pPr>
              <w:ind w:left="40"/>
              <w:spacing w:after="0"/>
              <w:rPr>
                <w:sz w:val="20"/>
                <w:szCs w:val="20"/>
                <w:color w:val="auto"/>
              </w:rPr>
            </w:pPr>
            <w:r>
              <w:rPr>
                <w:rFonts w:ascii="Arial" w:cs="Arial" w:eastAsia="Arial" w:hAnsi="Arial"/>
                <w:sz w:val="16"/>
                <w:szCs w:val="16"/>
                <w:color w:val="auto"/>
              </w:rPr>
              <w:t>TENANT PARKING</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04"/>
        </w:trPr>
        <w:tc>
          <w:tcPr>
            <w:tcW w:w="240" w:type="dxa"/>
            <w:vAlign w:val="bottom"/>
          </w:tcPr>
          <w:p>
            <w:pPr>
              <w:spacing w:after="0"/>
              <w:rPr>
                <w:sz w:val="20"/>
                <w:szCs w:val="20"/>
                <w:color w:val="auto"/>
              </w:rPr>
            </w:pPr>
            <w:r>
              <w:rPr>
                <w:rFonts w:ascii="Arial" w:cs="Arial" w:eastAsia="Arial" w:hAnsi="Arial"/>
                <w:sz w:val="16"/>
                <w:szCs w:val="16"/>
                <w:b w:val="1"/>
                <w:bCs w:val="1"/>
                <w:color w:val="auto"/>
                <w:w w:val="98"/>
              </w:rPr>
              <w:t>29.</w:t>
            </w:r>
          </w:p>
        </w:tc>
        <w:tc>
          <w:tcPr>
            <w:tcW w:w="7480" w:type="dxa"/>
            <w:vAlign w:val="bottom"/>
          </w:tcPr>
          <w:p>
            <w:pPr>
              <w:ind w:left="40"/>
              <w:spacing w:after="0"/>
              <w:rPr>
                <w:sz w:val="20"/>
                <w:szCs w:val="20"/>
                <w:color w:val="auto"/>
              </w:rPr>
            </w:pPr>
            <w:r>
              <w:rPr>
                <w:rFonts w:ascii="Arial" w:cs="Arial" w:eastAsia="Arial" w:hAnsi="Arial"/>
                <w:sz w:val="16"/>
                <w:szCs w:val="16"/>
                <w:color w:val="auto"/>
              </w:rPr>
              <w:t>MISCELLANEOUS PROVISIONS</w:t>
            </w:r>
          </w:p>
        </w:tc>
        <w:tc>
          <w:tcPr>
            <w:tcW w:w="184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90105" cy="3429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EXHIBITS</w:t>
      </w:r>
    </w:p>
    <w:p>
      <w:pPr>
        <w:spacing w:after="0" w:line="193" w:lineRule="exact"/>
        <w:rPr>
          <w:sz w:val="20"/>
          <w:szCs w:val="20"/>
          <w:color w:val="auto"/>
        </w:rPr>
      </w:pPr>
    </w:p>
    <w:p>
      <w:pPr>
        <w:ind w:left="6" w:right="7460" w:hanging="6"/>
        <w:spacing w:after="0" w:line="270" w:lineRule="auto"/>
        <w:tabs>
          <w:tab w:leader="none" w:pos="348" w:val="left"/>
        </w:tabs>
        <w:numPr>
          <w:ilvl w:val="0"/>
          <w:numId w:val="357"/>
        </w:numPr>
        <w:rPr>
          <w:rFonts w:ascii="Arial" w:cs="Arial" w:eastAsia="Arial" w:hAnsi="Arial"/>
          <w:sz w:val="15"/>
          <w:szCs w:val="15"/>
          <w:color w:val="auto"/>
        </w:rPr>
      </w:pPr>
      <w:r>
        <w:rPr>
          <w:rFonts w:ascii="Arial" w:cs="Arial" w:eastAsia="Arial" w:hAnsi="Arial"/>
          <w:sz w:val="15"/>
          <w:szCs w:val="15"/>
          <w:color w:val="auto"/>
        </w:rPr>
        <w:t>OUTLINE OF PREMISES B TENANT WORK LETTER</w:t>
      </w:r>
    </w:p>
    <w:p>
      <w:pPr>
        <w:ind w:left="6"/>
        <w:spacing w:after="0"/>
        <w:rPr>
          <w:rFonts w:ascii="Arial" w:cs="Arial" w:eastAsia="Arial" w:hAnsi="Arial"/>
          <w:sz w:val="15"/>
          <w:szCs w:val="15"/>
          <w:color w:val="auto"/>
        </w:rPr>
      </w:pPr>
      <w:r>
        <w:rPr>
          <w:rFonts w:ascii="Arial" w:cs="Arial" w:eastAsia="Arial" w:hAnsi="Arial"/>
          <w:sz w:val="16"/>
          <w:szCs w:val="16"/>
          <w:color w:val="auto"/>
        </w:rPr>
        <w:t>C   FORM OF NOTICE OF LEASE TERM DATES</w:t>
      </w:r>
    </w:p>
    <w:p>
      <w:pPr>
        <w:spacing w:after="0" w:line="4" w:lineRule="exact"/>
        <w:rPr>
          <w:rFonts w:ascii="Arial" w:cs="Arial" w:eastAsia="Arial" w:hAnsi="Arial"/>
          <w:sz w:val="15"/>
          <w:szCs w:val="15"/>
          <w:color w:val="auto"/>
        </w:rPr>
      </w:pPr>
    </w:p>
    <w:p>
      <w:pPr>
        <w:ind w:left="6" w:right="5920"/>
        <w:spacing w:after="0" w:line="262" w:lineRule="auto"/>
        <w:rPr>
          <w:rFonts w:ascii="Arial" w:cs="Arial" w:eastAsia="Arial" w:hAnsi="Arial"/>
          <w:sz w:val="15"/>
          <w:szCs w:val="15"/>
          <w:color w:val="auto"/>
        </w:rPr>
      </w:pPr>
      <w:r>
        <w:rPr>
          <w:rFonts w:ascii="Arial" w:cs="Arial" w:eastAsia="Arial" w:hAnsi="Arial"/>
          <w:sz w:val="15"/>
          <w:szCs w:val="15"/>
          <w:color w:val="auto"/>
        </w:rPr>
        <w:t>D FORM OF TENANT’S ESTOPPEL CERTIFICATE E ENVIRONMENTAL QUESTIONNAIRE</w:t>
      </w:r>
    </w:p>
    <w:p>
      <w:pPr>
        <w:ind w:left="6"/>
        <w:spacing w:after="0"/>
        <w:rPr>
          <w:rFonts w:ascii="Arial" w:cs="Arial" w:eastAsia="Arial" w:hAnsi="Arial"/>
          <w:sz w:val="15"/>
          <w:szCs w:val="15"/>
          <w:color w:val="auto"/>
        </w:rPr>
      </w:pPr>
      <w:r>
        <w:rPr>
          <w:rFonts w:ascii="Arial" w:cs="Arial" w:eastAsia="Arial" w:hAnsi="Arial"/>
          <w:sz w:val="16"/>
          <w:szCs w:val="16"/>
          <w:color w:val="auto"/>
        </w:rPr>
        <w:t>F   TENANT’S PROPERTY</w:t>
      </w:r>
    </w:p>
    <w:p>
      <w:pPr>
        <w:spacing w:after="0" w:line="4" w:lineRule="exact"/>
        <w:rPr>
          <w:rFonts w:ascii="Arial" w:cs="Arial" w:eastAsia="Arial" w:hAnsi="Arial"/>
          <w:sz w:val="15"/>
          <w:szCs w:val="15"/>
          <w:color w:val="auto"/>
        </w:rPr>
      </w:pPr>
    </w:p>
    <w:p>
      <w:pPr>
        <w:ind w:left="6" w:right="4480"/>
        <w:spacing w:after="0" w:line="252" w:lineRule="auto"/>
        <w:rPr>
          <w:rFonts w:ascii="Arial" w:cs="Arial" w:eastAsia="Arial" w:hAnsi="Arial"/>
          <w:sz w:val="15"/>
          <w:szCs w:val="15"/>
          <w:color w:val="auto"/>
        </w:rPr>
      </w:pPr>
      <w:r>
        <w:rPr>
          <w:rFonts w:ascii="Arial" w:cs="Arial" w:eastAsia="Arial" w:hAnsi="Arial"/>
          <w:sz w:val="16"/>
          <w:szCs w:val="16"/>
          <w:color w:val="auto"/>
        </w:rPr>
        <w:t>G FORM OF AMENDMENT RE: ADDITIONAL MONTHLY BASE RENT H FORM OF LETTER OF CREDIT</w:t>
      </w:r>
    </w:p>
    <w:p>
      <w:pPr>
        <w:sectPr>
          <w:pgSz w:w="11900" w:h="16838" w:orient="portrait"/>
          <w:cols w:equalWidth="0" w:num="1">
            <w:col w:w="9566"/>
          </w:cols>
          <w:pgMar w:left="1134" w:top="252" w:right="1199" w:bottom="1440" w:gutter="0" w:footer="0" w:header="0"/>
        </w:sectPr>
      </w:pPr>
    </w:p>
    <w:bookmarkStart w:id="485" w:name="page486"/>
    <w:bookmarkEnd w:id="485"/>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Accountant</w:t>
            </w:r>
          </w:p>
        </w:tc>
        <w:tc>
          <w:tcPr>
            <w:tcW w:w="394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Advocate Arbitrators</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Alterations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Base Building</w:t>
            </w:r>
          </w:p>
        </w:tc>
        <w:tc>
          <w:tcPr>
            <w:tcW w:w="39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Base Rent</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Brokers</w:t>
            </w:r>
          </w:p>
        </w:tc>
        <w:tc>
          <w:tcPr>
            <w:tcW w:w="3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Building</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Building Systems</w:t>
            </w:r>
          </w:p>
        </w:tc>
        <w:tc>
          <w:tcPr>
            <w:tcW w:w="3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Common Areas</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Comparable Buildings</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Contemplated Effective Date</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Contemplated Transfer Space</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Direct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Disputed Amounts</w:t>
            </w:r>
          </w:p>
        </w:tc>
        <w:tc>
          <w:tcPr>
            <w:tcW w:w="3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Energy Disclosure Information</w:t>
            </w:r>
          </w:p>
        </w:tc>
        <w:tc>
          <w:tcPr>
            <w:tcW w:w="3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Energy Disclosure Requirements</w:t>
            </w:r>
          </w:p>
        </w:tc>
        <w:tc>
          <w:tcPr>
            <w:tcW w:w="39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 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Estimated Direct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Excepted Matters</w:t>
            </w:r>
          </w:p>
        </w:tc>
        <w:tc>
          <w:tcPr>
            <w:tcW w:w="39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Expense Year</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Force Majeure</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Generator</w:t>
            </w:r>
          </w:p>
        </w:tc>
        <w:tc>
          <w:tcPr>
            <w:tcW w:w="3940" w:type="dxa"/>
            <w:vAlign w:val="bottom"/>
          </w:tcPr>
          <w:p>
            <w:pPr>
              <w:jc w:val="right"/>
              <w:spacing w:after="0"/>
              <w:rPr>
                <w:sz w:val="20"/>
                <w:szCs w:val="20"/>
                <w:color w:val="auto"/>
              </w:rPr>
            </w:pPr>
            <w:r>
              <w:rPr>
                <w:rFonts w:ascii="Arial" w:cs="Arial" w:eastAsia="Arial" w:hAnsi="Arial"/>
                <w:sz w:val="16"/>
                <w:szCs w:val="16"/>
                <w:color w:val="auto"/>
              </w:rPr>
              <w:t>18, 19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Intention to Transfer Notice</w:t>
            </w:r>
          </w:p>
        </w:tc>
        <w:tc>
          <w:tcPr>
            <w:tcW w:w="3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 Parties</w:t>
            </w:r>
          </w:p>
        </w:tc>
        <w:tc>
          <w:tcPr>
            <w:tcW w:w="39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Landlord Repair Obligations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L-C</w:t>
            </w:r>
          </w:p>
        </w:tc>
        <w:tc>
          <w:tcPr>
            <w:tcW w:w="3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L-C Amount</w:t>
            </w:r>
          </w:p>
        </w:tc>
        <w:tc>
          <w:tcPr>
            <w:tcW w:w="39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Commencement Date</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Expiration Date</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Term</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Lease Year</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Lines</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Mail</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Net Worth</w:t>
            </w:r>
          </w:p>
        </w:tc>
        <w:tc>
          <w:tcPr>
            <w:tcW w:w="39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Neutral Arbitrator</w:t>
            </w:r>
          </w:p>
        </w:tc>
        <w:tc>
          <w:tcPr>
            <w:tcW w:w="3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Nine Month Period</w:t>
            </w:r>
          </w:p>
        </w:tc>
        <w:tc>
          <w:tcPr>
            <w:tcW w:w="39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Notices</w:t>
            </w:r>
          </w:p>
        </w:tc>
        <w:tc>
          <w:tcPr>
            <w:tcW w:w="39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Objectionable Name</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Operating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Conditions</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Rent</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Option Term</w:t>
            </w:r>
          </w:p>
        </w:tc>
        <w:tc>
          <w:tcPr>
            <w:tcW w:w="3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Outside Agreement Date</w:t>
            </w:r>
          </w:p>
        </w:tc>
        <w:tc>
          <w:tcPr>
            <w:tcW w:w="3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Premises</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Project,</w:t>
            </w:r>
          </w:p>
        </w:tc>
        <w:tc>
          <w:tcPr>
            <w:tcW w:w="3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Sign Specifications</w:t>
            </w:r>
          </w:p>
        </w:tc>
        <w:tc>
          <w:tcPr>
            <w:tcW w:w="39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Statement</w:t>
            </w:r>
          </w:p>
        </w:tc>
        <w:tc>
          <w:tcPr>
            <w:tcW w:w="39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Subject Space</w:t>
            </w:r>
          </w:p>
        </w:tc>
        <w:tc>
          <w:tcPr>
            <w:tcW w:w="39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5620" w:type="dxa"/>
            <w:vAlign w:val="bottom"/>
          </w:tcPr>
          <w:p>
            <w:pPr>
              <w:spacing w:after="0"/>
              <w:rPr>
                <w:sz w:val="20"/>
                <w:szCs w:val="20"/>
                <w:color w:val="auto"/>
              </w:rPr>
            </w:pPr>
            <w:r>
              <w:rPr>
                <w:rFonts w:ascii="Arial" w:cs="Arial" w:eastAsia="Arial" w:hAnsi="Arial"/>
                <w:sz w:val="16"/>
                <w:szCs w:val="16"/>
                <w:color w:val="auto"/>
              </w:rPr>
              <w:t>Summary</w:t>
            </w:r>
          </w:p>
        </w:tc>
        <w:tc>
          <w:tcPr>
            <w:tcW w:w="3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5620" w:type="dxa"/>
            <w:vAlign w:val="bottom"/>
          </w:tcPr>
          <w:p>
            <w:pPr>
              <w:spacing w:after="0"/>
              <w:rPr>
                <w:sz w:val="20"/>
                <w:szCs w:val="20"/>
                <w:color w:val="auto"/>
              </w:rPr>
            </w:pPr>
            <w:r>
              <w:rPr>
                <w:rFonts w:ascii="Arial" w:cs="Arial" w:eastAsia="Arial" w:hAnsi="Arial"/>
                <w:sz w:val="16"/>
                <w:szCs w:val="16"/>
                <w:color w:val="auto"/>
              </w:rPr>
              <w:t>Tax Expenses</w:t>
            </w:r>
          </w:p>
        </w:tc>
        <w:tc>
          <w:tcPr>
            <w:tcW w:w="3940" w:type="dxa"/>
            <w:vAlign w:val="bottom"/>
          </w:tcPr>
          <w:p>
            <w:pPr>
              <w:jc w:val="right"/>
              <w:spacing w:after="0"/>
              <w:rPr>
                <w:sz w:val="20"/>
                <w:szCs w:val="20"/>
                <w:color w:val="auto"/>
              </w:rPr>
            </w:pPr>
            <w:r>
              <w:rPr>
                <w:rFonts w:ascii="Arial" w:cs="Arial" w:eastAsia="Arial" w:hAnsi="Arial"/>
                <w:sz w:val="16"/>
                <w:szCs w:val="16"/>
                <w:color w:val="auto"/>
              </w:rPr>
              <w:t>10</w:t>
            </w:r>
          </w:p>
        </w:tc>
      </w:tr>
    </w:tbl>
    <w:p>
      <w:pPr>
        <w:jc w:val="right"/>
        <w:spacing w:after="0"/>
        <w:rPr>
          <w:sz w:val="20"/>
          <w:szCs w:val="20"/>
          <w:color w:val="auto"/>
        </w:rPr>
        <w:sectPr>
          <w:pgSz w:w="11900" w:h="16838" w:orient="portrait"/>
          <w:cols w:equalWidth="0" w:num="1">
            <w:col w:w="9560"/>
          </w:cols>
          <w:pgMar w:left="1140" w:top="256"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486" w:name="page487"/>
    <w:bookmarkEnd w:id="486"/>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w:t>
            </w:r>
          </w:p>
        </w:tc>
        <w:tc>
          <w:tcPr>
            <w:tcW w:w="3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Energy Use Disclosure</w:t>
            </w:r>
          </w:p>
        </w:tc>
        <w:tc>
          <w:tcPr>
            <w:tcW w:w="3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Signage</w:t>
            </w:r>
          </w:p>
        </w:tc>
        <w:tc>
          <w:tcPr>
            <w:tcW w:w="39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 Work Letter</w:t>
            </w:r>
          </w:p>
        </w:tc>
        <w:tc>
          <w:tcPr>
            <w:tcW w:w="3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Accountant</w:t>
            </w:r>
          </w:p>
        </w:tc>
        <w:tc>
          <w:tcPr>
            <w:tcW w:w="3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Repair Obligations</w:t>
            </w:r>
          </w:p>
        </w:tc>
        <w:tc>
          <w:tcPr>
            <w:tcW w:w="3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Tenant’s Share</w:t>
            </w:r>
          </w:p>
        </w:tc>
        <w:tc>
          <w:tcPr>
            <w:tcW w:w="3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Transfer Notice</w:t>
            </w:r>
          </w:p>
        </w:tc>
        <w:tc>
          <w:tcPr>
            <w:tcW w:w="3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89"/>
        </w:trPr>
        <w:tc>
          <w:tcPr>
            <w:tcW w:w="5660" w:type="dxa"/>
            <w:vAlign w:val="bottom"/>
          </w:tcPr>
          <w:p>
            <w:pPr>
              <w:spacing w:after="0"/>
              <w:rPr>
                <w:sz w:val="20"/>
                <w:szCs w:val="20"/>
                <w:color w:val="auto"/>
              </w:rPr>
            </w:pPr>
            <w:r>
              <w:rPr>
                <w:rFonts w:ascii="Arial" w:cs="Arial" w:eastAsia="Arial" w:hAnsi="Arial"/>
                <w:sz w:val="16"/>
                <w:szCs w:val="16"/>
                <w:color w:val="auto"/>
              </w:rPr>
              <w:t>Transfer Premium</w:t>
            </w:r>
          </w:p>
        </w:tc>
        <w:tc>
          <w:tcPr>
            <w:tcW w:w="3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00"/>
        </w:trPr>
        <w:tc>
          <w:tcPr>
            <w:tcW w:w="5660" w:type="dxa"/>
            <w:vAlign w:val="bottom"/>
          </w:tcPr>
          <w:p>
            <w:pPr>
              <w:spacing w:after="0"/>
              <w:rPr>
                <w:sz w:val="20"/>
                <w:szCs w:val="20"/>
                <w:color w:val="auto"/>
              </w:rPr>
            </w:pPr>
            <w:r>
              <w:rPr>
                <w:rFonts w:ascii="Arial" w:cs="Arial" w:eastAsia="Arial" w:hAnsi="Arial"/>
                <w:sz w:val="16"/>
                <w:szCs w:val="16"/>
                <w:color w:val="auto"/>
              </w:rPr>
              <w:t>Transferee</w:t>
            </w:r>
          </w:p>
        </w:tc>
        <w:tc>
          <w:tcPr>
            <w:tcW w:w="3900" w:type="dxa"/>
            <w:vAlign w:val="bottom"/>
          </w:tcPr>
          <w:p>
            <w:pPr>
              <w:jc w:val="right"/>
              <w:spacing w:after="0"/>
              <w:rPr>
                <w:sz w:val="20"/>
                <w:szCs w:val="20"/>
                <w:color w:val="auto"/>
              </w:rPr>
            </w:pPr>
            <w:r>
              <w:rPr>
                <w:rFonts w:ascii="Arial" w:cs="Arial" w:eastAsia="Arial" w:hAnsi="Arial"/>
                <w:sz w:val="16"/>
                <w:szCs w:val="16"/>
                <w:color w:val="auto"/>
              </w:rPr>
              <w:t>26</w:t>
            </w:r>
          </w:p>
        </w:tc>
      </w:tr>
    </w:tbl>
    <w:p>
      <w:pPr>
        <w:jc w:val="right"/>
        <w:spacing w:after="0"/>
        <w:rPr>
          <w:sz w:val="20"/>
          <w:szCs w:val="20"/>
          <w:color w:val="auto"/>
        </w:rPr>
        <w:sectPr>
          <w:pgSz w:w="11900" w:h="16838" w:orient="portrait"/>
          <w:cols w:equalWidth="0" w:num="1">
            <w:col w:w="9560"/>
          </w:cols>
          <w:pgMar w:left="1140" w:top="256" w:right="1199" w:bottom="1440" w:gutter="0" w:footer="0" w:header="0"/>
        </w:sect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bookmarkStart w:id="487" w:name="page488"/>
    <w:bookmarkEnd w:id="487"/>
    <w:p>
      <w:pPr>
        <w:jc w:val="right"/>
        <w:spacing w:after="0"/>
        <w:rPr>
          <w:sz w:val="20"/>
          <w:szCs w:val="20"/>
          <w:color w:val="auto"/>
        </w:rPr>
      </w:pPr>
      <w:r>
        <w:rPr>
          <w:rFonts w:ascii="Arial" w:cs="Arial" w:eastAsia="Arial" w:hAnsi="Arial"/>
          <w:sz w:val="16"/>
          <w:szCs w:val="16"/>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1845310</wp:posOffset>
            </wp:positionH>
            <wp:positionV relativeFrom="paragraph">
              <wp:posOffset>148590</wp:posOffset>
            </wp:positionV>
            <wp:extent cx="2028825" cy="4343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02882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INDUSTRIAL LEASE – MULTI-TENANT</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by and between</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TERRENO PARK UNION CITY LLC</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“LANDLORD”</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and</w:t>
      </w:r>
    </w:p>
    <w:p>
      <w:pPr>
        <w:spacing w:after="0" w:line="19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TENAYA THERAPEUTICS, INC.</w:t>
      </w:r>
    </w:p>
    <w:p>
      <w:pPr>
        <w:spacing w:after="0" w:line="20"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“TENANT”</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 xml:space="preserve">Dated: </w:t>
      </w:r>
      <w:r>
        <w:rPr>
          <w:rFonts w:ascii="Arial" w:cs="Arial" w:eastAsia="Arial" w:hAnsi="Arial"/>
          <w:sz w:val="16"/>
          <w:szCs w:val="16"/>
          <w:color w:val="auto"/>
        </w:rPr>
        <w:t>February 12, 2021</w:t>
      </w:r>
    </w:p>
    <w:p>
      <w:pPr>
        <w:sectPr>
          <w:pgSz w:w="11900" w:h="16838" w:orient="portrait"/>
          <w:cols w:equalWidth="0" w:num="1">
            <w:col w:w="9320"/>
          </w:cols>
          <w:pgMar w:left="1440" w:top="123" w:right="1139" w:bottom="1440" w:gutter="0" w:footer="0" w:header="0"/>
        </w:sectPr>
      </w:pPr>
    </w:p>
    <w:bookmarkStart w:id="488" w:name="page489"/>
    <w:bookmarkEnd w:id="488"/>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TERRENO REALTY CORPORATION</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INDUSTRIAL LEASE</w:t>
      </w:r>
    </w:p>
    <w:p>
      <w:pPr>
        <w:spacing w:after="0" w:line="178" w:lineRule="exact"/>
        <w:rPr>
          <w:sz w:val="20"/>
          <w:szCs w:val="20"/>
          <w:color w:val="auto"/>
        </w:rPr>
      </w:pPr>
    </w:p>
    <w:p>
      <w:pPr>
        <w:ind w:left="166" w:hanging="166"/>
        <w:spacing w:after="0"/>
        <w:tabs>
          <w:tab w:leader="none" w:pos="166"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Basic Provisions </w:t>
      </w:r>
      <w:r>
        <w:rPr>
          <w:rFonts w:ascii="Arial" w:cs="Arial" w:eastAsia="Arial" w:hAnsi="Arial"/>
          <w:sz w:val="16"/>
          <w:szCs w:val="16"/>
          <w:color w:val="auto"/>
        </w:rPr>
        <w:t>(“Basic Provisions”).</w:t>
      </w:r>
    </w:p>
    <w:p>
      <w:pPr>
        <w:spacing w:after="0" w:line="197" w:lineRule="exact"/>
        <w:rPr>
          <w:sz w:val="20"/>
          <w:szCs w:val="20"/>
          <w:color w:val="auto"/>
        </w:rPr>
      </w:pPr>
    </w:p>
    <w:p>
      <w:pPr>
        <w:ind w:left="6" w:right="260" w:firstLine="385"/>
        <w:spacing w:after="0" w:line="383" w:lineRule="auto"/>
        <w:rPr>
          <w:sz w:val="20"/>
          <w:szCs w:val="20"/>
          <w:color w:val="auto"/>
        </w:rPr>
      </w:pPr>
      <w:r>
        <w:rPr>
          <w:rFonts w:ascii="Arial" w:cs="Arial" w:eastAsia="Arial" w:hAnsi="Arial"/>
          <w:sz w:val="13"/>
          <w:szCs w:val="13"/>
          <w:color w:val="auto"/>
        </w:rPr>
        <w:t xml:space="preserve">1.1 </w:t>
      </w:r>
      <w:r>
        <w:rPr>
          <w:rFonts w:ascii="Arial" w:cs="Arial" w:eastAsia="Arial" w:hAnsi="Arial"/>
          <w:sz w:val="13"/>
          <w:szCs w:val="13"/>
          <w:u w:val="single" w:color="auto"/>
          <w:color w:val="auto"/>
        </w:rPr>
        <w:t>Parties:</w:t>
      </w:r>
      <w:r>
        <w:rPr>
          <w:rFonts w:ascii="Arial" w:cs="Arial" w:eastAsia="Arial" w:hAnsi="Arial"/>
          <w:sz w:val="13"/>
          <w:szCs w:val="13"/>
          <w:color w:val="auto"/>
        </w:rPr>
        <w:t xml:space="preserve"> This Lease (“Lease”) dated February 12, 2021, is made by and between Terreno Park Union City LLC, a Delaware limited liability company (“Landlord”) and Tenaya Therapeutics, Inc., a Delaware corporation (“Tenant”) (collectively, the “Parties” or individually, a “Party”).</w:t>
      </w:r>
    </w:p>
    <w:p>
      <w:pPr>
        <w:spacing w:after="0" w:line="89" w:lineRule="exact"/>
        <w:rPr>
          <w:sz w:val="20"/>
          <w:szCs w:val="20"/>
          <w:color w:val="auto"/>
        </w:rPr>
      </w:pPr>
    </w:p>
    <w:p>
      <w:pPr>
        <w:ind w:left="6" w:right="580" w:firstLine="385"/>
        <w:spacing w:after="0" w:line="383"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Premises</w:t>
      </w:r>
      <w:r>
        <w:rPr>
          <w:rFonts w:ascii="Arial" w:cs="Arial" w:eastAsia="Arial" w:hAnsi="Arial"/>
          <w:sz w:val="13"/>
          <w:szCs w:val="13"/>
          <w:color w:val="auto"/>
        </w:rPr>
        <w:t xml:space="preserve"> The premises (“Premises”), which are the subject of this Lease, are commonly known as 33498 Central Avenue, Union City, CA 94587 and are located in the industrial center known as Central Pacific Business Park (“Industrial Center”). The Premises are:</w:t>
      </w:r>
    </w:p>
    <w:p>
      <w:pPr>
        <w:spacing w:after="0" w:line="89" w:lineRule="exact"/>
        <w:rPr>
          <w:sz w:val="20"/>
          <w:szCs w:val="20"/>
          <w:color w:val="auto"/>
        </w:rPr>
      </w:pPr>
    </w:p>
    <w:p>
      <w:pPr>
        <w:ind w:left="6" w:right="20"/>
        <w:spacing w:after="0" w:line="266" w:lineRule="auto"/>
        <w:rPr>
          <w:sz w:val="20"/>
          <w:szCs w:val="20"/>
          <w:color w:val="auto"/>
        </w:rPr>
      </w:pPr>
      <w:r>
        <w:rPr>
          <w:rFonts w:ascii="Arial" w:cs="Arial" w:eastAsia="Arial" w:hAnsi="Arial"/>
          <w:sz w:val="16"/>
          <w:szCs w:val="16"/>
          <w:color w:val="auto"/>
        </w:rPr>
        <w:t>Approximately 94,046 rentable square feet of space as depicted on Exhibit A. This space is a part of the building (“Building”) which is also identified on Exhibit A.</w:t>
      </w:r>
    </w:p>
    <w:p>
      <w:pPr>
        <w:spacing w:after="0" w:line="158" w:lineRule="exact"/>
        <w:rPr>
          <w:sz w:val="20"/>
          <w:szCs w:val="20"/>
          <w:color w:val="auto"/>
        </w:rPr>
      </w:pPr>
    </w:p>
    <w:p>
      <w:pPr>
        <w:ind w:left="6"/>
        <w:spacing w:after="0" w:line="267" w:lineRule="auto"/>
        <w:rPr>
          <w:sz w:val="20"/>
          <w:szCs w:val="20"/>
          <w:color w:val="auto"/>
        </w:rPr>
      </w:pPr>
      <w:r>
        <w:rPr>
          <w:rFonts w:ascii="Arial" w:cs="Arial" w:eastAsia="Arial" w:hAnsi="Arial"/>
          <w:sz w:val="15"/>
          <w:szCs w:val="15"/>
          <w:color w:val="auto"/>
        </w:rPr>
        <w:t>If the Premises are all of the Building, there shall, for purposes of this Lease, be no distinction between the words “Premises” or “Building.” Tenant shall have nonexclusive rights to the Common Areas (as defined in Paragraph 2.2 below) but shall not have any rights to the roof, exterior walls, or utility raceways of the Building without prior notice to Landlord or to any other buildings in the Industrial Center. The Industrial Center consists of the Premises, the Building, the Common Areas, the land upon which they are located, and all other buildings and improvements within the boundaries of the Industrial Center. Parking for automobiles for the Premises shall be on an unassigned and unreserved basis in locations in the Industrial Center determined by Landlord. No overnight truck parking shall be allowed except to the extent that the Premises include truck loading doors in which event one truck may be parked overnight in front of each loading door. Notwithstanding the foregoing, Tenant shall have the right to park passenger vehicles overnight as required in connection with its normal operations.</w:t>
      </w:r>
    </w:p>
    <w:p>
      <w:pPr>
        <w:spacing w:after="0" w:line="163" w:lineRule="exact"/>
        <w:rPr>
          <w:sz w:val="20"/>
          <w:szCs w:val="20"/>
          <w:color w:val="auto"/>
        </w:rPr>
      </w:pPr>
    </w:p>
    <w:p>
      <w:pPr>
        <w:ind w:left="6" w:right="200" w:firstLine="385"/>
        <w:spacing w:after="0" w:line="319" w:lineRule="auto"/>
        <w:rPr>
          <w:sz w:val="20"/>
          <w:szCs w:val="20"/>
          <w:color w:val="auto"/>
        </w:rPr>
      </w:pPr>
      <w:r>
        <w:rPr>
          <w:rFonts w:ascii="Arial" w:cs="Arial" w:eastAsia="Arial" w:hAnsi="Arial"/>
          <w:sz w:val="13"/>
          <w:szCs w:val="13"/>
          <w:color w:val="auto"/>
        </w:rPr>
        <w:t xml:space="preserve">1.3 </w:t>
      </w:r>
      <w:r>
        <w:rPr>
          <w:rFonts w:ascii="Arial" w:cs="Arial" w:eastAsia="Arial" w:hAnsi="Arial"/>
          <w:sz w:val="13"/>
          <w:szCs w:val="13"/>
          <w:u w:val="single" w:color="auto"/>
          <w:color w:val="auto"/>
        </w:rPr>
        <w:t>Term</w:t>
      </w:r>
      <w:r>
        <w:rPr>
          <w:rFonts w:ascii="Arial" w:cs="Arial" w:eastAsia="Arial" w:hAnsi="Arial"/>
          <w:sz w:val="13"/>
          <w:szCs w:val="13"/>
          <w:color w:val="auto"/>
        </w:rPr>
        <w:t>: Ten (10) years and Three (3) months (“Term”) commencing on the later of (i) May 1, 2021, and (ii) the date by which the Premises is delivered to Tenant in the required condition (“Commencement Date”) and ending ten (10) years and three (3) months after the Commencement Date (“Expiration Date”). Notwithstanding the foregoing, Tenant acknowledges and agrees that (i) there is an existing tenant (“Existing Tenant”) in the Premises whose lease expires March 31, 2021, (ii) Landlord shall use commercially reasonable efforts to recover possession of the Premises prior to May 1, 2021, and (iii) if Landlord is unable to recover possession of the Premises prior to May 1, 2021, as set forth above, and deliver the Premises to Tenant in the required condition, the Commencement Date shall be the date on which the Premises is delivered to Tenant in the required condition.</w:t>
      </w:r>
    </w:p>
    <w:p>
      <w:pPr>
        <w:spacing w:after="0" w:line="128" w:lineRule="exact"/>
        <w:rPr>
          <w:sz w:val="20"/>
          <w:szCs w:val="20"/>
          <w:color w:val="auto"/>
        </w:rPr>
      </w:pPr>
    </w:p>
    <w:p>
      <w:pPr>
        <w:ind w:left="6" w:right="220" w:firstLine="385"/>
        <w:spacing w:after="0" w:line="253"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Base Rent</w:t>
      </w:r>
      <w:r>
        <w:rPr>
          <w:rFonts w:ascii="Arial" w:cs="Arial" w:eastAsia="Arial" w:hAnsi="Arial"/>
          <w:sz w:val="16"/>
          <w:szCs w:val="16"/>
          <w:color w:val="auto"/>
        </w:rPr>
        <w:t>: $100,629.22 per month plus, if applicable, sales, use or rental tax (“Base Rent”). $125,081.18 plus, if applicable, sales, use or rental tax, is payable on execution of this Lease for Base Rent for the period which is the fourth (4</w:t>
      </w:r>
      <w:r>
        <w:rPr>
          <w:rFonts w:ascii="Arial" w:cs="Arial" w:eastAsia="Arial" w:hAnsi="Arial"/>
          <w:sz w:val="13"/>
          <w:szCs w:val="13"/>
          <w:color w:val="auto"/>
        </w:rPr>
        <w:t>th</w:t>
      </w:r>
      <w:r>
        <w:rPr>
          <w:rFonts w:ascii="Arial" w:cs="Arial" w:eastAsia="Arial" w:hAnsi="Arial"/>
          <w:sz w:val="16"/>
          <w:szCs w:val="16"/>
          <w:color w:val="auto"/>
        </w:rPr>
        <w:t>) month of the Term and Additional Rent (per Paragraph 1.6(b) below) for the period which is the first (1</w:t>
      </w:r>
      <w:r>
        <w:rPr>
          <w:rFonts w:ascii="Arial" w:cs="Arial" w:eastAsia="Arial" w:hAnsi="Arial"/>
          <w:sz w:val="13"/>
          <w:szCs w:val="13"/>
          <w:color w:val="auto"/>
        </w:rPr>
        <w:t>st</w:t>
      </w:r>
      <w:r>
        <w:rPr>
          <w:rFonts w:ascii="Arial" w:cs="Arial" w:eastAsia="Arial" w:hAnsi="Arial"/>
          <w:sz w:val="16"/>
          <w:szCs w:val="16"/>
          <w:color w:val="auto"/>
        </w:rPr>
        <w:t>) month of the Term. On and after the thirteenth (13</w:t>
      </w:r>
      <w:r>
        <w:rPr>
          <w:rFonts w:ascii="Arial" w:cs="Arial" w:eastAsia="Arial" w:hAnsi="Arial"/>
          <w:sz w:val="13"/>
          <w:szCs w:val="13"/>
          <w:color w:val="auto"/>
        </w:rPr>
        <w:t>th</w:t>
      </w:r>
      <w:r>
        <w:rPr>
          <w:rFonts w:ascii="Arial" w:cs="Arial" w:eastAsia="Arial" w:hAnsi="Arial"/>
          <w:sz w:val="16"/>
          <w:szCs w:val="16"/>
          <w:color w:val="auto"/>
        </w:rPr>
        <w:t>) month of the Term Base Rent shall increase as follows:</w:t>
      </w:r>
    </w:p>
    <w:p>
      <w:pPr>
        <w:spacing w:after="0" w:line="202" w:lineRule="exact"/>
        <w:rPr>
          <w:sz w:val="20"/>
          <w:szCs w:val="20"/>
          <w:color w:val="auto"/>
        </w:rPr>
      </w:pPr>
    </w:p>
    <w:tbl>
      <w:tblPr>
        <w:tblLayout w:type="fixed"/>
        <w:tblInd w:w="1546" w:type="dxa"/>
        <w:tblCellMar>
          <w:top w:w="0" w:type="dxa"/>
          <w:left w:w="0" w:type="dxa"/>
          <w:bottom w:w="0" w:type="dxa"/>
          <w:right w:w="0" w:type="dxa"/>
        </w:tblCellMar>
      </w:tblPr>
      <w:tr>
        <w:trPr>
          <w:trHeight w:val="190"/>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13</w:t>
            </w:r>
            <w:r>
              <w:rPr>
                <w:rFonts w:ascii="Arial" w:cs="Arial" w:eastAsia="Arial" w:hAnsi="Arial"/>
                <w:sz w:val="13"/>
                <w:szCs w:val="13"/>
                <w:color w:val="auto"/>
              </w:rPr>
              <w:t>th</w:t>
            </w:r>
            <w:r>
              <w:rPr>
                <w:rFonts w:ascii="Arial" w:cs="Arial" w:eastAsia="Arial" w:hAnsi="Arial"/>
                <w:sz w:val="16"/>
                <w:szCs w:val="16"/>
                <w:color w:val="auto"/>
              </w:rPr>
              <w:t xml:space="preserve"> Month through 24</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$103,648.10</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25</w:t>
            </w:r>
            <w:r>
              <w:rPr>
                <w:rFonts w:ascii="Arial" w:cs="Arial" w:eastAsia="Arial" w:hAnsi="Arial"/>
                <w:sz w:val="13"/>
                <w:szCs w:val="13"/>
                <w:color w:val="auto"/>
              </w:rPr>
              <w:t>th</w:t>
            </w:r>
            <w:r>
              <w:rPr>
                <w:rFonts w:ascii="Arial" w:cs="Arial" w:eastAsia="Arial" w:hAnsi="Arial"/>
                <w:sz w:val="16"/>
                <w:szCs w:val="16"/>
                <w:color w:val="auto"/>
              </w:rPr>
              <w:t xml:space="preserve"> Month through 36</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$106,757.54</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37</w:t>
            </w:r>
            <w:r>
              <w:rPr>
                <w:rFonts w:ascii="Arial" w:cs="Arial" w:eastAsia="Arial" w:hAnsi="Arial"/>
                <w:sz w:val="13"/>
                <w:szCs w:val="13"/>
                <w:color w:val="auto"/>
              </w:rPr>
              <w:t>th</w:t>
            </w:r>
            <w:r>
              <w:rPr>
                <w:rFonts w:ascii="Arial" w:cs="Arial" w:eastAsia="Arial" w:hAnsi="Arial"/>
                <w:sz w:val="16"/>
                <w:szCs w:val="16"/>
                <w:color w:val="auto"/>
              </w:rPr>
              <w:t xml:space="preserve"> Month through 48th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$109,960.27</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49</w:t>
            </w:r>
            <w:r>
              <w:rPr>
                <w:rFonts w:ascii="Arial" w:cs="Arial" w:eastAsia="Arial" w:hAnsi="Arial"/>
                <w:sz w:val="13"/>
                <w:szCs w:val="13"/>
                <w:color w:val="auto"/>
              </w:rPr>
              <w:t>th</w:t>
            </w:r>
            <w:r>
              <w:rPr>
                <w:rFonts w:ascii="Arial" w:cs="Arial" w:eastAsia="Arial" w:hAnsi="Arial"/>
                <w:sz w:val="16"/>
                <w:szCs w:val="16"/>
                <w:color w:val="auto"/>
              </w:rPr>
              <w:t xml:space="preserve"> Month through 60</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$113,259.08</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61</w:t>
            </w:r>
            <w:r>
              <w:rPr>
                <w:rFonts w:ascii="Arial" w:cs="Arial" w:eastAsia="Arial" w:hAnsi="Arial"/>
                <w:sz w:val="13"/>
                <w:szCs w:val="13"/>
                <w:color w:val="auto"/>
              </w:rPr>
              <w:t>st</w:t>
            </w:r>
            <w:r>
              <w:rPr>
                <w:rFonts w:ascii="Arial" w:cs="Arial" w:eastAsia="Arial" w:hAnsi="Arial"/>
                <w:sz w:val="16"/>
                <w:szCs w:val="16"/>
                <w:color w:val="auto"/>
              </w:rPr>
              <w:t xml:space="preserve"> Month through 72</w:t>
            </w:r>
            <w:r>
              <w:rPr>
                <w:rFonts w:ascii="Arial" w:cs="Arial" w:eastAsia="Arial" w:hAnsi="Arial"/>
                <w:sz w:val="13"/>
                <w:szCs w:val="13"/>
                <w:color w:val="auto"/>
              </w:rPr>
              <w:t>nd</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$116,656.85</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73</w:t>
            </w:r>
            <w:r>
              <w:rPr>
                <w:rFonts w:ascii="Arial" w:cs="Arial" w:eastAsia="Arial" w:hAnsi="Arial"/>
                <w:sz w:val="13"/>
                <w:szCs w:val="13"/>
                <w:color w:val="auto"/>
              </w:rPr>
              <w:t>rd</w:t>
            </w:r>
            <w:r>
              <w:rPr>
                <w:rFonts w:ascii="Arial" w:cs="Arial" w:eastAsia="Arial" w:hAnsi="Arial"/>
                <w:sz w:val="16"/>
                <w:szCs w:val="16"/>
                <w:color w:val="auto"/>
              </w:rPr>
              <w:t xml:space="preserve"> Month through 84</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$120,156.56</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85</w:t>
            </w:r>
            <w:r>
              <w:rPr>
                <w:rFonts w:ascii="Arial" w:cs="Arial" w:eastAsia="Arial" w:hAnsi="Arial"/>
                <w:sz w:val="13"/>
                <w:szCs w:val="13"/>
                <w:color w:val="auto"/>
              </w:rPr>
              <w:t>th</w:t>
            </w:r>
            <w:r>
              <w:rPr>
                <w:rFonts w:ascii="Arial" w:cs="Arial" w:eastAsia="Arial" w:hAnsi="Arial"/>
                <w:sz w:val="16"/>
                <w:szCs w:val="16"/>
                <w:color w:val="auto"/>
              </w:rPr>
              <w:t xml:space="preserve"> Month through 96</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$123,761.26</w:t>
            </w: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97</w:t>
            </w:r>
            <w:r>
              <w:rPr>
                <w:rFonts w:ascii="Arial" w:cs="Arial" w:eastAsia="Arial" w:hAnsi="Arial"/>
                <w:sz w:val="13"/>
                <w:szCs w:val="13"/>
                <w:color w:val="auto"/>
              </w:rPr>
              <w:t>th</w:t>
            </w:r>
            <w:r>
              <w:rPr>
                <w:rFonts w:ascii="Arial" w:cs="Arial" w:eastAsia="Arial" w:hAnsi="Arial"/>
                <w:sz w:val="16"/>
                <w:szCs w:val="16"/>
                <w:color w:val="auto"/>
              </w:rPr>
              <w:t xml:space="preserve"> Month through 108</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$127,474.10</w:t>
            </w:r>
          </w:p>
        </w:tc>
      </w:tr>
      <w:tr>
        <w:trPr>
          <w:trHeight w:val="189"/>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109</w:t>
            </w:r>
            <w:r>
              <w:rPr>
                <w:rFonts w:ascii="Arial" w:cs="Arial" w:eastAsia="Arial" w:hAnsi="Arial"/>
                <w:sz w:val="13"/>
                <w:szCs w:val="13"/>
                <w:color w:val="auto"/>
              </w:rPr>
              <w:t>th</w:t>
            </w:r>
            <w:r>
              <w:rPr>
                <w:rFonts w:ascii="Arial" w:cs="Arial" w:eastAsia="Arial" w:hAnsi="Arial"/>
                <w:sz w:val="16"/>
                <w:szCs w:val="16"/>
                <w:color w:val="auto"/>
              </w:rPr>
              <w:t xml:space="preserve"> Month through 120</w:t>
            </w:r>
            <w:r>
              <w:rPr>
                <w:rFonts w:ascii="Arial" w:cs="Arial" w:eastAsia="Arial" w:hAnsi="Arial"/>
                <w:sz w:val="13"/>
                <w:szCs w:val="13"/>
                <w:color w:val="auto"/>
              </w:rPr>
              <w:t>th</w:t>
            </w:r>
            <w:r>
              <w:rPr>
                <w:rFonts w:ascii="Arial" w:cs="Arial" w:eastAsia="Arial" w:hAnsi="Arial"/>
                <w:sz w:val="16"/>
                <w:szCs w:val="16"/>
                <w:color w:val="auto"/>
              </w:rPr>
              <w:t xml:space="preserve"> Month</w:t>
            </w:r>
          </w:p>
        </w:tc>
        <w:tc>
          <w:tcPr>
            <w:tcW w:w="18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$131,298.32</w:t>
            </w:r>
          </w:p>
        </w:tc>
      </w:tr>
      <w:tr>
        <w:trPr>
          <w:trHeight w:val="200"/>
        </w:trPr>
        <w:tc>
          <w:tcPr>
            <w:tcW w:w="3700" w:type="dxa"/>
            <w:vAlign w:val="bottom"/>
          </w:tcPr>
          <w:p>
            <w:pPr>
              <w:spacing w:after="0"/>
              <w:rPr>
                <w:sz w:val="20"/>
                <w:szCs w:val="20"/>
                <w:color w:val="auto"/>
              </w:rPr>
            </w:pPr>
            <w:r>
              <w:rPr>
                <w:rFonts w:ascii="Arial" w:cs="Arial" w:eastAsia="Arial" w:hAnsi="Arial"/>
                <w:sz w:val="16"/>
                <w:szCs w:val="16"/>
                <w:color w:val="auto"/>
              </w:rPr>
              <w:t>121</w:t>
            </w:r>
            <w:r>
              <w:rPr>
                <w:rFonts w:ascii="Arial" w:cs="Arial" w:eastAsia="Arial" w:hAnsi="Arial"/>
                <w:sz w:val="13"/>
                <w:szCs w:val="13"/>
                <w:color w:val="auto"/>
              </w:rPr>
              <w:t>st</w:t>
            </w:r>
            <w:r>
              <w:rPr>
                <w:rFonts w:ascii="Arial" w:cs="Arial" w:eastAsia="Arial" w:hAnsi="Arial"/>
                <w:sz w:val="16"/>
                <w:szCs w:val="16"/>
                <w:color w:val="auto"/>
              </w:rPr>
              <w:t xml:space="preserve"> Month through 123</w:t>
            </w:r>
            <w:r>
              <w:rPr>
                <w:rFonts w:ascii="Arial" w:cs="Arial" w:eastAsia="Arial" w:hAnsi="Arial"/>
                <w:sz w:val="13"/>
                <w:szCs w:val="13"/>
                <w:color w:val="auto"/>
              </w:rPr>
              <w:t>rd</w:t>
            </w:r>
            <w:r>
              <w:rPr>
                <w:rFonts w:ascii="Arial" w:cs="Arial" w:eastAsia="Arial" w:hAnsi="Arial"/>
                <w:sz w:val="16"/>
                <w:szCs w:val="16"/>
                <w:color w:val="auto"/>
              </w:rPr>
              <w:t xml:space="preserve"> Month</w:t>
            </w:r>
          </w:p>
        </w:tc>
        <w:tc>
          <w:tcPr>
            <w:tcW w:w="1840" w:type="dxa"/>
            <w:vAlign w:val="bottom"/>
          </w:tcPr>
          <w:p>
            <w:pPr>
              <w:ind w:left="15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$135,237.27</w:t>
            </w:r>
          </w:p>
        </w:tc>
      </w:tr>
    </w:tbl>
    <w:p>
      <w:pPr>
        <w:spacing w:after="0" w:line="165" w:lineRule="exact"/>
        <w:rPr>
          <w:sz w:val="20"/>
          <w:szCs w:val="20"/>
          <w:color w:val="auto"/>
        </w:rPr>
      </w:pPr>
    </w:p>
    <w:p>
      <w:pPr>
        <w:jc w:val="both"/>
        <w:ind w:left="6" w:right="300" w:firstLine="385"/>
        <w:spacing w:after="0" w:line="343" w:lineRule="auto"/>
        <w:rPr>
          <w:sz w:val="20"/>
          <w:szCs w:val="20"/>
          <w:color w:val="auto"/>
        </w:rPr>
      </w:pPr>
      <w:r>
        <w:rPr>
          <w:rFonts w:ascii="Arial" w:cs="Arial" w:eastAsia="Arial" w:hAnsi="Arial"/>
          <w:sz w:val="13"/>
          <w:szCs w:val="13"/>
          <w:color w:val="auto"/>
        </w:rPr>
        <w:t>Notwithstanding the foregoing, Base Rent only for the period from May 1, 2021 through and including July 31, 2021 shall be abated (“Abated Rent”) provided if Tenant is in Default under this Lease at any time, the unamortized amount of the Abated Rent shall become immediately due and payable without further notice from Landlord and pursuant to the Early Possession and Inducement Recapture Addendum to this Lease.</w:t>
      </w:r>
    </w:p>
    <w:p>
      <w:pPr>
        <w:spacing w:after="0" w:line="114" w:lineRule="exact"/>
        <w:rPr>
          <w:sz w:val="20"/>
          <w:szCs w:val="20"/>
          <w:color w:val="auto"/>
        </w:rPr>
      </w:pPr>
    </w:p>
    <w:p>
      <w:pPr>
        <w:ind w:left="6" w:right="360" w:firstLine="385"/>
        <w:spacing w:after="0" w:line="26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Tenant’s Share of Operating Expenses</w:t>
      </w:r>
      <w:r>
        <w:rPr>
          <w:rFonts w:ascii="Arial" w:cs="Arial" w:eastAsia="Arial" w:hAnsi="Arial"/>
          <w:sz w:val="16"/>
          <w:szCs w:val="16"/>
          <w:color w:val="auto"/>
        </w:rPr>
        <w:t>: Tenant’s percentage share of the Operating Expenses set forth in Paragraph 4.2 shall be as follows (“Tenant’s Share”):</w:t>
      </w:r>
    </w:p>
    <w:p>
      <w:pPr>
        <w:spacing w:after="0" w:line="194" w:lineRule="exact"/>
        <w:rPr>
          <w:sz w:val="20"/>
          <w:szCs w:val="20"/>
          <w:color w:val="auto"/>
        </w:rPr>
      </w:pPr>
    </w:p>
    <w:tbl>
      <w:tblPr>
        <w:tblLayout w:type="fixed"/>
        <w:tblInd w:w="1546" w:type="dxa"/>
        <w:tblCellMar>
          <w:top w:w="0" w:type="dxa"/>
          <w:left w:w="0" w:type="dxa"/>
          <w:bottom w:w="0" w:type="dxa"/>
          <w:right w:w="0" w:type="dxa"/>
        </w:tblCellMar>
      </w:tblPr>
      <w:tr>
        <w:trPr>
          <w:trHeight w:val="189"/>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(a)   Industrial Center and Common Area 31.28%</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(b)   Building</w:t>
            </w:r>
          </w:p>
        </w:tc>
        <w:tc>
          <w:tcPr>
            <w:tcW w:w="19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165" w:lineRule="exact"/>
        <w:rPr>
          <w:sz w:val="20"/>
          <w:szCs w:val="20"/>
          <w:color w:val="auto"/>
        </w:rPr>
      </w:pPr>
    </w:p>
    <w:p>
      <w:pPr>
        <w:ind w:left="386"/>
        <w:spacing w:after="0"/>
        <w:rPr>
          <w:sz w:val="20"/>
          <w:szCs w:val="20"/>
          <w:color w:val="auto"/>
        </w:rPr>
      </w:pPr>
      <w:r>
        <w:rPr>
          <w:rFonts w:ascii="Arial" w:cs="Arial" w:eastAsia="Arial" w:hAnsi="Arial"/>
          <w:sz w:val="13"/>
          <w:szCs w:val="13"/>
          <w:color w:val="auto"/>
        </w:rPr>
        <w:t xml:space="preserve">1.6 </w:t>
      </w:r>
      <w:r>
        <w:rPr>
          <w:rFonts w:ascii="Arial" w:cs="Arial" w:eastAsia="Arial" w:hAnsi="Arial"/>
          <w:sz w:val="13"/>
          <w:szCs w:val="13"/>
          <w:u w:val="single" w:color="auto"/>
          <w:color w:val="auto"/>
        </w:rPr>
        <w:t>Tenant’s Estimated Monthly Rent Payment</w:t>
      </w:r>
      <w:r>
        <w:rPr>
          <w:rFonts w:ascii="Arial" w:cs="Arial" w:eastAsia="Arial" w:hAnsi="Arial"/>
          <w:sz w:val="13"/>
          <w:szCs w:val="13"/>
          <w:color w:val="auto"/>
        </w:rPr>
        <w:t>: Following is the estimated monthly Rent payment to Landlord pursuant to the provisions of this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Lease. This estimate is made at the inception of the Lease and is subject to adjustment pursuant to the provisions of this Lease:</w:t>
      </w:r>
    </w:p>
    <w:p>
      <w:pPr>
        <w:spacing w:after="0" w:line="218" w:lineRule="exact"/>
        <w:rPr>
          <w:sz w:val="20"/>
          <w:szCs w:val="20"/>
          <w:color w:val="auto"/>
        </w:rPr>
      </w:pPr>
    </w:p>
    <w:tbl>
      <w:tblPr>
        <w:tblLayout w:type="fixed"/>
        <w:tblInd w:w="1546" w:type="dxa"/>
        <w:tblCellMar>
          <w:top w:w="0" w:type="dxa"/>
          <w:left w:w="0" w:type="dxa"/>
          <w:bottom w:w="0" w:type="dxa"/>
          <w:right w:w="0" w:type="dxa"/>
        </w:tblCellMar>
      </w:tblPr>
      <w:tr>
        <w:trPr>
          <w:trHeight w:val="189"/>
        </w:trPr>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(a)</w:t>
            </w: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Base Rent (Paragraph 4.1)</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100,629.22</w:t>
            </w:r>
          </w:p>
        </w:tc>
      </w:tr>
      <w:tr>
        <w:trPr>
          <w:trHeight w:val="189"/>
        </w:trPr>
        <w:tc>
          <w:tcPr>
            <w:tcW w:w="300" w:type="dxa"/>
            <w:vAlign w:val="bottom"/>
          </w:tcPr>
          <w:p>
            <w:pPr>
              <w:spacing w:after="0"/>
              <w:rPr>
                <w:sz w:val="20"/>
                <w:szCs w:val="20"/>
                <w:color w:val="auto"/>
              </w:rPr>
            </w:pPr>
            <w:r>
              <w:rPr>
                <w:rFonts w:ascii="Arial" w:cs="Arial" w:eastAsia="Arial" w:hAnsi="Arial"/>
                <w:sz w:val="16"/>
                <w:szCs w:val="16"/>
                <w:color w:val="auto"/>
              </w:rPr>
              <w:t>(b)</w:t>
            </w:r>
          </w:p>
        </w:tc>
        <w:tc>
          <w:tcPr>
            <w:tcW w:w="2660" w:type="dxa"/>
            <w:vAlign w:val="bottom"/>
          </w:tcPr>
          <w:p>
            <w:pPr>
              <w:ind w:left="140"/>
              <w:spacing w:after="0"/>
              <w:rPr>
                <w:sz w:val="20"/>
                <w:szCs w:val="20"/>
                <w:color w:val="auto"/>
              </w:rPr>
            </w:pPr>
            <w:r>
              <w:rPr>
                <w:rFonts w:ascii="Arial" w:cs="Arial" w:eastAsia="Arial" w:hAnsi="Arial"/>
                <w:sz w:val="16"/>
                <w:szCs w:val="16"/>
                <w:color w:val="auto"/>
                <w:w w:val="95"/>
              </w:rPr>
              <w:t>Operating Expenses (Paragraph 4.2)</w:t>
            </w:r>
          </w:p>
        </w:tc>
        <w:tc>
          <w:tcPr>
            <w:tcW w:w="28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5"/>
              </w:rPr>
              <w:t>24,451.96</w:t>
            </w:r>
          </w:p>
        </w:tc>
      </w:tr>
      <w:tr>
        <w:trPr>
          <w:trHeight w:val="189"/>
        </w:trPr>
        <w:tc>
          <w:tcPr>
            <w:tcW w:w="300" w:type="dxa"/>
            <w:vAlign w:val="bottom"/>
            <w:shd w:val="clear" w:color="auto" w:fill="CCEEFF"/>
          </w:tcPr>
          <w:p>
            <w:pPr>
              <w:spacing w:after="0"/>
              <w:rPr>
                <w:sz w:val="16"/>
                <w:szCs w:val="16"/>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Landlord Insurance (Paragraph 8.3)</w:t>
            </w:r>
          </w:p>
        </w:tc>
        <w:tc>
          <w:tcPr>
            <w:tcW w:w="2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200"/>
        </w:trPr>
        <w:tc>
          <w:tcPr>
            <w:tcW w:w="300" w:type="dxa"/>
            <w:vAlign w:val="bottom"/>
          </w:tcPr>
          <w:p>
            <w:pPr>
              <w:spacing w:after="0"/>
              <w:rPr>
                <w:sz w:val="17"/>
                <w:szCs w:val="17"/>
                <w:color w:val="auto"/>
              </w:rPr>
            </w:pPr>
          </w:p>
        </w:tc>
        <w:tc>
          <w:tcPr>
            <w:tcW w:w="2660" w:type="dxa"/>
            <w:vAlign w:val="bottom"/>
          </w:tcPr>
          <w:p>
            <w:pPr>
              <w:ind w:left="140"/>
              <w:spacing w:after="0"/>
              <w:rPr>
                <w:sz w:val="20"/>
                <w:szCs w:val="20"/>
                <w:color w:val="auto"/>
              </w:rPr>
            </w:pPr>
            <w:r>
              <w:rPr>
                <w:rFonts w:ascii="Arial" w:cs="Arial" w:eastAsia="Arial" w:hAnsi="Arial"/>
                <w:sz w:val="16"/>
                <w:szCs w:val="16"/>
                <w:color w:val="auto"/>
                <w:w w:val="96"/>
              </w:rPr>
              <w:t>Real Property Taxes (Paragraph 10)</w:t>
            </w:r>
          </w:p>
        </w:tc>
        <w:tc>
          <w:tcPr>
            <w:tcW w:w="2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83"/>
        </w:trPr>
        <w:tc>
          <w:tcPr>
            <w:tcW w:w="300" w:type="dxa"/>
            <w:vAlign w:val="bottom"/>
          </w:tcPr>
          <w:p>
            <w:pPr>
              <w:spacing w:after="0"/>
              <w:rPr>
                <w:sz w:val="7"/>
                <w:szCs w:val="7"/>
                <w:color w:val="auto"/>
              </w:rPr>
            </w:pPr>
          </w:p>
        </w:tc>
        <w:tc>
          <w:tcPr>
            <w:tcW w:w="2660" w:type="dxa"/>
            <w:vAlign w:val="bottom"/>
          </w:tcPr>
          <w:p>
            <w:pPr>
              <w:spacing w:after="0"/>
              <w:rPr>
                <w:sz w:val="7"/>
                <w:szCs w:val="7"/>
                <w:color w:val="auto"/>
              </w:rPr>
            </w:pPr>
          </w:p>
        </w:tc>
        <w:tc>
          <w:tcPr>
            <w:tcW w:w="282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89"/>
        </w:trPr>
        <w:tc>
          <w:tcPr>
            <w:tcW w:w="300" w:type="dxa"/>
            <w:vAlign w:val="bottom"/>
            <w:shd w:val="clear" w:color="auto" w:fill="CCEEFF"/>
          </w:tcPr>
          <w:p>
            <w:pPr>
              <w:spacing w:after="0"/>
              <w:rPr>
                <w:sz w:val="16"/>
                <w:szCs w:val="16"/>
                <w:color w:val="auto"/>
              </w:rPr>
            </w:pPr>
          </w:p>
        </w:tc>
        <w:tc>
          <w:tcPr>
            <w:tcW w:w="2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Monthly Payment</w:t>
            </w:r>
          </w:p>
        </w:tc>
        <w:tc>
          <w:tcPr>
            <w:tcW w:w="2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125,081.18</w:t>
            </w:r>
          </w:p>
        </w:tc>
      </w:tr>
      <w:tr>
        <w:trPr>
          <w:trHeight w:val="317"/>
        </w:trPr>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20" w:type="dxa"/>
            <w:vAlign w:val="bottom"/>
          </w:tcPr>
          <w:p>
            <w:pPr>
              <w:jc w:val="right"/>
              <w:ind w:right="2401"/>
              <w:spacing w:after="0"/>
              <w:rPr>
                <w:sz w:val="20"/>
                <w:szCs w:val="20"/>
                <w:color w:val="auto"/>
              </w:rPr>
            </w:pPr>
            <w:r>
              <w:rPr>
                <w:rFonts w:ascii="Arial" w:cs="Arial" w:eastAsia="Arial" w:hAnsi="Arial"/>
                <w:sz w:val="16"/>
                <w:szCs w:val="16"/>
                <w:color w:val="auto"/>
              </w:rPr>
              <w:t>1</w:t>
            </w:r>
          </w:p>
        </w:tc>
        <w:tc>
          <w:tcPr>
            <w:tcW w:w="760" w:type="dxa"/>
            <w:vAlign w:val="bottom"/>
          </w:tcPr>
          <w:p>
            <w:pPr>
              <w:spacing w:after="0"/>
              <w:rPr>
                <w:sz w:val="24"/>
                <w:szCs w:val="24"/>
                <w:color w:val="auto"/>
              </w:rPr>
            </w:pPr>
          </w:p>
        </w:tc>
      </w:tr>
    </w:tbl>
    <w:p>
      <w:pPr>
        <w:sectPr>
          <w:pgSz w:w="11900" w:h="16838" w:orient="portrait"/>
          <w:cols w:equalWidth="0" w:num="1">
            <w:col w:w="9626"/>
          </w:cols>
          <w:pgMar w:left="1134" w:top="252" w:right="1139" w:bottom="1440" w:gutter="0" w:footer="0" w:header="0"/>
        </w:sectPr>
      </w:pPr>
    </w:p>
    <w:bookmarkStart w:id="489" w:name="page490"/>
    <w:bookmarkEnd w:id="489"/>
    <w:p>
      <w:pPr>
        <w:ind w:right="240" w:firstLine="385"/>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1.7 </w:t>
      </w:r>
      <w:r>
        <w:rPr>
          <w:rFonts w:ascii="Arial" w:cs="Arial" w:eastAsia="Arial" w:hAnsi="Arial"/>
          <w:sz w:val="16"/>
          <w:szCs w:val="16"/>
          <w:u w:val="single" w:color="auto"/>
          <w:color w:val="auto"/>
        </w:rPr>
        <w:t>Security Deposit</w:t>
      </w:r>
      <w:r>
        <w:rPr>
          <w:rFonts w:ascii="Arial" w:cs="Arial" w:eastAsia="Arial" w:hAnsi="Arial"/>
          <w:sz w:val="16"/>
          <w:szCs w:val="16"/>
          <w:color w:val="auto"/>
        </w:rPr>
        <w:t>: $3,250,000.00 (“Security Deposit”) payable on execution. Notwithstanding the foregoing, provided Tenant has made all payments of Base Rent and Additional Rent and has not been otherwise in Default under the Lease as of each of the following dates, May 1, 2024, May 1, 2025, May 1, 2026 and May 1, 2027, Landlord shall refund to Tenant $500,000.00 on each occasion. Any remaining portion of the Security Deposit shall be the Security Deposit for the remainder of the Term.</w:t>
      </w:r>
    </w:p>
    <w:p>
      <w:pPr>
        <w:spacing w:after="0" w:line="167"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1.8 </w:t>
      </w:r>
      <w:r>
        <w:rPr>
          <w:rFonts w:ascii="Arial" w:cs="Arial" w:eastAsia="Arial" w:hAnsi="Arial"/>
          <w:sz w:val="16"/>
          <w:szCs w:val="16"/>
          <w:u w:val="single" w:color="auto"/>
          <w:color w:val="auto"/>
        </w:rPr>
        <w:t>Permitted Use</w:t>
      </w:r>
      <w:r>
        <w:rPr>
          <w:rFonts w:ascii="Arial" w:cs="Arial" w:eastAsia="Arial" w:hAnsi="Arial"/>
          <w:sz w:val="16"/>
          <w:szCs w:val="16"/>
          <w:color w:val="auto"/>
        </w:rPr>
        <w:t xml:space="preserve"> (“Permitted Use”): General office, laboratory, research and development, manufacturing, and all other uses permitted by the City of Union City and all agencies and governmental authorities having jurisdiction thereof.</w:t>
      </w:r>
    </w:p>
    <w:p>
      <w:pPr>
        <w:spacing w:after="0" w:line="1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u w:val="single" w:color="auto"/>
          <w:color w:val="auto"/>
        </w:rPr>
        <w:t>Guarantor</w:t>
      </w:r>
      <w:r>
        <w:rPr>
          <w:rFonts w:ascii="Arial" w:cs="Arial" w:eastAsia="Arial" w:hAnsi="Arial"/>
          <w:sz w:val="16"/>
          <w:szCs w:val="16"/>
          <w:color w:val="auto"/>
        </w:rPr>
        <w:t>: Not applicable</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Addenda</w:t>
      </w:r>
      <w:r>
        <w:rPr>
          <w:rFonts w:ascii="Arial" w:cs="Arial" w:eastAsia="Arial" w:hAnsi="Arial"/>
          <w:sz w:val="16"/>
          <w:szCs w:val="16"/>
          <w:color w:val="auto"/>
        </w:rPr>
        <w:t>: Attached hereto are the following Addenda, all of which constitute a part of this Lease:</w:t>
      </w:r>
    </w:p>
    <w:p>
      <w:pPr>
        <w:spacing w:after="0" w:line="99" w:lineRule="exact"/>
        <w:rPr>
          <w:sz w:val="20"/>
          <w:szCs w:val="20"/>
          <w:color w:val="auto"/>
        </w:rPr>
      </w:pPr>
    </w:p>
    <w:p>
      <w:pPr>
        <w:ind w:left="1080" w:hanging="220"/>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Addendum 1: Landlord’s Remedies in the Event of Tenant Default</w:t>
      </w:r>
    </w:p>
    <w:p>
      <w:pPr>
        <w:spacing w:after="0" w:line="16" w:lineRule="exact"/>
        <w:rPr>
          <w:rFonts w:ascii="Arial" w:cs="Arial" w:eastAsia="Arial" w:hAnsi="Arial"/>
          <w:sz w:val="16"/>
          <w:szCs w:val="16"/>
          <w:color w:val="auto"/>
        </w:rPr>
      </w:pPr>
    </w:p>
    <w:p>
      <w:pPr>
        <w:ind w:left="1080" w:hanging="220"/>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Addendum 2: Tenant Improvement Addendum</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Addendum 3: Intentionally Deleted</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Addendum 4: Option to Extend Addendum</w:t>
      </w:r>
    </w:p>
    <w:p>
      <w:pPr>
        <w:spacing w:after="0" w:line="4" w:lineRule="exact"/>
        <w:rPr>
          <w:rFonts w:ascii="Arial" w:cs="Arial" w:eastAsia="Arial" w:hAnsi="Arial"/>
          <w:sz w:val="16"/>
          <w:szCs w:val="16"/>
          <w:color w:val="auto"/>
        </w:rPr>
      </w:pPr>
    </w:p>
    <w:p>
      <w:pPr>
        <w:ind w:left="1080" w:hanging="220"/>
        <w:spacing w:after="0"/>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Addendum 5: Early Possession and Inducement Recapture Addendum</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Exhibits</w:t>
      </w:r>
      <w:r>
        <w:rPr>
          <w:rFonts w:ascii="Arial" w:cs="Arial" w:eastAsia="Arial" w:hAnsi="Arial"/>
          <w:sz w:val="16"/>
          <w:szCs w:val="16"/>
          <w:color w:val="auto"/>
        </w:rPr>
        <w:t>: Attached hereto are the following Exhibits, all of which constitute a part of this Lease:</w:t>
      </w:r>
    </w:p>
    <w:p>
      <w:pPr>
        <w:spacing w:after="0" w:line="99"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A: Description of Premises.</w:t>
      </w:r>
    </w:p>
    <w:p>
      <w:pPr>
        <w:spacing w:after="0" w:line="1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B: Commencement Date Certificate.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C: Tenant Move-in and Lease Renewal Environmental Questionnaire</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D: Move-Out Standards</w:t>
      </w:r>
    </w:p>
    <w:p>
      <w:pPr>
        <w:spacing w:after="0" w:line="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Exhibit E: Rules and Regulations</w:t>
      </w:r>
    </w:p>
    <w:p>
      <w:pPr>
        <w:spacing w:after="0" w:line="182" w:lineRule="exact"/>
        <w:rPr>
          <w:sz w:val="20"/>
          <w:szCs w:val="20"/>
          <w:color w:val="auto"/>
        </w:rPr>
      </w:pPr>
    </w:p>
    <w:p>
      <w:pPr>
        <w:ind w:right="200" w:firstLine="385"/>
        <w:spacing w:after="0" w:line="26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Address for Rent Payments:</w:t>
      </w:r>
      <w:r>
        <w:rPr>
          <w:rFonts w:ascii="Arial" w:cs="Arial" w:eastAsia="Arial" w:hAnsi="Arial"/>
          <w:sz w:val="16"/>
          <w:szCs w:val="16"/>
          <w:color w:val="auto"/>
        </w:rPr>
        <w:t xml:space="preserve"> All amounts payable by Tenant to Landlord shall, until further notice from Landlord, be paid to Terreno Park Union City LLC at the following address:</w:t>
      </w:r>
    </w:p>
    <w:p>
      <w:pPr>
        <w:spacing w:after="0" w:line="64"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Terreno Park Union City LLC</w:t>
      </w:r>
    </w:p>
    <w:p>
      <w:pPr>
        <w:spacing w:after="0" w:line="16"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c/o Colliers International</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1850 Mt. Diablo Blvd., Ste. 200</w:t>
      </w:r>
    </w:p>
    <w:p>
      <w:pPr>
        <w:spacing w:after="0" w:line="5"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Walnut Creek, CA 94596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Premises and Common Areas.</w:t>
      </w:r>
    </w:p>
    <w:p>
      <w:pPr>
        <w:spacing w:after="0" w:line="197" w:lineRule="exact"/>
        <w:rPr>
          <w:sz w:val="20"/>
          <w:szCs w:val="20"/>
          <w:color w:val="auto"/>
        </w:rPr>
      </w:pPr>
    </w:p>
    <w:p>
      <w:pPr>
        <w:ind w:right="60" w:firstLine="385"/>
        <w:spacing w:after="0" w:line="312"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Letting</w:t>
      </w:r>
      <w:r>
        <w:rPr>
          <w:rFonts w:ascii="Arial" w:cs="Arial" w:eastAsia="Arial" w:hAnsi="Arial"/>
          <w:sz w:val="13"/>
          <w:szCs w:val="13"/>
          <w:color w:val="auto"/>
        </w:rPr>
        <w:t>. Landlord hereby leases to Tenant and Tenant hereby leases from Landlord the Premises upon all of the terms, covenants, and conditions, set forth in this Lease. In addition, Tenant shall have the exclusive right to use the outdoor area located immediately adjacent to the loading dock serving the Premises (the “Storage Area”) for the installation, storage, maintenance and repair of Tenant’s personal property and equipment including, without limitation, emergency generator(s) and chiller(s), subject to Landlord’s prior written consent. Tenant shall have the right to take all actions reasonably necessary to ensure its use of the Storage Area is not subject to unreasonable interference including, without limitation, installing fencing, making pavement markings, and implementing access control measures. All provisions of this Lease relating to use, insurance, repair, maintenance and surrender shall apply to the Storage Area as if it were part of the Premises. Any statement of square footage set forth in this Lease or that may have been used in calculating Base Rent and/or Operating Expenses is an approximation which Landlord and Tenant agree is reasonable, and the Base Rent and Tenant’s Share based thereon is not subject to revision whether or not the actual square footage is more or less.</w:t>
      </w:r>
    </w:p>
    <w:p>
      <w:pPr>
        <w:spacing w:after="0" w:line="137" w:lineRule="exact"/>
        <w:rPr>
          <w:sz w:val="20"/>
          <w:szCs w:val="20"/>
          <w:color w:val="auto"/>
        </w:rPr>
      </w:pPr>
    </w:p>
    <w:p>
      <w:pPr>
        <w:jc w:val="both"/>
        <w:ind w:right="180" w:firstLine="385"/>
        <w:spacing w:after="0" w:line="281"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Common Areas - Definition</w:t>
      </w:r>
      <w:r>
        <w:rPr>
          <w:rFonts w:ascii="Arial" w:cs="Arial" w:eastAsia="Arial" w:hAnsi="Arial"/>
          <w:sz w:val="15"/>
          <w:szCs w:val="15"/>
          <w:color w:val="auto"/>
        </w:rPr>
        <w:t>. “Common Areas” are all areas and facilities outside the Premises and within the exterior boundary line of the Industrial Center that are provided and designated by the Landlord from time to time for the general nonexclusive use of Landlord, Tenant, and other tenants of the Industrial Center and their respective employees, suppliers, shippers, tenants, contractors, and invitees.</w:t>
      </w:r>
    </w:p>
    <w:p>
      <w:pPr>
        <w:spacing w:after="0" w:line="149" w:lineRule="exact"/>
        <w:rPr>
          <w:sz w:val="20"/>
          <w:szCs w:val="20"/>
          <w:color w:val="auto"/>
        </w:rPr>
      </w:pPr>
    </w:p>
    <w:p>
      <w:pPr>
        <w:ind w:right="120" w:firstLine="385"/>
        <w:spacing w:after="0" w:line="329"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Common Areas - Tenant’s Rights</w:t>
      </w:r>
      <w:r>
        <w:rPr>
          <w:rFonts w:ascii="Arial" w:cs="Arial" w:eastAsia="Arial" w:hAnsi="Arial"/>
          <w:sz w:val="13"/>
          <w:szCs w:val="13"/>
          <w:color w:val="auto"/>
        </w:rPr>
        <w:t>. Landlord hereby grants to Tenant, for the benefit of Tenant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Landlord under the terms hereof or under the terms of any rules and regulations or covenants, conditions, and restrictions governing the use of the Industrial Center.</w:t>
      </w:r>
    </w:p>
    <w:p>
      <w:pPr>
        <w:spacing w:after="0" w:line="123" w:lineRule="exact"/>
        <w:rPr>
          <w:sz w:val="20"/>
          <w:szCs w:val="20"/>
          <w:color w:val="auto"/>
        </w:rPr>
      </w:pPr>
    </w:p>
    <w:p>
      <w:pPr>
        <w:ind w:firstLine="385"/>
        <w:spacing w:after="0" w:line="256"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Common Areas - Rules and Regulations</w:t>
      </w:r>
      <w:r>
        <w:rPr>
          <w:rFonts w:ascii="Arial" w:cs="Arial" w:eastAsia="Arial" w:hAnsi="Arial"/>
          <w:sz w:val="16"/>
          <w:szCs w:val="16"/>
          <w:color w:val="auto"/>
        </w:rPr>
        <w:t>. Landlord shall have the exclusive control and management of the Common Areas and shall have the right, from time to time, to establish, modify, amend, and enforce reasonable Rules and Regulations with respect thereto in accordance with Paragraph 16.19.</w:t>
      </w:r>
    </w:p>
    <w:p>
      <w:pPr>
        <w:spacing w:after="0" w:line="166" w:lineRule="exact"/>
        <w:rPr>
          <w:sz w:val="20"/>
          <w:szCs w:val="20"/>
          <w:color w:val="auto"/>
        </w:rPr>
      </w:pPr>
    </w:p>
    <w:p>
      <w:pPr>
        <w:ind w:right="180" w:firstLine="385"/>
        <w:spacing w:after="0" w:line="26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Common Area Changes</w:t>
      </w:r>
      <w:r>
        <w:rPr>
          <w:rFonts w:ascii="Arial" w:cs="Arial" w:eastAsia="Arial" w:hAnsi="Arial"/>
          <w:sz w:val="16"/>
          <w:szCs w:val="16"/>
          <w:color w:val="auto"/>
        </w:rPr>
        <w:t>. Provided the same do not materially impair access to the Premises or the Storage Area and do not reduce Tenant’s parking rights, Landlord shall have the right, in Landlord’s sole discretion, from time to time:</w:t>
      </w:r>
    </w:p>
    <w:p>
      <w:pPr>
        <w:spacing w:after="0" w:line="158" w:lineRule="exact"/>
        <w:rPr>
          <w:sz w:val="20"/>
          <w:szCs w:val="20"/>
          <w:color w:val="auto"/>
        </w:rPr>
      </w:pPr>
    </w:p>
    <w:p>
      <w:pPr>
        <w:ind w:right="20" w:firstLine="860"/>
        <w:spacing w:after="0" w:line="256" w:lineRule="auto"/>
        <w:tabs>
          <w:tab w:leader="none" w:pos="1079" w:val="left"/>
        </w:tabs>
        <w:numPr>
          <w:ilvl w:val="0"/>
          <w:numId w:val="360"/>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locations, size, shape, and number of driveways, entrances, parking spaces, parking areas, loading and unloading areas, ingress, egress, direction of traffic, landscaped areas, walkways, and utility raceways;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9540"/>
          </w:cols>
          <w:pgMar w:left="1140" w:top="256" w:right="1219" w:bottom="1440" w:gutter="0" w:footer="0" w:header="0"/>
        </w:sectPr>
      </w:pPr>
    </w:p>
    <w:bookmarkStart w:id="490" w:name="page491"/>
    <w:bookmarkEnd w:id="490"/>
    <w:p>
      <w:pPr>
        <w:ind w:left="866"/>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90105" cy="34290"/>
                    </a:xfrm>
                    <a:prstGeom prst="rect">
                      <a:avLst/>
                    </a:prstGeom>
                    <a:noFill/>
                  </pic:spPr>
                </pic:pic>
              </a:graphicData>
            </a:graphic>
          </wp:anchor>
        </w:drawing>
        <w:t>(b) To close temporarily any of the Common Areas for maintenance purposes so long as reasonable access to the Premises remains</w:t>
      </w:r>
    </w:p>
    <w:p>
      <w:pPr>
        <w:spacing w:after="0" w:line="51" w:lineRule="exact"/>
        <w:rPr>
          <w:sz w:val="20"/>
          <w:szCs w:val="20"/>
          <w:color w:val="auto"/>
        </w:rPr>
      </w:pPr>
    </w:p>
    <w:p>
      <w:pPr>
        <w:ind w:left="6"/>
        <w:spacing w:after="0"/>
        <w:rPr>
          <w:sz w:val="20"/>
          <w:szCs w:val="20"/>
          <w:color w:val="auto"/>
        </w:rPr>
      </w:pPr>
      <w:r>
        <w:rPr>
          <w:rFonts w:ascii="Arial" w:cs="Arial" w:eastAsia="Arial" w:hAnsi="Arial"/>
          <w:sz w:val="16"/>
          <w:szCs w:val="16"/>
          <w:color w:val="auto"/>
        </w:rPr>
        <w:t>available;</w:t>
      </w:r>
    </w:p>
    <w:p>
      <w:pPr>
        <w:spacing w:after="0" w:line="182" w:lineRule="exact"/>
        <w:rPr>
          <w:sz w:val="20"/>
          <w:szCs w:val="20"/>
          <w:color w:val="auto"/>
        </w:rPr>
      </w:pPr>
    </w:p>
    <w:p>
      <w:pPr>
        <w:ind w:left="1086" w:hanging="220"/>
        <w:spacing w:after="0"/>
        <w:tabs>
          <w:tab w:leader="none" w:pos="108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designate other land outside the boundaries of the Industrial Center to be a part of the Common Areas;</w:t>
      </w:r>
    </w:p>
    <w:p>
      <w:pPr>
        <w:spacing w:after="0" w:line="193" w:lineRule="exact"/>
        <w:rPr>
          <w:rFonts w:ascii="Arial" w:cs="Arial" w:eastAsia="Arial" w:hAnsi="Arial"/>
          <w:sz w:val="16"/>
          <w:szCs w:val="16"/>
          <w:color w:val="auto"/>
        </w:rPr>
      </w:pPr>
    </w:p>
    <w:p>
      <w:pPr>
        <w:ind w:left="1086" w:hanging="220"/>
        <w:spacing w:after="0"/>
        <w:tabs>
          <w:tab w:leader="none" w:pos="108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add additional buildings and improvements to the Common Areas;</w:t>
      </w:r>
    </w:p>
    <w:p>
      <w:pPr>
        <w:spacing w:after="0" w:line="193" w:lineRule="exact"/>
        <w:rPr>
          <w:rFonts w:ascii="Arial" w:cs="Arial" w:eastAsia="Arial" w:hAnsi="Arial"/>
          <w:sz w:val="16"/>
          <w:szCs w:val="16"/>
          <w:color w:val="auto"/>
        </w:rPr>
      </w:pPr>
    </w:p>
    <w:p>
      <w:pPr>
        <w:ind w:left="6" w:right="260" w:firstLine="860"/>
        <w:spacing w:after="0" w:line="266" w:lineRule="auto"/>
        <w:tabs>
          <w:tab w:leader="none" w:pos="1086"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Industrial Center, or any portion thereof; and</w:t>
      </w:r>
    </w:p>
    <w:p>
      <w:pPr>
        <w:spacing w:after="0" w:line="158" w:lineRule="exact"/>
        <w:rPr>
          <w:rFonts w:ascii="Arial" w:cs="Arial" w:eastAsia="Arial" w:hAnsi="Arial"/>
          <w:sz w:val="16"/>
          <w:szCs w:val="16"/>
          <w:color w:val="auto"/>
        </w:rPr>
      </w:pPr>
    </w:p>
    <w:p>
      <w:pPr>
        <w:ind w:left="6" w:right="180" w:firstLine="860"/>
        <w:spacing w:after="0" w:line="266" w:lineRule="auto"/>
        <w:tabs>
          <w:tab w:leader="none" w:pos="1068"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To do and perform such other acts and make such other changes in, to, or with respect to the Common Areas and Industrial Center as Landlord may, in the exercise of sound business judgment, deem to be appropriate.</w:t>
      </w:r>
    </w:p>
    <w:p>
      <w:pPr>
        <w:spacing w:after="0" w:line="154" w:lineRule="exact"/>
        <w:rPr>
          <w:rFonts w:ascii="Arial" w:cs="Arial" w:eastAsia="Arial" w:hAnsi="Arial"/>
          <w:sz w:val="16"/>
          <w:szCs w:val="16"/>
          <w:color w:val="auto"/>
        </w:rPr>
      </w:pPr>
    </w:p>
    <w:p>
      <w:pPr>
        <w:ind w:left="166" w:hanging="166"/>
        <w:spacing w:after="0"/>
        <w:tabs>
          <w:tab w:leader="none" w:pos="166" w:val="left"/>
        </w:tabs>
        <w:numPr>
          <w:ilvl w:val="0"/>
          <w:numId w:val="362"/>
        </w:numPr>
        <w:rPr>
          <w:rFonts w:ascii="Arial" w:cs="Arial" w:eastAsia="Arial" w:hAnsi="Arial"/>
          <w:sz w:val="16"/>
          <w:szCs w:val="16"/>
          <w:b w:val="1"/>
          <w:bCs w:val="1"/>
          <w:color w:val="auto"/>
        </w:rPr>
      </w:pPr>
      <w:r>
        <w:rPr>
          <w:rFonts w:ascii="Arial" w:cs="Arial" w:eastAsia="Arial" w:hAnsi="Arial"/>
          <w:sz w:val="16"/>
          <w:szCs w:val="16"/>
          <w:b w:val="1"/>
          <w:bCs w:val="1"/>
          <w:color w:val="auto"/>
        </w:rPr>
        <w:t>Term.</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Term</w:t>
      </w:r>
      <w:r>
        <w:rPr>
          <w:rFonts w:ascii="Arial" w:cs="Arial" w:eastAsia="Arial" w:hAnsi="Arial"/>
          <w:sz w:val="16"/>
          <w:szCs w:val="16"/>
          <w:color w:val="auto"/>
        </w:rPr>
        <w:t>. The Commencement Date, Expiration Date, and Term of this Lease are as specified in Paragraph 1.3.</w:t>
      </w:r>
    </w:p>
    <w:p>
      <w:pPr>
        <w:spacing w:after="0" w:line="193" w:lineRule="exact"/>
        <w:rPr>
          <w:sz w:val="20"/>
          <w:szCs w:val="20"/>
          <w:color w:val="auto"/>
        </w:rPr>
      </w:pPr>
    </w:p>
    <w:p>
      <w:pPr>
        <w:ind w:left="6" w:firstLine="385"/>
        <w:spacing w:after="0" w:line="311" w:lineRule="auto"/>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Delay in Possession</w:t>
      </w:r>
      <w:r>
        <w:rPr>
          <w:rFonts w:ascii="Arial" w:cs="Arial" w:eastAsia="Arial" w:hAnsi="Arial"/>
          <w:sz w:val="13"/>
          <w:szCs w:val="13"/>
          <w:color w:val="auto"/>
        </w:rPr>
        <w:t>. Landlord shall use commercially reasonable efforts to deliver possession of the Premises to Tenant on May 1, 2021. Landlord shall deliver possession of the Premises to Tenant in good, vacant condition, with the roof water-tight, and in compliance with all Applicable Requirements. If for any reason Landlord cannot deliver possession of the Premises to Tenant by the Commencement Date, Landlord shall not be subject to any liability therefor, nor shall such failure affect the validity of this Lease or the obligations of Tenant hereunder. In such case, Tenant shall not, except as otherwise provided herein, be obligated to pay Rent or perform any other obligation of Tenant under the terms of this Lease until Landlord delivers possession of the Premises to Tenant. The term of the Lease shall commence on the Commencement Date. Notwithstanding anything to the contrary herein, if the Commencement Date has not occurred for any reason whatsoever on or before May 1, 2021, then, in addition to Tenant’s other rights or remedies, the date Tenant is otherwise obliged to commence payment of Rent shall be delayed by one day for each day that the Commencement Date is delayed beyond such date, and if the Commencement Date has not occurred for any reason whatsoever on or before July 1, 2021, Tenant may terminate this Lease by written notice to Landlord, whereupon any monies previously paid by Tenant to Landlord shall be reimbursed to Tenant.</w:t>
      </w:r>
    </w:p>
    <w:p>
      <w:pPr>
        <w:spacing w:after="0" w:line="138" w:lineRule="exact"/>
        <w:rPr>
          <w:sz w:val="20"/>
          <w:szCs w:val="20"/>
          <w:color w:val="auto"/>
        </w:rPr>
      </w:pPr>
    </w:p>
    <w:p>
      <w:pPr>
        <w:ind w:left="6" w:right="820" w:firstLine="385"/>
        <w:spacing w:after="0" w:line="266"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Commencement Date Certificate</w:t>
      </w:r>
      <w:r>
        <w:rPr>
          <w:rFonts w:ascii="Arial" w:cs="Arial" w:eastAsia="Arial" w:hAnsi="Arial"/>
          <w:sz w:val="16"/>
          <w:szCs w:val="16"/>
          <w:color w:val="auto"/>
        </w:rPr>
        <w:t>. At the request of Landlord, Tenant shall execute and deliver to Landlord a completed certificate (“Commencement Date Certificate”) in the form attached hereto as Exhibit B.</w:t>
      </w:r>
    </w:p>
    <w:p>
      <w:pPr>
        <w:spacing w:after="0" w:line="15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4. Rent.</w:t>
      </w:r>
    </w:p>
    <w:p>
      <w:pPr>
        <w:spacing w:after="0" w:line="197" w:lineRule="exact"/>
        <w:rPr>
          <w:sz w:val="20"/>
          <w:szCs w:val="20"/>
          <w:color w:val="auto"/>
        </w:rPr>
      </w:pPr>
    </w:p>
    <w:p>
      <w:pPr>
        <w:ind w:left="6" w:right="120" w:firstLine="385"/>
        <w:spacing w:after="0" w:line="268"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Base Rent</w:t>
      </w:r>
      <w:r>
        <w:rPr>
          <w:rFonts w:ascii="Arial" w:cs="Arial" w:eastAsia="Arial" w:hAnsi="Arial"/>
          <w:sz w:val="15"/>
          <w:szCs w:val="15"/>
          <w:color w:val="auto"/>
        </w:rPr>
        <w:t>. Tenant shall pay to Landlord Base Rent plus, if applicable sales, use or rental tax and other monetary obligations of Tenant to Landlord under the terms of this Lease (such other monetary obligations are herein referred to as “Additional Rent”) in lawful money of the United States, without offset or deduction, in advance on or before the first day of each month. Base Rent and Additional Rent for any period during the term hereof which is for less than one full month shall be prorated based upon the actual number of days of the month involved. Payment of Base Rent and Additional Rent shall be made to Landlord at its address stated herein or to such other persons or at such other addresses as Landlord may from time to time designate in writing to Tenant. Base Rent and Additional Rent are collectively referred to as “Rent.” All monetary obligations of Tenant to Landlord under the terms of this Lease are deemed to be Rent.</w:t>
      </w:r>
    </w:p>
    <w:p>
      <w:pPr>
        <w:spacing w:after="0" w:line="161" w:lineRule="exact"/>
        <w:rPr>
          <w:sz w:val="20"/>
          <w:szCs w:val="20"/>
          <w:color w:val="auto"/>
        </w:rPr>
      </w:pPr>
    </w:p>
    <w:p>
      <w:pPr>
        <w:ind w:left="6" w:right="40" w:firstLine="385"/>
        <w:spacing w:after="0" w:line="26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Operating Expenses</w:t>
      </w:r>
      <w:r>
        <w:rPr>
          <w:rFonts w:ascii="Arial" w:cs="Arial" w:eastAsia="Arial" w:hAnsi="Arial"/>
          <w:sz w:val="16"/>
          <w:szCs w:val="16"/>
          <w:color w:val="auto"/>
        </w:rPr>
        <w:t>. Tenant shall pay to Landlord on the first day of each month during the term hereof, in addition to the Base Rent, Tenant’s Share of all Operating Expenses in accordance with the following provisions:</w:t>
      </w:r>
    </w:p>
    <w:p>
      <w:pPr>
        <w:spacing w:after="0" w:line="158" w:lineRule="exact"/>
        <w:rPr>
          <w:sz w:val="20"/>
          <w:szCs w:val="20"/>
          <w:color w:val="auto"/>
        </w:rPr>
      </w:pPr>
    </w:p>
    <w:p>
      <w:pPr>
        <w:ind w:left="6" w:right="40" w:firstLine="860"/>
        <w:spacing w:after="0" w:line="266" w:lineRule="auto"/>
        <w:tabs>
          <w:tab w:leader="none" w:pos="1086" w:val="left"/>
        </w:tabs>
        <w:numPr>
          <w:ilvl w:val="0"/>
          <w:numId w:val="363"/>
        </w:numPr>
        <w:rPr>
          <w:rFonts w:ascii="Arial" w:cs="Arial" w:eastAsia="Arial" w:hAnsi="Arial"/>
          <w:sz w:val="16"/>
          <w:szCs w:val="16"/>
          <w:color w:val="auto"/>
        </w:rPr>
      </w:pPr>
      <w:r>
        <w:rPr>
          <w:rFonts w:ascii="Arial" w:cs="Arial" w:eastAsia="Arial" w:hAnsi="Arial"/>
          <w:sz w:val="16"/>
          <w:szCs w:val="16"/>
          <w:color w:val="auto"/>
        </w:rPr>
        <w:t>“Operating Expenses” are all costs incurred by Landlord relating to the ownership and operation of the Industrial Center, Building, and Premises including, but not limited to, the following:</w:t>
      </w:r>
    </w:p>
    <w:p>
      <w:pPr>
        <w:spacing w:after="0" w:line="158" w:lineRule="exact"/>
        <w:rPr>
          <w:rFonts w:ascii="Arial" w:cs="Arial" w:eastAsia="Arial" w:hAnsi="Arial"/>
          <w:sz w:val="16"/>
          <w:szCs w:val="16"/>
          <w:color w:val="auto"/>
        </w:rPr>
      </w:pPr>
    </w:p>
    <w:p>
      <w:pPr>
        <w:ind w:left="6" w:right="140" w:firstLine="1244"/>
        <w:spacing w:after="0" w:line="343" w:lineRule="auto"/>
        <w:tabs>
          <w:tab w:leader="none" w:pos="1444" w:val="left"/>
        </w:tabs>
        <w:numPr>
          <w:ilvl w:val="1"/>
          <w:numId w:val="363"/>
        </w:numPr>
        <w:rPr>
          <w:rFonts w:ascii="Arial" w:cs="Arial" w:eastAsia="Arial" w:hAnsi="Arial"/>
          <w:sz w:val="13"/>
          <w:szCs w:val="13"/>
          <w:color w:val="auto"/>
        </w:rPr>
      </w:pPr>
      <w:r>
        <w:rPr>
          <w:rFonts w:ascii="Arial" w:cs="Arial" w:eastAsia="Arial" w:hAnsi="Arial"/>
          <w:sz w:val="13"/>
          <w:szCs w:val="13"/>
          <w:color w:val="auto"/>
        </w:rPr>
        <w:t>Expenses relating to the operation, repair, maintenance, and replacement of the Common Areas in a neat, clean, good order, and condition, including parking areas, loading and unloading areas, trash areas, roadways, sidewalks, walkways, parkways, driveways, rail spurs, landscaped areas, striping, bumpers, irrigation systems, drainage systems, lighting facilities, fences and gates, exterior signs, and tenant directories.</w:t>
      </w:r>
    </w:p>
    <w:p>
      <w:pPr>
        <w:spacing w:after="0" w:line="113" w:lineRule="exact"/>
        <w:rPr>
          <w:rFonts w:ascii="Arial" w:cs="Arial" w:eastAsia="Arial" w:hAnsi="Arial"/>
          <w:sz w:val="13"/>
          <w:szCs w:val="13"/>
          <w:color w:val="auto"/>
        </w:rPr>
      </w:pPr>
    </w:p>
    <w:p>
      <w:pPr>
        <w:ind w:left="1486" w:hanging="236"/>
        <w:spacing w:after="0"/>
        <w:tabs>
          <w:tab w:leader="none" w:pos="1486" w:val="left"/>
        </w:tabs>
        <w:numPr>
          <w:ilvl w:val="1"/>
          <w:numId w:val="363"/>
        </w:numPr>
        <w:rPr>
          <w:rFonts w:ascii="Arial" w:cs="Arial" w:eastAsia="Arial" w:hAnsi="Arial"/>
          <w:sz w:val="13"/>
          <w:szCs w:val="13"/>
          <w:color w:val="auto"/>
        </w:rPr>
      </w:pPr>
      <w:r>
        <w:rPr>
          <w:rFonts w:ascii="Arial" w:cs="Arial" w:eastAsia="Arial" w:hAnsi="Arial"/>
          <w:sz w:val="13"/>
          <w:szCs w:val="13"/>
          <w:color w:val="auto"/>
        </w:rPr>
        <w:t>Water, gas, electricity, telephone, and other utilities servicing the Common Areas or not paid for directly by other tenants of the</w:t>
      </w:r>
    </w:p>
    <w:p>
      <w:pPr>
        <w:spacing w:after="0" w:line="50"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6"/>
          <w:szCs w:val="16"/>
          <w:color w:val="auto"/>
        </w:rPr>
        <w:t>Industrial Center.</w:t>
      </w:r>
    </w:p>
    <w:p>
      <w:pPr>
        <w:spacing w:after="0" w:line="181" w:lineRule="exact"/>
        <w:rPr>
          <w:rFonts w:ascii="Arial" w:cs="Arial" w:eastAsia="Arial" w:hAnsi="Arial"/>
          <w:sz w:val="13"/>
          <w:szCs w:val="13"/>
          <w:color w:val="auto"/>
        </w:rPr>
      </w:pPr>
    </w:p>
    <w:p>
      <w:pPr>
        <w:ind w:left="1526" w:hanging="276"/>
        <w:spacing w:after="0"/>
        <w:tabs>
          <w:tab w:leader="none" w:pos="1526" w:val="left"/>
        </w:tabs>
        <w:numPr>
          <w:ilvl w:val="1"/>
          <w:numId w:val="363"/>
        </w:numPr>
        <w:rPr>
          <w:rFonts w:ascii="Arial" w:cs="Arial" w:eastAsia="Arial" w:hAnsi="Arial"/>
          <w:sz w:val="13"/>
          <w:szCs w:val="13"/>
          <w:color w:val="auto"/>
        </w:rPr>
      </w:pPr>
      <w:r>
        <w:rPr>
          <w:rFonts w:ascii="Arial" w:cs="Arial" w:eastAsia="Arial" w:hAnsi="Arial"/>
          <w:sz w:val="13"/>
          <w:szCs w:val="13"/>
          <w:color w:val="auto"/>
        </w:rPr>
        <w:t>Trash disposal (except within the Premises), janitorial services, snow removal, property management, and security services.</w:t>
      </w:r>
    </w:p>
    <w:p>
      <w:pPr>
        <w:spacing w:after="0" w:line="227" w:lineRule="exact"/>
        <w:rPr>
          <w:rFonts w:ascii="Arial" w:cs="Arial" w:eastAsia="Arial" w:hAnsi="Arial"/>
          <w:sz w:val="13"/>
          <w:szCs w:val="13"/>
          <w:color w:val="auto"/>
        </w:rPr>
      </w:pPr>
    </w:p>
    <w:p>
      <w:pPr>
        <w:ind w:left="1526" w:hanging="276"/>
        <w:spacing w:after="0"/>
        <w:tabs>
          <w:tab w:leader="none" w:pos="1526" w:val="left"/>
        </w:tabs>
        <w:numPr>
          <w:ilvl w:val="1"/>
          <w:numId w:val="363"/>
        </w:numPr>
        <w:rPr>
          <w:rFonts w:ascii="Arial" w:cs="Arial" w:eastAsia="Arial" w:hAnsi="Arial"/>
          <w:sz w:val="16"/>
          <w:szCs w:val="16"/>
          <w:color w:val="auto"/>
        </w:rPr>
      </w:pPr>
      <w:r>
        <w:rPr>
          <w:rFonts w:ascii="Arial" w:cs="Arial" w:eastAsia="Arial" w:hAnsi="Arial"/>
          <w:sz w:val="16"/>
          <w:szCs w:val="16"/>
          <w:color w:val="auto"/>
        </w:rPr>
        <w:t>Intentionally deleted.</w:t>
      </w:r>
    </w:p>
    <w:p>
      <w:pPr>
        <w:spacing w:after="0" w:line="193" w:lineRule="exact"/>
        <w:rPr>
          <w:rFonts w:ascii="Arial" w:cs="Arial" w:eastAsia="Arial" w:hAnsi="Arial"/>
          <w:sz w:val="16"/>
          <w:szCs w:val="16"/>
          <w:color w:val="auto"/>
        </w:rPr>
      </w:pPr>
    </w:p>
    <w:p>
      <w:pPr>
        <w:ind w:left="1466" w:hanging="216"/>
        <w:spacing w:after="0"/>
        <w:tabs>
          <w:tab w:leader="none" w:pos="1466" w:val="left"/>
        </w:tabs>
        <w:numPr>
          <w:ilvl w:val="1"/>
          <w:numId w:val="363"/>
        </w:numPr>
        <w:rPr>
          <w:rFonts w:ascii="Arial" w:cs="Arial" w:eastAsia="Arial" w:hAnsi="Arial"/>
          <w:sz w:val="16"/>
          <w:szCs w:val="16"/>
          <w:color w:val="auto"/>
        </w:rPr>
      </w:pPr>
      <w:r>
        <w:rPr>
          <w:rFonts w:ascii="Arial" w:cs="Arial" w:eastAsia="Arial" w:hAnsi="Arial"/>
          <w:sz w:val="16"/>
          <w:szCs w:val="16"/>
          <w:color w:val="auto"/>
        </w:rPr>
        <w:t>Real Property Taxes.</w:t>
      </w:r>
    </w:p>
    <w:p>
      <w:pPr>
        <w:spacing w:after="0" w:line="193" w:lineRule="exact"/>
        <w:rPr>
          <w:rFonts w:ascii="Arial" w:cs="Arial" w:eastAsia="Arial" w:hAnsi="Arial"/>
          <w:sz w:val="16"/>
          <w:szCs w:val="16"/>
          <w:color w:val="auto"/>
        </w:rPr>
      </w:pPr>
    </w:p>
    <w:p>
      <w:pPr>
        <w:ind w:left="6" w:right="580" w:firstLine="1244"/>
        <w:spacing w:after="0" w:line="266" w:lineRule="auto"/>
        <w:tabs>
          <w:tab w:leader="none" w:pos="1523" w:val="left"/>
        </w:tabs>
        <w:numPr>
          <w:ilvl w:val="1"/>
          <w:numId w:val="363"/>
        </w:numPr>
        <w:rPr>
          <w:rFonts w:ascii="Arial" w:cs="Arial" w:eastAsia="Arial" w:hAnsi="Arial"/>
          <w:sz w:val="16"/>
          <w:szCs w:val="16"/>
          <w:color w:val="auto"/>
        </w:rPr>
      </w:pPr>
      <w:r>
        <w:rPr>
          <w:rFonts w:ascii="Arial" w:cs="Arial" w:eastAsia="Arial" w:hAnsi="Arial"/>
          <w:sz w:val="16"/>
          <w:szCs w:val="16"/>
          <w:color w:val="auto"/>
        </w:rPr>
        <w:t>Premiums for the insurance policies maintained by Landlord under Paragraph 8 hereof including, but not limited to any environmental monitoring and insurance programs.</w:t>
      </w:r>
    </w:p>
    <w:p>
      <w:pPr>
        <w:spacing w:after="0" w:line="158" w:lineRule="exact"/>
        <w:rPr>
          <w:rFonts w:ascii="Arial" w:cs="Arial" w:eastAsia="Arial" w:hAnsi="Arial"/>
          <w:sz w:val="16"/>
          <w:szCs w:val="16"/>
          <w:color w:val="auto"/>
        </w:rPr>
      </w:pPr>
    </w:p>
    <w:p>
      <w:pPr>
        <w:ind w:left="6" w:right="60" w:firstLine="1244"/>
        <w:spacing w:after="0" w:line="253" w:lineRule="auto"/>
        <w:tabs>
          <w:tab w:leader="none" w:pos="1567" w:val="left"/>
        </w:tabs>
        <w:numPr>
          <w:ilvl w:val="1"/>
          <w:numId w:val="363"/>
        </w:numPr>
        <w:rPr>
          <w:rFonts w:ascii="Arial" w:cs="Arial" w:eastAsia="Arial" w:hAnsi="Arial"/>
          <w:sz w:val="16"/>
          <w:szCs w:val="16"/>
          <w:color w:val="auto"/>
        </w:rPr>
      </w:pPr>
      <w:r>
        <w:rPr>
          <w:rFonts w:ascii="Arial" w:cs="Arial" w:eastAsia="Arial" w:hAnsi="Arial"/>
          <w:sz w:val="16"/>
          <w:szCs w:val="16"/>
          <w:color w:val="auto"/>
        </w:rPr>
        <w:t>Monthly amortization of capital improvements to the Common Areas and the Building. The monthly amortization of any given capital improvement shall be the sum of the (a) quotient obtained by dividing the cost of the capital improvement by Landlord’s reasonable estimate of the number of months of useful life of such improvement plus (b) an amount equal to the cost of the capital improvement times 1/12 of the lesser of 8% or the maximum annual interest rate permitted by law.</w:t>
      </w:r>
    </w:p>
    <w:p>
      <w:pPr>
        <w:spacing w:after="0" w:line="167" w:lineRule="exact"/>
        <w:rPr>
          <w:rFonts w:ascii="Arial" w:cs="Arial" w:eastAsia="Arial" w:hAnsi="Arial"/>
          <w:sz w:val="16"/>
          <w:szCs w:val="16"/>
          <w:color w:val="auto"/>
        </w:rPr>
      </w:pPr>
    </w:p>
    <w:p>
      <w:pPr>
        <w:ind w:left="6" w:right="640" w:firstLine="1244"/>
        <w:spacing w:after="0" w:line="266" w:lineRule="auto"/>
        <w:tabs>
          <w:tab w:leader="none" w:pos="161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Maintenance of the Building including, but not limited to, painting, caulking, and repair and replacement of Building components, including, but not limited to, roof membrane, elevators, and fire detection and sprinkler systems.</w:t>
      </w:r>
    </w:p>
    <w:p>
      <w:pPr>
        <w:spacing w:after="0" w:line="158" w:lineRule="exact"/>
        <w:rPr>
          <w:rFonts w:ascii="Arial" w:cs="Arial" w:eastAsia="Arial" w:hAnsi="Arial"/>
          <w:sz w:val="16"/>
          <w:szCs w:val="16"/>
          <w:color w:val="auto"/>
        </w:rPr>
      </w:pPr>
    </w:p>
    <w:p>
      <w:pPr>
        <w:ind w:left="1526" w:hanging="276"/>
        <w:spacing w:after="0"/>
        <w:tabs>
          <w:tab w:leader="none" w:pos="1526" w:val="left"/>
        </w:tabs>
        <w:numPr>
          <w:ilvl w:val="1"/>
          <w:numId w:val="363"/>
        </w:numPr>
        <w:rPr>
          <w:rFonts w:ascii="Arial" w:cs="Arial" w:eastAsia="Arial" w:hAnsi="Arial"/>
          <w:sz w:val="16"/>
          <w:szCs w:val="16"/>
          <w:color w:val="auto"/>
        </w:rPr>
      </w:pPr>
      <w:r>
        <w:rPr>
          <w:rFonts w:ascii="Arial" w:cs="Arial" w:eastAsia="Arial" w:hAnsi="Arial"/>
          <w:sz w:val="16"/>
          <w:szCs w:val="16"/>
          <w:color w:val="auto"/>
        </w:rPr>
        <w:t>Heating, ventilating, and air conditioning systems (“HVAC”).</w:t>
      </w:r>
    </w:p>
    <w:p>
      <w:pPr>
        <w:sectPr>
          <w:pgSz w:w="11900" w:h="16838" w:orient="portrait"/>
          <w:cols w:equalWidth="0" w:num="1">
            <w:col w:w="9606"/>
          </w:cols>
          <w:pgMar w:left="1134" w:top="256" w:right="1159" w:bottom="1440" w:gutter="0" w:footer="0" w:header="0"/>
        </w:sectPr>
      </w:pPr>
    </w:p>
    <w:bookmarkStart w:id="491" w:name="page492"/>
    <w:bookmarkEnd w:id="491"/>
    <w:p>
      <w:pPr>
        <w:ind w:left="12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(x) If Tenant fails to maintain the Premises, any expense incurred by Landlord for such maintenance.</w:t>
      </w:r>
    </w:p>
    <w:p>
      <w:pPr>
        <w:spacing w:after="0" w:line="193" w:lineRule="exact"/>
        <w:rPr>
          <w:sz w:val="20"/>
          <w:szCs w:val="20"/>
          <w:color w:val="auto"/>
        </w:rPr>
      </w:pPr>
    </w:p>
    <w:p>
      <w:pPr>
        <w:ind w:left="6"/>
        <w:spacing w:after="0" w:line="304" w:lineRule="auto"/>
        <w:rPr>
          <w:sz w:val="20"/>
          <w:szCs w:val="20"/>
          <w:color w:val="auto"/>
        </w:rPr>
      </w:pPr>
      <w:r>
        <w:rPr>
          <w:rFonts w:ascii="Arial" w:cs="Arial" w:eastAsia="Arial" w:hAnsi="Arial"/>
          <w:sz w:val="13"/>
          <w:szCs w:val="13"/>
          <w:color w:val="auto"/>
        </w:rPr>
        <w:t>Notwithstanding anything to the contrary herein, Operating Expenses shall not include and Tenant shall in no event have any obligation to perform or to pay directly, or to reimburse Landlord for, all or any portion of the following: (a) costs occasioned by casualties or condemnation (which costs are addressed in Paragraph 9.2); (b) costs to correct any construction defect in the Industrial Center or to comply with any Applicable Requirement applicable to the Industrial Center on the Commencement Date except for those costs arising from Tenant’s specific use of the Premises or any improvements made by or for Tenant; (c) increases in insurance costs caused by the activities of another occupant of the Industrial Center; (d) costs incurred in connection with the presence of any Hazardous Substance, except to the extent caused by the release or emission of the Hazardous Substance in question by Tenant or the exacerbation of any condition caused by the activities of Tenant or any improvements installed by or for Tenant; (e) interest, charges and fees incurred on debt and rent under any lease that is superior to this Lease; (f) expense reserves; (g) costs which could properly be capitalized under generally accepted accounting principles (including insurance deductibles), except to the extent amortized as set forth in subpart (vii) above; (h) costs for services not provided to Tenant under this Lease or of a nature that are payable directly by Tenant under this Lease;</w:t>
      </w:r>
    </w:p>
    <w:p>
      <w:pPr>
        <w:spacing w:after="0" w:line="4" w:lineRule="exact"/>
        <w:rPr>
          <w:sz w:val="20"/>
          <w:szCs w:val="20"/>
          <w:color w:val="auto"/>
        </w:rPr>
      </w:pPr>
    </w:p>
    <w:p>
      <w:pPr>
        <w:ind w:left="6" w:right="40" w:hanging="6"/>
        <w:spacing w:after="0" w:line="249" w:lineRule="auto"/>
        <w:tabs>
          <w:tab w:leader="none" w:pos="194" w:val="left"/>
        </w:tabs>
        <w:numPr>
          <w:ilvl w:val="0"/>
          <w:numId w:val="364"/>
        </w:numPr>
        <w:rPr>
          <w:rFonts w:ascii="Arial" w:cs="Arial" w:eastAsia="Arial" w:hAnsi="Arial"/>
          <w:sz w:val="16"/>
          <w:szCs w:val="16"/>
          <w:color w:val="auto"/>
        </w:rPr>
      </w:pPr>
      <w:r>
        <w:rPr>
          <w:rFonts w:ascii="Arial" w:cs="Arial" w:eastAsia="Arial" w:hAnsi="Arial"/>
          <w:sz w:val="16"/>
          <w:szCs w:val="16"/>
          <w:color w:val="auto"/>
        </w:rPr>
        <w:t>co-insurance payments; (j) profit or compensation retained by Landlord or its affiliates for management and administration of the Industrial Center in excess of amounts charged by other institutional landlords leasing comparable space in the vicinity of the Premises; and (k) costs to construct new buildings or facilities at the Industrial Center.</w:t>
      </w:r>
    </w:p>
    <w:p>
      <w:pPr>
        <w:spacing w:after="0" w:line="170" w:lineRule="exact"/>
        <w:rPr>
          <w:rFonts w:ascii="Arial" w:cs="Arial" w:eastAsia="Arial" w:hAnsi="Arial"/>
          <w:sz w:val="16"/>
          <w:szCs w:val="16"/>
          <w:color w:val="auto"/>
        </w:rPr>
      </w:pPr>
    </w:p>
    <w:p>
      <w:pPr>
        <w:ind w:left="6" w:right="240" w:firstLine="860"/>
        <w:spacing w:after="0" w:line="329" w:lineRule="auto"/>
        <w:tabs>
          <w:tab w:leader="none" w:pos="1094" w:val="left"/>
        </w:tabs>
        <w:numPr>
          <w:ilvl w:val="1"/>
          <w:numId w:val="364"/>
        </w:numPr>
        <w:rPr>
          <w:rFonts w:ascii="Arial" w:cs="Arial" w:eastAsia="Arial" w:hAnsi="Arial"/>
          <w:sz w:val="13"/>
          <w:szCs w:val="13"/>
          <w:color w:val="auto"/>
        </w:rPr>
      </w:pPr>
      <w:r>
        <w:rPr>
          <w:rFonts w:ascii="Arial" w:cs="Arial" w:eastAsia="Arial" w:hAnsi="Arial"/>
          <w:sz w:val="13"/>
          <w:szCs w:val="13"/>
          <w:color w:val="auto"/>
        </w:rPr>
        <w:t>Tenant’s Share of Operating Expenses that are not specifically attributed to the Premises or Building (“Common Area Operating Expenses”) shall be that percentage shown in Paragraph 1.5(a). Tenant’s Share of Operating Expenses that are attributable to the Building (“Building Operating Expenses”) shall be that percentage shown in Paragraph 1.5(b). Landlord in its reasonable discretion shall determine which Operating Expenses are Common Area Operating Expenses, Building Operating Expenses, or expenses to be entirely borne by Tenant.</w:t>
      </w:r>
    </w:p>
    <w:p>
      <w:pPr>
        <w:spacing w:after="0" w:line="123" w:lineRule="exact"/>
        <w:rPr>
          <w:rFonts w:ascii="Arial" w:cs="Arial" w:eastAsia="Arial" w:hAnsi="Arial"/>
          <w:sz w:val="13"/>
          <w:szCs w:val="13"/>
          <w:color w:val="auto"/>
        </w:rPr>
      </w:pPr>
    </w:p>
    <w:p>
      <w:pPr>
        <w:ind w:left="6" w:right="440" w:firstLine="860"/>
        <w:spacing w:after="0" w:line="266" w:lineRule="auto"/>
        <w:tabs>
          <w:tab w:leader="none" w:pos="1086" w:val="left"/>
        </w:tabs>
        <w:numPr>
          <w:ilvl w:val="1"/>
          <w:numId w:val="364"/>
        </w:numPr>
        <w:rPr>
          <w:rFonts w:ascii="Arial" w:cs="Arial" w:eastAsia="Arial" w:hAnsi="Arial"/>
          <w:sz w:val="16"/>
          <w:szCs w:val="16"/>
          <w:color w:val="auto"/>
        </w:rPr>
      </w:pPr>
      <w:r>
        <w:rPr>
          <w:rFonts w:ascii="Arial" w:cs="Arial" w:eastAsia="Arial" w:hAnsi="Arial"/>
          <w:sz w:val="16"/>
          <w:szCs w:val="16"/>
          <w:color w:val="auto"/>
        </w:rPr>
        <w:t>The inclusion of the improvements, facilities, and services set forth in Subparagraph 4.2(a) shall not impose any obligation upon Landlord either to have said improvements or facilities or to provide those services.</w:t>
      </w:r>
    </w:p>
    <w:p>
      <w:pPr>
        <w:spacing w:after="0" w:line="158" w:lineRule="exact"/>
        <w:rPr>
          <w:rFonts w:ascii="Arial" w:cs="Arial" w:eastAsia="Arial" w:hAnsi="Arial"/>
          <w:sz w:val="16"/>
          <w:szCs w:val="16"/>
          <w:color w:val="auto"/>
        </w:rPr>
      </w:pPr>
    </w:p>
    <w:p>
      <w:pPr>
        <w:ind w:left="6" w:firstLine="860"/>
        <w:spacing w:after="0" w:line="266" w:lineRule="auto"/>
        <w:tabs>
          <w:tab w:leader="none" w:pos="1094" w:val="left"/>
        </w:tabs>
        <w:numPr>
          <w:ilvl w:val="1"/>
          <w:numId w:val="364"/>
        </w:numPr>
        <w:rPr>
          <w:rFonts w:ascii="Arial" w:cs="Arial" w:eastAsia="Arial" w:hAnsi="Arial"/>
          <w:sz w:val="15"/>
          <w:szCs w:val="15"/>
          <w:color w:val="auto"/>
        </w:rPr>
      </w:pPr>
      <w:r>
        <w:rPr>
          <w:rFonts w:ascii="Arial" w:cs="Arial" w:eastAsia="Arial" w:hAnsi="Arial"/>
          <w:sz w:val="15"/>
          <w:szCs w:val="15"/>
          <w:color w:val="auto"/>
        </w:rPr>
        <w:t>Tenant shall pay monthly in advance, on the same day that the Base Rent is due, Tenant’s Share of estimated Operating Expenses in the amount set forth in Paragraph 1.6. Landlord shall deliver to Tenant within 90 days after the expiration of each calendar year a reasonably detailed statement showing Tenant’s Share of the actual Operating Expenses incurred during the preceding year. If Tenant’s estimated payments under this Paragraph 4.2(d) during the preceding year exceed Tenant’s Share as indicated on said statement, Tenant shall be credited the amount of such overpayment against Tenant’s Share of Operating Expenses next becoming due or, if the Term has expired, Landlord shall refund such amount to Tenant within thirty (30) days. If Tenant’s estimated payments under this Paragraph 4.2(d) during said preceding year were less than Tenant’s Share as indicated on said statement, Tenant shall pay to Landlord the amount of the deficiency within 30 days after delivery by Landlord to Tenant of said statement. At any time Landlord may adjust the amount of the estimated Tenant’s Share of Operating Expenses to reflect Landlord’s estimate of such expenses for the year. Tenant or its authorized representative shall have the right to inspect the books of Landlord, for the purpose of verifying the information contained in the statement.</w:t>
      </w:r>
    </w:p>
    <w:p>
      <w:pPr>
        <w:spacing w:after="0" w:line="159" w:lineRule="exact"/>
        <w:rPr>
          <w:sz w:val="20"/>
          <w:szCs w:val="20"/>
          <w:color w:val="auto"/>
        </w:rPr>
      </w:pPr>
    </w:p>
    <w:p>
      <w:pPr>
        <w:ind w:left="6" w:right="100" w:hanging="6"/>
        <w:spacing w:after="0" w:line="266" w:lineRule="auto"/>
        <w:tabs>
          <w:tab w:leader="none" w:pos="163" w:val="left"/>
        </w:tabs>
        <w:numPr>
          <w:ilvl w:val="0"/>
          <w:numId w:val="3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Security Deposit. </w:t>
      </w:r>
      <w:r>
        <w:rPr>
          <w:rFonts w:ascii="Arial" w:cs="Arial" w:eastAsia="Arial" w:hAnsi="Arial"/>
          <w:sz w:val="15"/>
          <w:szCs w:val="15"/>
          <w:color w:val="auto"/>
        </w:rPr>
        <w:t>Tenant shall deposit with Landlord upon Tenant’s execution hereof the Security Deposit set forth in Paragraph 1.7 as security for</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faithful performance of Tenant’s obligations under this Lease. If Tenant fails to pay Base Rent or Additional Rent within any applicable notice and cure period or otherwise Defaults under this Lease (as defined in Paragraph 13.1), Landlord may use the Security Deposit for the payment of any amount due Landlord or to reimburse or compensate Landlord for any liability, cost, expense, loss, or damage (including attorneys’ fees) which Landlord may suffer or incur by reason thereof. Tenant shall on demand pay Landlord the amount so used or applied so as to restore the Security Deposit to the amount set forth in Paragraph 1.7. Landlord shall not be required to keep all or any part of the Security Deposit separate from its general accounts. Landlord shall, at the expiration or earlier termination of the term hereof and after Tenant has vacated the Premises return to Tenant that portion of the Security Deposit not used or applied by Landlord. No part of the Security Deposit shall be considered to be held in trust, to bear interest, or to be prepayment for any monies to be paid by Tenant under this Lease. Notwithstanding anything to the contrary, Tenant hereby specifically acknowledges and agrees that Landlord may hold and apply the Security Deposit against future rent damages incurred by Landlord in the event of a default by Tenant under this Lease and Tenant specifically waives the provisions of California Civil Code Section 1950.7 or any statute which would prevent Landlord from making such application.</w:t>
      </w:r>
    </w:p>
    <w:p>
      <w:pPr>
        <w:spacing w:after="0" w:line="158" w:lineRule="exact"/>
        <w:rPr>
          <w:rFonts w:ascii="Arial" w:cs="Arial" w:eastAsia="Arial" w:hAnsi="Arial"/>
          <w:sz w:val="15"/>
          <w:szCs w:val="15"/>
          <w:b w:val="1"/>
          <w:bCs w:val="1"/>
          <w:color w:val="auto"/>
        </w:rPr>
      </w:pPr>
    </w:p>
    <w:p>
      <w:pPr>
        <w:ind w:left="166" w:hanging="166"/>
        <w:spacing w:after="0"/>
        <w:tabs>
          <w:tab w:leader="none" w:pos="166" w:val="left"/>
        </w:tabs>
        <w:numPr>
          <w:ilvl w:val="0"/>
          <w:numId w:val="365"/>
        </w:numPr>
        <w:rPr>
          <w:rFonts w:ascii="Arial" w:cs="Arial" w:eastAsia="Arial" w:hAnsi="Arial"/>
          <w:sz w:val="16"/>
          <w:szCs w:val="16"/>
          <w:b w:val="1"/>
          <w:bCs w:val="1"/>
          <w:color w:val="auto"/>
        </w:rPr>
      </w:pPr>
      <w:r>
        <w:rPr>
          <w:rFonts w:ascii="Arial" w:cs="Arial" w:eastAsia="Arial" w:hAnsi="Arial"/>
          <w:sz w:val="16"/>
          <w:szCs w:val="16"/>
          <w:b w:val="1"/>
          <w:bCs w:val="1"/>
          <w:color w:val="auto"/>
        </w:rPr>
        <w:t>Use.</w:t>
      </w:r>
    </w:p>
    <w:p>
      <w:pPr>
        <w:spacing w:after="0" w:line="197" w:lineRule="exact"/>
        <w:rPr>
          <w:sz w:val="20"/>
          <w:szCs w:val="20"/>
          <w:color w:val="auto"/>
        </w:rPr>
      </w:pPr>
    </w:p>
    <w:p>
      <w:pPr>
        <w:ind w:left="6" w:right="100" w:firstLine="385"/>
        <w:spacing w:after="0" w:line="323" w:lineRule="auto"/>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Permitted Use</w:t>
      </w:r>
      <w:r>
        <w:rPr>
          <w:rFonts w:ascii="Arial" w:cs="Arial" w:eastAsia="Arial" w:hAnsi="Arial"/>
          <w:sz w:val="13"/>
          <w:szCs w:val="13"/>
          <w:color w:val="auto"/>
        </w:rPr>
        <w:t>. Tenant shall use and occupy the Premises only for the Permitted Use set forth in Paragraph 1.8. Tenant shall not commit any nuisance, permit the emission of any objectionable noise or odor, suffer any waste, make any use of the Premises which is contrary to any law or ordinance, or which will invalidate or increase the premiums for any of Landlord’s insurance. For the avoidance of doubt, the Permitted Use will not invalidate or increase the premiums for any of Landlord’s insurance. Tenant shall not service, maintain, or repair vehicles on the Premises, Building, or Common Areas. Tenant shall not store foods, pallets, drums, or any other materials outside the Premises.</w:t>
      </w:r>
    </w:p>
    <w:p>
      <w:pPr>
        <w:spacing w:after="0" w:line="126"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Hazardous Substances</w:t>
      </w:r>
      <w:r>
        <w:rPr>
          <w:rFonts w:ascii="Arial" w:cs="Arial" w:eastAsia="Arial" w:hAnsi="Arial"/>
          <w:sz w:val="16"/>
          <w:szCs w:val="16"/>
          <w:color w:val="auto"/>
        </w:rPr>
        <w:t>.</w:t>
      </w:r>
    </w:p>
    <w:p>
      <w:pPr>
        <w:spacing w:after="0" w:line="193" w:lineRule="exact"/>
        <w:rPr>
          <w:sz w:val="20"/>
          <w:szCs w:val="20"/>
          <w:color w:val="auto"/>
        </w:rPr>
      </w:pPr>
    </w:p>
    <w:p>
      <w:pPr>
        <w:ind w:left="6" w:right="540" w:firstLine="860"/>
        <w:spacing w:after="0" w:line="266" w:lineRule="auto"/>
        <w:tabs>
          <w:tab w:leader="none" w:pos="1085"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Reportable Uses Require Consent</w:t>
      </w:r>
      <w:r>
        <w:rPr>
          <w:rFonts w:ascii="Arial" w:cs="Arial" w:eastAsia="Arial" w:hAnsi="Arial"/>
          <w:sz w:val="16"/>
          <w:szCs w:val="16"/>
          <w:color w:val="auto"/>
        </w:rPr>
        <w:t>. The term, “Hazardous Substance,” as used in this Lease, shall mean any product, substance, chemical, material, or waste whose presence, nature,</w:t>
      </w:r>
    </w:p>
    <w:p>
      <w:pPr>
        <w:sectPr>
          <w:pgSz w:w="11900" w:h="16838" w:orient="portrait"/>
          <w:cols w:equalWidth="0" w:num="1">
            <w:col w:w="9606"/>
          </w:cols>
          <w:pgMar w:left="1134" w:top="256" w:right="1159" w:bottom="1440" w:gutter="0" w:footer="0" w:header="0"/>
        </w:sectPr>
      </w:pPr>
    </w:p>
    <w:bookmarkStart w:id="492" w:name="page493"/>
    <w:bookmarkEnd w:id="492"/>
    <w:p>
      <w:pPr>
        <w:ind w:left="6" w:right="260"/>
        <w:spacing w:after="0" w:line="31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w:t>
      </w:r>
    </w:p>
    <w:p>
      <w:pPr>
        <w:spacing w:after="0" w:line="1" w:lineRule="exact"/>
        <w:rPr>
          <w:sz w:val="20"/>
          <w:szCs w:val="20"/>
          <w:color w:val="auto"/>
        </w:rPr>
      </w:pPr>
    </w:p>
    <w:p>
      <w:pPr>
        <w:ind w:left="6" w:right="40" w:hanging="6"/>
        <w:spacing w:after="0" w:line="308" w:lineRule="auto"/>
        <w:tabs>
          <w:tab w:leader="none" w:pos="237" w:val="left"/>
        </w:tabs>
        <w:numPr>
          <w:ilvl w:val="0"/>
          <w:numId w:val="367"/>
        </w:numPr>
        <w:rPr>
          <w:rFonts w:ascii="Arial" w:cs="Arial" w:eastAsia="Arial" w:hAnsi="Arial"/>
          <w:sz w:val="13"/>
          <w:szCs w:val="13"/>
          <w:color w:val="auto"/>
        </w:rPr>
      </w:pPr>
      <w:r>
        <w:rPr>
          <w:rFonts w:ascii="Arial" w:cs="Arial" w:eastAsia="Arial" w:hAnsi="Arial"/>
          <w:sz w:val="13"/>
          <w:szCs w:val="13"/>
          <w:color w:val="auto"/>
        </w:rPr>
        <w:t>regulated or monitored by any governmental authority; or (iii) a basis for potential liability of Landlord to any governmental agency or third party under any applicable statute or common law theory. Hazardous Substance shall include, but not be limited to, hydrocarbons, petroleum, gasoline, crude oil, or any products or by-products thereof and per- and polyfluoroalkyl substances (PFAS) which are a group of stable man-made chemicals that allow them to repel both water and oil including perfluorooctanoic acid (PFOA) and perfluorooctanesulfonic acid (PFOS). Tenant shall not engage in any activity in or about the Premises which constitutes a Reportable Use (as hereinafter defined) of Hazardous Substances without the express prior written consent of Landlord and compliance in a timely manner (at Tenant’s sole cost and expense) with all Applicable Requirements (as defined in Paragraph 6.3). “Reportable Use” shall mean (i) 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 (iii) the presence in, on, or about the Premises of a Hazardous Substance with respect to which any Applicable Requirements require that a notice be given to persons entering or occupying the Premises or neighboring properties. Notwithstanding the foregoing, Tenant may, without Landlord’s prior consent, in compliance with all Applicable Requirements, use any ordinary and customary materials reasonably required to be used by Tenant in the normal course of the Permitted Use, so long as such use does not expose the Premises or neighboring properties to any meaningful risk of contamination or damage, or expose Landlord to any liability therefor.</w:t>
      </w:r>
    </w:p>
    <w:p>
      <w:pPr>
        <w:spacing w:after="0" w:line="327" w:lineRule="exact"/>
        <w:rPr>
          <w:rFonts w:ascii="Arial" w:cs="Arial" w:eastAsia="Arial" w:hAnsi="Arial"/>
          <w:sz w:val="13"/>
          <w:szCs w:val="13"/>
          <w:color w:val="auto"/>
        </w:rPr>
      </w:pPr>
    </w:p>
    <w:p>
      <w:pPr>
        <w:ind w:left="6" w:firstLine="860"/>
        <w:spacing w:after="0" w:line="270" w:lineRule="auto"/>
        <w:tabs>
          <w:tab w:leader="none" w:pos="1094" w:val="left"/>
        </w:tabs>
        <w:numPr>
          <w:ilvl w:val="1"/>
          <w:numId w:val="367"/>
        </w:numPr>
        <w:rPr>
          <w:rFonts w:ascii="Arial" w:cs="Arial" w:eastAsia="Arial" w:hAnsi="Arial"/>
          <w:sz w:val="15"/>
          <w:szCs w:val="15"/>
          <w:color w:val="auto"/>
        </w:rPr>
      </w:pPr>
      <w:r>
        <w:rPr>
          <w:rFonts w:ascii="Arial" w:cs="Arial" w:eastAsia="Arial" w:hAnsi="Arial"/>
          <w:sz w:val="15"/>
          <w:szCs w:val="15"/>
          <w:u w:val="single" w:color="auto"/>
          <w:color w:val="auto"/>
        </w:rPr>
        <w:t>Duty to Inform Landlord</w:t>
      </w:r>
      <w:r>
        <w:rPr>
          <w:rFonts w:ascii="Arial" w:cs="Arial" w:eastAsia="Arial" w:hAnsi="Arial"/>
          <w:sz w:val="15"/>
          <w:szCs w:val="15"/>
          <w:color w:val="auto"/>
        </w:rPr>
        <w:t>. If Tenant knows, or has reasonable cause to believe, that a Hazardous Substance is located in, under, or about the Premises or the Building in violation of Applicable Requirements, Tenant shall immediately give Landlord written notice thereof, together with a copy of any statement, report, notice, registration, application, permit, business plan, license, claim, action, or proceeding given to, or received from, any governmental authority or private party concerning the presence, spill, release, discharge of, or exposure to such Hazardous Substance. Tenant shall not cause or permit any Hazardous Substance to be spilled or released in, on, under, or about the Premises (including, without limitation, through the plumbing or sanitary sewer system) in violation of Applicable Requirements.</w:t>
      </w:r>
    </w:p>
    <w:p>
      <w:pPr>
        <w:spacing w:after="0" w:line="156" w:lineRule="exact"/>
        <w:rPr>
          <w:rFonts w:ascii="Arial" w:cs="Arial" w:eastAsia="Arial" w:hAnsi="Arial"/>
          <w:sz w:val="15"/>
          <w:szCs w:val="15"/>
          <w:color w:val="auto"/>
        </w:rPr>
      </w:pPr>
    </w:p>
    <w:p>
      <w:pPr>
        <w:ind w:left="6" w:right="20" w:firstLine="860"/>
        <w:spacing w:after="0" w:line="312" w:lineRule="auto"/>
        <w:tabs>
          <w:tab w:leader="none" w:pos="1085" w:val="left"/>
        </w:tabs>
        <w:numPr>
          <w:ilvl w:val="1"/>
          <w:numId w:val="367"/>
        </w:numPr>
        <w:rPr>
          <w:rFonts w:ascii="Arial" w:cs="Arial" w:eastAsia="Arial" w:hAnsi="Arial"/>
          <w:sz w:val="13"/>
          <w:szCs w:val="13"/>
          <w:color w:val="auto"/>
        </w:rPr>
      </w:pPr>
      <w:r>
        <w:rPr>
          <w:rFonts w:ascii="Arial" w:cs="Arial" w:eastAsia="Arial" w:hAnsi="Arial"/>
          <w:sz w:val="13"/>
          <w:szCs w:val="13"/>
          <w:u w:val="single" w:color="auto"/>
          <w:color w:val="auto"/>
        </w:rPr>
        <w:t>Indemnification</w:t>
      </w:r>
      <w:r>
        <w:rPr>
          <w:rFonts w:ascii="Arial" w:cs="Arial" w:eastAsia="Arial" w:hAnsi="Arial"/>
          <w:sz w:val="13"/>
          <w:szCs w:val="13"/>
          <w:color w:val="auto"/>
        </w:rPr>
        <w:t>. Tenant shall indemnify, protect, defend, and hold Landlord, Landlord’s affiliates, Lenders, and the officers, directors, shareholders, partners, employees, managers, independent contractors, attorneys, and agents of the foregoing (“Landlord Entities”) and the Premises harmless from and against any and all damages, liabilities, judgments, costs, claims, liens, expenses, penalties, loss of permits, and attorneys’ and consultants’ fees arising out of or involving any Hazardous Substance on or brought onto the Premises by or for Tenant or by any of Tenant’s employees, agents, contractors, servants, visitors, suppliers, or invitees (such employees, agents, contractors, servants, visitors, suppliers, and invitees as herein collectively referred to as “Tenant Entities”) in violation of Applicable Requirements. Tenant’s obligations under this Paragraph 6.2(c) 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Tenant’s obligations under this Paragraph 6.2(c) shall survive the Expiration Date or earlier termination of this Lease.</w:t>
      </w:r>
    </w:p>
    <w:p>
      <w:pPr>
        <w:spacing w:after="0" w:line="137" w:lineRule="exact"/>
        <w:rPr>
          <w:sz w:val="20"/>
          <w:szCs w:val="20"/>
          <w:color w:val="auto"/>
        </w:rPr>
      </w:pPr>
    </w:p>
    <w:p>
      <w:pPr>
        <w:ind w:left="6" w:firstLine="385"/>
        <w:spacing w:after="0" w:line="310"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Tenant’s Compliance with Requirements</w:t>
      </w:r>
      <w:r>
        <w:rPr>
          <w:rFonts w:ascii="Arial" w:cs="Arial" w:eastAsia="Arial" w:hAnsi="Arial"/>
          <w:sz w:val="13"/>
          <w:szCs w:val="13"/>
          <w:color w:val="auto"/>
        </w:rPr>
        <w:t>. Tenant shall, at Tenant’s sole cost and expense, fully, diligently, and in a timely manner comply with all “Applicable Requirements,” which term is used in this Lease to mean all laws, rules, regulations, ordinances, directives, covenants, easements, and restrictions of record, permits, and the requirements of any applicable fire insurance underwriter or rating bureau, relating in any manner to the Premises (including but not limited to matters pertaining to (a) industrial hygiene, (b) environmental conditions on, in, under, or about the Premises, including soil and groundwater conditions, caused by or for Tenant and (c) the use, generation, manufacture, production, installation, maintenance, removal, transportation, storage, spill, or release of any Hazardous Substance by or for Tenant), now in effect or which may hereafter come into effect. Tenant shall, within 5 days after receipt of Landlord’s written request, provide Landlord with copies of all documents and information evidencing Tenant’s compliance with any Applicable Requirements, and shall immediately upon receipt notify Landlord in writing (with copies of any documents involved) of any threatened or actual claim, notice, citation, warning, complaint, or report pertaining to or involving failure by Tenant or the Premises to comply with any Applicable Requirements. Notwithstanding anything to the contrary herein, Tenant shall not be required to comply with or cause the Premises to comply with any Applicable Requirements requiring the construction of alterations unless such compliance is necessitated due to Tenant’s particular use of the Premises or any alterations or improvements to the Premises made by or for Tenant.</w:t>
      </w:r>
    </w:p>
    <w:p>
      <w:pPr>
        <w:spacing w:after="0" w:line="328" w:lineRule="exact"/>
        <w:rPr>
          <w:sz w:val="20"/>
          <w:szCs w:val="20"/>
          <w:color w:val="auto"/>
        </w:rPr>
      </w:pPr>
    </w:p>
    <w:p>
      <w:pPr>
        <w:ind w:left="6" w:firstLine="385"/>
        <w:spacing w:after="0" w:line="270" w:lineRule="auto"/>
        <w:rPr>
          <w:sz w:val="20"/>
          <w:szCs w:val="20"/>
          <w:color w:val="auto"/>
        </w:rPr>
      </w:pPr>
      <w:r>
        <w:rPr>
          <w:rFonts w:ascii="Arial" w:cs="Arial" w:eastAsia="Arial" w:hAnsi="Arial"/>
          <w:sz w:val="15"/>
          <w:szCs w:val="15"/>
          <w:color w:val="auto"/>
        </w:rPr>
        <w:t xml:space="preserve">6.4 </w:t>
      </w:r>
      <w:r>
        <w:rPr>
          <w:rFonts w:ascii="Arial" w:cs="Arial" w:eastAsia="Arial" w:hAnsi="Arial"/>
          <w:sz w:val="15"/>
          <w:szCs w:val="15"/>
          <w:u w:val="single" w:color="auto"/>
          <w:color w:val="auto"/>
        </w:rPr>
        <w:t>Inspection; Compliance with Law</w:t>
      </w:r>
      <w:r>
        <w:rPr>
          <w:rFonts w:ascii="Arial" w:cs="Arial" w:eastAsia="Arial" w:hAnsi="Arial"/>
          <w:sz w:val="15"/>
          <w:szCs w:val="15"/>
          <w:color w:val="auto"/>
        </w:rPr>
        <w:t>. In addition to Landlord’s environmental monitoring and insurance program, the cost of which is included in Operating Expenses, Landlord and the holders of any mortgages, deeds of trust, or ground leases on the Premises (“Lenders”) shall have the right to enter the Premises at any time in the case of an emergency, and otherwise at reasonable times and in accordance with Paragraph 16.14, for the purpose of inspecting the condition of the Premises and for verifying compliance by Tenant with this Lease and all Applicable Requirements. Landlord shall be entitled to employ experts and/or consultants in connection therewith to advise Landlord with respect to Tenant’s installation, operation, use, monitoring, maintenance, or removal of any Hazardous Substance</w:t>
      </w:r>
    </w:p>
    <w:p>
      <w:pPr>
        <w:sectPr>
          <w:pgSz w:w="11900" w:h="16838" w:orient="portrait"/>
          <w:cols w:equalWidth="0" w:num="1">
            <w:col w:w="9606"/>
          </w:cols>
          <w:pgMar w:left="1134" w:top="256" w:right="1159" w:bottom="1440" w:gutter="0" w:footer="0" w:header="0"/>
        </w:sectPr>
      </w:pPr>
    </w:p>
    <w:bookmarkStart w:id="493" w:name="page494"/>
    <w:bookmarkEnd w:id="493"/>
    <w:p>
      <w:pPr>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on or from the Premises. The cost and expenses of any such inspections shall be paid by the party requesting same unless a violation of Applicable Requirements by or for Tenant exists or is imminent in which case Tenant shall, upon request, reimburse Landlord or Landlord’s Lender, as the case may be, for the costs and expenses of such inspections. Within fifteen (15) days of Landlord’s written request, Tenant agrees to deliver to Landlord such information and/or documents as Landlord requires for Landlord to comply with California Public Resources Code Section 25402.10, or successor statute(s), and California Energy Commission adopted regulations set forth in California Code of Regulations, Title 20, Division 2, Chapter 4, Article 9, Sections 1680-1685, and successor and related California Code of Regulations, relating to commercial building energy ratings. Landlord makes the following statement based on Landlord’s actual knowledge in order to comply with California Civil Code Section 1938: The Building and Premises have not undergone an inspection by a Certified Access Specialist (CASp). A CASp can inspect the Premises and determine whether the Premises comply with all of the applicable construction-related accessibility standards under state law. Although state law does not require a CASp inspection of the Premises, the commercial property owner or lessor may not prohibit the lessee or tenant from obtaining a CASp inspection of the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Maintenance, Repairs, Trade Fixtures and Alterations.</w:t>
      </w:r>
    </w:p>
    <w:p>
      <w:pPr>
        <w:spacing w:after="0" w:line="197" w:lineRule="exact"/>
        <w:rPr>
          <w:sz w:val="20"/>
          <w:szCs w:val="20"/>
          <w:color w:val="auto"/>
        </w:rPr>
      </w:pPr>
    </w:p>
    <w:p>
      <w:pPr>
        <w:ind w:firstLine="385"/>
        <w:spacing w:after="0" w:line="308"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Tenant’s Obligations</w:t>
      </w:r>
      <w:r>
        <w:rPr>
          <w:rFonts w:ascii="Arial" w:cs="Arial" w:eastAsia="Arial" w:hAnsi="Arial"/>
          <w:sz w:val="13"/>
          <w:szCs w:val="13"/>
          <w:color w:val="auto"/>
        </w:rPr>
        <w:t>. Subject to the provisions of Paragraph 7.2 (Landlord’s Obligations), Paragraph 9 (Damage or Destruction), and Paragraph 14 (Condemnation), Tenant shall, at Tenant’s sole cost and expense and at all times, keep the Premises and every part thereof in good order, condition, and repair (whether or not such portion of the Premises requiring repair, or the means of repairing the same, are reasonably or readily accessible to Tenant and whether or not the need for such repairs occurs as a result of Tenant’s use, any prior use, the elements, or the age of such portion of the Premises) including, without limiting the generality of the foregoing, all equipment or facilities specifically serving the Premises, such as plumbing, heating, ventilating and air conditioning systems, electrical, lighting facilities, boilers, fired or unfired pressure vessels, fire hose connectors if within the Premises, fixtures, interior walls, interior surfaces of exterior walls, ceilings, floors, windows, doors, plate glass, and skylights, but excluding any items which are the responsibility of Landlord pursuant to Paragraph 7.2 below. Tenant’s obligations shall include restorations, replacements, or renewals when necessary to keep the Premises and all improvements thereon or a part thereof in good order, condition, and state of repair including, but not limited to a obtaining and maintaining, at Tenant’s sole cost and expense, a service contract (“HVAC Contract”), with a licensed HVAC contractor (“HVAC Contractor”) approved by Landlord in advance, providing for the maintenance and repair of the HVAC and providing for at least quarterly maintenance of the HVAC by the HVAC Contractor. If Tenant fails to obtain or maintain the HVAC Contract, fails to perform any maintenance or repairs suggested or required by the HVAC Contractor, or fails to perform any of Tenant’s Obligations under this Paragraph 7.1, after five (5) days written notice from Landlord to Tenant, Landlord may, at Tenant’s sole cost and expense plus an administrative fee payable by Tenant to Landlord, as Rent, equal to fifteen percent (15%) of such cost and expense, obtain and maintain the HVAC Contract, authorize or perform any repairs or maintenance suggested or required by the HVAC Contractor, perform such Tenant’s Obligations or authorize or perform any repairs, replacements or maintenance which would be Tenant’s Obligations as deemed reasonably necessary by Landlord.</w:t>
      </w:r>
    </w:p>
    <w:p>
      <w:pPr>
        <w:spacing w:after="0" w:line="326" w:lineRule="exact"/>
        <w:rPr>
          <w:sz w:val="20"/>
          <w:szCs w:val="20"/>
          <w:color w:val="auto"/>
        </w:rPr>
      </w:pPr>
    </w:p>
    <w:p>
      <w:pPr>
        <w:ind w:right="60" w:firstLine="385"/>
        <w:spacing w:after="0" w:line="267"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Landlord’s Obligations</w:t>
      </w:r>
      <w:r>
        <w:rPr>
          <w:rFonts w:ascii="Arial" w:cs="Arial" w:eastAsia="Arial" w:hAnsi="Arial"/>
          <w:sz w:val="15"/>
          <w:szCs w:val="15"/>
          <w:color w:val="auto"/>
        </w:rPr>
        <w:t>. Subject to the provisions of Paragraph 6 (Use), Paragraph 7.1 (Tenant’s Obligations), Paragraph 9 (Damage or Destruction), and Paragraph 14 (Condemnation), Landlord, at its expense and not subject to the reimbursement requirements of Paragraph 4.2, shall keep in good order, condition, and repair the roof structure, foundations and exterior walls of the Building and utility systems within the Industrial Center, except to the extent that any repair was caused by the negligent or intentional acts or omissions of Tenant or its agents and Landlord is unable to collect on any insurance coverage which would reimburse Landlord for such repair; provided, that, Landlord shall be responsible for such repair if Landlord’s inability to collect on such insurance coverage is caused by Landlord’s failure to maintain the insurance required hereunder. Landlord, subject to reimbursement pursuant to Paragraph 4.2, shall keep in good order, condition, and repair the Building roof membrane and Common Areas. Notwithstanding anything to the contrary herein, all capital improvements, repairs and replacements to the Building or the Common Areas shall be performed by Landlord and amortized in the manner set forth in Paragraph 4.2(a)(vii) of this Lease.</w:t>
      </w:r>
    </w:p>
    <w:p>
      <w:pPr>
        <w:spacing w:after="0" w:line="159" w:lineRule="exact"/>
        <w:rPr>
          <w:sz w:val="20"/>
          <w:szCs w:val="20"/>
          <w:color w:val="auto"/>
        </w:rPr>
      </w:pPr>
    </w:p>
    <w:p>
      <w:pPr>
        <w:ind w:right="40" w:firstLine="385"/>
        <w:spacing w:after="0" w:line="272"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Alterations</w:t>
      </w:r>
      <w:r>
        <w:rPr>
          <w:rFonts w:ascii="Arial" w:cs="Arial" w:eastAsia="Arial" w:hAnsi="Arial"/>
          <w:sz w:val="15"/>
          <w:szCs w:val="15"/>
          <w:color w:val="auto"/>
        </w:rPr>
        <w:t>. Tenant shall not make nor cause to be made any alterations or installations in, on, under, or about the Premises without Landlord’s prior written consent, which shall not be unreasonably withheld, conditioned, or delayed. Notwithstanding anything to the contrary herein, Tenant’s trade fixtures, furniture, equipment and other personal property installed in the Premises including, without limitation, any programmable oligonucleotide delivery systems (collectively, “Tenant’s Property”) shall at all times be and remain Tenant’s property. At any time Tenant may remove Tenant’s Property from the Premises, provided that Tenant repairs all damage caused by such removal.</w:t>
      </w:r>
    </w:p>
    <w:p>
      <w:pPr>
        <w:spacing w:after="0" w:line="154" w:lineRule="exact"/>
        <w:rPr>
          <w:sz w:val="20"/>
          <w:szCs w:val="20"/>
          <w:color w:val="auto"/>
        </w:rPr>
      </w:pPr>
    </w:p>
    <w:p>
      <w:pPr>
        <w:ind w:right="140" w:firstLine="385"/>
        <w:spacing w:after="0" w:line="251"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Surrender/Restoration</w:t>
      </w:r>
      <w:r>
        <w:rPr>
          <w:rFonts w:ascii="Arial" w:cs="Arial" w:eastAsia="Arial" w:hAnsi="Arial"/>
          <w:sz w:val="16"/>
          <w:szCs w:val="16"/>
          <w:color w:val="auto"/>
        </w:rPr>
        <w:t>. Tenant shall surrender the Premises by the end of the last day of the Lease term or any earlier termination date, clean and free of debris and in good operating order, condition, and state of repair, ordinary wear and tear, casualty, condemnation, and repairs that Tenant is not responsible for hereunder excepted and in accordance with the Move-Out Standards, Exhibit D to this Lease. Without limiting the generality of the above, Tenant shall remove all tenant improvements designated by Landlord in Landlord’s sole discretion at the time it provides its consent thereto), personal</w:t>
      </w:r>
    </w:p>
    <w:p>
      <w:pPr>
        <w:sectPr>
          <w:pgSz w:w="11900" w:h="16838" w:orient="portrait"/>
          <w:cols w:equalWidth="0" w:num="1">
            <w:col w:w="9600"/>
          </w:cols>
          <w:pgMar w:left="1140" w:top="257" w:right="1159" w:bottom="1440" w:gutter="0" w:footer="0" w:header="0"/>
        </w:sectPr>
      </w:pPr>
    </w:p>
    <w:bookmarkStart w:id="494" w:name="page495"/>
    <w:bookmarkEnd w:id="494"/>
    <w:p>
      <w:pPr>
        <w:spacing w:after="0" w:line="25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90105" cy="34925"/>
                    </a:xfrm>
                    <a:prstGeom prst="rect">
                      <a:avLst/>
                    </a:prstGeom>
                    <a:noFill/>
                  </pic:spPr>
                </pic:pic>
              </a:graphicData>
            </a:graphic>
          </wp:anchor>
        </w:drawing>
        <w:t>property, trade fixtures, and floor bolts, patch all floors, and cause all lights to be in good operating condition. Further, pursuant to Tenant’s maintenance, repair and replacement obligations under Section 7.1 of this Lease and subject to the foregoing limitations in this Section 7.4, on surrender of the Premises, the Storage Area shall be in good order and condition with all improvements removed to the extent specifically set forth in this Lease and all damage repaired.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Insurance; Indemnity.</w:t>
      </w:r>
    </w:p>
    <w:p>
      <w:pPr>
        <w:spacing w:after="0" w:line="197" w:lineRule="exact"/>
        <w:rPr>
          <w:sz w:val="20"/>
          <w:szCs w:val="20"/>
          <w:color w:val="auto"/>
        </w:rPr>
      </w:pPr>
    </w:p>
    <w:p>
      <w:pPr>
        <w:ind w:right="40" w:firstLine="385"/>
        <w:spacing w:after="0" w:line="281" w:lineRule="auto"/>
        <w:rPr>
          <w:sz w:val="20"/>
          <w:szCs w:val="20"/>
          <w:color w:val="auto"/>
        </w:rPr>
      </w:pPr>
      <w:r>
        <w:rPr>
          <w:rFonts w:ascii="Arial" w:cs="Arial" w:eastAsia="Arial" w:hAnsi="Arial"/>
          <w:sz w:val="15"/>
          <w:szCs w:val="15"/>
          <w:color w:val="auto"/>
        </w:rPr>
        <w:t xml:space="preserve">8.1 </w:t>
      </w:r>
      <w:r>
        <w:rPr>
          <w:rFonts w:ascii="Arial" w:cs="Arial" w:eastAsia="Arial" w:hAnsi="Arial"/>
          <w:sz w:val="15"/>
          <w:szCs w:val="15"/>
          <w:u w:val="single" w:color="auto"/>
          <w:color w:val="auto"/>
        </w:rPr>
        <w:t>Payment of Premiums</w:t>
      </w:r>
      <w:r>
        <w:rPr>
          <w:rFonts w:ascii="Arial" w:cs="Arial" w:eastAsia="Arial" w:hAnsi="Arial"/>
          <w:sz w:val="15"/>
          <w:szCs w:val="15"/>
          <w:color w:val="auto"/>
        </w:rPr>
        <w:t>. The cost of the premiums for the insurance policies maintained by Landlord under this Paragraph 8 shall be a Common Area Operating Expense reimbursable pursuant to Paragraph 4.2 hereof. Premiums for policy periods commencing prior to, or extending beyond, the term of this Lease shall be prorated to coincide with the corresponding Commencement Date and Expiration Date.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Tenant’s Insurance</w:t>
      </w:r>
      <w:r>
        <w:rPr>
          <w:rFonts w:ascii="Arial" w:cs="Arial" w:eastAsia="Arial" w:hAnsi="Arial"/>
          <w:sz w:val="16"/>
          <w:szCs w:val="16"/>
          <w:color w:val="auto"/>
        </w:rPr>
        <w:t>.</w:t>
      </w:r>
    </w:p>
    <w:p>
      <w:pPr>
        <w:spacing w:after="0" w:line="193" w:lineRule="exact"/>
        <w:rPr>
          <w:sz w:val="20"/>
          <w:szCs w:val="20"/>
          <w:color w:val="auto"/>
        </w:rPr>
      </w:pPr>
    </w:p>
    <w:p>
      <w:pPr>
        <w:ind w:right="560" w:firstLine="860"/>
        <w:spacing w:after="0" w:line="300" w:lineRule="auto"/>
        <w:tabs>
          <w:tab w:leader="none" w:pos="1079" w:val="left"/>
        </w:tabs>
        <w:numPr>
          <w:ilvl w:val="0"/>
          <w:numId w:val="368"/>
        </w:numPr>
        <w:rPr>
          <w:rFonts w:ascii="Arial" w:cs="Arial" w:eastAsia="Arial" w:hAnsi="Arial"/>
          <w:sz w:val="15"/>
          <w:szCs w:val="15"/>
          <w:color w:val="auto"/>
        </w:rPr>
      </w:pPr>
      <w:r>
        <w:rPr>
          <w:rFonts w:ascii="Arial" w:cs="Arial" w:eastAsia="Arial" w:hAnsi="Arial"/>
          <w:sz w:val="15"/>
          <w:szCs w:val="15"/>
          <w:color w:val="auto"/>
        </w:rPr>
        <w:t>At its sole cost and expense, Tenant shall maintain in full force and effect during the Term of the Lease the following insurance coverages insuring against claims which may arise from or in connection with the Tenant’s operation and use of the Premises.</w:t>
      </w:r>
    </w:p>
    <w:p>
      <w:pPr>
        <w:spacing w:after="0" w:line="134" w:lineRule="exact"/>
        <w:rPr>
          <w:rFonts w:ascii="Arial" w:cs="Arial" w:eastAsia="Arial" w:hAnsi="Arial"/>
          <w:sz w:val="15"/>
          <w:szCs w:val="15"/>
          <w:color w:val="auto"/>
        </w:rPr>
      </w:pPr>
    </w:p>
    <w:p>
      <w:pPr>
        <w:ind w:right="20" w:firstLine="1244"/>
        <w:spacing w:after="0" w:line="343" w:lineRule="auto"/>
        <w:tabs>
          <w:tab w:leader="none" w:pos="1438" w:val="left"/>
        </w:tabs>
        <w:numPr>
          <w:ilvl w:val="1"/>
          <w:numId w:val="368"/>
        </w:numPr>
        <w:rPr>
          <w:rFonts w:ascii="Arial" w:cs="Arial" w:eastAsia="Arial" w:hAnsi="Arial"/>
          <w:sz w:val="13"/>
          <w:szCs w:val="13"/>
          <w:color w:val="auto"/>
        </w:rPr>
      </w:pPr>
      <w:r>
        <w:rPr>
          <w:rFonts w:ascii="Arial" w:cs="Arial" w:eastAsia="Arial" w:hAnsi="Arial"/>
          <w:sz w:val="13"/>
          <w:szCs w:val="13"/>
          <w:color w:val="auto"/>
        </w:rPr>
        <w:t>Commercial General Liability insurance with minimum limits of $2,000,000 per occurrence and $4,000,000 general aggregate for bodily injury, personal injury, and property damage. Such insurance shall be endorsed to include Landlord and Landlord Entities as additional insureds, shall be primary and noncontributory with any Landlord insurance, and shall provide severability of interests between or among insureds.</w:t>
      </w:r>
    </w:p>
    <w:p>
      <w:pPr>
        <w:spacing w:after="0" w:line="113" w:lineRule="exact"/>
        <w:rPr>
          <w:rFonts w:ascii="Arial" w:cs="Arial" w:eastAsia="Arial" w:hAnsi="Arial"/>
          <w:sz w:val="13"/>
          <w:szCs w:val="13"/>
          <w:color w:val="auto"/>
        </w:rPr>
      </w:pPr>
    </w:p>
    <w:p>
      <w:pPr>
        <w:ind w:left="1480" w:hanging="236"/>
        <w:spacing w:after="0"/>
        <w:tabs>
          <w:tab w:leader="none" w:pos="1480" w:val="left"/>
        </w:tabs>
        <w:numPr>
          <w:ilvl w:val="1"/>
          <w:numId w:val="368"/>
        </w:numPr>
        <w:rPr>
          <w:rFonts w:ascii="Arial" w:cs="Arial" w:eastAsia="Arial" w:hAnsi="Arial"/>
          <w:sz w:val="13"/>
          <w:szCs w:val="13"/>
          <w:color w:val="auto"/>
        </w:rPr>
      </w:pPr>
      <w:r>
        <w:rPr>
          <w:rFonts w:ascii="Arial" w:cs="Arial" w:eastAsia="Arial" w:hAnsi="Arial"/>
          <w:sz w:val="13"/>
          <w:szCs w:val="13"/>
          <w:color w:val="auto"/>
        </w:rPr>
        <w:t>Workers’ Compensation insurance with statutory limits and Employers Liability with a $1,000,000 per accident limit for bodily</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injury or disease.</w:t>
      </w:r>
    </w:p>
    <w:p>
      <w:pPr>
        <w:spacing w:after="0" w:line="181" w:lineRule="exact"/>
        <w:rPr>
          <w:rFonts w:ascii="Arial" w:cs="Arial" w:eastAsia="Arial" w:hAnsi="Arial"/>
          <w:sz w:val="13"/>
          <w:szCs w:val="13"/>
          <w:color w:val="auto"/>
        </w:rPr>
      </w:pPr>
    </w:p>
    <w:p>
      <w:pPr>
        <w:ind w:firstLine="1244"/>
        <w:spacing w:after="0" w:line="266" w:lineRule="auto"/>
        <w:tabs>
          <w:tab w:leader="none" w:pos="1525" w:val="left"/>
        </w:tabs>
        <w:numPr>
          <w:ilvl w:val="1"/>
          <w:numId w:val="368"/>
        </w:numPr>
        <w:rPr>
          <w:rFonts w:ascii="Arial" w:cs="Arial" w:eastAsia="Arial" w:hAnsi="Arial"/>
          <w:sz w:val="16"/>
          <w:szCs w:val="16"/>
          <w:color w:val="auto"/>
        </w:rPr>
      </w:pPr>
      <w:r>
        <w:rPr>
          <w:rFonts w:ascii="Arial" w:cs="Arial" w:eastAsia="Arial" w:hAnsi="Arial"/>
          <w:sz w:val="16"/>
          <w:szCs w:val="16"/>
          <w:color w:val="auto"/>
        </w:rPr>
        <w:t>Automobile liability insurance covering all owned, nonowned, and hired vehicles with a $1,000,000 per accident limit for bodily injury and property damage.</w:t>
      </w:r>
    </w:p>
    <w:p>
      <w:pPr>
        <w:spacing w:after="0" w:line="158" w:lineRule="exact"/>
        <w:rPr>
          <w:rFonts w:ascii="Arial" w:cs="Arial" w:eastAsia="Arial" w:hAnsi="Arial"/>
          <w:sz w:val="16"/>
          <w:szCs w:val="16"/>
          <w:color w:val="auto"/>
        </w:rPr>
      </w:pPr>
    </w:p>
    <w:p>
      <w:pPr>
        <w:ind w:right="260" w:firstLine="1244"/>
        <w:spacing w:after="0" w:line="343" w:lineRule="auto"/>
        <w:tabs>
          <w:tab w:leader="none" w:pos="1517" w:val="left"/>
        </w:tabs>
        <w:numPr>
          <w:ilvl w:val="1"/>
          <w:numId w:val="368"/>
        </w:numPr>
        <w:rPr>
          <w:rFonts w:ascii="Arial" w:cs="Arial" w:eastAsia="Arial" w:hAnsi="Arial"/>
          <w:sz w:val="13"/>
          <w:szCs w:val="13"/>
          <w:color w:val="auto"/>
        </w:rPr>
      </w:pPr>
      <w:r>
        <w:rPr>
          <w:rFonts w:ascii="Arial" w:cs="Arial" w:eastAsia="Arial" w:hAnsi="Arial"/>
          <w:sz w:val="13"/>
          <w:szCs w:val="13"/>
          <w:color w:val="auto"/>
        </w:rPr>
        <w:t>Property insurance against “all risks” at least as broad as the current ISO Special Form policy, for loss to any tenant improvements or betterments installed by or for Tenant, floor and wall coverings, and business personal property on a full insurable replacement cost basis with no coinsurance clause, and Business Income insurance covering at least six months of loss of income and continuing expense.</w:t>
      </w:r>
    </w:p>
    <w:p>
      <w:pPr>
        <w:spacing w:after="0" w:line="113" w:lineRule="exact"/>
        <w:rPr>
          <w:rFonts w:ascii="Arial" w:cs="Arial" w:eastAsia="Arial" w:hAnsi="Arial"/>
          <w:sz w:val="13"/>
          <w:szCs w:val="13"/>
          <w:color w:val="auto"/>
        </w:rPr>
      </w:pPr>
    </w:p>
    <w:p>
      <w:pPr>
        <w:ind w:right="220" w:firstLine="860"/>
        <w:spacing w:after="0" w:line="266" w:lineRule="auto"/>
        <w:tabs>
          <w:tab w:leader="none" w:pos="108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Tenant shall deliver to Landlord certificates of all insurance reflecting evidence of required coverages prior to initial occupancy, and annually thereafter.</w:t>
      </w:r>
    </w:p>
    <w:p>
      <w:pPr>
        <w:spacing w:after="0" w:line="158" w:lineRule="exact"/>
        <w:rPr>
          <w:rFonts w:ascii="Arial" w:cs="Arial" w:eastAsia="Arial" w:hAnsi="Arial"/>
          <w:sz w:val="16"/>
          <w:szCs w:val="16"/>
          <w:color w:val="auto"/>
        </w:rPr>
      </w:pPr>
    </w:p>
    <w:p>
      <w:pPr>
        <w:ind w:right="180" w:firstLine="860"/>
        <w:spacing w:after="0" w:line="343" w:lineRule="auto"/>
        <w:tabs>
          <w:tab w:leader="none" w:pos="1079" w:val="left"/>
        </w:tabs>
        <w:numPr>
          <w:ilvl w:val="0"/>
          <w:numId w:val="368"/>
        </w:numPr>
        <w:rPr>
          <w:rFonts w:ascii="Arial" w:cs="Arial" w:eastAsia="Arial" w:hAnsi="Arial"/>
          <w:sz w:val="13"/>
          <w:szCs w:val="13"/>
          <w:color w:val="auto"/>
        </w:rPr>
      </w:pPr>
      <w:r>
        <w:rPr>
          <w:rFonts w:ascii="Arial" w:cs="Arial" w:eastAsia="Arial" w:hAnsi="Arial"/>
          <w:sz w:val="13"/>
          <w:szCs w:val="13"/>
          <w:color w:val="auto"/>
        </w:rPr>
        <w:t>If, in the reasonable opinion of Landlord’s insurance advisor, the amount or scope of such coverage is deemed inadequate at any time during the Term, Tenant shall increase such coverage to such reasonable amounts or scope as Landlord’s advisor deems adequate; provided that such increase is consistent with the requirements of other institutional landlords leasing industrial space in the vicinity of the Premises.</w:t>
      </w:r>
    </w:p>
    <w:p>
      <w:pPr>
        <w:spacing w:after="0" w:line="113" w:lineRule="exact"/>
        <w:rPr>
          <w:rFonts w:ascii="Arial" w:cs="Arial" w:eastAsia="Arial" w:hAnsi="Arial"/>
          <w:sz w:val="13"/>
          <w:szCs w:val="13"/>
          <w:color w:val="auto"/>
        </w:rPr>
      </w:pPr>
    </w:p>
    <w:p>
      <w:pPr>
        <w:jc w:val="both"/>
        <w:ind w:right="40" w:firstLine="860"/>
        <w:spacing w:after="0" w:line="256" w:lineRule="auto"/>
        <w:tabs>
          <w:tab w:leader="none" w:pos="1088" w:val="left"/>
        </w:tabs>
        <w:numPr>
          <w:ilvl w:val="0"/>
          <w:numId w:val="368"/>
        </w:numPr>
        <w:rPr>
          <w:rFonts w:ascii="Arial" w:cs="Arial" w:eastAsia="Arial" w:hAnsi="Arial"/>
          <w:sz w:val="16"/>
          <w:szCs w:val="16"/>
          <w:color w:val="auto"/>
        </w:rPr>
      </w:pPr>
      <w:r>
        <w:rPr>
          <w:rFonts w:ascii="Arial" w:cs="Arial" w:eastAsia="Arial" w:hAnsi="Arial"/>
          <w:sz w:val="16"/>
          <w:szCs w:val="16"/>
          <w:color w:val="auto"/>
        </w:rPr>
        <w:t>All insurance required under Paragraph 8.2 (i) shall be issued by insurers licensed to do business in the state in which the Premises are located and which are rated A:VII or better by Best’s Key Rating Guide and (ii) Tenant shall provide at least 30-days prior notification of cancellation or material reduction in coverage to said additional insureds.</w:t>
      </w:r>
    </w:p>
    <w:p>
      <w:pPr>
        <w:spacing w:after="0" w:line="166" w:lineRule="exact"/>
        <w:rPr>
          <w:sz w:val="20"/>
          <w:szCs w:val="20"/>
          <w:color w:val="auto"/>
        </w:rPr>
      </w:pPr>
    </w:p>
    <w:p>
      <w:pPr>
        <w:ind w:right="20" w:firstLine="385"/>
        <w:spacing w:after="0" w:line="272" w:lineRule="auto"/>
        <w:rPr>
          <w:sz w:val="20"/>
          <w:szCs w:val="20"/>
          <w:color w:val="auto"/>
        </w:rPr>
      </w:pPr>
      <w:r>
        <w:rPr>
          <w:rFonts w:ascii="Arial" w:cs="Arial" w:eastAsia="Arial" w:hAnsi="Arial"/>
          <w:sz w:val="15"/>
          <w:szCs w:val="15"/>
          <w:color w:val="auto"/>
        </w:rPr>
        <w:t xml:space="preserve">8.3 </w:t>
      </w:r>
      <w:r>
        <w:rPr>
          <w:rFonts w:ascii="Arial" w:cs="Arial" w:eastAsia="Arial" w:hAnsi="Arial"/>
          <w:sz w:val="15"/>
          <w:szCs w:val="15"/>
          <w:u w:val="single" w:color="auto"/>
          <w:color w:val="auto"/>
        </w:rPr>
        <w:t>Landlord’s Insurance</w:t>
      </w:r>
      <w:r>
        <w:rPr>
          <w:rFonts w:ascii="Arial" w:cs="Arial" w:eastAsia="Arial" w:hAnsi="Arial"/>
          <w:sz w:val="15"/>
          <w:szCs w:val="15"/>
          <w:color w:val="auto"/>
        </w:rPr>
        <w:t>. Landlord shall be obligated to, maintain “all risks” coverage as broad as the current ISO Special Form policy, including earthquake and flood, covering the buildings within the Industrial Center, Commercial General Liability insurance, and such other insurance in such amounts and covering such other liability or hazards as deemed appropriate by Landlord. The amount and scope of coverage of Landlord’s insurance shall be determined by Landlord from time to time in its sole discretion and shall be subject to such deductible amounts as Landlord may elect. Landlord shall have the right to reduce or terminate any insurance or coverage not otherwise required herein.</w:t>
      </w:r>
    </w:p>
    <w:p>
      <w:pPr>
        <w:spacing w:after="0" w:line="154" w:lineRule="exact"/>
        <w:rPr>
          <w:sz w:val="20"/>
          <w:szCs w:val="20"/>
          <w:color w:val="auto"/>
        </w:rPr>
      </w:pPr>
    </w:p>
    <w:p>
      <w:pPr>
        <w:ind w:right="60" w:firstLine="385"/>
        <w:spacing w:after="0" w:line="25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Waiver of Subrogation</w:t>
      </w:r>
      <w:r>
        <w:rPr>
          <w:rFonts w:ascii="Arial" w:cs="Arial" w:eastAsia="Arial" w:hAnsi="Arial"/>
          <w:sz w:val="16"/>
          <w:szCs w:val="16"/>
          <w:color w:val="auto"/>
        </w:rPr>
        <w:t>. Notwithstanding anything to the contrary herein, to the extent permitted by law and with permission of their insurance carriers, Landlord and Tenant each waive and release any right to recover against the other on account of any and all claims Landlord or Tenant may have against the other that arise from a risk that is covered by property insurance actually carried, required to be carried hereunder, or which would normally be covered by “all risk” property insurance. All of Landlord’s and Tenant’s repair and indemnity obligations under this Lease shall be subject to the waiver and release contained in this paragraph.</w:t>
      </w:r>
    </w:p>
    <w:p>
      <w:pPr>
        <w:spacing w:after="0" w:line="170" w:lineRule="exact"/>
        <w:rPr>
          <w:sz w:val="20"/>
          <w:szCs w:val="20"/>
          <w:color w:val="auto"/>
        </w:rPr>
      </w:pPr>
    </w:p>
    <w:p>
      <w:pPr>
        <w:ind w:right="220" w:firstLine="385"/>
        <w:spacing w:after="0" w:line="256"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Indemnity</w:t>
      </w:r>
      <w:r>
        <w:rPr>
          <w:rFonts w:ascii="Arial" w:cs="Arial" w:eastAsia="Arial" w:hAnsi="Arial"/>
          <w:sz w:val="16"/>
          <w:szCs w:val="16"/>
          <w:color w:val="auto"/>
        </w:rPr>
        <w:t>. Except to the extent caused by Landlord’s or the Landlord Entities’ negligence, willful misconduct, or violation of this Lease, Tenant shall protect, defend, indemnify, and hold Landlord and Landlord Entities harmless from and against any and all loss, claims, liability, or costs (including court costs and attorneys’ fees) incurred by reason of:</w:t>
      </w:r>
    </w:p>
    <w:p>
      <w:pPr>
        <w:spacing w:after="0" w:line="166" w:lineRule="exact"/>
        <w:rPr>
          <w:sz w:val="20"/>
          <w:szCs w:val="20"/>
          <w:color w:val="auto"/>
        </w:rPr>
      </w:pPr>
    </w:p>
    <w:p>
      <w:pPr>
        <w:ind w:right="40" w:firstLine="860"/>
        <w:spacing w:after="0" w:line="253" w:lineRule="auto"/>
        <w:tabs>
          <w:tab w:leader="none" w:pos="107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any damage to any property (including but not limited to property of any Landlord Entity) or death, bodily, or personal injury to any person occurring in or about the Premises, the Building, or the Industrial Center to the extent that such injury or damage shall be caused by or arise from any actual or alleged act, neglect, fault, or omission by or of Tenant, its agents, servants, employees, invitees, contractors, suppliers, subtenants, or visitors;</w:t>
      </w:r>
    </w:p>
    <w:p>
      <w:pPr>
        <w:spacing w:after="0" w:line="167" w:lineRule="exact"/>
        <w:rPr>
          <w:rFonts w:ascii="Arial" w:cs="Arial" w:eastAsia="Arial" w:hAnsi="Arial"/>
          <w:sz w:val="16"/>
          <w:szCs w:val="16"/>
          <w:color w:val="auto"/>
        </w:rPr>
      </w:pPr>
    </w:p>
    <w:p>
      <w:pPr>
        <w:ind w:right="180" w:firstLine="860"/>
        <w:spacing w:after="0" w:line="266" w:lineRule="auto"/>
        <w:tabs>
          <w:tab w:leader="none" w:pos="108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the conduct or management of any work or anything whatsoever done by the Tenant on or about the Premises or from transactions of the Tenant concerning the Premises;</w:t>
      </w:r>
    </w:p>
    <w:p>
      <w:pPr>
        <w:spacing w:after="0" w:line="158" w:lineRule="exact"/>
        <w:rPr>
          <w:rFonts w:ascii="Arial" w:cs="Arial" w:eastAsia="Arial" w:hAnsi="Arial"/>
          <w:sz w:val="16"/>
          <w:szCs w:val="16"/>
          <w:color w:val="auto"/>
        </w:rPr>
      </w:pPr>
    </w:p>
    <w:p>
      <w:pPr>
        <w:ind w:right="280" w:firstLine="860"/>
        <w:spacing w:after="0" w:line="266" w:lineRule="auto"/>
        <w:tabs>
          <w:tab w:leader="none" w:pos="1079" w:val="left"/>
        </w:tabs>
        <w:numPr>
          <w:ilvl w:val="0"/>
          <w:numId w:val="369"/>
        </w:numPr>
        <w:rPr>
          <w:rFonts w:ascii="Arial" w:cs="Arial" w:eastAsia="Arial" w:hAnsi="Arial"/>
          <w:sz w:val="16"/>
          <w:szCs w:val="16"/>
          <w:color w:val="auto"/>
        </w:rPr>
      </w:pPr>
      <w:r>
        <w:rPr>
          <w:rFonts w:ascii="Arial" w:cs="Arial" w:eastAsia="Arial" w:hAnsi="Arial"/>
          <w:sz w:val="16"/>
          <w:szCs w:val="16"/>
          <w:color w:val="auto"/>
        </w:rPr>
        <w:t>Tenant’s failure to comply with any and all governmental laws, ordinances, and regulations applicable to the condition or use of the Premises or its occupancy; or</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0"/>
          <w:numId w:val="369"/>
        </w:numPr>
        <w:rPr>
          <w:rFonts w:ascii="Arial" w:cs="Arial" w:eastAsia="Arial" w:hAnsi="Arial"/>
          <w:sz w:val="13"/>
          <w:szCs w:val="13"/>
          <w:color w:val="auto"/>
        </w:rPr>
      </w:pPr>
      <w:r>
        <w:rPr>
          <w:rFonts w:ascii="Arial" w:cs="Arial" w:eastAsia="Arial" w:hAnsi="Arial"/>
          <w:sz w:val="13"/>
          <w:szCs w:val="13"/>
          <w:color w:val="auto"/>
        </w:rPr>
        <w:t>any breach or default on the part of Tenant in the performance of any covenant or agreement to be performed pursuant to this Lease.</w:t>
      </w:r>
    </w:p>
    <w:p>
      <w:pPr>
        <w:spacing w:after="0" w:line="228" w:lineRule="exact"/>
        <w:rPr>
          <w:sz w:val="20"/>
          <w:szCs w:val="20"/>
          <w:color w:val="auto"/>
        </w:rPr>
      </w:pPr>
    </w:p>
    <w:p>
      <w:pPr>
        <w:ind w:right="60" w:firstLine="866"/>
        <w:spacing w:after="0" w:line="266" w:lineRule="auto"/>
        <w:rPr>
          <w:sz w:val="20"/>
          <w:szCs w:val="20"/>
          <w:color w:val="auto"/>
        </w:rPr>
      </w:pPr>
      <w:r>
        <w:rPr>
          <w:rFonts w:ascii="Arial" w:cs="Arial" w:eastAsia="Arial" w:hAnsi="Arial"/>
          <w:sz w:val="16"/>
          <w:szCs w:val="16"/>
          <w:color w:val="auto"/>
        </w:rPr>
        <w:t>The provisions of this Paragraph 8.5 shall, with respect to any claims or liability accruing prior to such termination, survive the Expiration Date or earlier termination of this Lease.</w:t>
      </w:r>
    </w:p>
    <w:p>
      <w:pPr>
        <w:sectPr>
          <w:pgSz w:w="11900" w:h="16838" w:orient="portrait"/>
          <w:cols w:equalWidth="0" w:num="1">
            <w:col w:w="9620"/>
          </w:cols>
          <w:pgMar w:left="1140" w:top="256" w:right="1139" w:bottom="1440" w:gutter="0" w:footer="0" w:header="0"/>
        </w:sectPr>
      </w:pPr>
    </w:p>
    <w:bookmarkStart w:id="495" w:name="page496"/>
    <w:bookmarkEnd w:id="495"/>
    <w:p>
      <w:pPr>
        <w:ind w:left="6" w:right="160" w:firstLine="385"/>
        <w:spacing w:after="0" w:line="30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8.6 </w:t>
      </w:r>
      <w:r>
        <w:rPr>
          <w:rFonts w:ascii="Arial" w:cs="Arial" w:eastAsia="Arial" w:hAnsi="Arial"/>
          <w:sz w:val="13"/>
          <w:szCs w:val="13"/>
          <w:u w:val="single" w:color="auto"/>
          <w:color w:val="auto"/>
        </w:rPr>
        <w:t>Exemption of Landlord from Liability</w:t>
      </w:r>
      <w:r>
        <w:rPr>
          <w:rFonts w:ascii="Arial" w:cs="Arial" w:eastAsia="Arial" w:hAnsi="Arial"/>
          <w:sz w:val="13"/>
          <w:szCs w:val="13"/>
          <w:color w:val="auto"/>
        </w:rPr>
        <w:t>. Except to the extent caused by the gross negligence or willful misconduct of Landlord or Landlord’s violation of this Lease, neither Landlord nor Landlord Entities shall be liable for and Tenant waives any claims against Landlord and Landlord Entities for injury or damage to the person or the property of Tenant, Tenant’s employees, contractors, invitees, customers or any other person in or about the Premises, Building or Industrial Center from any cause whatsoever, including, but not limited to, damage or injury which is caused by or results from</w:t>
      </w:r>
    </w:p>
    <w:p>
      <w:pPr>
        <w:spacing w:after="0" w:line="1" w:lineRule="exact"/>
        <w:rPr>
          <w:sz w:val="20"/>
          <w:szCs w:val="20"/>
          <w:color w:val="auto"/>
        </w:rPr>
      </w:pPr>
    </w:p>
    <w:p>
      <w:pPr>
        <w:ind w:left="6" w:right="60" w:hanging="6"/>
        <w:spacing w:after="0" w:line="246" w:lineRule="auto"/>
        <w:tabs>
          <w:tab w:leader="none" w:pos="194" w:val="left"/>
        </w:tabs>
        <w:numPr>
          <w:ilvl w:val="0"/>
          <w:numId w:val="370"/>
        </w:numPr>
        <w:rPr>
          <w:rFonts w:ascii="Arial" w:cs="Arial" w:eastAsia="Arial" w:hAnsi="Arial"/>
          <w:sz w:val="16"/>
          <w:szCs w:val="16"/>
          <w:color w:val="auto"/>
        </w:rPr>
      </w:pPr>
      <w:r>
        <w:rPr>
          <w:rFonts w:ascii="Arial" w:cs="Arial" w:eastAsia="Arial" w:hAnsi="Arial"/>
          <w:sz w:val="16"/>
          <w:szCs w:val="16"/>
          <w:color w:val="auto"/>
        </w:rPr>
        <w:t>fire, steam, electricity, gas, water or rain, or from the breakage, leakage, obstruction or other defects of pipes, fire sprinklers, wires, appliances, plumbing, heating, ventilating, air conditioning or lighting fixtures or (ii) from the condition of the Premises, other portions of the Building or Industrial Center. Landlord shall not be liable for any damages arising from any act or neglect of any other tenants of Landlord or any subtenant or assignee of such other tenants nor from the failure by Landlord to enforce the provisions of any other lease in the Industrial Center. Notwithstanding Landlord’s negligence, gross negligence, or breach of this Lease, Landlord shall under no circumstances be liable for (a) injury to Tenant’s business, for any loss of income or profit therefrom or any indirect, consequential or punitive damages or (b) any damage to property or injury to persons arising from any act of God or war, violence or insurrection including, but not limited to, those caused by earthquakes, hurricanes, storms, drought, floods, acts of terrorism, and/or riots.</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9. Damage or Destruction.</w:t>
      </w:r>
    </w:p>
    <w:p>
      <w:pPr>
        <w:spacing w:after="0" w:line="197" w:lineRule="exact"/>
        <w:rPr>
          <w:sz w:val="20"/>
          <w:szCs w:val="20"/>
          <w:color w:val="auto"/>
        </w:rPr>
      </w:pPr>
    </w:p>
    <w:p>
      <w:pPr>
        <w:ind w:left="6" w:firstLine="385"/>
        <w:spacing w:after="0" w:line="310" w:lineRule="auto"/>
        <w:rPr>
          <w:sz w:val="20"/>
          <w:szCs w:val="20"/>
          <w:color w:val="auto"/>
        </w:rPr>
      </w:pPr>
      <w:r>
        <w:rPr>
          <w:rFonts w:ascii="Arial" w:cs="Arial" w:eastAsia="Arial" w:hAnsi="Arial"/>
          <w:sz w:val="13"/>
          <w:szCs w:val="13"/>
          <w:color w:val="auto"/>
        </w:rPr>
        <w:t xml:space="preserve">9.1 </w:t>
      </w:r>
      <w:r>
        <w:rPr>
          <w:rFonts w:ascii="Arial" w:cs="Arial" w:eastAsia="Arial" w:hAnsi="Arial"/>
          <w:sz w:val="13"/>
          <w:szCs w:val="13"/>
          <w:u w:val="single" w:color="auto"/>
          <w:color w:val="auto"/>
        </w:rPr>
        <w:t>Termination Right</w:t>
      </w:r>
      <w:r>
        <w:rPr>
          <w:rFonts w:ascii="Arial" w:cs="Arial" w:eastAsia="Arial" w:hAnsi="Arial"/>
          <w:sz w:val="13"/>
          <w:szCs w:val="13"/>
          <w:color w:val="auto"/>
        </w:rPr>
        <w:t>. Tenant shall give Landlord immediate written notice of any damage to the Premises. Subject to the provisions of Paragraph 9.2, if the Premises or the Building shall be damaged to such an extent that there is substantial interference for a period exceeding 270 consecutive days with the conduct by Tenant of its business at the Premises, Tenant, at any time prior to commencement of repair of the Premises and following 10 days written notice to Landlord, may terminate this Lease effective 30 days after delivery of such notice to Landlord. Such termination shall not excuse the performance by Tenant of those covenants which under the terms hereof survive termination. Rent shall be abated in proportion to the degree of interference during the period that there is such substantial interference with the conduct of Tenant’s business at the Premises. Abatement of rent and Tenant’s right of termination pursuant to this provision shall be Tenant’s sole remedy for failure of Landlord to keep in good order, condition, and repair the foundations and exterior walls of the Building, Building roof, utility systems outside the Building, the Common Areas, and HVAC. In the event Tenant does not terminate the Lease pursuant to this Paragraph 9.1, Landlord shall restore the Premises to the condition existing prior to the damage as soon as reasonably practicable. Notwithstanding the foregoing, to the extent insurance proceeds actually received by Landlord are insufficient to restore such damage and such insufficiency is not caused by Landlord’s failure to maintain the insurance required under this Lease, Landlord shall have the right to terminate this Lease upon notice to Tenant unless Tenant agrees to pay such deficiency.</w:t>
      </w:r>
    </w:p>
    <w:p>
      <w:pPr>
        <w:spacing w:after="0" w:line="328" w:lineRule="exact"/>
        <w:rPr>
          <w:sz w:val="20"/>
          <w:szCs w:val="20"/>
          <w:color w:val="auto"/>
        </w:rPr>
      </w:pPr>
    </w:p>
    <w:p>
      <w:pPr>
        <w:ind w:left="6" w:right="200" w:firstLine="385"/>
        <w:spacing w:after="0" w:line="25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Damage Caused by Tenant</w:t>
      </w:r>
      <w:r>
        <w:rPr>
          <w:rFonts w:ascii="Arial" w:cs="Arial" w:eastAsia="Arial" w:hAnsi="Arial"/>
          <w:sz w:val="16"/>
          <w:szCs w:val="16"/>
          <w:color w:val="auto"/>
        </w:rPr>
        <w:t>. Tenant’s termination rights under Paragraph 9.1 shall not apply if the damage to the Premises or Building is the result of the willful misconduct of Tenant or of any of Tenant’s agents, employees, customers, invitees, or contractors (“Tenant Acts”). Any damage resulting from a Tenant Act shall be promptly repaired by Tenant. Landlord at its option may at Tenant’s expense repair any damage caused by Tenant Acts. Tenant shall continue to pay all rent and other sums due hereunder and shall be liable to Landlord for all damages that Landlord may sustain resulting from a Tenant Act.</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10. Real Property Taxes.</w:t>
      </w:r>
    </w:p>
    <w:p>
      <w:pPr>
        <w:spacing w:after="0" w:line="197" w:lineRule="exact"/>
        <w:rPr>
          <w:sz w:val="20"/>
          <w:szCs w:val="20"/>
          <w:color w:val="auto"/>
        </w:rPr>
      </w:pPr>
    </w:p>
    <w:p>
      <w:pPr>
        <w:ind w:left="6" w:right="260" w:firstLine="385"/>
        <w:spacing w:after="0" w:line="383" w:lineRule="auto"/>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Payment of Real Property Taxes</w:t>
      </w:r>
      <w:r>
        <w:rPr>
          <w:rFonts w:ascii="Arial" w:cs="Arial" w:eastAsia="Arial" w:hAnsi="Arial"/>
          <w:sz w:val="13"/>
          <w:szCs w:val="13"/>
          <w:color w:val="auto"/>
        </w:rPr>
        <w:t>. Landlord shall pay the Real Property Taxes due and payable during the term of this Lease and, except as otherwise provided in Paragraph 10.3, such payments shall be a Common Area Operating Expense reimbursable pursuant to Paragraph 4.2.</w:t>
      </w:r>
    </w:p>
    <w:p>
      <w:pPr>
        <w:spacing w:after="0" w:line="89" w:lineRule="exact"/>
        <w:rPr>
          <w:sz w:val="20"/>
          <w:szCs w:val="20"/>
          <w:color w:val="auto"/>
        </w:rPr>
      </w:pPr>
    </w:p>
    <w:p>
      <w:pPr>
        <w:ind w:left="6" w:right="120" w:firstLine="385"/>
        <w:spacing w:after="0" w:line="311"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Real Property Tax Definition</w:t>
      </w:r>
      <w:r>
        <w:rPr>
          <w:rFonts w:ascii="Arial" w:cs="Arial" w:eastAsia="Arial" w:hAnsi="Arial"/>
          <w:sz w:val="13"/>
          <w:szCs w:val="13"/>
          <w:color w:val="auto"/>
        </w:rPr>
        <w:t>. As used herein, the term “Real Property Taxes” is any form of tax or assessment, general, special, ordinary, or extraordinary, imposed or levied upon (a) the Industrial Center or Building, (b) any interest of Landlord in the Industrial Center or Building,</w:t>
      </w:r>
    </w:p>
    <w:p>
      <w:pPr>
        <w:spacing w:after="0" w:line="1" w:lineRule="exact"/>
        <w:rPr>
          <w:sz w:val="20"/>
          <w:szCs w:val="20"/>
          <w:color w:val="auto"/>
        </w:rPr>
      </w:pPr>
    </w:p>
    <w:p>
      <w:pPr>
        <w:ind w:left="6" w:hanging="6"/>
        <w:spacing w:after="0" w:line="247" w:lineRule="auto"/>
        <w:tabs>
          <w:tab w:leader="none" w:pos="2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Landlord’s right to rent or other income from the Industrial Center or Building, and/or (d) Landlord’s business of leasing the Premises including, but not limited to, any tax on receipts or rent. Real Property Taxes include (a) any license fee, commercial rental tax, excise tax, improvement bond or bonds, levy, or tax; (b) any tax or charge which replaces or is in addition to any of such above-described “Real Property Taxes,” and (c) any fees, expenses, or costs (including attorneys’ fees, expert fees, and the like) incurred by Landlord in protesting or contesting any assessments levied or any tax rate. Real Property Taxes for tax years commencing prior to, or extending beyond, the term of this Lease shall be prorated to coincide with the corresponding Commencement Date and Expiration Date.</w:t>
      </w:r>
    </w:p>
    <w:p>
      <w:pPr>
        <w:spacing w:after="0" w:line="173" w:lineRule="exact"/>
        <w:rPr>
          <w:sz w:val="20"/>
          <w:szCs w:val="20"/>
          <w:color w:val="auto"/>
        </w:rPr>
      </w:pPr>
    </w:p>
    <w:p>
      <w:pPr>
        <w:ind w:left="6" w:right="40" w:firstLine="385"/>
        <w:spacing w:after="0" w:line="253"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Additional Improvements</w:t>
      </w:r>
      <w:r>
        <w:rPr>
          <w:rFonts w:ascii="Arial" w:cs="Arial" w:eastAsia="Arial" w:hAnsi="Arial"/>
          <w:sz w:val="16"/>
          <w:szCs w:val="16"/>
          <w:color w:val="auto"/>
        </w:rPr>
        <w:t>. Operating Expenses shall not include Real Property Taxes attributable to improvements placed upon the Industrial Center by other tenants or by Landlord for the exclusive enjoyment of such other tenants. Tenant shall, however, pay to Landlord at the time Operating Expenses are payable under Paragraph 4.2, the entirety of any increase in Real Property Taxes if assessed by reason of improvements placed upon the Premises by Tenant or at Tenant’s request.</w:t>
      </w:r>
    </w:p>
    <w:p>
      <w:pPr>
        <w:spacing w:after="0" w:line="167" w:lineRule="exact"/>
        <w:rPr>
          <w:sz w:val="20"/>
          <w:szCs w:val="20"/>
          <w:color w:val="auto"/>
        </w:rPr>
      </w:pPr>
    </w:p>
    <w:p>
      <w:pPr>
        <w:ind w:left="6" w:right="60" w:firstLine="385"/>
        <w:spacing w:after="0" w:line="26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Joint Assessment</w:t>
      </w:r>
      <w:r>
        <w:rPr>
          <w:rFonts w:ascii="Arial" w:cs="Arial" w:eastAsia="Arial" w:hAnsi="Arial"/>
          <w:sz w:val="16"/>
          <w:szCs w:val="16"/>
          <w:color w:val="auto"/>
        </w:rPr>
        <w:t>. If the Building is not separately assessed, Real Property Taxes allocated to the Building shall be an equitable proportion of the Real Property Taxes for all of the land and improvements included within the tax parcel assessed.</w:t>
      </w:r>
    </w:p>
    <w:p>
      <w:pPr>
        <w:spacing w:after="0" w:line="158" w:lineRule="exact"/>
        <w:rPr>
          <w:sz w:val="20"/>
          <w:szCs w:val="20"/>
          <w:color w:val="auto"/>
        </w:rPr>
      </w:pPr>
    </w:p>
    <w:p>
      <w:pPr>
        <w:ind w:left="6" w:right="240" w:firstLine="385"/>
        <w:spacing w:after="0" w:line="383"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Tenant’s Property Taxes</w:t>
      </w:r>
      <w:r>
        <w:rPr>
          <w:rFonts w:ascii="Arial" w:cs="Arial" w:eastAsia="Arial" w:hAnsi="Arial"/>
          <w:sz w:val="13"/>
          <w:szCs w:val="13"/>
          <w:color w:val="auto"/>
        </w:rPr>
        <w:t>. Tenant shall pay prior to delinquency all taxes assessed against and levied upon Tenant’s improvements, fixtures, furnishings, equipment, and all personal property of Tenant contained in the Premises or stored within the Industrial Center.</w:t>
      </w:r>
    </w:p>
    <w:p>
      <w:pPr>
        <w:sectPr>
          <w:pgSz w:w="11900" w:h="16838" w:orient="portrait"/>
          <w:cols w:equalWidth="0" w:num="1">
            <w:col w:w="9626"/>
          </w:cols>
          <w:pgMar w:left="1134" w:top="256" w:right="1139" w:bottom="1440" w:gutter="0" w:footer="0" w:header="0"/>
        </w:sectPr>
      </w:pPr>
    </w:p>
    <w:bookmarkStart w:id="496" w:name="page497"/>
    <w:bookmarkEnd w:id="496"/>
    <w:p>
      <w:pPr>
        <w:ind w:left="6" w:right="100" w:hanging="6"/>
        <w:spacing w:after="0" w:line="390" w:lineRule="auto"/>
        <w:tabs>
          <w:tab w:leader="none" w:pos="233" w:val="left"/>
        </w:tabs>
        <w:numPr>
          <w:ilvl w:val="0"/>
          <w:numId w:val="372"/>
        </w:numPr>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Utilities. </w:t>
      </w:r>
      <w:r>
        <w:rPr>
          <w:rFonts w:ascii="Arial" w:cs="Arial" w:eastAsia="Arial" w:hAnsi="Arial"/>
          <w:sz w:val="13"/>
          <w:szCs w:val="13"/>
          <w:color w:val="auto"/>
        </w:rPr>
        <w:t>Tenant shall pay directly to any public utility provider or to Landlord, if Landlord provides such services, for all utilities and services</w:t>
      </w:r>
      <w:r>
        <w:rPr>
          <w:rFonts w:ascii="Arial" w:cs="Arial" w:eastAsia="Arial" w:hAnsi="Arial"/>
          <w:sz w:val="13"/>
          <w:szCs w:val="13"/>
          <w:b w:val="1"/>
          <w:bCs w:val="1"/>
          <w:color w:val="auto"/>
        </w:rPr>
        <w:t xml:space="preserve"> </w:t>
      </w:r>
      <w:r>
        <w:rPr>
          <w:rFonts w:ascii="Arial" w:cs="Arial" w:eastAsia="Arial" w:hAnsi="Arial"/>
          <w:sz w:val="13"/>
          <w:szCs w:val="13"/>
          <w:color w:val="auto"/>
        </w:rPr>
        <w:t>supplied to the Premises, including but not limited to electricity, telephone, security, gas, and cleaning of the Premises, together with any taxes thereon.</w:t>
      </w:r>
    </w:p>
    <w:p>
      <w:pPr>
        <w:spacing w:after="0" w:line="80" w:lineRule="exact"/>
        <w:rPr>
          <w:rFonts w:ascii="Arial" w:cs="Arial" w:eastAsia="Arial" w:hAnsi="Arial"/>
          <w:sz w:val="13"/>
          <w:szCs w:val="13"/>
          <w:b w:val="1"/>
          <w:bCs w:val="1"/>
          <w:color w:val="auto"/>
        </w:rPr>
      </w:pPr>
    </w:p>
    <w:p>
      <w:pPr>
        <w:ind w:left="226" w:hanging="226"/>
        <w:spacing w:after="0"/>
        <w:tabs>
          <w:tab w:leader="none" w:pos="226" w:val="left"/>
        </w:tabs>
        <w:numPr>
          <w:ilvl w:val="0"/>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 and Subletting</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Landlord’s Consent Required</w:t>
      </w:r>
      <w:r>
        <w:rPr>
          <w:rFonts w:ascii="Arial" w:cs="Arial" w:eastAsia="Arial" w:hAnsi="Arial"/>
          <w:sz w:val="16"/>
          <w:szCs w:val="16"/>
          <w:color w:val="auto"/>
        </w:rPr>
        <w:t>.</w:t>
      </w:r>
    </w:p>
    <w:p>
      <w:pPr>
        <w:spacing w:after="0" w:line="193" w:lineRule="exact"/>
        <w:rPr>
          <w:sz w:val="20"/>
          <w:szCs w:val="20"/>
          <w:color w:val="auto"/>
        </w:rPr>
      </w:pPr>
    </w:p>
    <w:p>
      <w:pPr>
        <w:ind w:left="6" w:right="20" w:firstLine="860"/>
        <w:spacing w:after="0" w:line="308" w:lineRule="auto"/>
        <w:tabs>
          <w:tab w:leader="none" w:pos="1086" w:val="left"/>
        </w:tabs>
        <w:numPr>
          <w:ilvl w:val="1"/>
          <w:numId w:val="373"/>
        </w:numPr>
        <w:rPr>
          <w:rFonts w:ascii="Arial" w:cs="Arial" w:eastAsia="Arial" w:hAnsi="Arial"/>
          <w:sz w:val="13"/>
          <w:szCs w:val="13"/>
          <w:color w:val="auto"/>
        </w:rPr>
      </w:pPr>
      <w:r>
        <w:rPr>
          <w:rFonts w:ascii="Arial" w:cs="Arial" w:eastAsia="Arial" w:hAnsi="Arial"/>
          <w:sz w:val="13"/>
          <w:szCs w:val="13"/>
          <w:color w:val="auto"/>
        </w:rPr>
        <w:t>Tenant shall not assign, transfer, mortgage, or otherwise transfer or encumber (collectively, “assign”) or sublet all or any part of Tenant’s interest in this Lease or in the Premises without Landlord’s prior written consent, which consent shall not be unreasonably withheld, conditioned or delayed. Relevant criteria in determining reasonability of consent include, but are not limited to, credit history of a proposed assignee or sublessee, references from prior landlords, any change or intensification of use of the Premises or the Common Areas, and any limitations imposed by the Internal Revenue Code and the Regulations promulgated thereunder relating to Real Estate Investment Trusts. Assignment or sublet shall not release Tenant from its obligations hereunder. Tenant shall not (i) sublet, assign, or enter into other arrangements in which the amounts to be paid by the sublessee or assignee thereunder would be based, in whole or in part, on the income or profits derived by the business activities of the sublessee or assignee; (ii) sublet the Premises or assign this Lease to any person or entity in which Landlord owns an interest, directly or indirectly (by applying constructive ownership rules set forth in Section 856(d)(5) of the Internal Revenue Code (the “Code”); or (iii) sublet the Premises or assign this Lease in any other manner which could cause any portion of the amounts received by Landlord pursuant to this Lease or any sublease to fail to qualify as “rents from real property” within the meaning of Section 856(d) of the Code, or which could cause any other income received by Landlord to fail to qualify as income described in Section 856(c)(2) of the Code. The requirements of this Section 12.1 shall apply to any further subleasing by any subtenant. Notwithstanding the foregoing, in the event of any assignment or subletting to which Landlord consents, Landlord shall receive fifty percent (50%), in the event of a sublease, of any rent received by Tenant above the rent then being paid by Tenant to Landlord less any legal fees, tenant improvement costs, commissions or marketing expense paid by Tenant for such sublease. In addition, Landlord shall receive fifty percent (50%), in the event of an assignment, of any profit derived by Tenant from such assignment less any legal fees, tenant improvements costs, commissions or marketing expense paid by Tenant for such assignment.</w:t>
      </w:r>
    </w:p>
    <w:p>
      <w:pPr>
        <w:spacing w:after="0" w:line="200" w:lineRule="exact"/>
        <w:rPr>
          <w:rFonts w:ascii="Arial" w:cs="Arial" w:eastAsia="Arial" w:hAnsi="Arial"/>
          <w:sz w:val="13"/>
          <w:szCs w:val="13"/>
          <w:color w:val="auto"/>
        </w:rPr>
      </w:pPr>
    </w:p>
    <w:p>
      <w:pPr>
        <w:spacing w:after="0" w:line="317" w:lineRule="exact"/>
        <w:rPr>
          <w:rFonts w:ascii="Arial" w:cs="Arial" w:eastAsia="Arial" w:hAnsi="Arial"/>
          <w:sz w:val="13"/>
          <w:szCs w:val="13"/>
          <w:color w:val="auto"/>
        </w:rPr>
      </w:pPr>
    </w:p>
    <w:p>
      <w:pPr>
        <w:ind w:left="6" w:right="160" w:firstLine="860"/>
        <w:spacing w:after="0" w:line="266" w:lineRule="auto"/>
        <w:tabs>
          <w:tab w:leader="none" w:pos="1094" w:val="left"/>
        </w:tabs>
        <w:numPr>
          <w:ilvl w:val="1"/>
          <w:numId w:val="373"/>
        </w:numPr>
        <w:rPr>
          <w:rFonts w:ascii="Arial" w:cs="Arial" w:eastAsia="Arial" w:hAnsi="Arial"/>
          <w:sz w:val="16"/>
          <w:szCs w:val="16"/>
          <w:color w:val="auto"/>
        </w:rPr>
      </w:pPr>
      <w:r>
        <w:rPr>
          <w:rFonts w:ascii="Arial" w:cs="Arial" w:eastAsia="Arial" w:hAnsi="Arial"/>
          <w:sz w:val="16"/>
          <w:szCs w:val="16"/>
          <w:color w:val="auto"/>
        </w:rPr>
        <w:t>A change in the control of Tenant shall constitute an assignment requiring Landlord’s consent. The transfer, on a cumulative basis, of 50% or more of the voting control of Tenant shall constitute a change in control for this purpose.</w:t>
      </w:r>
    </w:p>
    <w:p>
      <w:pPr>
        <w:spacing w:after="0" w:line="158" w:lineRule="exact"/>
        <w:rPr>
          <w:rFonts w:ascii="Arial" w:cs="Arial" w:eastAsia="Arial" w:hAnsi="Arial"/>
          <w:sz w:val="16"/>
          <w:szCs w:val="16"/>
          <w:color w:val="auto"/>
        </w:rPr>
      </w:pPr>
    </w:p>
    <w:p>
      <w:pPr>
        <w:ind w:left="6" w:right="20" w:firstLine="860"/>
        <w:spacing w:after="0" w:line="272" w:lineRule="auto"/>
        <w:tabs>
          <w:tab w:leader="none" w:pos="1086" w:val="left"/>
        </w:tabs>
        <w:numPr>
          <w:ilvl w:val="1"/>
          <w:numId w:val="373"/>
        </w:numPr>
        <w:rPr>
          <w:rFonts w:ascii="Arial" w:cs="Arial" w:eastAsia="Arial" w:hAnsi="Arial"/>
          <w:sz w:val="15"/>
          <w:szCs w:val="15"/>
          <w:color w:val="auto"/>
        </w:rPr>
      </w:pPr>
      <w:r>
        <w:rPr>
          <w:rFonts w:ascii="Arial" w:cs="Arial" w:eastAsia="Arial" w:hAnsi="Arial"/>
          <w:sz w:val="15"/>
          <w:szCs w:val="15"/>
          <w:color w:val="auto"/>
        </w:rPr>
        <w:t>Notwithstanding anything to the contrary herein, Tenant may, without Landlord’s prior written consent but with not less than 20 days’ prior written notice detailing the nature of the transaction, without constituting an assignment or sublease hereunder, and without being subject to Landlord’s profit sharing rights, (1) undergo a change of control, or (2) sublet the Premises or assign this Lease to (a) an entity controlling, controlled by or under common control with Tenant, (b) an entity related to Tenant by merger, consolidation or reorganization, or (c) a purchaser of a substantial portion of Tenant’s assets provided such transferee has an equity valuation equal to or greater than $200,000,000.</w:t>
      </w:r>
    </w:p>
    <w:p>
      <w:pPr>
        <w:spacing w:after="0" w:line="150" w:lineRule="exact"/>
        <w:rPr>
          <w:rFonts w:ascii="Arial" w:cs="Arial" w:eastAsia="Arial" w:hAnsi="Arial"/>
          <w:sz w:val="15"/>
          <w:szCs w:val="15"/>
          <w:color w:val="auto"/>
        </w:rPr>
      </w:pPr>
    </w:p>
    <w:p>
      <w:pPr>
        <w:ind w:left="226" w:hanging="226"/>
        <w:spacing w:after="0"/>
        <w:tabs>
          <w:tab w:leader="none" w:pos="226" w:val="left"/>
        </w:tabs>
        <w:numPr>
          <w:ilvl w:val="0"/>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Default; Remedies.</w:t>
      </w:r>
    </w:p>
    <w:p>
      <w:pPr>
        <w:spacing w:after="0" w:line="197" w:lineRule="exact"/>
        <w:rPr>
          <w:sz w:val="20"/>
          <w:szCs w:val="20"/>
          <w:color w:val="auto"/>
        </w:rPr>
      </w:pPr>
    </w:p>
    <w:p>
      <w:pPr>
        <w:ind w:left="386"/>
        <w:spacing w:after="0"/>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u w:val="single" w:color="auto"/>
          <w:color w:val="auto"/>
        </w:rPr>
        <w:t>Default</w:t>
      </w:r>
      <w:r>
        <w:rPr>
          <w:rFonts w:ascii="Arial" w:cs="Arial" w:eastAsia="Arial" w:hAnsi="Arial"/>
          <w:sz w:val="15"/>
          <w:szCs w:val="15"/>
          <w:color w:val="auto"/>
        </w:rPr>
        <w:t>. The occurrence of any one of the following events shall constitute an event of default on the part of Tenant (“Default”):</w:t>
      </w:r>
    </w:p>
    <w:p>
      <w:pPr>
        <w:spacing w:after="0" w:line="205" w:lineRule="exact"/>
        <w:rPr>
          <w:sz w:val="20"/>
          <w:szCs w:val="20"/>
          <w:color w:val="auto"/>
        </w:rPr>
      </w:pPr>
    </w:p>
    <w:p>
      <w:pPr>
        <w:ind w:left="1086" w:hanging="220"/>
        <w:spacing w:after="0"/>
        <w:tabs>
          <w:tab w:leader="none" w:pos="108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abandonment of the Premises by Tenant;</w:t>
      </w:r>
    </w:p>
    <w:p>
      <w:pPr>
        <w:spacing w:after="0" w:line="193" w:lineRule="exact"/>
        <w:rPr>
          <w:rFonts w:ascii="Arial" w:cs="Arial" w:eastAsia="Arial" w:hAnsi="Arial"/>
          <w:sz w:val="16"/>
          <w:szCs w:val="16"/>
          <w:color w:val="auto"/>
        </w:rPr>
      </w:pPr>
    </w:p>
    <w:p>
      <w:pPr>
        <w:ind w:left="6" w:right="160" w:firstLine="860"/>
        <w:spacing w:after="0" w:line="266" w:lineRule="auto"/>
        <w:tabs>
          <w:tab w:leader="none" w:pos="109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Failure to pay any installment of Base Rent, Additional Rent, or any other monies due and payable hereunder, said failure continuing for a period of 3 days after notice from Landlord that the same is delinquent;</w:t>
      </w:r>
    </w:p>
    <w:p>
      <w:pPr>
        <w:spacing w:after="0" w:line="158" w:lineRule="exact"/>
        <w:rPr>
          <w:rFonts w:ascii="Arial" w:cs="Arial" w:eastAsia="Arial" w:hAnsi="Arial"/>
          <w:sz w:val="16"/>
          <w:szCs w:val="16"/>
          <w:color w:val="auto"/>
        </w:rPr>
      </w:pPr>
    </w:p>
    <w:p>
      <w:pPr>
        <w:ind w:left="1086" w:hanging="220"/>
        <w:spacing w:after="0"/>
        <w:tabs>
          <w:tab w:leader="none" w:pos="108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 general assignment by Tenant or any guarantor for the benefit of creditors;</w:t>
      </w:r>
    </w:p>
    <w:p>
      <w:pPr>
        <w:spacing w:after="0" w:line="193" w:lineRule="exact"/>
        <w:rPr>
          <w:rFonts w:ascii="Arial" w:cs="Arial" w:eastAsia="Arial" w:hAnsi="Arial"/>
          <w:sz w:val="16"/>
          <w:szCs w:val="16"/>
          <w:color w:val="auto"/>
        </w:rPr>
      </w:pPr>
    </w:p>
    <w:p>
      <w:pPr>
        <w:jc w:val="both"/>
        <w:ind w:left="6" w:right="140" w:firstLine="860"/>
        <w:spacing w:after="0" w:line="256" w:lineRule="auto"/>
        <w:tabs>
          <w:tab w:leader="none" w:pos="109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filing of a voluntary petition of bankruptcy by Tenant or any guarantor; the filing of a voluntary petition for an arrangement; the filing of a petition, voluntary or involuntary, for reorganization; or the filing of an involuntary petition by Tenant’s creditors or guarantors to the extent the same is not dismissed within sixty (60) days;</w:t>
      </w:r>
    </w:p>
    <w:p>
      <w:pPr>
        <w:spacing w:after="0" w:line="165" w:lineRule="exact"/>
        <w:rPr>
          <w:rFonts w:ascii="Arial" w:cs="Arial" w:eastAsia="Arial" w:hAnsi="Arial"/>
          <w:sz w:val="16"/>
          <w:szCs w:val="16"/>
          <w:color w:val="auto"/>
        </w:rPr>
      </w:pPr>
    </w:p>
    <w:p>
      <w:pPr>
        <w:ind w:left="6" w:right="220" w:firstLine="860"/>
        <w:spacing w:after="0" w:line="266" w:lineRule="auto"/>
        <w:tabs>
          <w:tab w:leader="none" w:pos="108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Receivership, attachment, or other judicial seizure of the Premises or all or substantially all of Tenant’s assets on the Premises to the extent the same is not dismissed within sixty (60) days;</w:t>
      </w:r>
    </w:p>
    <w:p>
      <w:pPr>
        <w:spacing w:after="0" w:line="158" w:lineRule="exact"/>
        <w:rPr>
          <w:rFonts w:ascii="Arial" w:cs="Arial" w:eastAsia="Arial" w:hAnsi="Arial"/>
          <w:sz w:val="16"/>
          <w:szCs w:val="16"/>
          <w:color w:val="auto"/>
        </w:rPr>
      </w:pPr>
    </w:p>
    <w:p>
      <w:pPr>
        <w:ind w:left="1066" w:hanging="200"/>
        <w:spacing w:after="0"/>
        <w:tabs>
          <w:tab w:leader="none" w:pos="106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Failure of Tenant to maintain insurance as required by Paragraph 8.2;</w:t>
      </w:r>
    </w:p>
    <w:p>
      <w:pPr>
        <w:spacing w:after="0" w:line="193" w:lineRule="exact"/>
        <w:rPr>
          <w:rFonts w:ascii="Arial" w:cs="Arial" w:eastAsia="Arial" w:hAnsi="Arial"/>
          <w:sz w:val="16"/>
          <w:szCs w:val="16"/>
          <w:color w:val="auto"/>
        </w:rPr>
      </w:pPr>
    </w:p>
    <w:p>
      <w:pPr>
        <w:ind w:left="1086" w:hanging="220"/>
        <w:spacing w:after="0"/>
        <w:tabs>
          <w:tab w:leader="none" w:pos="1086" w:val="left"/>
        </w:tabs>
        <w:numPr>
          <w:ilvl w:val="0"/>
          <w:numId w:val="375"/>
        </w:numPr>
        <w:rPr>
          <w:rFonts w:ascii="Arial" w:cs="Arial" w:eastAsia="Arial" w:hAnsi="Arial"/>
          <w:sz w:val="13"/>
          <w:szCs w:val="13"/>
          <w:color w:val="auto"/>
        </w:rPr>
      </w:pPr>
      <w:r>
        <w:rPr>
          <w:rFonts w:ascii="Arial" w:cs="Arial" w:eastAsia="Arial" w:hAnsi="Arial"/>
          <w:sz w:val="13"/>
          <w:szCs w:val="13"/>
          <w:color w:val="auto"/>
        </w:rPr>
        <w:t>Any breach by Tenant of its covenants under Paragraph 6.2, if such breach continues for a period of 10 days after notice from Landlord</w:t>
      </w:r>
    </w:p>
    <w:p>
      <w:pPr>
        <w:spacing w:after="0" w:line="50" w:lineRule="exact"/>
        <w:rPr>
          <w:rFonts w:ascii="Arial" w:cs="Arial" w:eastAsia="Arial" w:hAnsi="Arial"/>
          <w:sz w:val="13"/>
          <w:szCs w:val="13"/>
          <w:color w:val="auto"/>
        </w:rPr>
      </w:pPr>
    </w:p>
    <w:p>
      <w:pPr>
        <w:ind w:left="6"/>
        <w:spacing w:after="0"/>
        <w:rPr>
          <w:rFonts w:ascii="Arial" w:cs="Arial" w:eastAsia="Arial" w:hAnsi="Arial"/>
          <w:sz w:val="13"/>
          <w:szCs w:val="13"/>
          <w:color w:val="auto"/>
        </w:rPr>
      </w:pPr>
      <w:r>
        <w:rPr>
          <w:rFonts w:ascii="Arial" w:cs="Arial" w:eastAsia="Arial" w:hAnsi="Arial"/>
          <w:sz w:val="16"/>
          <w:szCs w:val="16"/>
          <w:color w:val="auto"/>
        </w:rPr>
        <w:t>of the same;</w:t>
      </w:r>
    </w:p>
    <w:p>
      <w:pPr>
        <w:spacing w:after="0" w:line="181" w:lineRule="exact"/>
        <w:rPr>
          <w:rFonts w:ascii="Arial" w:cs="Arial" w:eastAsia="Arial" w:hAnsi="Arial"/>
          <w:sz w:val="13"/>
          <w:szCs w:val="13"/>
          <w:color w:val="auto"/>
        </w:rPr>
      </w:pPr>
    </w:p>
    <w:p>
      <w:pPr>
        <w:ind w:left="6" w:firstLine="860"/>
        <w:spacing w:after="0" w:line="251" w:lineRule="auto"/>
        <w:tabs>
          <w:tab w:leader="none" w:pos="109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Failure in the performance of any of Tenant’s covenants, agreements, or obligations hereunder (except those failures specified as events of Default in other Paragraphs of this Paragraph 13.1 which shall be governed by such other Paragraphs), which failure continues for 20 days after written notice thereof from Landlord to Tenant; provided that, if Tenant has exercised reasonable diligence to cure such failure and such failure cannot be cured within such 20-day period despite reasonable diligence, Tenant shall not be in default under this subparagraph unless Tenant fails thereafter diligently and continuously to prosecute the cure to completion;</w:t>
      </w:r>
    </w:p>
    <w:p>
      <w:pPr>
        <w:spacing w:after="0" w:line="169" w:lineRule="exact"/>
        <w:rPr>
          <w:rFonts w:ascii="Arial" w:cs="Arial" w:eastAsia="Arial" w:hAnsi="Arial"/>
          <w:sz w:val="16"/>
          <w:szCs w:val="16"/>
          <w:color w:val="auto"/>
        </w:rPr>
      </w:pPr>
    </w:p>
    <w:p>
      <w:pPr>
        <w:ind w:left="1046" w:hanging="180"/>
        <w:spacing w:after="0"/>
        <w:tabs>
          <w:tab w:leader="none" w:pos="1046" w:val="left"/>
        </w:tabs>
        <w:numPr>
          <w:ilvl w:val="0"/>
          <w:numId w:val="375"/>
        </w:numPr>
        <w:rPr>
          <w:rFonts w:ascii="Arial" w:cs="Arial" w:eastAsia="Arial" w:hAnsi="Arial"/>
          <w:sz w:val="16"/>
          <w:szCs w:val="16"/>
          <w:color w:val="auto"/>
        </w:rPr>
      </w:pPr>
      <w:r>
        <w:rPr>
          <w:rFonts w:ascii="Arial" w:cs="Arial" w:eastAsia="Arial" w:hAnsi="Arial"/>
          <w:sz w:val="16"/>
          <w:szCs w:val="16"/>
          <w:color w:val="auto"/>
        </w:rPr>
        <w:t>intentionally deleted; and</w:t>
      </w:r>
    </w:p>
    <w:p>
      <w:pPr>
        <w:spacing w:after="0" w:line="193" w:lineRule="exact"/>
        <w:rPr>
          <w:rFonts w:ascii="Arial" w:cs="Arial" w:eastAsia="Arial" w:hAnsi="Arial"/>
          <w:sz w:val="16"/>
          <w:szCs w:val="16"/>
          <w:color w:val="auto"/>
        </w:rPr>
      </w:pPr>
    </w:p>
    <w:p>
      <w:pPr>
        <w:ind w:left="6" w:right="440" w:firstLine="860"/>
        <w:spacing w:after="0" w:line="266" w:lineRule="auto"/>
        <w:tabs>
          <w:tab w:leader="none" w:pos="106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The default of any guarantors of Tenant’s obligations hereunder under any guaranty of this Lease, or the attempted repudiation or revocation of any such guaranty.</w:t>
      </w:r>
    </w:p>
    <w:p>
      <w:pPr>
        <w:spacing w:after="0" w:line="158" w:lineRule="exact"/>
        <w:rPr>
          <w:sz w:val="20"/>
          <w:szCs w:val="20"/>
          <w:color w:val="auto"/>
        </w:rPr>
      </w:pPr>
    </w:p>
    <w:p>
      <w:pPr>
        <w:ind w:left="6" w:right="400" w:firstLine="385"/>
        <w:spacing w:after="0" w:line="266" w:lineRule="auto"/>
        <w:rPr>
          <w:sz w:val="20"/>
          <w:szCs w:val="20"/>
          <w:color w:val="auto"/>
        </w:rPr>
      </w:pPr>
      <w:r>
        <w:rPr>
          <w:rFonts w:ascii="Arial" w:cs="Arial" w:eastAsia="Arial" w:hAnsi="Arial"/>
          <w:sz w:val="16"/>
          <w:szCs w:val="16"/>
          <w:color w:val="auto"/>
        </w:rPr>
        <w:t>13.2 In the event of any Default by Tenant, Landlord shall have the remedies set forth in the Addendum attached hereto entitled “Landlord’s Remedies in Event of Tenant Default.”</w:t>
      </w:r>
    </w:p>
    <w:p>
      <w:pPr>
        <w:sectPr>
          <w:pgSz w:w="11900" w:h="16838" w:orient="portrait"/>
          <w:cols w:equalWidth="0" w:num="1">
            <w:col w:w="9606"/>
          </w:cols>
          <w:pgMar w:left="1134" w:top="252" w:right="1159" w:bottom="1440" w:gutter="0" w:footer="0" w:header="0"/>
        </w:sectPr>
      </w:pPr>
    </w:p>
    <w:bookmarkStart w:id="497" w:name="page498"/>
    <w:bookmarkEnd w:id="497"/>
    <w:p>
      <w:pPr>
        <w:ind w:left="6" w:right="40" w:firstLine="385"/>
        <w:spacing w:after="0" w:line="31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13.3 </w:t>
      </w:r>
      <w:r>
        <w:rPr>
          <w:rFonts w:ascii="Arial" w:cs="Arial" w:eastAsia="Arial" w:hAnsi="Arial"/>
          <w:sz w:val="13"/>
          <w:szCs w:val="13"/>
          <w:u w:val="single" w:color="auto"/>
          <w:color w:val="auto"/>
        </w:rPr>
        <w:t>Late Charges</w:t>
      </w:r>
      <w:r>
        <w:rPr>
          <w:rFonts w:ascii="Arial" w:cs="Arial" w:eastAsia="Arial" w:hAnsi="Arial"/>
          <w:sz w:val="13"/>
          <w:szCs w:val="13"/>
          <w:color w:val="auto"/>
        </w:rPr>
        <w:t>. Tenant hereby acknowledges that late payment by Tenant to Landlord of Rent and other sums due hereunder will cause Landlord to incur costs not contemplated by this Lease, the exact amount of which will be extremely difficult to ascertain. Such costs include, but are not limited to, processing and accounting charges. Accordingly, if any installment of Rent or other sum due from Tenant shall not be received by Landlord or Landlord’s designee within 4 days after such amount shall be due, then, without any requirement for notice to Tenant, Tenant shall pay to Landlord a late charge equal to 5% of such overdue amount. The parties hereby agree that such late charge represents a fair and reasonable estimate of the costs Landlord will incur by reason of late payment by Tenant. Acceptance of such late charge by Landlord shall in no event constitute a waiver of Tenant’s Default with respect to such overdue amount, nor prevent Landlord from exercising any of the other rights and remedies granted hereunder. In addition, should Landlord be unable to negotiate any payment made by Tenant on the first attempt by Landlord and without any notice to Tenant, Tenant shall pay to Landlord a fee of $50.00 per item which the parties hereby agree represents a fair and reasonable estimate of the costs Landlord will incur by reason of Landlord’s inability to negotiate such item(s). Notwithstanding anything to the contrary herein, before assessing a late charge, fee or interest for the first time in any thirty-six (36) month period, Landlord shall provide Tenant written notice of the delinquency, and shall waive such late charge if Tenant pays such delinquency within five (5) days thereafter.</w:t>
      </w:r>
    </w:p>
    <w:p>
      <w:pPr>
        <w:spacing w:after="0" w:line="328" w:lineRule="exact"/>
        <w:rPr>
          <w:sz w:val="20"/>
          <w:szCs w:val="20"/>
          <w:color w:val="auto"/>
        </w:rPr>
      </w:pPr>
    </w:p>
    <w:p>
      <w:pPr>
        <w:ind w:left="6" w:firstLine="385"/>
        <w:spacing w:after="0" w:line="323" w:lineRule="auto"/>
        <w:rPr>
          <w:sz w:val="20"/>
          <w:szCs w:val="20"/>
          <w:color w:val="auto"/>
        </w:rPr>
      </w:pPr>
      <w:r>
        <w:rPr>
          <w:rFonts w:ascii="Arial" w:cs="Arial" w:eastAsia="Arial" w:hAnsi="Arial"/>
          <w:sz w:val="13"/>
          <w:szCs w:val="13"/>
          <w:color w:val="auto"/>
        </w:rPr>
        <w:t xml:space="preserve">13.4 </w:t>
      </w:r>
      <w:r>
        <w:rPr>
          <w:rFonts w:ascii="Arial" w:cs="Arial" w:eastAsia="Arial" w:hAnsi="Arial"/>
          <w:sz w:val="13"/>
          <w:szCs w:val="13"/>
          <w:u w:val="single" w:color="auto"/>
          <w:color w:val="auto"/>
        </w:rPr>
        <w:t>Landlord’s Default</w:t>
      </w:r>
      <w:r>
        <w:rPr>
          <w:rFonts w:ascii="Arial" w:cs="Arial" w:eastAsia="Arial" w:hAnsi="Arial"/>
          <w:sz w:val="13"/>
          <w:szCs w:val="13"/>
          <w:color w:val="auto"/>
        </w:rPr>
        <w:t>. If Landlord fails to perform any of its obligations under this Lease and (except in case of emergency posing an immediate threat to persons or property, in which case no prior notice shall be required) fails to cure such default within thirty (30) days after written notice from Tenant specifying the nature of such default where such default could reasonably be cured within said thirty (30) day period, or fails to commence such cure within said thirty (30) day period and thereafter continuously with due diligence prosecute such cure to completion where such default could not reasonably be cured within said thirty (30) day period, then Landlord shall be in default under this Lease.</w:t>
      </w:r>
    </w:p>
    <w:p>
      <w:pPr>
        <w:spacing w:after="0" w:line="122" w:lineRule="exact"/>
        <w:rPr>
          <w:sz w:val="20"/>
          <w:szCs w:val="20"/>
          <w:color w:val="auto"/>
        </w:rPr>
      </w:pPr>
    </w:p>
    <w:p>
      <w:pPr>
        <w:ind w:left="6" w:right="20" w:hanging="6"/>
        <w:spacing w:after="0" w:line="310" w:lineRule="auto"/>
        <w:tabs>
          <w:tab w:leader="none" w:pos="242" w:val="left"/>
        </w:tabs>
        <w:numPr>
          <w:ilvl w:val="0"/>
          <w:numId w:val="37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Condemnation. </w:t>
      </w:r>
      <w:r>
        <w:rPr>
          <w:rFonts w:ascii="Arial" w:cs="Arial" w:eastAsia="Arial" w:hAnsi="Arial"/>
          <w:sz w:val="13"/>
          <w:szCs w:val="13"/>
          <w:color w:val="auto"/>
        </w:rPr>
        <w:t>If the Premises or any portion thereof are taken under the power of eminent domain or sold under the threat of exercise of said</w:t>
      </w:r>
      <w:r>
        <w:rPr>
          <w:rFonts w:ascii="Arial" w:cs="Arial" w:eastAsia="Arial" w:hAnsi="Arial"/>
          <w:sz w:val="13"/>
          <w:szCs w:val="13"/>
          <w:b w:val="1"/>
          <w:bCs w:val="1"/>
          <w:color w:val="auto"/>
        </w:rPr>
        <w:t xml:space="preserve"> </w:t>
      </w:r>
      <w:r>
        <w:rPr>
          <w:rFonts w:ascii="Arial" w:cs="Arial" w:eastAsia="Arial" w:hAnsi="Arial"/>
          <w:sz w:val="13"/>
          <w:szCs w:val="13"/>
          <w:color w:val="auto"/>
        </w:rPr>
        <w:t>power (all of which are herein called “condemnation”), this Lease shall terminate as to the part so taken as of the date the condemning authority takes title or possession, whichever first occurs. If more than 10% of the floor area of the Premises, or more than 25% of the portion of the Common Areas designated for Tenant’s parking, is taken by condemnation, Tenant may, at Tenant’s option, to be exercised in writing within 10 days after Landlord shall have given Tenant written notice of such taking (or in the absence of such notice, within 10 days after the condemning authority shall have taken possession), terminate this Lease as of the date the condemning authority takes such possession. If Tenant does not terminate this Lease in accordance with the foregoing, this Lease shall remain in full force and effect as to the portion of the Premises remaining, except that the Base Rent shall be reduced in the same proportion as the rentable floor area of the Premises taken bears to the total rentable floor area of the Premises. No reduction of Base Rent shall occur if the condemnation does not apply to any portion of the Premises. Any award for the taking of all or any part of the Premises under the power of eminent domain or any payment made under threat of the exercise of such power shall be the property of Landlord; provided, however, that Tenant shall be entitled to any compensation, separately awarded to Tenant, for Tenant’s relocation expenses and/or loss of Tenant’s trade fixtures and improvements. In the event that this Lease is not terminated by reason of such condemnation, Landlord shall to the extent of its net severance damages in the condemnation matter, repair any damage to the Premises caused by such condemnation authority.</w:t>
      </w:r>
    </w:p>
    <w:p>
      <w:pPr>
        <w:spacing w:after="0" w:line="323" w:lineRule="exact"/>
        <w:rPr>
          <w:rFonts w:ascii="Arial" w:cs="Arial" w:eastAsia="Arial" w:hAnsi="Arial"/>
          <w:sz w:val="13"/>
          <w:szCs w:val="13"/>
          <w:b w:val="1"/>
          <w:bCs w:val="1"/>
          <w:color w:val="auto"/>
        </w:rPr>
      </w:pPr>
    </w:p>
    <w:p>
      <w:pPr>
        <w:ind w:left="226" w:hanging="226"/>
        <w:spacing w:after="0"/>
        <w:tabs>
          <w:tab w:leader="none" w:pos="226"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t>Estoppel Certificate and Financial Statements.</w:t>
      </w:r>
    </w:p>
    <w:p>
      <w:pPr>
        <w:spacing w:after="0" w:line="197" w:lineRule="exact"/>
        <w:rPr>
          <w:sz w:val="20"/>
          <w:szCs w:val="20"/>
          <w:color w:val="auto"/>
        </w:rPr>
      </w:pPr>
    </w:p>
    <w:p>
      <w:pPr>
        <w:ind w:left="6" w:right="20" w:firstLine="385"/>
        <w:spacing w:after="0" w:line="268" w:lineRule="auto"/>
        <w:rPr>
          <w:sz w:val="20"/>
          <w:szCs w:val="20"/>
          <w:color w:val="auto"/>
        </w:rPr>
      </w:pPr>
      <w:r>
        <w:rPr>
          <w:rFonts w:ascii="Arial" w:cs="Arial" w:eastAsia="Arial" w:hAnsi="Arial"/>
          <w:sz w:val="15"/>
          <w:szCs w:val="15"/>
          <w:color w:val="auto"/>
        </w:rPr>
        <w:t xml:space="preserve">15.1 </w:t>
      </w:r>
      <w:r>
        <w:rPr>
          <w:rFonts w:ascii="Arial" w:cs="Arial" w:eastAsia="Arial" w:hAnsi="Arial"/>
          <w:sz w:val="15"/>
          <w:szCs w:val="15"/>
          <w:u w:val="single" w:color="auto"/>
          <w:color w:val="auto"/>
        </w:rPr>
        <w:t>Estoppel Certificate</w:t>
      </w:r>
      <w:r>
        <w:rPr>
          <w:rFonts w:ascii="Arial" w:cs="Arial" w:eastAsia="Arial" w:hAnsi="Arial"/>
          <w:sz w:val="15"/>
          <w:szCs w:val="15"/>
          <w:color w:val="auto"/>
        </w:rPr>
        <w:t>. Each party (herein referred to as “Responding Party”) shall within 10 days after written notice from the other Party (the “Requesting Party”) execute, acknowledge, and deliver to the Requesting Party, to the extent it can truthfully do so, an estoppel certificate in a form reasonably acceptable to the Requesting Party, or any of Landlord’s lenders or any prospective purchasers of the Premises or the Industrial Center as the case may be, plus such additional information, confirmation, and statements as be reasonably requested by the Requesting Party. Should Tenant fail to deliver an executed and acknowledged estoppel certificate to Landlord as prescribed herein, Tenant hereby authorizes Landlord to act as Tenant’s attorney-in-fact in executing such estoppel certificate or, at Landlord’s option, Tenant shall pay a fee of $100.00 per day (“Estoppel Delay Fee”) for each day after the 10 days’ written notice in which Tenant fails to comply with this requirement.</w:t>
      </w:r>
    </w:p>
    <w:p>
      <w:pPr>
        <w:spacing w:after="0" w:line="161" w:lineRule="exact"/>
        <w:rPr>
          <w:sz w:val="20"/>
          <w:szCs w:val="20"/>
          <w:color w:val="auto"/>
        </w:rPr>
      </w:pPr>
    </w:p>
    <w:p>
      <w:pPr>
        <w:ind w:left="6" w:right="40" w:firstLine="385"/>
        <w:spacing w:after="0" w:line="314"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Financial Statement</w:t>
      </w:r>
      <w:r>
        <w:rPr>
          <w:rFonts w:ascii="Arial" w:cs="Arial" w:eastAsia="Arial" w:hAnsi="Arial"/>
          <w:sz w:val="13"/>
          <w:szCs w:val="13"/>
          <w:color w:val="auto"/>
        </w:rPr>
        <w:t>. If Landlord desires to finance, refinance, or sell the Building, Industrial Center, or any part thereof, Tenant and all Guarantors shall deliver to any potential lender or purchaser designated by Landlord the most recently prepared financial statements of Tenant and such Guarantors as may be reasonably required by such lender or purchaser, including but not limited to Tenant’s financial statements for the past 3 years. All such financial statements shall be received by Landlord and such lender or purchaser in confidence and shall be used only for the purposes herein set forth. Notwithstanding anything to the contrary, Tenant acknowledges and agrees that any financial statements submitted by Tenant to Landlord are being relied upon by Landlord in entering into this Lease and extending any credit to Tenant and to the extent that such financial statements are materially false or incorrect and Tenant submitted such statements with knowledge of such false or incorrect information, Landlord, upon such discovery, may terminate this Lease. Further, Landlord specifically reserves all rights it may have to object to a discharge or reorganization by Tenant in any bankruptcy proceeding filed by or against Tenant based upon such materially false or incorrect financial statements.</w:t>
      </w:r>
    </w:p>
    <w:p>
      <w:pPr>
        <w:spacing w:after="0" w:line="31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16. Additional Covenants and Provisions.</w:t>
      </w:r>
    </w:p>
    <w:p>
      <w:pPr>
        <w:spacing w:after="0" w:line="197" w:lineRule="exact"/>
        <w:rPr>
          <w:sz w:val="20"/>
          <w:szCs w:val="20"/>
          <w:color w:val="auto"/>
        </w:rPr>
      </w:pPr>
    </w:p>
    <w:p>
      <w:pPr>
        <w:ind w:left="6" w:right="120" w:firstLine="385"/>
        <w:spacing w:after="0" w:line="266" w:lineRule="auto"/>
        <w:rPr>
          <w:sz w:val="20"/>
          <w:szCs w:val="20"/>
          <w:color w:val="auto"/>
        </w:rPr>
      </w:pPr>
      <w:r>
        <w:rPr>
          <w:rFonts w:ascii="Arial" w:cs="Arial" w:eastAsia="Arial" w:hAnsi="Arial"/>
          <w:sz w:val="16"/>
          <w:szCs w:val="16"/>
          <w:color w:val="auto"/>
        </w:rPr>
        <w:t xml:space="preserve">16.1 </w:t>
      </w: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of any provision of this Lease, as determined by a court of competent jurisdiction, shall not affect the validity of any other provision hereof.</w:t>
      </w:r>
    </w:p>
    <w:p>
      <w:pPr>
        <w:sectPr>
          <w:pgSz w:w="11900" w:h="16838" w:orient="portrait"/>
          <w:cols w:equalWidth="0" w:num="1">
            <w:col w:w="9626"/>
          </w:cols>
          <w:pgMar w:left="1134" w:top="256" w:right="1139" w:bottom="1440" w:gutter="0" w:footer="0" w:header="0"/>
        </w:sectPr>
      </w:pPr>
    </w:p>
    <w:bookmarkStart w:id="498" w:name="page499"/>
    <w:bookmarkEnd w:id="498"/>
    <w:p>
      <w:pPr>
        <w:ind w:right="100" w:firstLine="385"/>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16.2 </w:t>
      </w:r>
      <w:r>
        <w:rPr>
          <w:rFonts w:ascii="Arial" w:cs="Arial" w:eastAsia="Arial" w:hAnsi="Arial"/>
          <w:sz w:val="16"/>
          <w:szCs w:val="16"/>
          <w:u w:val="single" w:color="auto"/>
          <w:color w:val="auto"/>
        </w:rPr>
        <w:t>Interest on Past-Due Obligations</w:t>
      </w:r>
      <w:r>
        <w:rPr>
          <w:rFonts w:ascii="Arial" w:cs="Arial" w:eastAsia="Arial" w:hAnsi="Arial"/>
          <w:sz w:val="16"/>
          <w:szCs w:val="16"/>
          <w:color w:val="auto"/>
        </w:rPr>
        <w:t>. Any monetary payment due Landlord hereunder not received by Landlord within 10 days following the date on which it was due shall bear interest from the date due at 12% per annum, but not exceeding the maximum rate allowed by law in addition to the late charge provided for in Paragraph 13.3.</w:t>
      </w:r>
    </w:p>
    <w:p>
      <w:pPr>
        <w:spacing w:after="0" w:line="166" w:lineRule="exact"/>
        <w:rPr>
          <w:sz w:val="20"/>
          <w:szCs w:val="20"/>
          <w:color w:val="auto"/>
        </w:rPr>
      </w:pPr>
    </w:p>
    <w:p>
      <w:pPr>
        <w:ind w:right="180" w:firstLine="385"/>
        <w:spacing w:after="0" w:line="266"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158" w:lineRule="exact"/>
        <w:rPr>
          <w:sz w:val="20"/>
          <w:szCs w:val="20"/>
          <w:color w:val="auto"/>
        </w:rPr>
      </w:pPr>
    </w:p>
    <w:p>
      <w:pPr>
        <w:jc w:val="both"/>
        <w:ind w:right="140" w:firstLine="385"/>
        <w:spacing w:after="0" w:line="329" w:lineRule="auto"/>
        <w:rPr>
          <w:sz w:val="20"/>
          <w:szCs w:val="20"/>
          <w:color w:val="auto"/>
        </w:rPr>
      </w:pPr>
      <w:r>
        <w:rPr>
          <w:rFonts w:ascii="Arial" w:cs="Arial" w:eastAsia="Arial" w:hAnsi="Arial"/>
          <w:sz w:val="13"/>
          <w:szCs w:val="13"/>
          <w:color w:val="auto"/>
        </w:rPr>
        <w:t xml:space="preserve">16.4 </w:t>
      </w:r>
      <w:r>
        <w:rPr>
          <w:rFonts w:ascii="Arial" w:cs="Arial" w:eastAsia="Arial" w:hAnsi="Arial"/>
          <w:sz w:val="13"/>
          <w:szCs w:val="13"/>
          <w:u w:val="single" w:color="auto"/>
          <w:color w:val="auto"/>
        </w:rPr>
        <w:t>Landlord Liability</w:t>
      </w:r>
      <w:r>
        <w:rPr>
          <w:rFonts w:ascii="Arial" w:cs="Arial" w:eastAsia="Arial" w:hAnsi="Arial"/>
          <w:sz w:val="13"/>
          <w:szCs w:val="13"/>
          <w:color w:val="auto"/>
        </w:rPr>
        <w:t>. Tenant, its successors, and assigns shall not assert nor seek to enforce any claim for breach of this Lease against any of Landlord’s assets other than Landlord’s interest in the Industrial Center. Tenant agrees to look solely to such interest for the satisfaction of any liability or claim against Landlord under this Lease. In no event whatsoever shall Landlord (which term shall include, without limitation, any general or limited partner, trustees, beneficiaries, officers, directors, or stockholders of Landlord) ever be personally liable for any such liability.</w:t>
      </w:r>
    </w:p>
    <w:p>
      <w:pPr>
        <w:spacing w:after="0" w:line="123" w:lineRule="exact"/>
        <w:rPr>
          <w:sz w:val="20"/>
          <w:szCs w:val="20"/>
          <w:color w:val="auto"/>
        </w:rPr>
      </w:pPr>
    </w:p>
    <w:p>
      <w:pPr>
        <w:ind w:right="360" w:firstLine="385"/>
        <w:spacing w:after="0" w:line="266" w:lineRule="auto"/>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No Prior or Other Agreements</w:t>
      </w:r>
      <w:r>
        <w:rPr>
          <w:rFonts w:ascii="Arial" w:cs="Arial" w:eastAsia="Arial" w:hAnsi="Arial"/>
          <w:sz w:val="16"/>
          <w:szCs w:val="16"/>
          <w:color w:val="auto"/>
        </w:rPr>
        <w:t>. This Lease contains all agreements between the Parties with respect to any matter mentioned herein, and supersedes all prior or contemporaneous oral or written agreements or understandings.</w:t>
      </w:r>
    </w:p>
    <w:p>
      <w:pPr>
        <w:spacing w:after="0" w:line="158" w:lineRule="exact"/>
        <w:rPr>
          <w:sz w:val="20"/>
          <w:szCs w:val="20"/>
          <w:color w:val="auto"/>
        </w:rPr>
      </w:pPr>
    </w:p>
    <w:p>
      <w:pPr>
        <w:ind w:right="40" w:firstLine="385"/>
        <w:spacing w:after="0" w:line="270" w:lineRule="auto"/>
        <w:rPr>
          <w:sz w:val="20"/>
          <w:szCs w:val="20"/>
          <w:color w:val="auto"/>
        </w:rPr>
      </w:pPr>
      <w:r>
        <w:rPr>
          <w:rFonts w:ascii="Arial" w:cs="Arial" w:eastAsia="Arial" w:hAnsi="Arial"/>
          <w:sz w:val="15"/>
          <w:szCs w:val="15"/>
          <w:color w:val="auto"/>
        </w:rPr>
        <w:t xml:space="preserve">16.6 </w:t>
      </w:r>
      <w:r>
        <w:rPr>
          <w:rFonts w:ascii="Arial" w:cs="Arial" w:eastAsia="Arial" w:hAnsi="Arial"/>
          <w:sz w:val="15"/>
          <w:szCs w:val="15"/>
          <w:u w:val="single" w:color="auto"/>
          <w:color w:val="auto"/>
        </w:rPr>
        <w:t>Notice Requirements</w:t>
      </w:r>
      <w:r>
        <w:rPr>
          <w:rFonts w:ascii="Arial" w:cs="Arial" w:eastAsia="Arial" w:hAnsi="Arial"/>
          <w:sz w:val="15"/>
          <w:szCs w:val="15"/>
          <w:color w:val="auto"/>
        </w:rPr>
        <w:t>. All notices required or permitted by this Lease shall be in writing and may be delivered in person (by hand, messenger, or courier service) or may be sent by regular, certified, or registered mail or by any nationally recognized overnight courier that guarantee next-day delivery, with postage prepaid. The addresses noted adjacent to a Party’s signature on this Lease shall be that Party’s address for delivery or mailing of notice purposes. Either Party may by written notice to the other specify a different address for notice purposes. A copy of all notices required or permitted to be given to Landlord hereunder shall be concurrently transmitted to such party or parties at such addresses as Landlord may from time to time hereafter designate by written notice to Tenant.</w:t>
      </w:r>
    </w:p>
    <w:p>
      <w:pPr>
        <w:spacing w:after="0" w:line="156" w:lineRule="exact"/>
        <w:rPr>
          <w:sz w:val="20"/>
          <w:szCs w:val="20"/>
          <w:color w:val="auto"/>
        </w:rPr>
      </w:pPr>
    </w:p>
    <w:p>
      <w:pPr>
        <w:ind w:right="80" w:firstLine="385"/>
        <w:spacing w:after="0" w:line="251" w:lineRule="auto"/>
        <w:rPr>
          <w:sz w:val="20"/>
          <w:szCs w:val="20"/>
          <w:color w:val="auto"/>
        </w:rPr>
      </w:pPr>
      <w:r>
        <w:rPr>
          <w:rFonts w:ascii="Arial" w:cs="Arial" w:eastAsia="Arial" w:hAnsi="Arial"/>
          <w:sz w:val="16"/>
          <w:szCs w:val="16"/>
          <w:color w:val="auto"/>
        </w:rPr>
        <w:t xml:space="preserve">16.7 </w:t>
      </w:r>
      <w:r>
        <w:rPr>
          <w:rFonts w:ascii="Arial" w:cs="Arial" w:eastAsia="Arial" w:hAnsi="Arial"/>
          <w:sz w:val="16"/>
          <w:szCs w:val="16"/>
          <w:u w:val="single" w:color="auto"/>
          <w:color w:val="auto"/>
        </w:rPr>
        <w:t>Date of Notice</w:t>
      </w:r>
      <w:r>
        <w:rPr>
          <w:rFonts w:ascii="Arial" w:cs="Arial" w:eastAsia="Arial" w:hAnsi="Arial"/>
          <w:sz w:val="16"/>
          <w:szCs w:val="16"/>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48 hours after the same is addressed as required herein and mailed with postage prepaid. Notices delivered by an overnight courier that guarantees next-day delivery shall be deemed given 24 hours after delivery of the same to the courier. If notice is received or deemed received on a Saturday, Sunday, or legal holiday, it shall be deemed received on the next business day.</w:t>
      </w:r>
    </w:p>
    <w:p>
      <w:pPr>
        <w:spacing w:after="0" w:line="170" w:lineRule="exact"/>
        <w:rPr>
          <w:sz w:val="20"/>
          <w:szCs w:val="20"/>
          <w:color w:val="auto"/>
        </w:rPr>
      </w:pPr>
    </w:p>
    <w:p>
      <w:pPr>
        <w:ind w:right="20" w:firstLine="385"/>
        <w:spacing w:after="0" w:line="329" w:lineRule="auto"/>
        <w:rPr>
          <w:sz w:val="20"/>
          <w:szCs w:val="20"/>
          <w:color w:val="auto"/>
        </w:rPr>
      </w:pPr>
      <w:r>
        <w:rPr>
          <w:rFonts w:ascii="Arial" w:cs="Arial" w:eastAsia="Arial" w:hAnsi="Arial"/>
          <w:sz w:val="13"/>
          <w:szCs w:val="13"/>
          <w:color w:val="auto"/>
        </w:rPr>
        <w:t xml:space="preserve">16.8 </w:t>
      </w:r>
      <w:r>
        <w:rPr>
          <w:rFonts w:ascii="Arial" w:cs="Arial" w:eastAsia="Arial" w:hAnsi="Arial"/>
          <w:sz w:val="13"/>
          <w:szCs w:val="13"/>
          <w:u w:val="single" w:color="auto"/>
          <w:color w:val="auto"/>
        </w:rPr>
        <w:t>Waivers</w:t>
      </w:r>
      <w:r>
        <w:rPr>
          <w:rFonts w:ascii="Arial" w:cs="Arial" w:eastAsia="Arial" w:hAnsi="Arial"/>
          <w:sz w:val="13"/>
          <w:szCs w:val="13"/>
          <w:color w:val="auto"/>
        </w:rPr>
        <w:t>. No waiver by Landlord of a Default by Tenant shall be deemed a waiver of any other term, covenant, or condition hereof, or of any subsequent Default by Tenant of the same or any other term, covenant, or condition hereof. In addition the acceptance by Landlord of any rent or other payment after it is due, whether or not a notice of default has been served or any action has been filed by Landlord thereon, shall not be deemed a waiver of Landlord’s rights to proceed on any notice of default or action which has been filed against Tenant based upon Tenant’s breach of the Lease.</w:t>
      </w:r>
    </w:p>
    <w:p>
      <w:pPr>
        <w:spacing w:after="0" w:line="123" w:lineRule="exact"/>
        <w:rPr>
          <w:sz w:val="20"/>
          <w:szCs w:val="20"/>
          <w:color w:val="auto"/>
        </w:rPr>
      </w:pPr>
    </w:p>
    <w:p>
      <w:pPr>
        <w:ind w:right="180" w:firstLine="385"/>
        <w:spacing w:after="0" w:line="268" w:lineRule="auto"/>
        <w:rPr>
          <w:sz w:val="20"/>
          <w:szCs w:val="20"/>
          <w:color w:val="auto"/>
        </w:rPr>
      </w:pPr>
      <w:r>
        <w:rPr>
          <w:rFonts w:ascii="Arial" w:cs="Arial" w:eastAsia="Arial" w:hAnsi="Arial"/>
          <w:sz w:val="15"/>
          <w:szCs w:val="15"/>
          <w:color w:val="auto"/>
        </w:rPr>
        <w:t xml:space="preserve">16.9 </w:t>
      </w:r>
      <w:r>
        <w:rPr>
          <w:rFonts w:ascii="Arial" w:cs="Arial" w:eastAsia="Arial" w:hAnsi="Arial"/>
          <w:sz w:val="15"/>
          <w:szCs w:val="15"/>
          <w:u w:val="single" w:color="auto"/>
          <w:color w:val="auto"/>
        </w:rPr>
        <w:t>Holdover</w:t>
      </w:r>
      <w:r>
        <w:rPr>
          <w:rFonts w:ascii="Arial" w:cs="Arial" w:eastAsia="Arial" w:hAnsi="Arial"/>
          <w:sz w:val="15"/>
          <w:szCs w:val="15"/>
          <w:color w:val="auto"/>
        </w:rPr>
        <w:t>. Tenant has no right to retain possession of the Premises or any part thereof beyond the expiration or earlier termination of this Lease. If Tenant holds over with or without the consent of Landlord: (a) the Base Rent payable shall be increased to 150% of the Base Rent applicable during the month immediately preceding such expiration or earlier termination; and (b) all other terms and conditions of this Lease shall continue to apply. Nothing contained herein shall be construed as consent by Landlord to any holding over by Tenant. Tenant shall indemnify, defend, and hold Landlord harmless from and against any and all claims, demands, actions, losses, damages, obligations, costs, and expenses, including, without limitation, attorneys’ fees incurred or suffered by Landlord by reason of Tenant’s failure to surrender the Premises on the expiration or earlier termination of this Lease in accordance with the provisions of this Lease.</w:t>
      </w:r>
    </w:p>
    <w:p>
      <w:pPr>
        <w:spacing w:after="0" w:line="161" w:lineRule="exact"/>
        <w:rPr>
          <w:sz w:val="20"/>
          <w:szCs w:val="20"/>
          <w:color w:val="auto"/>
        </w:rPr>
      </w:pPr>
    </w:p>
    <w:p>
      <w:pPr>
        <w:ind w:right="340" w:firstLine="385"/>
        <w:spacing w:after="0" w:line="266" w:lineRule="auto"/>
        <w:rPr>
          <w:sz w:val="20"/>
          <w:szCs w:val="20"/>
          <w:color w:val="auto"/>
        </w:rPr>
      </w:pPr>
      <w:r>
        <w:rPr>
          <w:rFonts w:ascii="Arial" w:cs="Arial" w:eastAsia="Arial" w:hAnsi="Arial"/>
          <w:sz w:val="16"/>
          <w:szCs w:val="16"/>
          <w:color w:val="auto"/>
        </w:rPr>
        <w:t xml:space="preserve">16.10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No remedy or election hereunder shall be deemed exclusive but shall, wherever possible, be cumulative with all other remedies in law or in equity.</w:t>
      </w:r>
    </w:p>
    <w:p>
      <w:pPr>
        <w:spacing w:after="0" w:line="158" w:lineRule="exact"/>
        <w:rPr>
          <w:sz w:val="20"/>
          <w:szCs w:val="20"/>
          <w:color w:val="auto"/>
        </w:rPr>
      </w:pPr>
    </w:p>
    <w:p>
      <w:pPr>
        <w:jc w:val="both"/>
        <w:ind w:right="80" w:firstLine="385"/>
        <w:spacing w:after="0" w:line="256" w:lineRule="auto"/>
        <w:rPr>
          <w:sz w:val="20"/>
          <w:szCs w:val="20"/>
          <w:color w:val="auto"/>
        </w:rPr>
      </w:pPr>
      <w:r>
        <w:rPr>
          <w:rFonts w:ascii="Arial" w:cs="Arial" w:eastAsia="Arial" w:hAnsi="Arial"/>
          <w:sz w:val="16"/>
          <w:szCs w:val="16"/>
          <w:color w:val="auto"/>
        </w:rPr>
        <w:t xml:space="preserve">16.11 </w:t>
      </w:r>
      <w:r>
        <w:rPr>
          <w:rFonts w:ascii="Arial" w:cs="Arial" w:eastAsia="Arial" w:hAnsi="Arial"/>
          <w:sz w:val="16"/>
          <w:szCs w:val="16"/>
          <w:u w:val="single" w:color="auto"/>
          <w:color w:val="auto"/>
        </w:rPr>
        <w:t>Binding Effect: Choice of Law</w:t>
      </w:r>
      <w:r>
        <w:rPr>
          <w:rFonts w:ascii="Arial" w:cs="Arial" w:eastAsia="Arial" w:hAnsi="Arial"/>
          <w:sz w:val="16"/>
          <w:szCs w:val="16"/>
          <w:color w:val="auto"/>
        </w:rPr>
        <w:t>. This Lease shall be binding upon the Parties, their personal representatives, successors, and assigns, and be governed by the laws of the State in which the Premises are located. Any litigation between the Parties hereto concerning this Lease shall be initiated in the county in which the Premises are located.</w:t>
      </w:r>
    </w:p>
    <w:p>
      <w:pPr>
        <w:spacing w:after="0" w:line="166" w:lineRule="exact"/>
        <w:rPr>
          <w:sz w:val="20"/>
          <w:szCs w:val="20"/>
          <w:color w:val="auto"/>
        </w:rPr>
      </w:pPr>
    </w:p>
    <w:p>
      <w:pPr>
        <w:ind w:firstLine="385"/>
        <w:spacing w:after="0" w:line="250" w:lineRule="auto"/>
        <w:rPr>
          <w:sz w:val="20"/>
          <w:szCs w:val="20"/>
          <w:color w:val="auto"/>
        </w:rPr>
      </w:pPr>
      <w:r>
        <w:rPr>
          <w:rFonts w:ascii="Arial" w:cs="Arial" w:eastAsia="Arial" w:hAnsi="Arial"/>
          <w:sz w:val="16"/>
          <w:szCs w:val="16"/>
          <w:color w:val="auto"/>
        </w:rPr>
        <w:t xml:space="preserve">16.12 </w:t>
      </w:r>
      <w:r>
        <w:rPr>
          <w:rFonts w:ascii="Arial" w:cs="Arial" w:eastAsia="Arial" w:hAnsi="Arial"/>
          <w:sz w:val="16"/>
          <w:szCs w:val="16"/>
          <w:u w:val="single" w:color="auto"/>
          <w:color w:val="auto"/>
        </w:rPr>
        <w:t>Landlord</w:t>
      </w:r>
      <w:r>
        <w:rPr>
          <w:rFonts w:ascii="Arial" w:cs="Arial" w:eastAsia="Arial" w:hAnsi="Arial"/>
          <w:sz w:val="16"/>
          <w:szCs w:val="16"/>
          <w:color w:val="auto"/>
        </w:rPr>
        <w:t>. The covenants and obligations contained in this Lease on the part of Landlord are binding on Landlord, its successors, and assigns only during their respective period of ownership of an interest in the Building. In the event of any transfer or transfers of such title to the Building and following the assumption or assumptions of Landlord’s obligations hereunder, Landlord (and, in the case of any subsequent transfers or conveyances, the then grantor) shall be concurrently freed and relieved from and after the date of such transfer or conveyance, without any further instrument or agreement, of all liability with respect to the performance of any covenants or obligations on the part of Landlord contained in this Lease thereafter to be performed.</w:t>
      </w:r>
    </w:p>
    <w:p>
      <w:pPr>
        <w:spacing w:after="0" w:line="171" w:lineRule="exact"/>
        <w:rPr>
          <w:sz w:val="20"/>
          <w:szCs w:val="20"/>
          <w:color w:val="auto"/>
        </w:rPr>
      </w:pPr>
    </w:p>
    <w:p>
      <w:pPr>
        <w:ind w:right="40" w:firstLine="385"/>
        <w:spacing w:after="0" w:line="318" w:lineRule="auto"/>
        <w:rPr>
          <w:sz w:val="20"/>
          <w:szCs w:val="20"/>
          <w:color w:val="auto"/>
        </w:rPr>
      </w:pPr>
      <w:r>
        <w:rPr>
          <w:rFonts w:ascii="Arial" w:cs="Arial" w:eastAsia="Arial" w:hAnsi="Arial"/>
          <w:sz w:val="13"/>
          <w:szCs w:val="13"/>
          <w:color w:val="auto"/>
        </w:rPr>
        <w:t xml:space="preserve">16.13 </w:t>
      </w:r>
      <w:r>
        <w:rPr>
          <w:rFonts w:ascii="Arial" w:cs="Arial" w:eastAsia="Arial" w:hAnsi="Arial"/>
          <w:sz w:val="13"/>
          <w:szCs w:val="13"/>
          <w:u w:val="single" w:color="auto"/>
          <w:color w:val="auto"/>
        </w:rPr>
        <w:t>Attorneys’ Fees and Other Costs</w:t>
      </w:r>
      <w:r>
        <w:rPr>
          <w:rFonts w:ascii="Arial" w:cs="Arial" w:eastAsia="Arial" w:hAnsi="Arial"/>
          <w:sz w:val="13"/>
          <w:szCs w:val="13"/>
          <w:color w:val="auto"/>
        </w:rPr>
        <w:t>. If any Party brings an action or proceeding to enforce the terms hereof or declare rights hereunder, the Prevailing Party (as hereafter defined) in any such proceeding shall be entitled to reasonable attorneys’ fees. The term “Prevailing Party” shall include, without limitation, a Party who substantially obtains or defeats the relief sought. Landlord shall be entitled to attorneys’ fees, costs, and expenses incurred in the preparation and service of notices of Default and consultations in connection therewith, whether or not a legal action is subsequently commenced in connection with such Default or resulting breach, to the extent set forth in subpart (i) of Addendum 1 to this Lease. Tenant shall reimburse Landlord on demand for all actual reasonable legal, engineering, and other professional services expenses incurred by Landlord in connection with all requests by Tenant or any lender of Tenant for consent, waiver or approval of any kind.</w:t>
      </w:r>
    </w:p>
    <w:p>
      <w:pPr>
        <w:sectPr>
          <w:pgSz w:w="11900" w:h="16838" w:orient="portrait"/>
          <w:cols w:equalWidth="0" w:num="1">
            <w:col w:w="9620"/>
          </w:cols>
          <w:pgMar w:left="1140" w:top="256" w:right="1139" w:bottom="1440" w:gutter="0" w:footer="0" w:header="0"/>
        </w:sectPr>
      </w:pPr>
    </w:p>
    <w:bookmarkStart w:id="499" w:name="page500"/>
    <w:bookmarkEnd w:id="499"/>
    <w:p>
      <w:pPr>
        <w:ind w:firstLine="385"/>
        <w:spacing w:after="0" w:line="31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16.14 </w:t>
      </w:r>
      <w:r>
        <w:rPr>
          <w:rFonts w:ascii="Arial" w:cs="Arial" w:eastAsia="Arial" w:hAnsi="Arial"/>
          <w:sz w:val="13"/>
          <w:szCs w:val="13"/>
          <w:u w:val="single" w:color="auto"/>
          <w:color w:val="auto"/>
        </w:rPr>
        <w:t>Landlord’s Access; Showing Premises; Repairs</w:t>
      </w:r>
      <w:r>
        <w:rPr>
          <w:rFonts w:ascii="Arial" w:cs="Arial" w:eastAsia="Arial" w:hAnsi="Arial"/>
          <w:sz w:val="13"/>
          <w:szCs w:val="13"/>
          <w:color w:val="auto"/>
        </w:rPr>
        <w:t>. Landlord and Landlord’s agents shall have the right to enter the Premises at any time, in the case of an emergency, and otherwise at reasonable times upon 1 business day prior notice for the purpose of showing the same to prospective purchasers, lenders, or tenants, and making such alterations, repairs, improvements, or additions to the Premises or to the Building, as Landlord is required to perform hereunder. Landlord may at any time place on or about the Premises or Building any ordinary “For Sale” signs , and Landlord may at any time during the last 180 days of the Term hereof place on or about the Premises any ordinary “For Lease” signs. Notwithstanding and in addition to any other obligation of Tenant under this Lease to cooperate with Landlord, Tenant specifically acknowledges and agrees that it shall cooperate with Landlord in making the Premises available for showing to prospective tenants during the last 180 days of the Term and during any Default by Tenant. All such activities of Landlord shall be without abatement of rent or liability to Tenant. Any entry by Landlord and Landlord’s agents shall not materially impair Tenant’s operations more than reasonably necessary, and shall comply with Tenant’s reasonable security measures.</w:t>
      </w:r>
    </w:p>
    <w:p>
      <w:pPr>
        <w:spacing w:after="0" w:line="322" w:lineRule="exact"/>
        <w:rPr>
          <w:sz w:val="20"/>
          <w:szCs w:val="20"/>
          <w:color w:val="auto"/>
        </w:rPr>
      </w:pPr>
    </w:p>
    <w:p>
      <w:pPr>
        <w:ind w:right="20" w:firstLine="385"/>
        <w:spacing w:after="0" w:line="270" w:lineRule="auto"/>
        <w:rPr>
          <w:sz w:val="20"/>
          <w:szCs w:val="20"/>
          <w:color w:val="auto"/>
        </w:rPr>
      </w:pPr>
      <w:r>
        <w:rPr>
          <w:rFonts w:ascii="Arial" w:cs="Arial" w:eastAsia="Arial" w:hAnsi="Arial"/>
          <w:sz w:val="15"/>
          <w:szCs w:val="15"/>
          <w:color w:val="auto"/>
        </w:rPr>
        <w:t xml:space="preserve">16.15 </w:t>
      </w:r>
      <w:r>
        <w:rPr>
          <w:rFonts w:ascii="Arial" w:cs="Arial" w:eastAsia="Arial" w:hAnsi="Arial"/>
          <w:sz w:val="15"/>
          <w:szCs w:val="15"/>
          <w:u w:val="single" w:color="auto"/>
          <w:color w:val="auto"/>
        </w:rPr>
        <w:t>Signs</w:t>
      </w:r>
      <w:r>
        <w:rPr>
          <w:rFonts w:ascii="Arial" w:cs="Arial" w:eastAsia="Arial" w:hAnsi="Arial"/>
          <w:sz w:val="15"/>
          <w:szCs w:val="15"/>
          <w:color w:val="auto"/>
        </w:rPr>
        <w:t>. Tenant shall not place any signs at or upon the exterior of the Premises or the Building, except that Tenant may, with Landlord’s prior written consent, install (but not on the roof) such signs as are reasonably required to advertise Tenant’s own business so long as such signs are in a location approved by Landlord and comply with sign ordinances and the signage criteria established for the Industrial Center by Landlord. Notwithstanding anything to the contrary, Landlord may place its then customary identification signage and graphics on the Building and Premises provided they do not interfere with any Tenant signs which have been approved by Landlord. Landlord hereby approves Tenant’s installation of such signage on the Building’s façade comparable to that of the existing tenant.</w:t>
      </w:r>
    </w:p>
    <w:p>
      <w:pPr>
        <w:spacing w:after="0" w:line="156" w:lineRule="exact"/>
        <w:rPr>
          <w:sz w:val="20"/>
          <w:szCs w:val="20"/>
          <w:color w:val="auto"/>
        </w:rPr>
      </w:pPr>
    </w:p>
    <w:p>
      <w:pPr>
        <w:ind w:right="100" w:firstLine="385"/>
        <w:spacing w:after="0" w:line="250" w:lineRule="auto"/>
        <w:rPr>
          <w:sz w:val="20"/>
          <w:szCs w:val="20"/>
          <w:color w:val="auto"/>
        </w:rPr>
      </w:pPr>
      <w:r>
        <w:rPr>
          <w:rFonts w:ascii="Arial" w:cs="Arial" w:eastAsia="Arial" w:hAnsi="Arial"/>
          <w:sz w:val="16"/>
          <w:szCs w:val="16"/>
          <w:color w:val="auto"/>
        </w:rPr>
        <w:t xml:space="preserve">16.16 </w:t>
      </w:r>
      <w:r>
        <w:rPr>
          <w:rFonts w:ascii="Arial" w:cs="Arial" w:eastAsia="Arial" w:hAnsi="Arial"/>
          <w:sz w:val="16"/>
          <w:szCs w:val="16"/>
          <w:u w:val="single" w:color="auto"/>
          <w:color w:val="auto"/>
        </w:rPr>
        <w:t>Termination; Merger</w:t>
      </w:r>
      <w:r>
        <w:rPr>
          <w:rFonts w:ascii="Arial" w:cs="Arial" w:eastAsia="Arial" w:hAnsi="Arial"/>
          <w:sz w:val="16"/>
          <w:szCs w:val="16"/>
          <w:color w:val="auto"/>
        </w:rPr>
        <w:t>. Unless specifically stated otherwise in writing by Landlord, the voluntary or other surrender of this Lease by Tenant, the mutual termination or cancellation hereof, or a termination hereof by Landlord for Default by Tenant, shall automatically terminate any sublease or lesser estate in the Premises; provided, however, Landlord shall, in the event of any such surrender, termination, or cancellation, have the option to continue any one or all of any existing subtenancies. Landlord’s failure within 10 days following any such event to make a written election to the contrary by written notice to the holder of any such lesser interest shall constitute Landlord’s election to have such event constitute the termination of such interest.</w:t>
      </w:r>
    </w:p>
    <w:p>
      <w:pPr>
        <w:spacing w:after="0" w:line="171" w:lineRule="exact"/>
        <w:rPr>
          <w:sz w:val="20"/>
          <w:szCs w:val="20"/>
          <w:color w:val="auto"/>
        </w:rPr>
      </w:pPr>
    </w:p>
    <w:p>
      <w:pPr>
        <w:jc w:val="both"/>
        <w:ind w:right="540" w:firstLine="385"/>
        <w:spacing w:after="0" w:line="281" w:lineRule="auto"/>
        <w:rPr>
          <w:sz w:val="20"/>
          <w:szCs w:val="20"/>
          <w:color w:val="auto"/>
        </w:rPr>
      </w:pPr>
      <w:r>
        <w:rPr>
          <w:rFonts w:ascii="Arial" w:cs="Arial" w:eastAsia="Arial" w:hAnsi="Arial"/>
          <w:sz w:val="15"/>
          <w:szCs w:val="15"/>
          <w:color w:val="auto"/>
        </w:rPr>
        <w:t xml:space="preserve">16.17 </w:t>
      </w:r>
      <w:r>
        <w:rPr>
          <w:rFonts w:ascii="Arial" w:cs="Arial" w:eastAsia="Arial" w:hAnsi="Arial"/>
          <w:sz w:val="15"/>
          <w:szCs w:val="15"/>
          <w:u w:val="single" w:color="auto"/>
          <w:color w:val="auto"/>
        </w:rPr>
        <w:t>Quiet Possession</w:t>
      </w:r>
      <w:r>
        <w:rPr>
          <w:rFonts w:ascii="Arial" w:cs="Arial" w:eastAsia="Arial" w:hAnsi="Arial"/>
          <w:sz w:val="15"/>
          <w:szCs w:val="15"/>
          <w:color w:val="auto"/>
        </w:rPr>
        <w:t>. Upon payment by Tenant of the Base Rent and Additional Rent for the Premises and the performance of all of the covenants, conditions, and provisions on Tenant’s part to be observed and performed under this Lease, Tenant shall have quiet possession of the Premises for the entire term hereof, subject to all of the provisions of this Lease.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16.18 </w:t>
      </w:r>
      <w:r>
        <w:rPr>
          <w:rFonts w:ascii="Arial" w:cs="Arial" w:eastAsia="Arial" w:hAnsi="Arial"/>
          <w:sz w:val="16"/>
          <w:szCs w:val="16"/>
          <w:u w:val="single" w:color="auto"/>
          <w:color w:val="auto"/>
        </w:rPr>
        <w:t>Subordination; Attornment; Non-Disturbance</w:t>
      </w:r>
      <w:r>
        <w:rPr>
          <w:rFonts w:ascii="Arial" w:cs="Arial" w:eastAsia="Arial" w:hAnsi="Arial"/>
          <w:sz w:val="16"/>
          <w:szCs w:val="16"/>
          <w:color w:val="auto"/>
        </w:rPr>
        <w:t>.</w:t>
      </w:r>
    </w:p>
    <w:p>
      <w:pPr>
        <w:spacing w:after="0" w:line="193" w:lineRule="exact"/>
        <w:rPr>
          <w:sz w:val="20"/>
          <w:szCs w:val="20"/>
          <w:color w:val="auto"/>
        </w:rPr>
      </w:pPr>
    </w:p>
    <w:p>
      <w:pPr>
        <w:ind w:right="40" w:firstLine="860"/>
        <w:spacing w:after="0" w:line="311" w:lineRule="auto"/>
        <w:tabs>
          <w:tab w:leader="none" w:pos="1079" w:val="left"/>
        </w:tabs>
        <w:numPr>
          <w:ilvl w:val="0"/>
          <w:numId w:val="377"/>
        </w:numPr>
        <w:rPr>
          <w:rFonts w:ascii="Arial" w:cs="Arial" w:eastAsia="Arial" w:hAnsi="Arial"/>
          <w:sz w:val="13"/>
          <w:szCs w:val="13"/>
          <w:color w:val="auto"/>
        </w:rPr>
      </w:pPr>
      <w:r>
        <w:rPr>
          <w:rFonts w:ascii="Arial" w:cs="Arial" w:eastAsia="Arial" w:hAnsi="Arial"/>
          <w:sz w:val="13"/>
          <w:szCs w:val="13"/>
          <w:u w:val="single" w:color="auto"/>
          <w:color w:val="auto"/>
        </w:rPr>
        <w:t>Subordination</w:t>
      </w:r>
      <w:r>
        <w:rPr>
          <w:rFonts w:ascii="Arial" w:cs="Arial" w:eastAsia="Arial" w:hAnsi="Arial"/>
          <w:sz w:val="13"/>
          <w:szCs w:val="13"/>
          <w:color w:val="auto"/>
        </w:rPr>
        <w:t>. This Lease shall be subject and subordinate to any ground lease, mortgage, deed of trust, or other hypothecation or mortgage (collectively, “Mortgage”) now or hereafter placed by Landlord upon the real property of which the Premises are a part, to any and all advances made on the security thereof, and to all renewals, modifications, consolidations, replacements, and extensions thereof. Tenant agrees that any person holding any Mortgage shall have no duty, liability, or obligation to perform any of the obligations of Landlord under this Lease. In the event of Landlord’s default with respect to any such obligation, Tenant will give any Lender, whose name and address have previously been furnished in writing to Tenant, notice of a default by Landlord. Tenant may not exercise any remedies for default by Landlord unless and until Landlord and the Lender shall have received written notice of such default and a reasonable time (not less than 60 days) shall thereafter have elapsed without the default having been cured. If any Lender shall elect to have this Lease superior to the lien of its Mortgage and shall give written notice thereof to Tenant, this Lease shall be deemed prior to such Mortgage. The provisions of a Mortgage relating to the disposition of condemnation and insurance proceeds shall prevail over any contrary provisions contained in this Lease. Landlord represents and warrants that there is no Mortgage affecting the Premises as of the date hereof.</w:t>
      </w:r>
    </w:p>
    <w:p>
      <w:pPr>
        <w:spacing w:after="0" w:line="137" w:lineRule="exact"/>
        <w:rPr>
          <w:rFonts w:ascii="Arial" w:cs="Arial" w:eastAsia="Arial" w:hAnsi="Arial"/>
          <w:sz w:val="13"/>
          <w:szCs w:val="13"/>
          <w:color w:val="auto"/>
        </w:rPr>
      </w:pPr>
    </w:p>
    <w:p>
      <w:pPr>
        <w:ind w:right="20" w:firstLine="860"/>
        <w:spacing w:after="0" w:line="251" w:lineRule="auto"/>
        <w:tabs>
          <w:tab w:leader="none" w:pos="1088"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Attornment</w:t>
      </w:r>
      <w:r>
        <w:rPr>
          <w:rFonts w:ascii="Arial" w:cs="Arial" w:eastAsia="Arial" w:hAnsi="Arial"/>
          <w:sz w:val="16"/>
          <w:szCs w:val="16"/>
          <w:color w:val="auto"/>
        </w:rPr>
        <w:t>. Subject to the nondisturbance provisions of subparagraph (c) of this Paragraph 16.18, Tenant agrees to attorn to a Lender or any other party who acquires ownership of the Premises by reason of a foreclosure of a Mortgage. In the event of such foreclosure, such new owner shall not: (i) be liable for any act or omission of any prior landlord or with respect to events occurring prior to acquisition of ownership, (ii) be subject to any offsets or defenses which Tenant might have against any prior Landlord, or (iii) be liable for security deposits or be bound by prepayment of more than one month’s rent unless, in each case, actually received.</w:t>
      </w:r>
    </w:p>
    <w:p>
      <w:pPr>
        <w:spacing w:after="0" w:line="169" w:lineRule="exact"/>
        <w:rPr>
          <w:rFonts w:ascii="Arial" w:cs="Arial" w:eastAsia="Arial" w:hAnsi="Arial"/>
          <w:sz w:val="16"/>
          <w:szCs w:val="16"/>
          <w:color w:val="auto"/>
        </w:rPr>
      </w:pPr>
    </w:p>
    <w:p>
      <w:pPr>
        <w:ind w:right="20" w:firstLine="860"/>
        <w:spacing w:after="0" w:line="323" w:lineRule="auto"/>
        <w:tabs>
          <w:tab w:leader="none" w:pos="1079" w:val="left"/>
        </w:tabs>
        <w:numPr>
          <w:ilvl w:val="0"/>
          <w:numId w:val="377"/>
        </w:numPr>
        <w:rPr>
          <w:rFonts w:ascii="Arial" w:cs="Arial" w:eastAsia="Arial" w:hAnsi="Arial"/>
          <w:sz w:val="13"/>
          <w:szCs w:val="13"/>
          <w:color w:val="auto"/>
        </w:rPr>
      </w:pPr>
      <w:r>
        <w:rPr>
          <w:rFonts w:ascii="Arial" w:cs="Arial" w:eastAsia="Arial" w:hAnsi="Arial"/>
          <w:sz w:val="13"/>
          <w:szCs w:val="13"/>
          <w:u w:val="single" w:color="auto"/>
          <w:color w:val="auto"/>
        </w:rPr>
        <w:t>Non-Disturbance</w:t>
      </w:r>
      <w:r>
        <w:rPr>
          <w:rFonts w:ascii="Arial" w:cs="Arial" w:eastAsia="Arial" w:hAnsi="Arial"/>
          <w:sz w:val="13"/>
          <w:szCs w:val="13"/>
          <w:color w:val="auto"/>
        </w:rPr>
        <w:t>. With respect to a Mortgage entered into by Landlord after the execution of this Lease, this Lease shall be subject and subordinate to such Mortgage. Notwithstanding the foregoing, Landlord shall use commercially reasonable efforts to obtain a “nondisturbance agreement” from the Mortgage holder providing that Tenant’s possession pursuant to this Lease will not be disturbed so long as Tenant is not in default and attorns to the record owner of the Premises. Notwithstanding anything to the contrary herein, the subordination of this Lease to any Mortgage shall be conditioned upon Tenant’s receipt from any Mortgage holder of such a “nondisturbance agreement” on the lender’s then current form.</w:t>
      </w:r>
    </w:p>
    <w:p>
      <w:pPr>
        <w:spacing w:after="0" w:line="125" w:lineRule="exact"/>
        <w:rPr>
          <w:rFonts w:ascii="Arial" w:cs="Arial" w:eastAsia="Arial" w:hAnsi="Arial"/>
          <w:sz w:val="13"/>
          <w:szCs w:val="13"/>
          <w:color w:val="auto"/>
        </w:rPr>
      </w:pPr>
    </w:p>
    <w:p>
      <w:pPr>
        <w:ind w:right="80" w:firstLine="860"/>
        <w:spacing w:after="0" w:line="251" w:lineRule="auto"/>
        <w:tabs>
          <w:tab w:leader="none" w:pos="1088" w:val="left"/>
        </w:tabs>
        <w:numPr>
          <w:ilvl w:val="0"/>
          <w:numId w:val="377"/>
        </w:numPr>
        <w:rPr>
          <w:rFonts w:ascii="Arial" w:cs="Arial" w:eastAsia="Arial" w:hAnsi="Arial"/>
          <w:sz w:val="16"/>
          <w:szCs w:val="16"/>
          <w:color w:val="auto"/>
        </w:rPr>
      </w:pPr>
      <w:r>
        <w:rPr>
          <w:rFonts w:ascii="Arial" w:cs="Arial" w:eastAsia="Arial" w:hAnsi="Arial"/>
          <w:sz w:val="16"/>
          <w:szCs w:val="16"/>
          <w:u w:val="single" w:color="auto"/>
          <w:color w:val="auto"/>
        </w:rPr>
        <w:t>Self-Executing</w:t>
      </w:r>
      <w:r>
        <w:rPr>
          <w:rFonts w:ascii="Arial" w:cs="Arial" w:eastAsia="Arial" w:hAnsi="Arial"/>
          <w:sz w:val="16"/>
          <w:szCs w:val="16"/>
          <w:color w:val="auto"/>
        </w:rPr>
        <w:t>. The agreements contained in this Paragraph 16.18 shall be effective without the execution of any further documents; provided, however, that upon written request from Landlord or a Lender in connection with a sale, financing, or refinancing of Premises, Tenant and Landlord shall execute such further writings as may be reasonably required to separately document any such subordination or nonsubordination, attornment, and/or nondisturbance agreement, as is provided for herein. Landlord is hereby irrevocably vested with full power to subordinate this Lease to a Mortgage.</w:t>
      </w:r>
    </w:p>
    <w:p>
      <w:pPr>
        <w:sectPr>
          <w:pgSz w:w="11900" w:h="16838" w:orient="portrait"/>
          <w:cols w:equalWidth="0" w:num="1">
            <w:col w:w="9600"/>
          </w:cols>
          <w:pgMar w:left="1140" w:top="256" w:right="1159" w:bottom="1440" w:gutter="0" w:footer="0" w:header="0"/>
        </w:sectPr>
      </w:pPr>
    </w:p>
    <w:bookmarkStart w:id="500" w:name="page501"/>
    <w:bookmarkEnd w:id="500"/>
    <w:p>
      <w:pPr>
        <w:ind w:right="140" w:firstLine="385"/>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 xml:space="preserve">16.19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Tenant agrees that it will abide by, and to cause its employees, suppliers, shippers, customers, tenants, contractors, and invitees to abide by the Rules and Regulations attached hereto as Exhibit “E”, and any reasonable and non-discriminatory amendments thereto (“Rules and Regulations”) which Landlord may make from time to time for the management, safety, care, and cleanliness of the Common Areas, the parking and unloading of vehicles, and the preservation of good order, as well as for the convenience of other occupants or tenants of the Building and the Industrial Center and their invitees. Landlord shall not be responsible to Tenant for the noncompliance with said Rules and Regulations by other tenants of the Industrial Center.</w:t>
      </w:r>
    </w:p>
    <w:p>
      <w:pPr>
        <w:spacing w:after="0" w:line="171" w:lineRule="exact"/>
        <w:rPr>
          <w:sz w:val="20"/>
          <w:szCs w:val="20"/>
          <w:color w:val="auto"/>
        </w:rPr>
      </w:pPr>
    </w:p>
    <w:p>
      <w:pPr>
        <w:jc w:val="both"/>
        <w:ind w:right="100" w:firstLine="385"/>
        <w:spacing w:after="0" w:line="256" w:lineRule="auto"/>
        <w:rPr>
          <w:sz w:val="20"/>
          <w:szCs w:val="20"/>
          <w:color w:val="auto"/>
        </w:rPr>
      </w:pPr>
      <w:r>
        <w:rPr>
          <w:rFonts w:ascii="Arial" w:cs="Arial" w:eastAsia="Arial" w:hAnsi="Arial"/>
          <w:sz w:val="16"/>
          <w:szCs w:val="16"/>
          <w:color w:val="auto"/>
        </w:rPr>
        <w:t xml:space="preserve">16.20 </w:t>
      </w:r>
      <w:r>
        <w:rPr>
          <w:rFonts w:ascii="Arial" w:cs="Arial" w:eastAsia="Arial" w:hAnsi="Arial"/>
          <w:sz w:val="16"/>
          <w:szCs w:val="16"/>
          <w:u w:val="single" w:color="auto"/>
          <w:color w:val="auto"/>
        </w:rPr>
        <w:t>Security Measures</w:t>
      </w:r>
      <w:r>
        <w:rPr>
          <w:rFonts w:ascii="Arial" w:cs="Arial" w:eastAsia="Arial" w:hAnsi="Arial"/>
          <w:sz w:val="16"/>
          <w:szCs w:val="16"/>
          <w:color w:val="auto"/>
        </w:rPr>
        <w:t>. Tenant acknowledges that the rental payable to Landlord hereunder does not include the cost of guard service or other security measures. Landlord has no obligations to provide same. Tenant assumes all responsibility for the protection of the Premises, Tenant, its agents, and invitees and their property from the acts of third parties.</w:t>
      </w:r>
    </w:p>
    <w:p>
      <w:pPr>
        <w:spacing w:after="0" w:line="166" w:lineRule="exact"/>
        <w:rPr>
          <w:sz w:val="20"/>
          <w:szCs w:val="20"/>
          <w:color w:val="auto"/>
        </w:rPr>
      </w:pPr>
    </w:p>
    <w:p>
      <w:pPr>
        <w:ind w:right="160" w:firstLine="385"/>
        <w:spacing w:after="0" w:line="270" w:lineRule="auto"/>
        <w:rPr>
          <w:sz w:val="20"/>
          <w:szCs w:val="20"/>
          <w:color w:val="auto"/>
        </w:rPr>
      </w:pPr>
      <w:r>
        <w:rPr>
          <w:rFonts w:ascii="Arial" w:cs="Arial" w:eastAsia="Arial" w:hAnsi="Arial"/>
          <w:sz w:val="15"/>
          <w:szCs w:val="15"/>
          <w:color w:val="auto"/>
        </w:rPr>
        <w:t xml:space="preserve">16.21 </w:t>
      </w:r>
      <w:r>
        <w:rPr>
          <w:rFonts w:ascii="Arial" w:cs="Arial" w:eastAsia="Arial" w:hAnsi="Arial"/>
          <w:sz w:val="15"/>
          <w:szCs w:val="15"/>
          <w:u w:val="single" w:color="auto"/>
          <w:color w:val="auto"/>
        </w:rPr>
        <w:t>Reservations</w:t>
      </w:r>
      <w:r>
        <w:rPr>
          <w:rFonts w:ascii="Arial" w:cs="Arial" w:eastAsia="Arial" w:hAnsi="Arial"/>
          <w:sz w:val="15"/>
          <w:szCs w:val="15"/>
          <w:color w:val="auto"/>
        </w:rPr>
        <w:t>. Landlord reserves the right to grant such easements that Landlord deems necessary and to cause the recordation of parcel maps, so long as such easements and maps do not unreasonably interfere with the use of the Premises, Storage Area, or the parking areas by Tenant. Tenant agrees to sign any documents reasonably requested by Landlord to effectuate any such easements or maps. Landlord may not, at any time following the execution of this Lease, either directly or through Landlord’s agents, identify Tenant’s name in any marketing materials relating to the Building or Landlord’s portfolio and/or make press releases or other announcements regarding the leasing of the Premises by Tenant, without Tenant’s prior written consent, which may be withheld in its sole discretion.</w:t>
      </w:r>
    </w:p>
    <w:p>
      <w:pPr>
        <w:spacing w:after="0" w:line="156" w:lineRule="exact"/>
        <w:rPr>
          <w:sz w:val="20"/>
          <w:szCs w:val="20"/>
          <w:color w:val="auto"/>
        </w:rPr>
      </w:pPr>
    </w:p>
    <w:p>
      <w:pPr>
        <w:ind w:right="100" w:firstLine="385"/>
        <w:spacing w:after="0" w:line="266" w:lineRule="auto"/>
        <w:rPr>
          <w:sz w:val="20"/>
          <w:szCs w:val="20"/>
          <w:color w:val="auto"/>
        </w:rPr>
      </w:pPr>
      <w:r>
        <w:rPr>
          <w:rFonts w:ascii="Arial" w:cs="Arial" w:eastAsia="Arial" w:hAnsi="Arial"/>
          <w:sz w:val="16"/>
          <w:szCs w:val="16"/>
          <w:color w:val="auto"/>
        </w:rPr>
        <w:t xml:space="preserve">16.22 </w:t>
      </w:r>
      <w:r>
        <w:rPr>
          <w:rFonts w:ascii="Arial" w:cs="Arial" w:eastAsia="Arial" w:hAnsi="Arial"/>
          <w:sz w:val="16"/>
          <w:szCs w:val="16"/>
          <w:u w:val="single" w:color="auto"/>
          <w:color w:val="auto"/>
        </w:rPr>
        <w:t>Conflict</w:t>
      </w:r>
      <w:r>
        <w:rPr>
          <w:rFonts w:ascii="Arial" w:cs="Arial" w:eastAsia="Arial" w:hAnsi="Arial"/>
          <w:sz w:val="16"/>
          <w:szCs w:val="16"/>
          <w:color w:val="auto"/>
        </w:rPr>
        <w:t>. Any conflict between the printed provisions of this Lease and the typewritten or handwritten provisions shall be controlled by the typewritten or handwritten provisions.</w:t>
      </w:r>
    </w:p>
    <w:p>
      <w:pPr>
        <w:spacing w:after="0" w:line="158" w:lineRule="exact"/>
        <w:rPr>
          <w:sz w:val="20"/>
          <w:szCs w:val="20"/>
          <w:color w:val="auto"/>
        </w:rPr>
      </w:pPr>
    </w:p>
    <w:p>
      <w:pPr>
        <w:ind w:right="280" w:firstLine="385"/>
        <w:spacing w:after="0" w:line="383" w:lineRule="auto"/>
        <w:rPr>
          <w:sz w:val="20"/>
          <w:szCs w:val="20"/>
          <w:color w:val="auto"/>
        </w:rPr>
      </w:pPr>
      <w:r>
        <w:rPr>
          <w:rFonts w:ascii="Arial" w:cs="Arial" w:eastAsia="Arial" w:hAnsi="Arial"/>
          <w:sz w:val="13"/>
          <w:szCs w:val="13"/>
          <w:color w:val="auto"/>
        </w:rPr>
        <w:t xml:space="preserve">16.23 </w:t>
      </w:r>
      <w:r>
        <w:rPr>
          <w:rFonts w:ascii="Arial" w:cs="Arial" w:eastAsia="Arial" w:hAnsi="Arial"/>
          <w:sz w:val="13"/>
          <w:szCs w:val="13"/>
          <w:u w:val="single" w:color="auto"/>
          <w:color w:val="auto"/>
        </w:rPr>
        <w:t>Offer</w:t>
      </w:r>
      <w:r>
        <w:rPr>
          <w:rFonts w:ascii="Arial" w:cs="Arial" w:eastAsia="Arial" w:hAnsi="Arial"/>
          <w:sz w:val="13"/>
          <w:szCs w:val="13"/>
          <w:color w:val="auto"/>
        </w:rPr>
        <w:t>. Preparation of this Lease by either Landlord or Tenant or Landlord’s agent or Tenant’s agent and submission of same to Tenant or Landlord shall not be deemed an offer to lease. This Lease is not intended to be binding until executed and delivered by all Parties hereto.</w:t>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16.24 </w:t>
      </w:r>
      <w:r>
        <w:rPr>
          <w:rFonts w:ascii="Arial" w:cs="Arial" w:eastAsia="Arial" w:hAnsi="Arial"/>
          <w:sz w:val="16"/>
          <w:szCs w:val="16"/>
          <w:u w:val="single" w:color="auto"/>
          <w:color w:val="auto"/>
        </w:rPr>
        <w:t>Amendments</w:t>
      </w:r>
      <w:r>
        <w:rPr>
          <w:rFonts w:ascii="Arial" w:cs="Arial" w:eastAsia="Arial" w:hAnsi="Arial"/>
          <w:sz w:val="16"/>
          <w:szCs w:val="16"/>
          <w:color w:val="auto"/>
        </w:rPr>
        <w:t>. This Lease may be modified only in writing, signed by the parties in interest at the time of the modification.</w:t>
      </w:r>
    </w:p>
    <w:p>
      <w:pPr>
        <w:spacing w:after="0" w:line="193" w:lineRule="exact"/>
        <w:rPr>
          <w:sz w:val="20"/>
          <w:szCs w:val="20"/>
          <w:color w:val="auto"/>
        </w:rPr>
      </w:pPr>
    </w:p>
    <w:p>
      <w:pPr>
        <w:ind w:firstLine="385"/>
        <w:spacing w:after="0" w:line="300" w:lineRule="auto"/>
        <w:rPr>
          <w:sz w:val="20"/>
          <w:szCs w:val="20"/>
          <w:color w:val="auto"/>
        </w:rPr>
      </w:pPr>
      <w:r>
        <w:rPr>
          <w:rFonts w:ascii="Arial" w:cs="Arial" w:eastAsia="Arial" w:hAnsi="Arial"/>
          <w:sz w:val="15"/>
          <w:szCs w:val="15"/>
          <w:color w:val="auto"/>
        </w:rPr>
        <w:t xml:space="preserve">16.25 </w:t>
      </w:r>
      <w:r>
        <w:rPr>
          <w:rFonts w:ascii="Arial" w:cs="Arial" w:eastAsia="Arial" w:hAnsi="Arial"/>
          <w:sz w:val="15"/>
          <w:szCs w:val="15"/>
          <w:u w:val="single" w:color="auto"/>
          <w:color w:val="auto"/>
        </w:rPr>
        <w:t>Multiple Parties</w:t>
      </w:r>
      <w:r>
        <w:rPr>
          <w:rFonts w:ascii="Arial" w:cs="Arial" w:eastAsia="Arial" w:hAnsi="Arial"/>
          <w:sz w:val="15"/>
          <w:szCs w:val="15"/>
          <w:color w:val="auto"/>
        </w:rPr>
        <w:t>. Except as otherwise expressly provided herein, if more than one person or entity is named herein as Tenant, the obligations of such persons shall be the joint and several responsibility of all persons or entities named herein as such Tenant.</w:t>
      </w:r>
    </w:p>
    <w:p>
      <w:pPr>
        <w:spacing w:after="0" w:line="135" w:lineRule="exact"/>
        <w:rPr>
          <w:sz w:val="20"/>
          <w:szCs w:val="20"/>
          <w:color w:val="auto"/>
        </w:rPr>
      </w:pPr>
    </w:p>
    <w:p>
      <w:pPr>
        <w:ind w:right="80" w:firstLine="385"/>
        <w:spacing w:after="0" w:line="266" w:lineRule="auto"/>
        <w:rPr>
          <w:sz w:val="20"/>
          <w:szCs w:val="20"/>
          <w:color w:val="auto"/>
        </w:rPr>
      </w:pPr>
      <w:r>
        <w:rPr>
          <w:rFonts w:ascii="Arial" w:cs="Arial" w:eastAsia="Arial" w:hAnsi="Arial"/>
          <w:sz w:val="16"/>
          <w:szCs w:val="16"/>
          <w:color w:val="auto"/>
        </w:rPr>
        <w:t xml:space="preserve">16.26 </w:t>
      </w:r>
      <w:r>
        <w:rPr>
          <w:rFonts w:ascii="Arial" w:cs="Arial" w:eastAsia="Arial" w:hAnsi="Arial"/>
          <w:sz w:val="16"/>
          <w:szCs w:val="16"/>
          <w:u w:val="single" w:color="auto"/>
          <w:color w:val="auto"/>
        </w:rPr>
        <w:t>Authority</w:t>
      </w:r>
      <w:r>
        <w:rPr>
          <w:rFonts w:ascii="Arial" w:cs="Arial" w:eastAsia="Arial" w:hAnsi="Arial"/>
          <w:sz w:val="16"/>
          <w:szCs w:val="16"/>
          <w:color w:val="auto"/>
        </w:rPr>
        <w:t>. Landlord or Tenant warrants and represents that each person signing on behalf of such party is authorized to execute and deliver this Lease and to make it a binding obligation of Landlord or Tenant.</w:t>
      </w:r>
    </w:p>
    <w:p>
      <w:pPr>
        <w:spacing w:after="0" w:line="158" w:lineRule="exact"/>
        <w:rPr>
          <w:sz w:val="20"/>
          <w:szCs w:val="20"/>
          <w:color w:val="auto"/>
        </w:rPr>
      </w:pPr>
    </w:p>
    <w:p>
      <w:pPr>
        <w:ind w:right="220" w:firstLine="385"/>
        <w:spacing w:after="0" w:line="323" w:lineRule="auto"/>
        <w:rPr>
          <w:sz w:val="20"/>
          <w:szCs w:val="20"/>
          <w:color w:val="auto"/>
        </w:rPr>
      </w:pPr>
      <w:r>
        <w:rPr>
          <w:rFonts w:ascii="Arial" w:cs="Arial" w:eastAsia="Arial" w:hAnsi="Arial"/>
          <w:sz w:val="13"/>
          <w:szCs w:val="13"/>
          <w:color w:val="auto"/>
        </w:rPr>
        <w:t xml:space="preserve">16.27 </w:t>
      </w:r>
      <w:r>
        <w:rPr>
          <w:rFonts w:ascii="Arial" w:cs="Arial" w:eastAsia="Arial" w:hAnsi="Arial"/>
          <w:sz w:val="13"/>
          <w:szCs w:val="13"/>
          <w:u w:val="single" w:color="auto"/>
          <w:color w:val="auto"/>
        </w:rPr>
        <w:t>Broker’s Fees</w:t>
      </w:r>
      <w:r>
        <w:rPr>
          <w:rFonts w:ascii="Arial" w:cs="Arial" w:eastAsia="Arial" w:hAnsi="Arial"/>
          <w:sz w:val="13"/>
          <w:szCs w:val="13"/>
          <w:color w:val="auto"/>
        </w:rPr>
        <w:t>. Except for Colliers International, who represents Landlord, and Newmark, who represents Tenant, who shall be paid by separate agreement with Landlord, Tenant represents and warrants that it has dealt with no broker, agent or other person in connection with this transaction and that no broker, agent or other person brought about this transaction and Tenant shall indemnify, defend, protect and hold Landlord harmless from and against any claims, losses, liabilities, demands, costs, expenses or causes of action by any broker, agent or other person claiming a commission or other form of compensation by virtue of having dealt with Tenant with regard to this leasing transaction.</w:t>
      </w:r>
    </w:p>
    <w:p>
      <w:pPr>
        <w:spacing w:after="0" w:line="126" w:lineRule="exact"/>
        <w:rPr>
          <w:sz w:val="20"/>
          <w:szCs w:val="20"/>
          <w:color w:val="auto"/>
        </w:rPr>
      </w:pPr>
    </w:p>
    <w:p>
      <w:pPr>
        <w:ind w:right="60" w:firstLine="385"/>
        <w:spacing w:after="0" w:line="300" w:lineRule="auto"/>
        <w:rPr>
          <w:sz w:val="20"/>
          <w:szCs w:val="20"/>
          <w:color w:val="auto"/>
        </w:rPr>
      </w:pPr>
      <w:r>
        <w:rPr>
          <w:rFonts w:ascii="Arial" w:cs="Arial" w:eastAsia="Arial" w:hAnsi="Arial"/>
          <w:sz w:val="15"/>
          <w:szCs w:val="15"/>
          <w:color w:val="auto"/>
        </w:rPr>
        <w:t xml:space="preserve">16.28 </w:t>
      </w:r>
      <w:r>
        <w:rPr>
          <w:rFonts w:ascii="Arial" w:cs="Arial" w:eastAsia="Arial" w:hAnsi="Arial"/>
          <w:sz w:val="15"/>
          <w:szCs w:val="15"/>
          <w:u w:val="single" w:color="auto"/>
          <w:color w:val="auto"/>
        </w:rPr>
        <w:t>No Partnership</w:t>
      </w:r>
      <w:r>
        <w:rPr>
          <w:rFonts w:ascii="Arial" w:cs="Arial" w:eastAsia="Arial" w:hAnsi="Arial"/>
          <w:sz w:val="15"/>
          <w:szCs w:val="15"/>
          <w:color w:val="auto"/>
        </w:rPr>
        <w:t>. Nothing in this Lease creates any relationship between the parties other than that of landlord and tenant, and nothing in this Lease constitutes the Landlord a partner of Tenant or a joint venturer or member of a common enterprise with Tenant.</w:t>
      </w:r>
    </w:p>
    <w:p>
      <w:pPr>
        <w:spacing w:after="0" w:line="135" w:lineRule="exact"/>
        <w:rPr>
          <w:sz w:val="20"/>
          <w:szCs w:val="20"/>
          <w:color w:val="auto"/>
        </w:rPr>
      </w:pPr>
    </w:p>
    <w:p>
      <w:pPr>
        <w:ind w:right="260" w:firstLine="385"/>
        <w:spacing w:after="0" w:line="266" w:lineRule="auto"/>
        <w:rPr>
          <w:sz w:val="20"/>
          <w:szCs w:val="20"/>
          <w:color w:val="auto"/>
        </w:rPr>
      </w:pPr>
      <w:r>
        <w:rPr>
          <w:rFonts w:ascii="Arial" w:cs="Arial" w:eastAsia="Arial" w:hAnsi="Arial"/>
          <w:sz w:val="16"/>
          <w:szCs w:val="16"/>
          <w:color w:val="auto"/>
        </w:rPr>
        <w:t xml:space="preserve">16.29 </w:t>
      </w:r>
      <w:r>
        <w:rPr>
          <w:rFonts w:ascii="Arial" w:cs="Arial" w:eastAsia="Arial" w:hAnsi="Arial"/>
          <w:sz w:val="16"/>
          <w:szCs w:val="16"/>
          <w:u w:val="single" w:color="auto"/>
          <w:color w:val="auto"/>
        </w:rPr>
        <w:t>Lease Captions</w:t>
      </w:r>
      <w:r>
        <w:rPr>
          <w:rFonts w:ascii="Arial" w:cs="Arial" w:eastAsia="Arial" w:hAnsi="Arial"/>
          <w:sz w:val="16"/>
          <w:szCs w:val="16"/>
          <w:color w:val="auto"/>
        </w:rPr>
        <w:t>. The captions of this Lease are for convenience only and are not a part of this Lease, and do not in any way define, limit, describe, or amplify the terms or provisions of this Lease or the scope or intent thereof.</w:t>
      </w:r>
    </w:p>
    <w:p>
      <w:pPr>
        <w:spacing w:after="0" w:line="158" w:lineRule="exact"/>
        <w:rPr>
          <w:sz w:val="20"/>
          <w:szCs w:val="20"/>
          <w:color w:val="auto"/>
        </w:rPr>
      </w:pPr>
    </w:p>
    <w:p>
      <w:pPr>
        <w:jc w:val="both"/>
        <w:ind w:right="20" w:firstLine="385"/>
        <w:spacing w:after="0" w:line="256" w:lineRule="auto"/>
        <w:rPr>
          <w:sz w:val="20"/>
          <w:szCs w:val="20"/>
          <w:color w:val="auto"/>
        </w:rPr>
      </w:pPr>
      <w:r>
        <w:rPr>
          <w:rFonts w:ascii="Arial" w:cs="Arial" w:eastAsia="Arial" w:hAnsi="Arial"/>
          <w:sz w:val="16"/>
          <w:szCs w:val="16"/>
          <w:color w:val="auto"/>
        </w:rPr>
        <w:t xml:space="preserve">16.30 </w:t>
      </w:r>
      <w:r>
        <w:rPr>
          <w:rFonts w:ascii="Arial" w:cs="Arial" w:eastAsia="Arial" w:hAnsi="Arial"/>
          <w:sz w:val="16"/>
          <w:szCs w:val="16"/>
          <w:u w:val="single" w:color="auto"/>
          <w:color w:val="auto"/>
        </w:rPr>
        <w:t>Counterparts and Electronic Signatures</w:t>
      </w:r>
      <w:r>
        <w:rPr>
          <w:rFonts w:ascii="Arial" w:cs="Arial" w:eastAsia="Arial" w:hAnsi="Arial"/>
          <w:sz w:val="16"/>
          <w:szCs w:val="16"/>
          <w:color w:val="auto"/>
        </w:rPr>
        <w:t>. This Lease may be executed in multiple counterparts, each of which shall constitute an original, but all of which taken together shall constitute one and the same agreement. Electronic signatures by PDF via email or facsimile shall be treated as originals for all purposes.</w:t>
      </w:r>
    </w:p>
    <w:p>
      <w:pPr>
        <w:spacing w:after="0" w:line="166" w:lineRule="exact"/>
        <w:rPr>
          <w:sz w:val="20"/>
          <w:szCs w:val="20"/>
          <w:color w:val="auto"/>
        </w:rPr>
      </w:pPr>
    </w:p>
    <w:p>
      <w:pPr>
        <w:jc w:val="both"/>
        <w:ind w:right="280" w:firstLine="385"/>
        <w:spacing w:after="0" w:line="256" w:lineRule="auto"/>
        <w:rPr>
          <w:sz w:val="20"/>
          <w:szCs w:val="20"/>
          <w:color w:val="auto"/>
        </w:rPr>
      </w:pPr>
      <w:r>
        <w:rPr>
          <w:rFonts w:ascii="Arial" w:cs="Arial" w:eastAsia="Arial" w:hAnsi="Arial"/>
          <w:sz w:val="16"/>
          <w:szCs w:val="16"/>
          <w:color w:val="auto"/>
        </w:rPr>
        <w:t xml:space="preserve">16.31 </w:t>
      </w:r>
      <w:r>
        <w:rPr>
          <w:rFonts w:ascii="Arial" w:cs="Arial" w:eastAsia="Arial" w:hAnsi="Arial"/>
          <w:sz w:val="16"/>
          <w:szCs w:val="16"/>
          <w:u w:val="single" w:color="auto"/>
          <w:color w:val="auto"/>
        </w:rPr>
        <w:t>Interpretation</w:t>
      </w:r>
      <w:r>
        <w:rPr>
          <w:rFonts w:ascii="Arial" w:cs="Arial" w:eastAsia="Arial" w:hAnsi="Arial"/>
          <w:sz w:val="16"/>
          <w:szCs w:val="16"/>
          <w:color w:val="auto"/>
        </w:rPr>
        <w:t>. The parties acknowledge that this Lease is the result of negotiations between the parties, and in construing any ambiguity hereunder no presumption shall be made in favor of either party. No inference shall be made from any item, which has been stricken from this Lease other than the deletion of such item.</w:t>
      </w:r>
    </w:p>
    <w:p>
      <w:pPr>
        <w:spacing w:after="0" w:line="166" w:lineRule="exact"/>
        <w:rPr>
          <w:sz w:val="20"/>
          <w:szCs w:val="20"/>
          <w:color w:val="auto"/>
        </w:rPr>
      </w:pPr>
    </w:p>
    <w:p>
      <w:pPr>
        <w:ind w:right="360" w:firstLine="385"/>
        <w:spacing w:after="0" w:line="266" w:lineRule="auto"/>
        <w:rPr>
          <w:sz w:val="20"/>
          <w:szCs w:val="20"/>
          <w:color w:val="auto"/>
        </w:rPr>
      </w:pPr>
      <w:r>
        <w:rPr>
          <w:rFonts w:ascii="Arial" w:cs="Arial" w:eastAsia="Arial" w:hAnsi="Arial"/>
          <w:sz w:val="16"/>
          <w:szCs w:val="16"/>
          <w:color w:val="auto"/>
        </w:rPr>
        <w:t xml:space="preserve">16.32 </w:t>
      </w:r>
      <w:r>
        <w:rPr>
          <w:rFonts w:ascii="Arial" w:cs="Arial" w:eastAsia="Arial" w:hAnsi="Arial"/>
          <w:sz w:val="16"/>
          <w:szCs w:val="16"/>
          <w:u w:val="single" w:color="auto"/>
          <w:color w:val="auto"/>
        </w:rPr>
        <w:t>Recording</w:t>
      </w:r>
      <w:r>
        <w:rPr>
          <w:rFonts w:ascii="Arial" w:cs="Arial" w:eastAsia="Arial" w:hAnsi="Arial"/>
          <w:sz w:val="16"/>
          <w:szCs w:val="16"/>
          <w:color w:val="auto"/>
        </w:rPr>
        <w:t>. Neither Tenant nor anyone claiming under Tenant shall record this Lease or any memorandum hereof in any public records without the prior written consent of Landlord.</w:t>
      </w:r>
    </w:p>
    <w:p>
      <w:pPr>
        <w:spacing w:after="0" w:line="158" w:lineRule="exact"/>
        <w:rPr>
          <w:sz w:val="20"/>
          <w:szCs w:val="20"/>
          <w:color w:val="auto"/>
        </w:rPr>
      </w:pPr>
    </w:p>
    <w:p>
      <w:pPr>
        <w:ind w:right="240" w:firstLine="385"/>
        <w:spacing w:after="0" w:line="272" w:lineRule="auto"/>
        <w:rPr>
          <w:sz w:val="20"/>
          <w:szCs w:val="20"/>
          <w:color w:val="auto"/>
        </w:rPr>
      </w:pPr>
      <w:r>
        <w:rPr>
          <w:rFonts w:ascii="Arial" w:cs="Arial" w:eastAsia="Arial" w:hAnsi="Arial"/>
          <w:sz w:val="15"/>
          <w:szCs w:val="15"/>
          <w:color w:val="auto"/>
        </w:rPr>
        <w:t xml:space="preserve">16.33 </w:t>
      </w:r>
      <w:r>
        <w:rPr>
          <w:rFonts w:ascii="Arial" w:cs="Arial" w:eastAsia="Arial" w:hAnsi="Arial"/>
          <w:sz w:val="15"/>
          <w:szCs w:val="15"/>
          <w:u w:val="single" w:color="auto"/>
          <w:color w:val="auto"/>
        </w:rPr>
        <w:t>Force Majeure</w:t>
      </w:r>
      <w:r>
        <w:rPr>
          <w:rFonts w:ascii="Arial" w:cs="Arial" w:eastAsia="Arial" w:hAnsi="Arial"/>
          <w:sz w:val="15"/>
          <w:szCs w:val="15"/>
          <w:color w:val="auto"/>
        </w:rPr>
        <w:t>. Whenever a period of time is herein prescribed for the taking of any action by Landlord or Tenant, as the case may be, Landlord or Tenant, as applicable, shall not be liable or responsible for, and there shall be excluded from the computation of such period of time, any delays due to strikes, riots, acts of God, shortages of labor or materials, war, Applicable Requirements, or any other cause whatsoever completely beyond the control of Landlord or Tenant, as applicable. The foregoing provisions of this Paragraph are inapplicable to any payments of money due under this Lease and shall not affect Tenant’s rights under Paragraphs 3.2 and 9.1 above.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16.34 </w:t>
      </w:r>
      <w:r>
        <w:rPr>
          <w:rFonts w:ascii="Arial" w:cs="Arial" w:eastAsia="Arial" w:hAnsi="Arial"/>
          <w:sz w:val="16"/>
          <w:szCs w:val="16"/>
          <w:u w:val="single" w:color="auto"/>
          <w:color w:val="auto"/>
        </w:rPr>
        <w:t>Patriot Act</w:t>
      </w:r>
      <w:r>
        <w:rPr>
          <w:rFonts w:ascii="Arial" w:cs="Arial" w:eastAsia="Arial" w:hAnsi="Arial"/>
          <w:sz w:val="16"/>
          <w:szCs w:val="16"/>
          <w:color w:val="auto"/>
        </w:rPr>
        <w:t>.</w:t>
      </w:r>
    </w:p>
    <w:p>
      <w:pPr>
        <w:spacing w:after="0" w:line="193" w:lineRule="exact"/>
        <w:rPr>
          <w:sz w:val="20"/>
          <w:szCs w:val="20"/>
          <w:color w:val="auto"/>
        </w:rPr>
      </w:pPr>
    </w:p>
    <w:p>
      <w:pPr>
        <w:ind w:right="20" w:firstLine="860"/>
        <w:spacing w:after="0" w:line="307" w:lineRule="auto"/>
        <w:tabs>
          <w:tab w:leader="none" w:pos="1079" w:val="left"/>
        </w:tabs>
        <w:numPr>
          <w:ilvl w:val="0"/>
          <w:numId w:val="378"/>
        </w:numPr>
        <w:rPr>
          <w:rFonts w:ascii="Arial" w:cs="Arial" w:eastAsia="Arial" w:hAnsi="Arial"/>
          <w:sz w:val="13"/>
          <w:szCs w:val="13"/>
          <w:color w:val="auto"/>
        </w:rPr>
      </w:pPr>
      <w:r>
        <w:rPr>
          <w:rFonts w:ascii="Arial" w:cs="Arial" w:eastAsia="Arial" w:hAnsi="Arial"/>
          <w:sz w:val="13"/>
          <w:szCs w:val="13"/>
          <w:color w:val="auto"/>
        </w:rPr>
        <w:t>Tenant represents and warrants that, to its current actual knowledge, neither Tenant nor its affiliates are in violation of any laws relating to terrorism or money laundering, including Executive Order No. 13224 on Terrorist Financing, effective September 24, 2001 and relating to Blocking Property and Prohibiting Transactions With Persons Who Commit, Threaten to Commit, or Support Terrorism (the ”Executive Order”) and/or the Uniting and Strengthening America by Providing Appropriate Tools Required to Intercept and Obstruct Terrorism Act of 2001 (Public La 107-56,</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the ”Patriot Act”).</w:t>
      </w:r>
    </w:p>
    <w:p>
      <w:pPr>
        <w:sectPr>
          <w:pgSz w:w="11900" w:h="16838" w:orient="portrait"/>
          <w:cols w:equalWidth="0" w:num="1">
            <w:col w:w="9600"/>
          </w:cols>
          <w:pgMar w:left="1140" w:top="256" w:right="1159" w:bottom="1440" w:gutter="0" w:footer="0" w:header="0"/>
        </w:sectPr>
      </w:pPr>
    </w:p>
    <w:bookmarkStart w:id="501" w:name="page502"/>
    <w:bookmarkEnd w:id="501"/>
    <w:p>
      <w:pPr>
        <w:ind w:left="6" w:right="440" w:firstLine="860"/>
        <w:spacing w:after="0" w:line="266" w:lineRule="auto"/>
        <w:tabs>
          <w:tab w:leader="none" w:pos="1094" w:val="left"/>
        </w:tabs>
        <w:numPr>
          <w:ilvl w:val="1"/>
          <w:numId w:val="3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Tenant represents and warrants that, to Tenant’s current actual knowledge, neither Tenant nor any of its affiliates is a “Prohibited Person” which is defined as follows:</w:t>
      </w:r>
    </w:p>
    <w:p>
      <w:pPr>
        <w:spacing w:after="0" w:line="158" w:lineRule="exact"/>
        <w:rPr>
          <w:rFonts w:ascii="Arial" w:cs="Arial" w:eastAsia="Arial" w:hAnsi="Arial"/>
          <w:sz w:val="16"/>
          <w:szCs w:val="16"/>
          <w:color w:val="auto"/>
        </w:rPr>
      </w:pPr>
    </w:p>
    <w:p>
      <w:pPr>
        <w:ind w:left="1446" w:hanging="196"/>
        <w:spacing w:after="0"/>
        <w:tabs>
          <w:tab w:leader="none" w:pos="1446" w:val="left"/>
        </w:tabs>
        <w:numPr>
          <w:ilvl w:val="2"/>
          <w:numId w:val="379"/>
        </w:numPr>
        <w:rPr>
          <w:rFonts w:ascii="Arial" w:cs="Arial" w:eastAsia="Arial" w:hAnsi="Arial"/>
          <w:sz w:val="16"/>
          <w:szCs w:val="16"/>
          <w:color w:val="auto"/>
        </w:rPr>
      </w:pPr>
      <w:r>
        <w:rPr>
          <w:rFonts w:ascii="Arial" w:cs="Arial" w:eastAsia="Arial" w:hAnsi="Arial"/>
          <w:sz w:val="16"/>
          <w:szCs w:val="16"/>
          <w:color w:val="auto"/>
        </w:rPr>
        <w:t>a person or entity that is listed in the Annex to, or is otherwise subject to the provisions of, the Executive Order;</w:t>
      </w:r>
    </w:p>
    <w:p>
      <w:pPr>
        <w:spacing w:after="0" w:line="193" w:lineRule="exact"/>
        <w:rPr>
          <w:rFonts w:ascii="Arial" w:cs="Arial" w:eastAsia="Arial" w:hAnsi="Arial"/>
          <w:sz w:val="16"/>
          <w:szCs w:val="16"/>
          <w:color w:val="auto"/>
        </w:rPr>
      </w:pPr>
    </w:p>
    <w:p>
      <w:pPr>
        <w:ind w:left="6" w:right="220" w:firstLine="1244"/>
        <w:spacing w:after="0" w:line="266" w:lineRule="auto"/>
        <w:tabs>
          <w:tab w:leader="none" w:pos="1488" w:val="left"/>
        </w:tabs>
        <w:numPr>
          <w:ilvl w:val="2"/>
          <w:numId w:val="379"/>
        </w:numPr>
        <w:rPr>
          <w:rFonts w:ascii="Arial" w:cs="Arial" w:eastAsia="Arial" w:hAnsi="Arial"/>
          <w:sz w:val="16"/>
          <w:szCs w:val="16"/>
          <w:color w:val="auto"/>
        </w:rPr>
      </w:pPr>
      <w:r>
        <w:rPr>
          <w:rFonts w:ascii="Arial" w:cs="Arial" w:eastAsia="Arial" w:hAnsi="Arial"/>
          <w:sz w:val="16"/>
          <w:szCs w:val="16"/>
          <w:color w:val="auto"/>
        </w:rPr>
        <w:t>a person or entity owned or controlled by, or acting for or on behalf of, any person or entity that is listed in the Annex to, or is otherwise subject to the provisions of, the Executive Order;</w:t>
      </w:r>
    </w:p>
    <w:p>
      <w:pPr>
        <w:spacing w:after="0" w:line="158" w:lineRule="exact"/>
        <w:rPr>
          <w:rFonts w:ascii="Arial" w:cs="Arial" w:eastAsia="Arial" w:hAnsi="Arial"/>
          <w:sz w:val="16"/>
          <w:szCs w:val="16"/>
          <w:color w:val="auto"/>
        </w:rPr>
      </w:pPr>
    </w:p>
    <w:p>
      <w:pPr>
        <w:ind w:left="6" w:right="100" w:firstLine="1244"/>
        <w:spacing w:after="0" w:line="266" w:lineRule="auto"/>
        <w:tabs>
          <w:tab w:leader="none" w:pos="1532" w:val="left"/>
        </w:tabs>
        <w:numPr>
          <w:ilvl w:val="2"/>
          <w:numId w:val="379"/>
        </w:numPr>
        <w:rPr>
          <w:rFonts w:ascii="Arial" w:cs="Arial" w:eastAsia="Arial" w:hAnsi="Arial"/>
          <w:sz w:val="16"/>
          <w:szCs w:val="16"/>
          <w:color w:val="auto"/>
        </w:rPr>
      </w:pPr>
      <w:r>
        <w:rPr>
          <w:rFonts w:ascii="Arial" w:cs="Arial" w:eastAsia="Arial" w:hAnsi="Arial"/>
          <w:sz w:val="16"/>
          <w:szCs w:val="16"/>
          <w:color w:val="auto"/>
        </w:rPr>
        <w:t>a person or entity with whom Landlord is prohibited from dealing or otherwise engaging in any transaction by any terrorism or money laundering laws or regulations, including the Executive Order and the Patriot Act;</w:t>
      </w:r>
    </w:p>
    <w:p>
      <w:pPr>
        <w:spacing w:after="0" w:line="158" w:lineRule="exact"/>
        <w:rPr>
          <w:rFonts w:ascii="Arial" w:cs="Arial" w:eastAsia="Arial" w:hAnsi="Arial"/>
          <w:sz w:val="16"/>
          <w:szCs w:val="16"/>
          <w:color w:val="auto"/>
        </w:rPr>
      </w:pPr>
    </w:p>
    <w:p>
      <w:pPr>
        <w:ind w:left="1526" w:hanging="276"/>
        <w:spacing w:after="0"/>
        <w:tabs>
          <w:tab w:leader="none" w:pos="1526" w:val="left"/>
        </w:tabs>
        <w:numPr>
          <w:ilvl w:val="2"/>
          <w:numId w:val="379"/>
        </w:numPr>
        <w:rPr>
          <w:rFonts w:ascii="Arial" w:cs="Arial" w:eastAsia="Arial" w:hAnsi="Arial"/>
          <w:sz w:val="13"/>
          <w:szCs w:val="13"/>
          <w:color w:val="auto"/>
        </w:rPr>
      </w:pPr>
      <w:r>
        <w:rPr>
          <w:rFonts w:ascii="Arial" w:cs="Arial" w:eastAsia="Arial" w:hAnsi="Arial"/>
          <w:sz w:val="13"/>
          <w:szCs w:val="13"/>
          <w:color w:val="auto"/>
        </w:rPr>
        <w:t>a person or entity who commits, threatens or conspires to commit or supports “terrorism” as defined in the Executive Order;</w:t>
      </w:r>
    </w:p>
    <w:p>
      <w:pPr>
        <w:spacing w:after="0" w:line="227" w:lineRule="exact"/>
        <w:rPr>
          <w:rFonts w:ascii="Arial" w:cs="Arial" w:eastAsia="Arial" w:hAnsi="Arial"/>
          <w:sz w:val="13"/>
          <w:szCs w:val="13"/>
          <w:color w:val="auto"/>
        </w:rPr>
      </w:pPr>
    </w:p>
    <w:p>
      <w:pPr>
        <w:jc w:val="both"/>
        <w:ind w:left="6" w:right="60" w:firstLine="1244"/>
        <w:spacing w:after="0" w:line="256" w:lineRule="auto"/>
        <w:tabs>
          <w:tab w:leader="none" w:pos="1479" w:val="left"/>
        </w:tabs>
        <w:numPr>
          <w:ilvl w:val="2"/>
          <w:numId w:val="379"/>
        </w:numPr>
        <w:rPr>
          <w:rFonts w:ascii="Arial" w:cs="Arial" w:eastAsia="Arial" w:hAnsi="Arial"/>
          <w:sz w:val="16"/>
          <w:szCs w:val="16"/>
          <w:color w:val="auto"/>
        </w:rPr>
      </w:pPr>
      <w:r>
        <w:rPr>
          <w:rFonts w:ascii="Arial" w:cs="Arial" w:eastAsia="Arial" w:hAnsi="Arial"/>
          <w:sz w:val="16"/>
          <w:szCs w:val="16"/>
          <w:color w:val="auto"/>
        </w:rPr>
        <w:t>a person or entity that is named as a “specially designated national and blocked person” on the most current list published by the U.S. Treasury Department Office of Foreign Assets Control at its official website, http://www.treas.gov/ofac/tllsdn.pdf or at any replacement website or other replacement official publication of such list; and</w:t>
      </w:r>
    </w:p>
    <w:p>
      <w:pPr>
        <w:spacing w:after="0" w:line="165" w:lineRule="exact"/>
        <w:rPr>
          <w:rFonts w:ascii="Arial" w:cs="Arial" w:eastAsia="Arial" w:hAnsi="Arial"/>
          <w:sz w:val="16"/>
          <w:szCs w:val="16"/>
          <w:color w:val="auto"/>
        </w:rPr>
      </w:pPr>
    </w:p>
    <w:p>
      <w:pPr>
        <w:ind w:left="1526" w:hanging="276"/>
        <w:spacing w:after="0"/>
        <w:tabs>
          <w:tab w:leader="none" w:pos="1526" w:val="left"/>
        </w:tabs>
        <w:numPr>
          <w:ilvl w:val="2"/>
          <w:numId w:val="379"/>
        </w:numPr>
        <w:rPr>
          <w:rFonts w:ascii="Arial" w:cs="Arial" w:eastAsia="Arial" w:hAnsi="Arial"/>
          <w:sz w:val="16"/>
          <w:szCs w:val="16"/>
          <w:color w:val="auto"/>
        </w:rPr>
      </w:pPr>
      <w:r>
        <w:rPr>
          <w:rFonts w:ascii="Arial" w:cs="Arial" w:eastAsia="Arial" w:hAnsi="Arial"/>
          <w:sz w:val="16"/>
          <w:szCs w:val="16"/>
          <w:color w:val="auto"/>
        </w:rPr>
        <w:t>a person or entity who is affiliated with a person or entity listed above.</w:t>
      </w:r>
    </w:p>
    <w:p>
      <w:pPr>
        <w:spacing w:after="0" w:line="193" w:lineRule="exact"/>
        <w:rPr>
          <w:rFonts w:ascii="Arial" w:cs="Arial" w:eastAsia="Arial" w:hAnsi="Arial"/>
          <w:sz w:val="16"/>
          <w:szCs w:val="16"/>
          <w:color w:val="auto"/>
        </w:rPr>
      </w:pPr>
    </w:p>
    <w:p>
      <w:pPr>
        <w:jc w:val="both"/>
        <w:ind w:left="6" w:firstLine="860"/>
        <w:spacing w:after="0" w:line="308" w:lineRule="auto"/>
        <w:tabs>
          <w:tab w:leader="none" w:pos="1086" w:val="left"/>
        </w:tabs>
        <w:numPr>
          <w:ilvl w:val="1"/>
          <w:numId w:val="379"/>
        </w:numPr>
        <w:rPr>
          <w:rFonts w:ascii="Arial" w:cs="Arial" w:eastAsia="Arial" w:hAnsi="Arial"/>
          <w:sz w:val="13"/>
          <w:szCs w:val="13"/>
          <w:color w:val="auto"/>
        </w:rPr>
      </w:pPr>
      <w:r>
        <w:rPr>
          <w:rFonts w:ascii="Arial" w:cs="Arial" w:eastAsia="Arial" w:hAnsi="Arial"/>
          <w:sz w:val="13"/>
          <w:szCs w:val="13"/>
          <w:color w:val="auto"/>
        </w:rPr>
        <w:t>Tenant represents and warrants that neither Tenant nor any of its affiliates will: (i) conduct any business or engage in any transaction or dealing with any Prohibited Person, including the making or receiving any contribution of funds, goods or services to or for the benefit of any Prohibited Person, (ii) deal in or otherwise engage in any transaction relating to, any property or interests in property blocked pursuant to the Executive Order; or</w:t>
      </w:r>
    </w:p>
    <w:p>
      <w:pPr>
        <w:spacing w:after="0" w:line="1" w:lineRule="exact"/>
        <w:rPr>
          <w:rFonts w:ascii="Arial" w:cs="Arial" w:eastAsia="Arial" w:hAnsi="Arial"/>
          <w:sz w:val="13"/>
          <w:szCs w:val="13"/>
          <w:color w:val="auto"/>
        </w:rPr>
      </w:pPr>
    </w:p>
    <w:p>
      <w:pPr>
        <w:ind w:left="6" w:right="20" w:hanging="6"/>
        <w:spacing w:after="0" w:line="252" w:lineRule="auto"/>
        <w:tabs>
          <w:tab w:leader="none" w:pos="281" w:val="left"/>
        </w:tabs>
        <w:numPr>
          <w:ilvl w:val="0"/>
          <w:numId w:val="380"/>
        </w:numPr>
        <w:rPr>
          <w:rFonts w:ascii="Arial" w:cs="Arial" w:eastAsia="Arial" w:hAnsi="Arial"/>
          <w:sz w:val="16"/>
          <w:szCs w:val="16"/>
          <w:color w:val="auto"/>
        </w:rPr>
      </w:pPr>
      <w:r>
        <w:rPr>
          <w:rFonts w:ascii="Arial" w:cs="Arial" w:eastAsia="Arial" w:hAnsi="Arial"/>
          <w:sz w:val="16"/>
          <w:szCs w:val="16"/>
          <w:color w:val="auto"/>
        </w:rPr>
        <w:t>engage in or conspire to engage in any transaction that evades or avoids, or has the purpose of evading or avoiding, or attempts to violate, any of the prohibitions set forth in the Executive Order or the Patriot Act.</w:t>
      </w:r>
    </w:p>
    <w:p>
      <w:pPr>
        <w:spacing w:after="0" w:line="168" w:lineRule="exact"/>
        <w:rPr>
          <w:rFonts w:ascii="Arial" w:cs="Arial" w:eastAsia="Arial" w:hAnsi="Arial"/>
          <w:sz w:val="16"/>
          <w:szCs w:val="16"/>
          <w:color w:val="auto"/>
        </w:rPr>
      </w:pPr>
    </w:p>
    <w:p>
      <w:pPr>
        <w:ind w:left="6" w:right="360" w:firstLine="860"/>
        <w:spacing w:after="0" w:line="256" w:lineRule="auto"/>
        <w:tabs>
          <w:tab w:leader="none" w:pos="109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Tenant will develop, implement and maintain security and emergency plans for the Premises, which shall be subject to Landlord’s reasonable approval. Reference is made to the BOMA Guide to Security and Emergency Planning (ISBN No. 0-9431-30-28-X) to assist Tenant in developing such plans.</w:t>
      </w:r>
    </w:p>
    <w:p>
      <w:pPr>
        <w:spacing w:after="0" w:line="165" w:lineRule="exact"/>
        <w:rPr>
          <w:rFonts w:ascii="Arial" w:cs="Arial" w:eastAsia="Arial" w:hAnsi="Arial"/>
          <w:sz w:val="16"/>
          <w:szCs w:val="16"/>
          <w:color w:val="auto"/>
        </w:rPr>
      </w:pPr>
    </w:p>
    <w:p>
      <w:pPr>
        <w:ind w:left="1086" w:hanging="220"/>
        <w:spacing w:after="0"/>
        <w:tabs>
          <w:tab w:leader="none" w:pos="1086" w:val="left"/>
        </w:tabs>
        <w:numPr>
          <w:ilvl w:val="1"/>
          <w:numId w:val="380"/>
        </w:numPr>
        <w:rPr>
          <w:rFonts w:ascii="Arial" w:cs="Arial" w:eastAsia="Arial" w:hAnsi="Arial"/>
          <w:sz w:val="16"/>
          <w:szCs w:val="16"/>
          <w:color w:val="auto"/>
        </w:rPr>
      </w:pPr>
      <w:r>
        <w:rPr>
          <w:rFonts w:ascii="Arial" w:cs="Arial" w:eastAsia="Arial" w:hAnsi="Arial"/>
          <w:sz w:val="16"/>
          <w:szCs w:val="16"/>
          <w:color w:val="auto"/>
        </w:rPr>
        <w:t>Intentionally deleted.</w:t>
      </w:r>
    </w:p>
    <w:p>
      <w:pPr>
        <w:spacing w:after="0" w:line="193" w:lineRule="exact"/>
        <w:rPr>
          <w:rFonts w:ascii="Arial" w:cs="Arial" w:eastAsia="Arial" w:hAnsi="Arial"/>
          <w:sz w:val="16"/>
          <w:szCs w:val="16"/>
          <w:color w:val="auto"/>
        </w:rPr>
      </w:pPr>
    </w:p>
    <w:p>
      <w:pPr>
        <w:ind w:left="6" w:right="200" w:firstLine="860"/>
        <w:spacing w:after="0" w:line="266" w:lineRule="auto"/>
        <w:tabs>
          <w:tab w:leader="none" w:pos="1065"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Tenant covenants and agrees to deliver to Landlord any certification or other evidence requested from time to time by Landlord in its reasonable discretion, confirming Tenant’s compliance with this section.</w:t>
      </w:r>
    </w:p>
    <w:p>
      <w:pPr>
        <w:spacing w:after="0" w:line="158" w:lineRule="exact"/>
        <w:rPr>
          <w:sz w:val="20"/>
          <w:szCs w:val="20"/>
          <w:color w:val="auto"/>
        </w:rPr>
      </w:pPr>
    </w:p>
    <w:p>
      <w:pPr>
        <w:ind w:left="6" w:right="80" w:firstLine="385"/>
        <w:spacing w:after="0" w:line="256" w:lineRule="auto"/>
        <w:rPr>
          <w:sz w:val="20"/>
          <w:szCs w:val="20"/>
          <w:color w:val="auto"/>
        </w:rPr>
      </w:pPr>
      <w:r>
        <w:rPr>
          <w:rFonts w:ascii="Arial" w:cs="Arial" w:eastAsia="Arial" w:hAnsi="Arial"/>
          <w:sz w:val="16"/>
          <w:szCs w:val="16"/>
          <w:color w:val="auto"/>
        </w:rPr>
        <w:t xml:space="preserve">16.35 </w:t>
      </w:r>
      <w:r>
        <w:rPr>
          <w:rFonts w:ascii="Arial" w:cs="Arial" w:eastAsia="Arial" w:hAnsi="Arial"/>
          <w:sz w:val="16"/>
          <w:szCs w:val="16"/>
          <w:u w:val="single" w:color="auto"/>
          <w:color w:val="auto"/>
        </w:rPr>
        <w:t>Approvals</w:t>
      </w:r>
      <w:r>
        <w:rPr>
          <w:rFonts w:ascii="Arial" w:cs="Arial" w:eastAsia="Arial" w:hAnsi="Arial"/>
          <w:sz w:val="16"/>
          <w:szCs w:val="16"/>
          <w:color w:val="auto"/>
        </w:rPr>
        <w:t>. Whenever this Lease requires an approval, consent, determination or judgment by either Landlord or Tenant, unless another standard is expressly set forth, such approval, consent, determination or judgment and any conditions imposed thereby shall be reasonable and shall not be unreasonably withheld or delayed.</w:t>
      </w: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[signatures on following page]</w:t>
      </w:r>
    </w:p>
    <w:p>
      <w:pPr>
        <w:sectPr>
          <w:pgSz w:w="11900" w:h="16838" w:orient="portrait"/>
          <w:cols w:equalWidth="0" w:num="1">
            <w:col w:w="9606"/>
          </w:cols>
          <w:pgMar w:left="1134" w:top="256" w:right="1159" w:bottom="1440" w:gutter="0" w:footer="0" w:header="0"/>
        </w:sectPr>
      </w:pPr>
    </w:p>
    <w:bookmarkStart w:id="502" w:name="page503"/>
    <w:bookmarkEnd w:id="502"/>
    <w:p>
      <w:pPr>
        <w:ind w:left="3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The parties hereto have executed this Lease at the place and on the dates specified below their respective signatures.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gridSpan w:val="6"/>
          </w:tcPr>
          <w:p>
            <w:pPr>
              <w:spacing w:after="0"/>
              <w:rPr>
                <w:sz w:val="20"/>
                <w:szCs w:val="20"/>
                <w:color w:val="auto"/>
              </w:rPr>
            </w:pPr>
            <w:r>
              <w:rPr>
                <w:rFonts w:ascii="Arial" w:cs="Arial" w:eastAsia="Arial" w:hAnsi="Arial"/>
                <w:sz w:val="16"/>
                <w:szCs w:val="16"/>
                <w:b w:val="1"/>
                <w:bCs w:val="1"/>
                <w:color w:val="auto"/>
              </w:rPr>
              <w:t>Landlord:</w:t>
            </w:r>
          </w:p>
        </w:tc>
        <w:tc>
          <w:tcPr>
            <w:tcW w:w="600" w:type="dxa"/>
            <w:vAlign w:val="bottom"/>
          </w:tcPr>
          <w:p>
            <w:pPr>
              <w:spacing w:after="0"/>
              <w:rPr>
                <w:sz w:val="16"/>
                <w:szCs w:val="16"/>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b w:val="1"/>
                <w:bCs w:val="1"/>
                <w:color w:val="auto"/>
              </w:rPr>
              <w:t>Tenant:</w:t>
            </w:r>
          </w:p>
        </w:tc>
        <w:tc>
          <w:tcPr>
            <w:tcW w:w="0" w:type="dxa"/>
            <w:vAlign w:val="bottom"/>
          </w:tcPr>
          <w:p>
            <w:pPr>
              <w:spacing w:after="0"/>
              <w:rPr>
                <w:sz w:val="1"/>
                <w:szCs w:val="1"/>
                <w:color w:val="auto"/>
              </w:rPr>
            </w:pPr>
          </w:p>
        </w:tc>
      </w:tr>
      <w:tr>
        <w:trPr>
          <w:trHeight w:val="189"/>
        </w:trPr>
        <w:tc>
          <w:tcPr>
            <w:tcW w:w="4500" w:type="dxa"/>
            <w:vAlign w:val="bottom"/>
            <w:gridSpan w:val="6"/>
          </w:tcPr>
          <w:p>
            <w:pPr>
              <w:spacing w:after="0"/>
              <w:rPr>
                <w:sz w:val="20"/>
                <w:szCs w:val="20"/>
                <w:color w:val="auto"/>
              </w:rPr>
            </w:pPr>
            <w:r>
              <w:rPr>
                <w:rFonts w:ascii="Arial" w:cs="Arial" w:eastAsia="Arial" w:hAnsi="Arial"/>
                <w:sz w:val="16"/>
                <w:szCs w:val="16"/>
                <w:color w:val="auto"/>
              </w:rPr>
              <w:t>Terreno Park Union City LLC</w:t>
            </w:r>
          </w:p>
        </w:tc>
        <w:tc>
          <w:tcPr>
            <w:tcW w:w="600" w:type="dxa"/>
            <w:vAlign w:val="bottom"/>
          </w:tcPr>
          <w:p>
            <w:pPr>
              <w:spacing w:after="0"/>
              <w:rPr>
                <w:sz w:val="16"/>
                <w:szCs w:val="16"/>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200"/>
        </w:trPr>
        <w:tc>
          <w:tcPr>
            <w:tcW w:w="4500" w:type="dxa"/>
            <w:vAlign w:val="bottom"/>
            <w:gridSpan w:val="6"/>
          </w:tcPr>
          <w:p>
            <w:pPr>
              <w:spacing w:after="0"/>
              <w:rPr>
                <w:sz w:val="20"/>
                <w:szCs w:val="20"/>
                <w:color w:val="auto"/>
              </w:rPr>
            </w:pPr>
            <w:r>
              <w:rPr>
                <w:rFonts w:ascii="Arial" w:cs="Arial" w:eastAsia="Arial" w:hAnsi="Arial"/>
                <w:sz w:val="16"/>
                <w:szCs w:val="16"/>
                <w:color w:val="auto"/>
              </w:rPr>
              <w:t>a Delaware limited liability company</w:t>
            </w:r>
          </w:p>
        </w:tc>
        <w:tc>
          <w:tcPr>
            <w:tcW w:w="600" w:type="dxa"/>
            <w:vAlign w:val="bottom"/>
          </w:tcPr>
          <w:p>
            <w:pPr>
              <w:spacing w:after="0"/>
              <w:rPr>
                <w:sz w:val="17"/>
                <w:szCs w:val="17"/>
                <w:color w:val="auto"/>
              </w:rPr>
            </w:pPr>
          </w:p>
        </w:tc>
        <w:tc>
          <w:tcPr>
            <w:tcW w:w="4520" w:type="dxa"/>
            <w:vAlign w:val="bottom"/>
            <w:gridSpan w:val="5"/>
          </w:tcPr>
          <w:p>
            <w:pPr>
              <w:ind w:left="20"/>
              <w:spacing w:after="0"/>
              <w:rPr>
                <w:sz w:val="20"/>
                <w:szCs w:val="20"/>
                <w:color w:val="auto"/>
              </w:rPr>
            </w:pPr>
            <w:r>
              <w:rPr>
                <w:rFonts w:ascii="Arial" w:cs="Arial" w:eastAsia="Arial" w:hAnsi="Arial"/>
                <w:sz w:val="16"/>
                <w:szCs w:val="16"/>
                <w:color w:val="auto"/>
              </w:rPr>
              <w:t>a Delaware corporation</w:t>
            </w:r>
          </w:p>
        </w:tc>
        <w:tc>
          <w:tcPr>
            <w:tcW w:w="0" w:type="dxa"/>
            <w:vAlign w:val="bottom"/>
          </w:tcPr>
          <w:p>
            <w:pPr>
              <w:spacing w:after="0"/>
              <w:rPr>
                <w:sz w:val="1"/>
                <w:szCs w:val="1"/>
                <w:color w:val="auto"/>
              </w:rPr>
            </w:pPr>
          </w:p>
        </w:tc>
      </w:tr>
      <w:tr>
        <w:trPr>
          <w:trHeight w:val="378"/>
        </w:trPr>
        <w:tc>
          <w:tcPr>
            <w:tcW w:w="300" w:type="dxa"/>
            <w:vAlign w:val="bottom"/>
          </w:tcPr>
          <w:p>
            <w:pPr>
              <w:spacing w:after="0"/>
              <w:rPr>
                <w:sz w:val="20"/>
                <w:szCs w:val="20"/>
                <w:color w:val="auto"/>
              </w:rPr>
            </w:pPr>
            <w:r>
              <w:rPr>
                <w:rFonts w:ascii="Arial" w:cs="Arial" w:eastAsia="Arial" w:hAnsi="Arial"/>
                <w:sz w:val="16"/>
                <w:szCs w:val="16"/>
                <w:color w:val="auto"/>
              </w:rPr>
              <w:t>By:</w:t>
            </w: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Terreno Realty LLC,</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00" w:type="dxa"/>
            <w:vAlign w:val="bottom"/>
          </w:tcPr>
          <w:p>
            <w:pPr>
              <w:spacing w:after="0"/>
              <w:rPr>
                <w:sz w:val="17"/>
                <w:szCs w:val="17"/>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a Delaware limited liability company</w:t>
            </w:r>
          </w:p>
        </w:tc>
        <w:tc>
          <w:tcPr>
            <w:tcW w:w="6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By: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Faraz Ali</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its member</w:t>
            </w:r>
          </w:p>
        </w:tc>
        <w:tc>
          <w:tcPr>
            <w:tcW w:w="600" w:type="dxa"/>
            <w:vAlign w:val="bottom"/>
          </w:tcPr>
          <w:p>
            <w:pPr>
              <w:spacing w:after="0"/>
              <w:rPr>
                <w:sz w:val="16"/>
                <w:szCs w:val="16"/>
                <w:color w:val="auto"/>
              </w:rPr>
            </w:pPr>
          </w:p>
        </w:tc>
        <w:tc>
          <w:tcPr>
            <w:tcW w:w="500" w:type="dxa"/>
            <w:vAlign w:val="bottom"/>
            <w:gridSpan w:val="3"/>
          </w:tcPr>
          <w:p>
            <w:pPr>
              <w:ind w:left="20"/>
              <w:spacing w:after="0"/>
              <w:rPr>
                <w:sz w:val="20"/>
                <w:szCs w:val="20"/>
                <w:color w:val="auto"/>
              </w:rPr>
            </w:pPr>
            <w:r>
              <w:rPr>
                <w:rFonts w:ascii="Arial" w:cs="Arial" w:eastAsia="Arial" w:hAnsi="Arial"/>
                <w:sz w:val="16"/>
                <w:szCs w:val="16"/>
                <w:color w:val="auto"/>
                <w:w w:val="97"/>
              </w:rPr>
              <w:t>Name:</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Faraz Ali</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Its: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CEO</w:t>
            </w:r>
          </w:p>
        </w:tc>
        <w:tc>
          <w:tcPr>
            <w:tcW w:w="0" w:type="dxa"/>
            <w:vAlign w:val="bottom"/>
          </w:tcPr>
          <w:p>
            <w:pPr>
              <w:spacing w:after="0"/>
              <w:rPr>
                <w:sz w:val="1"/>
                <w:szCs w:val="1"/>
                <w:color w:val="auto"/>
              </w:rPr>
            </w:pPr>
          </w:p>
        </w:tc>
      </w:tr>
      <w:tr>
        <w:trPr>
          <w:trHeight w:val="180"/>
        </w:trPr>
        <w:tc>
          <w:tcPr>
            <w:tcW w:w="300" w:type="dxa"/>
            <w:vAlign w:val="bottom"/>
          </w:tcPr>
          <w:p>
            <w:pPr>
              <w:spacing w:after="0" w:line="180" w:lineRule="exact"/>
              <w:rPr>
                <w:sz w:val="20"/>
                <w:szCs w:val="20"/>
                <w:color w:val="auto"/>
              </w:rPr>
            </w:pPr>
            <w:r>
              <w:rPr>
                <w:rFonts w:ascii="Arial" w:cs="Arial" w:eastAsia="Arial" w:hAnsi="Arial"/>
                <w:sz w:val="16"/>
                <w:szCs w:val="16"/>
                <w:color w:val="auto"/>
              </w:rPr>
              <w:t>By:</w:t>
            </w:r>
          </w:p>
        </w:tc>
        <w:tc>
          <w:tcPr>
            <w:tcW w:w="4200" w:type="dxa"/>
            <w:vAlign w:val="bottom"/>
            <w:gridSpan w:val="5"/>
          </w:tcPr>
          <w:p>
            <w:pPr>
              <w:ind w:left="60"/>
              <w:spacing w:after="0" w:line="180" w:lineRule="exact"/>
              <w:rPr>
                <w:sz w:val="20"/>
                <w:szCs w:val="20"/>
                <w:color w:val="auto"/>
              </w:rPr>
            </w:pPr>
            <w:r>
              <w:rPr>
                <w:rFonts w:ascii="Arial" w:cs="Arial" w:eastAsia="Arial" w:hAnsi="Arial"/>
                <w:sz w:val="16"/>
                <w:szCs w:val="16"/>
                <w:color w:val="auto"/>
              </w:rPr>
              <w:t>Terreno Realty Corporation,</w:t>
            </w: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4200" w:type="dxa"/>
            <w:vAlign w:val="bottom"/>
            <w:gridSpan w:val="5"/>
          </w:tcPr>
          <w:p>
            <w:pPr>
              <w:ind w:left="60"/>
              <w:spacing w:after="0"/>
              <w:rPr>
                <w:sz w:val="20"/>
                <w:szCs w:val="20"/>
                <w:color w:val="auto"/>
              </w:rPr>
            </w:pPr>
            <w:r>
              <w:rPr>
                <w:rFonts w:ascii="Arial" w:cs="Arial" w:eastAsia="Arial" w:hAnsi="Arial"/>
                <w:sz w:val="16"/>
                <w:szCs w:val="16"/>
                <w:color w:val="auto"/>
              </w:rPr>
              <w:t>a Maryland corporation</w:t>
            </w:r>
          </w:p>
        </w:tc>
        <w:tc>
          <w:tcPr>
            <w:tcW w:w="600" w:type="dxa"/>
            <w:vAlign w:val="bottom"/>
          </w:tcPr>
          <w:p>
            <w:pPr>
              <w:spacing w:after="0"/>
              <w:rPr>
                <w:sz w:val="17"/>
                <w:szCs w:val="17"/>
                <w:color w:val="auto"/>
              </w:rPr>
            </w:pPr>
          </w:p>
        </w:tc>
        <w:tc>
          <w:tcPr>
            <w:tcW w:w="4520" w:type="dxa"/>
            <w:vAlign w:val="bottom"/>
            <w:gridSpan w:val="5"/>
            <w:vMerge w:val="restart"/>
          </w:tcPr>
          <w:p>
            <w:pPr>
              <w:ind w:left="100"/>
              <w:spacing w:after="0"/>
              <w:rPr>
                <w:sz w:val="20"/>
                <w:szCs w:val="20"/>
                <w:color w:val="auto"/>
              </w:rPr>
            </w:pPr>
            <w:r>
              <w:rPr>
                <w:rFonts w:ascii="Arial" w:cs="Arial" w:eastAsia="Arial" w:hAnsi="Arial"/>
                <w:sz w:val="16"/>
                <w:szCs w:val="16"/>
                <w:color w:val="auto"/>
              </w:rPr>
              <w:t>Telephone:</w:t>
            </w: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52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20" w:type="dxa"/>
            <w:vAlign w:val="bottom"/>
            <w:gridSpan w:val="5"/>
          </w:tcPr>
          <w:p>
            <w:pPr>
              <w:ind w:left="100"/>
              <w:spacing w:after="0"/>
              <w:rPr>
                <w:sz w:val="20"/>
                <w:szCs w:val="20"/>
                <w:color w:val="auto"/>
              </w:rPr>
            </w:pPr>
            <w:r>
              <w:rPr>
                <w:rFonts w:ascii="Arial" w:cs="Arial" w:eastAsia="Arial" w:hAnsi="Arial"/>
                <w:sz w:val="16"/>
                <w:szCs w:val="16"/>
                <w:color w:val="auto"/>
              </w:rPr>
              <w:t>Executed at: South San Francisco</w:t>
            </w:r>
          </w:p>
        </w:tc>
        <w:tc>
          <w:tcPr>
            <w:tcW w:w="0" w:type="dxa"/>
            <w:vAlign w:val="bottom"/>
          </w:tcPr>
          <w:p>
            <w:pPr>
              <w:spacing w:after="0"/>
              <w:rPr>
                <w:sz w:val="1"/>
                <w:szCs w:val="1"/>
                <w:color w:val="auto"/>
              </w:rPr>
            </w:pPr>
          </w:p>
        </w:tc>
      </w:tr>
      <w:tr>
        <w:trPr>
          <w:trHeight w:val="193"/>
        </w:trPr>
        <w:tc>
          <w:tcPr>
            <w:tcW w:w="300" w:type="dxa"/>
            <w:vAlign w:val="bottom"/>
          </w:tcPr>
          <w:p>
            <w:pPr>
              <w:spacing w:after="0"/>
              <w:rPr>
                <w:sz w:val="20"/>
                <w:szCs w:val="20"/>
                <w:color w:val="auto"/>
              </w:rPr>
            </w:pPr>
            <w:r>
              <w:rPr>
                <w:rFonts w:ascii="Arial" w:cs="Arial" w:eastAsia="Arial" w:hAnsi="Arial"/>
                <w:sz w:val="16"/>
                <w:szCs w:val="16"/>
                <w:color w:val="auto"/>
              </w:rPr>
              <w:t>By:</w:t>
            </w:r>
          </w:p>
        </w:tc>
        <w:tc>
          <w:tcPr>
            <w:tcW w:w="4200" w:type="dxa"/>
            <w:vAlign w:val="bottom"/>
            <w:gridSpan w:val="5"/>
          </w:tcPr>
          <w:p>
            <w:pPr>
              <w:ind w:left="80"/>
              <w:spacing w:after="0"/>
              <w:rPr>
                <w:sz w:val="20"/>
                <w:szCs w:val="20"/>
                <w:color w:val="auto"/>
              </w:rPr>
            </w:pPr>
            <w:r>
              <w:rPr>
                <w:rFonts w:ascii="Arial" w:cs="Arial" w:eastAsia="Arial" w:hAnsi="Arial"/>
                <w:sz w:val="16"/>
                <w:szCs w:val="16"/>
                <w:color w:val="auto"/>
              </w:rPr>
              <w:t>/s/ Cody Saunders</w:t>
            </w:r>
          </w:p>
        </w:tc>
        <w:tc>
          <w:tcPr>
            <w:tcW w:w="920" w:type="dxa"/>
            <w:vAlign w:val="bottom"/>
            <w:gridSpan w:val="2"/>
            <w:vMerge w:val="restart"/>
          </w:tcPr>
          <w:p>
            <w:pPr>
              <w:ind w:left="560"/>
              <w:spacing w:after="0"/>
              <w:rPr>
                <w:sz w:val="20"/>
                <w:szCs w:val="20"/>
                <w:color w:val="auto"/>
              </w:rPr>
            </w:pPr>
            <w:r>
              <w:rPr>
                <w:rFonts w:ascii="Arial" w:cs="Arial" w:eastAsia="Arial" w:hAnsi="Arial"/>
                <w:sz w:val="16"/>
                <w:szCs w:val="16"/>
                <w:color w:val="auto"/>
              </w:rPr>
              <w:t>on:</w:t>
            </w:r>
          </w:p>
        </w:tc>
        <w:tc>
          <w:tcPr>
            <w:tcW w:w="620" w:type="dxa"/>
            <w:vAlign w:val="bottom"/>
            <w:gridSpan w:val="3"/>
            <w:vMerge w:val="restart"/>
          </w:tcPr>
          <w:p>
            <w:pPr>
              <w:jc w:val="right"/>
              <w:ind w:right="1"/>
              <w:spacing w:after="0"/>
              <w:rPr>
                <w:sz w:val="20"/>
                <w:szCs w:val="20"/>
                <w:color w:val="auto"/>
              </w:rPr>
            </w:pPr>
            <w:r>
              <w:rPr>
                <w:rFonts w:ascii="Arial" w:cs="Arial" w:eastAsia="Arial" w:hAnsi="Arial"/>
                <w:sz w:val="16"/>
                <w:szCs w:val="16"/>
                <w:color w:val="auto"/>
                <w:w w:val="97"/>
              </w:rPr>
              <w:t>2/15/21</w:t>
            </w:r>
          </w:p>
        </w:tc>
        <w:tc>
          <w:tcPr>
            <w:tcW w:w="3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2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Cody Saunders, Vice President</w:t>
            </w:r>
          </w:p>
        </w:tc>
        <w:tc>
          <w:tcPr>
            <w:tcW w:w="920" w:type="dxa"/>
            <w:vAlign w:val="bottom"/>
            <w:gridSpan w:val="2"/>
            <w:vMerge w:val="continue"/>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1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500" w:type="dxa"/>
            <w:vAlign w:val="bottom"/>
            <w:gridSpan w:val="6"/>
          </w:tcPr>
          <w:p>
            <w:pPr>
              <w:spacing w:after="0"/>
              <w:rPr>
                <w:sz w:val="20"/>
                <w:szCs w:val="20"/>
                <w:color w:val="auto"/>
              </w:rPr>
            </w:pPr>
            <w:r>
              <w:rPr>
                <w:rFonts w:ascii="Arial" w:cs="Arial" w:eastAsia="Arial" w:hAnsi="Arial"/>
                <w:sz w:val="16"/>
                <w:szCs w:val="16"/>
                <w:color w:val="auto"/>
              </w:rPr>
              <w:t>Telephone:</w:t>
            </w:r>
          </w:p>
        </w:tc>
        <w:tc>
          <w:tcPr>
            <w:tcW w:w="5120" w:type="dxa"/>
            <w:vAlign w:val="bottom"/>
            <w:gridSpan w:val="6"/>
          </w:tcPr>
          <w:p>
            <w:pPr>
              <w:ind w:left="580"/>
              <w:spacing w:after="0"/>
              <w:rPr>
                <w:sz w:val="20"/>
                <w:szCs w:val="20"/>
                <w:color w:val="auto"/>
              </w:rPr>
            </w:pPr>
            <w:r>
              <w:rPr>
                <w:rFonts w:ascii="Arial" w:cs="Arial" w:eastAsia="Arial" w:hAnsi="Arial"/>
                <w:sz w:val="16"/>
                <w:szCs w:val="16"/>
                <w:color w:val="auto"/>
              </w:rPr>
              <w:t>ADDRESS</w:t>
            </w:r>
          </w:p>
        </w:tc>
        <w:tc>
          <w:tcPr>
            <w:tcW w:w="0" w:type="dxa"/>
            <w:vAlign w:val="bottom"/>
          </w:tcPr>
          <w:p>
            <w:pPr>
              <w:spacing w:after="0"/>
              <w:rPr>
                <w:sz w:val="1"/>
                <w:szCs w:val="1"/>
                <w:color w:val="auto"/>
              </w:rPr>
            </w:pPr>
          </w:p>
        </w:tc>
      </w:tr>
      <w:tr>
        <w:trPr>
          <w:trHeight w:val="377"/>
        </w:trPr>
        <w:tc>
          <w:tcPr>
            <w:tcW w:w="4500" w:type="dxa"/>
            <w:vAlign w:val="bottom"/>
            <w:gridSpan w:val="6"/>
          </w:tcPr>
          <w:p>
            <w:pPr>
              <w:spacing w:after="0"/>
              <w:rPr>
                <w:sz w:val="20"/>
                <w:szCs w:val="20"/>
                <w:color w:val="auto"/>
              </w:rPr>
            </w:pPr>
            <w:r>
              <w:rPr>
                <w:rFonts w:ascii="Arial" w:cs="Arial" w:eastAsia="Arial" w:hAnsi="Arial"/>
                <w:sz w:val="16"/>
                <w:szCs w:val="16"/>
                <w:color w:val="auto"/>
              </w:rPr>
              <w:t>Executed at:  San Francisco, CA</w:t>
            </w:r>
          </w:p>
        </w:tc>
        <w:tc>
          <w:tcPr>
            <w:tcW w:w="5120" w:type="dxa"/>
            <w:vAlign w:val="bottom"/>
            <w:gridSpan w:val="6"/>
          </w:tcPr>
          <w:p>
            <w:pPr>
              <w:ind w:left="580"/>
              <w:spacing w:after="0"/>
              <w:rPr>
                <w:sz w:val="20"/>
                <w:szCs w:val="20"/>
                <w:color w:val="auto"/>
              </w:rPr>
            </w:pPr>
            <w:r>
              <w:rPr>
                <w:rFonts w:ascii="Arial" w:cs="Arial" w:eastAsia="Arial" w:hAnsi="Arial"/>
                <w:sz w:val="16"/>
                <w:szCs w:val="16"/>
                <w:color w:val="auto"/>
              </w:rPr>
              <w:t>171 Oyster Point Blvd, Suite 500</w:t>
            </w:r>
          </w:p>
        </w:tc>
        <w:tc>
          <w:tcPr>
            <w:tcW w:w="0" w:type="dxa"/>
            <w:vAlign w:val="bottom"/>
          </w:tcPr>
          <w:p>
            <w:pPr>
              <w:spacing w:after="0"/>
              <w:rPr>
                <w:sz w:val="1"/>
                <w:szCs w:val="1"/>
                <w:color w:val="auto"/>
              </w:rPr>
            </w:pPr>
          </w:p>
        </w:tc>
      </w:tr>
      <w:tr>
        <w:trPr>
          <w:trHeight w:val="182"/>
        </w:trPr>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520" w:type="dxa"/>
            <w:vAlign w:val="bottom"/>
            <w:tcBorders>
              <w:top w:val="single" w:sz="8" w:color="auto"/>
              <w:bottom w:val="single" w:sz="8" w:color="auto"/>
            </w:tcBorders>
            <w:gridSpan w:val="5"/>
          </w:tcPr>
          <w:p>
            <w:pPr>
              <w:spacing w:after="0" w:line="181" w:lineRule="exact"/>
              <w:rPr>
                <w:sz w:val="20"/>
                <w:szCs w:val="20"/>
                <w:color w:val="auto"/>
              </w:rPr>
            </w:pPr>
            <w:r>
              <w:rPr>
                <w:rFonts w:ascii="Arial" w:cs="Arial" w:eastAsia="Arial" w:hAnsi="Arial"/>
                <w:sz w:val="16"/>
                <w:szCs w:val="16"/>
                <w:color w:val="auto"/>
              </w:rPr>
              <w:t>South San Francisco, CA 94080</w:t>
            </w:r>
          </w:p>
        </w:tc>
        <w:tc>
          <w:tcPr>
            <w:tcW w:w="0" w:type="dxa"/>
            <w:vAlign w:val="bottom"/>
          </w:tcPr>
          <w:p>
            <w:pPr>
              <w:spacing w:after="0"/>
              <w:rPr>
                <w:sz w:val="1"/>
                <w:szCs w:val="1"/>
                <w:color w:val="auto"/>
              </w:rPr>
            </w:pPr>
          </w:p>
        </w:tc>
      </w:tr>
      <w:tr>
        <w:trPr>
          <w:trHeight w:val="192"/>
        </w:trPr>
        <w:tc>
          <w:tcPr>
            <w:tcW w:w="300" w:type="dxa"/>
            <w:vAlign w:val="bottom"/>
          </w:tcPr>
          <w:p>
            <w:pPr>
              <w:spacing w:after="0"/>
              <w:rPr>
                <w:sz w:val="20"/>
                <w:szCs w:val="20"/>
                <w:color w:val="auto"/>
              </w:rPr>
            </w:pPr>
            <w:r>
              <w:rPr>
                <w:rFonts w:ascii="Arial" w:cs="Arial" w:eastAsia="Arial" w:hAnsi="Arial"/>
                <w:sz w:val="16"/>
                <w:szCs w:val="16"/>
                <w:color w:val="auto"/>
              </w:rPr>
              <w:t>on:</w:t>
            </w:r>
          </w:p>
        </w:tc>
        <w:tc>
          <w:tcPr>
            <w:tcW w:w="580" w:type="dxa"/>
            <w:vAlign w:val="bottom"/>
            <w:gridSpan w:val="2"/>
          </w:tcPr>
          <w:p>
            <w:pPr>
              <w:ind w:left="80"/>
              <w:spacing w:after="0"/>
              <w:rPr>
                <w:sz w:val="20"/>
                <w:szCs w:val="20"/>
                <w:color w:val="auto"/>
              </w:rPr>
            </w:pPr>
            <w:r>
              <w:rPr>
                <w:rFonts w:ascii="Arial" w:cs="Arial" w:eastAsia="Arial" w:hAnsi="Arial"/>
                <w:sz w:val="16"/>
                <w:szCs w:val="16"/>
                <w:color w:val="auto"/>
                <w:w w:val="89"/>
              </w:rPr>
              <w:t>2/15/21</w:t>
            </w: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101 Montgomery Street,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8033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680335" cy="762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San Francisco, CA 94104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680335" cy="762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680335" cy="7620"/>
                    </a:xfrm>
                    <a:prstGeom prst="rect">
                      <a:avLst/>
                    </a:prstGeom>
                    <a:noFill/>
                  </pic:spPr>
                </pic:pic>
              </a:graphicData>
            </a:graphic>
          </wp:anchor>
        </w:drawing>
      </w:r>
    </w:p>
    <w:p>
      <w:pPr>
        <w:sectPr>
          <w:pgSz w:w="11900" w:h="16838" w:orient="portrait"/>
          <w:cols w:equalWidth="0" w:num="1">
            <w:col w:w="9620"/>
          </w:cols>
          <w:pgMar w:left="1140" w:top="256" w:right="1139" w:bottom="1440" w:gutter="0" w:footer="0" w:header="0"/>
        </w:sectPr>
      </w:pPr>
    </w:p>
    <w:bookmarkStart w:id="503" w:name="page504"/>
    <w:bookmarkEnd w:id="503"/>
    <w:p>
      <w:pPr>
        <w:jc w:val="center"/>
        <w:ind w:right="-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90105" cy="34290"/>
                    </a:xfrm>
                    <a:prstGeom prst="rect">
                      <a:avLst/>
                    </a:prstGeom>
                    <a:noFill/>
                  </pic:spPr>
                </pic:pic>
              </a:graphicData>
            </a:graphic>
          </wp:anchor>
        </w:drawing>
        <w:t>GLOSSARY</w:t>
      </w:r>
    </w:p>
    <w:p>
      <w:pPr>
        <w:spacing w:after="0" w:line="19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terms in the Lease are defined in the paragraphs opposite the terms.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3"/>
              </w:rPr>
              <w:t>TERM DEFINED IN PARAGRAPH</w:t>
            </w:r>
          </w:p>
        </w:tc>
      </w:tr>
      <w:tr>
        <w:trPr>
          <w:trHeight w:val="404"/>
        </w:trPr>
        <w:tc>
          <w:tcPr>
            <w:tcW w:w="3640" w:type="dxa"/>
            <w:vAlign w:val="bottom"/>
          </w:tcPr>
          <w:p>
            <w:pPr>
              <w:spacing w:after="0"/>
              <w:rPr>
                <w:sz w:val="20"/>
                <w:szCs w:val="20"/>
                <w:color w:val="auto"/>
              </w:rPr>
            </w:pPr>
            <w:r>
              <w:rPr>
                <w:rFonts w:ascii="Arial" w:cs="Arial" w:eastAsia="Arial" w:hAnsi="Arial"/>
                <w:sz w:val="16"/>
                <w:szCs w:val="16"/>
                <w:color w:val="auto"/>
              </w:rPr>
              <w:t>Additional Rent</w:t>
            </w:r>
          </w:p>
        </w:tc>
        <w:tc>
          <w:tcPr>
            <w:tcW w:w="2320" w:type="dxa"/>
            <w:vAlign w:val="bottom"/>
          </w:tcPr>
          <w:p>
            <w:pPr>
              <w:ind w:left="1360"/>
              <w:spacing w:after="0"/>
              <w:rPr>
                <w:sz w:val="20"/>
                <w:szCs w:val="20"/>
                <w:color w:val="auto"/>
              </w:rPr>
            </w:pPr>
            <w:r>
              <w:rPr>
                <w:rFonts w:ascii="Arial" w:cs="Arial" w:eastAsia="Arial" w:hAnsi="Arial"/>
                <w:sz w:val="16"/>
                <w:szCs w:val="16"/>
                <w:color w:val="auto"/>
              </w:rPr>
              <w:t>4.1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Applicable Requirements</w:t>
            </w:r>
          </w:p>
        </w:tc>
        <w:tc>
          <w:tcPr>
            <w:tcW w:w="2320" w:type="dxa"/>
            <w:vAlign w:val="bottom"/>
          </w:tcPr>
          <w:p>
            <w:pPr>
              <w:ind w:left="1360"/>
              <w:spacing w:after="0"/>
              <w:rPr>
                <w:sz w:val="20"/>
                <w:szCs w:val="20"/>
                <w:color w:val="auto"/>
              </w:rPr>
            </w:pPr>
            <w:r>
              <w:rPr>
                <w:rFonts w:ascii="Arial" w:cs="Arial" w:eastAsia="Arial" w:hAnsi="Arial"/>
                <w:sz w:val="16"/>
                <w:szCs w:val="16"/>
                <w:color w:val="auto"/>
              </w:rPr>
              <w:t>6.3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Assign</w:t>
            </w:r>
          </w:p>
        </w:tc>
        <w:tc>
          <w:tcPr>
            <w:tcW w:w="2320" w:type="dxa"/>
            <w:vAlign w:val="bottom"/>
          </w:tcPr>
          <w:p>
            <w:pPr>
              <w:ind w:left="1360"/>
              <w:spacing w:after="0"/>
              <w:rPr>
                <w:sz w:val="20"/>
                <w:szCs w:val="20"/>
                <w:color w:val="auto"/>
              </w:rPr>
            </w:pPr>
            <w:r>
              <w:rPr>
                <w:rFonts w:ascii="Arial" w:cs="Arial" w:eastAsia="Arial" w:hAnsi="Arial"/>
                <w:sz w:val="16"/>
                <w:szCs w:val="16"/>
                <w:color w:val="auto"/>
              </w:rPr>
              <w:t>12.1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Base Rent</w:t>
            </w:r>
          </w:p>
        </w:tc>
        <w:tc>
          <w:tcPr>
            <w:tcW w:w="2320" w:type="dxa"/>
            <w:vAlign w:val="bottom"/>
          </w:tcPr>
          <w:p>
            <w:pPr>
              <w:ind w:left="1360"/>
              <w:spacing w:after="0"/>
              <w:rPr>
                <w:sz w:val="20"/>
                <w:szCs w:val="20"/>
                <w:color w:val="auto"/>
              </w:rPr>
            </w:pPr>
            <w:r>
              <w:rPr>
                <w:rFonts w:ascii="Arial" w:cs="Arial" w:eastAsia="Arial" w:hAnsi="Arial"/>
                <w:sz w:val="16"/>
                <w:szCs w:val="16"/>
                <w:color w:val="auto"/>
              </w:rPr>
              <w:t>1.4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Basic Provisions</w:t>
            </w:r>
          </w:p>
        </w:tc>
        <w:tc>
          <w:tcPr>
            <w:tcW w:w="2320" w:type="dxa"/>
            <w:vAlign w:val="bottom"/>
          </w:tcPr>
          <w:p>
            <w:pPr>
              <w:ind w:left="1360"/>
              <w:spacing w:after="0"/>
              <w:rPr>
                <w:sz w:val="20"/>
                <w:szCs w:val="20"/>
                <w:color w:val="auto"/>
              </w:rPr>
            </w:pPr>
            <w:r>
              <w:rPr>
                <w:rFonts w:ascii="Arial" w:cs="Arial" w:eastAsia="Arial" w:hAnsi="Arial"/>
                <w:sz w:val="16"/>
                <w:szCs w:val="16"/>
                <w:color w:val="auto"/>
              </w:rPr>
              <w:t>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Building</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Building 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4.2(b)</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Code</w:t>
            </w:r>
          </w:p>
        </w:tc>
        <w:tc>
          <w:tcPr>
            <w:tcW w:w="2320" w:type="dxa"/>
            <w:vAlign w:val="bottom"/>
          </w:tcPr>
          <w:p>
            <w:pPr>
              <w:ind w:left="1360"/>
              <w:spacing w:after="0"/>
              <w:rPr>
                <w:sz w:val="20"/>
                <w:szCs w:val="20"/>
                <w:color w:val="auto"/>
              </w:rPr>
            </w:pPr>
            <w:r>
              <w:rPr>
                <w:rFonts w:ascii="Arial" w:cs="Arial" w:eastAsia="Arial" w:hAnsi="Arial"/>
                <w:sz w:val="16"/>
                <w:szCs w:val="16"/>
                <w:color w:val="auto"/>
              </w:rPr>
              <w:t>12.1(a)</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Commencement Date</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Commencement Date Certificate</w:t>
            </w:r>
          </w:p>
        </w:tc>
        <w:tc>
          <w:tcPr>
            <w:tcW w:w="2320" w:type="dxa"/>
            <w:vAlign w:val="bottom"/>
          </w:tcPr>
          <w:p>
            <w:pPr>
              <w:ind w:left="1360"/>
              <w:spacing w:after="0"/>
              <w:rPr>
                <w:sz w:val="20"/>
                <w:szCs w:val="20"/>
                <w:color w:val="auto"/>
              </w:rPr>
            </w:pPr>
            <w:r>
              <w:rPr>
                <w:rFonts w:ascii="Arial" w:cs="Arial" w:eastAsia="Arial" w:hAnsi="Arial"/>
                <w:sz w:val="16"/>
                <w:szCs w:val="16"/>
                <w:color w:val="auto"/>
              </w:rPr>
              <w:t>3.3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Common Area 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4.2(b)</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Common Areas</w:t>
            </w:r>
          </w:p>
        </w:tc>
        <w:tc>
          <w:tcPr>
            <w:tcW w:w="2320" w:type="dxa"/>
            <w:vAlign w:val="bottom"/>
          </w:tcPr>
          <w:p>
            <w:pPr>
              <w:ind w:left="1360"/>
              <w:spacing w:after="0"/>
              <w:rPr>
                <w:sz w:val="20"/>
                <w:szCs w:val="20"/>
                <w:color w:val="auto"/>
              </w:rPr>
            </w:pPr>
            <w:r>
              <w:rPr>
                <w:rFonts w:ascii="Arial" w:cs="Arial" w:eastAsia="Arial" w:hAnsi="Arial"/>
                <w:sz w:val="16"/>
                <w:szCs w:val="16"/>
                <w:color w:val="auto"/>
              </w:rPr>
              <w:t>2.2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Condemnation</w:t>
            </w:r>
          </w:p>
        </w:tc>
        <w:tc>
          <w:tcPr>
            <w:tcW w:w="2320" w:type="dxa"/>
            <w:vAlign w:val="bottom"/>
          </w:tcPr>
          <w:p>
            <w:pPr>
              <w:ind w:left="1360"/>
              <w:spacing w:after="0"/>
              <w:rPr>
                <w:sz w:val="20"/>
                <w:szCs w:val="20"/>
                <w:color w:val="auto"/>
              </w:rPr>
            </w:pPr>
            <w:r>
              <w:rPr>
                <w:rFonts w:ascii="Arial" w:cs="Arial" w:eastAsia="Arial" w:hAnsi="Arial"/>
                <w:sz w:val="16"/>
                <w:szCs w:val="16"/>
                <w:color w:val="auto"/>
              </w:rPr>
              <w:t>14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Default</w:t>
            </w:r>
          </w:p>
        </w:tc>
        <w:tc>
          <w:tcPr>
            <w:tcW w:w="2320" w:type="dxa"/>
            <w:vAlign w:val="bottom"/>
          </w:tcPr>
          <w:p>
            <w:pPr>
              <w:ind w:left="1360"/>
              <w:spacing w:after="0"/>
              <w:rPr>
                <w:sz w:val="20"/>
                <w:szCs w:val="20"/>
                <w:color w:val="auto"/>
              </w:rPr>
            </w:pPr>
            <w:r>
              <w:rPr>
                <w:rFonts w:ascii="Arial" w:cs="Arial" w:eastAsia="Arial" w:hAnsi="Arial"/>
                <w:sz w:val="16"/>
                <w:szCs w:val="16"/>
                <w:color w:val="auto"/>
              </w:rPr>
              <w:t>13.1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Expiration Date</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HVAC</w:t>
            </w:r>
          </w:p>
        </w:tc>
        <w:tc>
          <w:tcPr>
            <w:tcW w:w="2320" w:type="dxa"/>
            <w:vAlign w:val="bottom"/>
          </w:tcPr>
          <w:p>
            <w:pPr>
              <w:ind w:left="1360"/>
              <w:spacing w:after="0"/>
              <w:rPr>
                <w:sz w:val="20"/>
                <w:szCs w:val="20"/>
                <w:color w:val="auto"/>
              </w:rPr>
            </w:pPr>
            <w:r>
              <w:rPr>
                <w:rFonts w:ascii="Arial" w:cs="Arial" w:eastAsia="Arial" w:hAnsi="Arial"/>
                <w:sz w:val="16"/>
                <w:szCs w:val="16"/>
                <w:color w:val="auto"/>
              </w:rPr>
              <w:t>4.2(a)(x)</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Hazardous Substance</w:t>
            </w:r>
          </w:p>
        </w:tc>
        <w:tc>
          <w:tcPr>
            <w:tcW w:w="2320" w:type="dxa"/>
            <w:vAlign w:val="bottom"/>
          </w:tcPr>
          <w:p>
            <w:pPr>
              <w:ind w:left="1360"/>
              <w:spacing w:after="0"/>
              <w:rPr>
                <w:sz w:val="20"/>
                <w:szCs w:val="20"/>
                <w:color w:val="auto"/>
              </w:rPr>
            </w:pPr>
            <w:r>
              <w:rPr>
                <w:rFonts w:ascii="Arial" w:cs="Arial" w:eastAsia="Arial" w:hAnsi="Arial"/>
                <w:sz w:val="16"/>
                <w:szCs w:val="16"/>
                <w:color w:val="auto"/>
              </w:rPr>
              <w:t>6.2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Indemnity</w:t>
            </w:r>
          </w:p>
        </w:tc>
        <w:tc>
          <w:tcPr>
            <w:tcW w:w="2320" w:type="dxa"/>
            <w:vAlign w:val="bottom"/>
          </w:tcPr>
          <w:p>
            <w:pPr>
              <w:ind w:left="1360"/>
              <w:spacing w:after="0"/>
              <w:rPr>
                <w:sz w:val="20"/>
                <w:szCs w:val="20"/>
                <w:color w:val="auto"/>
              </w:rPr>
            </w:pPr>
            <w:r>
              <w:rPr>
                <w:rFonts w:ascii="Arial" w:cs="Arial" w:eastAsia="Arial" w:hAnsi="Arial"/>
                <w:sz w:val="16"/>
                <w:szCs w:val="16"/>
                <w:color w:val="auto"/>
              </w:rPr>
              <w:t>8.5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Industrial Center</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Landlord</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Landlord Entities</w:t>
            </w:r>
          </w:p>
        </w:tc>
        <w:tc>
          <w:tcPr>
            <w:tcW w:w="2320" w:type="dxa"/>
            <w:vAlign w:val="bottom"/>
          </w:tcPr>
          <w:p>
            <w:pPr>
              <w:ind w:left="1360"/>
              <w:spacing w:after="0"/>
              <w:rPr>
                <w:sz w:val="20"/>
                <w:szCs w:val="20"/>
                <w:color w:val="auto"/>
              </w:rPr>
            </w:pPr>
            <w:r>
              <w:rPr>
                <w:rFonts w:ascii="Arial" w:cs="Arial" w:eastAsia="Arial" w:hAnsi="Arial"/>
                <w:sz w:val="16"/>
                <w:szCs w:val="16"/>
                <w:color w:val="auto"/>
              </w:rPr>
              <w:t>6.2(c)</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Lease</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Lenders</w:t>
            </w:r>
          </w:p>
        </w:tc>
        <w:tc>
          <w:tcPr>
            <w:tcW w:w="2320" w:type="dxa"/>
            <w:vAlign w:val="bottom"/>
          </w:tcPr>
          <w:p>
            <w:pPr>
              <w:ind w:left="1360"/>
              <w:spacing w:after="0"/>
              <w:rPr>
                <w:sz w:val="20"/>
                <w:szCs w:val="20"/>
                <w:color w:val="auto"/>
              </w:rPr>
            </w:pPr>
            <w:r>
              <w:rPr>
                <w:rFonts w:ascii="Arial" w:cs="Arial" w:eastAsia="Arial" w:hAnsi="Arial"/>
                <w:sz w:val="16"/>
                <w:szCs w:val="16"/>
                <w:color w:val="auto"/>
              </w:rPr>
              <w:t>6.4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Mortgage</w:t>
            </w:r>
          </w:p>
        </w:tc>
        <w:tc>
          <w:tcPr>
            <w:tcW w:w="2320" w:type="dxa"/>
            <w:vAlign w:val="bottom"/>
          </w:tcPr>
          <w:p>
            <w:pPr>
              <w:ind w:left="1360"/>
              <w:spacing w:after="0"/>
              <w:rPr>
                <w:sz w:val="20"/>
                <w:szCs w:val="20"/>
                <w:color w:val="auto"/>
              </w:rPr>
            </w:pPr>
            <w:r>
              <w:rPr>
                <w:rFonts w:ascii="Arial" w:cs="Arial" w:eastAsia="Arial" w:hAnsi="Arial"/>
                <w:sz w:val="16"/>
                <w:szCs w:val="16"/>
                <w:color w:val="auto"/>
              </w:rPr>
              <w:t>16.18</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Operating Expenses</w:t>
            </w:r>
          </w:p>
        </w:tc>
        <w:tc>
          <w:tcPr>
            <w:tcW w:w="2320" w:type="dxa"/>
            <w:vAlign w:val="bottom"/>
          </w:tcPr>
          <w:p>
            <w:pPr>
              <w:ind w:left="1360"/>
              <w:spacing w:after="0"/>
              <w:rPr>
                <w:sz w:val="20"/>
                <w:szCs w:val="20"/>
                <w:color w:val="auto"/>
              </w:rPr>
            </w:pPr>
            <w:r>
              <w:rPr>
                <w:rFonts w:ascii="Arial" w:cs="Arial" w:eastAsia="Arial" w:hAnsi="Arial"/>
                <w:sz w:val="16"/>
                <w:szCs w:val="16"/>
                <w:color w:val="auto"/>
              </w:rPr>
              <w:t>4.2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Party/Parties</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Patriot Act</w:t>
            </w:r>
          </w:p>
        </w:tc>
        <w:tc>
          <w:tcPr>
            <w:tcW w:w="2320" w:type="dxa"/>
            <w:vAlign w:val="bottom"/>
          </w:tcPr>
          <w:p>
            <w:pPr>
              <w:ind w:left="1360"/>
              <w:spacing w:after="0"/>
              <w:rPr>
                <w:sz w:val="20"/>
                <w:szCs w:val="20"/>
                <w:color w:val="auto"/>
              </w:rPr>
            </w:pPr>
            <w:r>
              <w:rPr>
                <w:rFonts w:ascii="Arial" w:cs="Arial" w:eastAsia="Arial" w:hAnsi="Arial"/>
                <w:sz w:val="16"/>
                <w:szCs w:val="16"/>
                <w:color w:val="auto"/>
              </w:rPr>
              <w:t>16.34</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Permitted Use</w:t>
            </w:r>
          </w:p>
        </w:tc>
        <w:tc>
          <w:tcPr>
            <w:tcW w:w="2320" w:type="dxa"/>
            <w:vAlign w:val="bottom"/>
          </w:tcPr>
          <w:p>
            <w:pPr>
              <w:ind w:left="1360"/>
              <w:spacing w:after="0"/>
              <w:rPr>
                <w:sz w:val="20"/>
                <w:szCs w:val="20"/>
                <w:color w:val="auto"/>
              </w:rPr>
            </w:pPr>
            <w:r>
              <w:rPr>
                <w:rFonts w:ascii="Arial" w:cs="Arial" w:eastAsia="Arial" w:hAnsi="Arial"/>
                <w:sz w:val="16"/>
                <w:szCs w:val="16"/>
                <w:color w:val="auto"/>
              </w:rPr>
              <w:t>1.8</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Premises</w:t>
            </w:r>
          </w:p>
        </w:tc>
        <w:tc>
          <w:tcPr>
            <w:tcW w:w="2320" w:type="dxa"/>
            <w:vAlign w:val="bottom"/>
          </w:tcPr>
          <w:p>
            <w:pPr>
              <w:ind w:left="1360"/>
              <w:spacing w:after="0"/>
              <w:rPr>
                <w:sz w:val="20"/>
                <w:szCs w:val="20"/>
                <w:color w:val="auto"/>
              </w:rPr>
            </w:pPr>
            <w:r>
              <w:rPr>
                <w:rFonts w:ascii="Arial" w:cs="Arial" w:eastAsia="Arial" w:hAnsi="Arial"/>
                <w:sz w:val="16"/>
                <w:szCs w:val="16"/>
                <w:color w:val="auto"/>
              </w:rPr>
              <w:t>1.2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Prevailing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16.13</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Real Property Taxes</w:t>
            </w:r>
          </w:p>
        </w:tc>
        <w:tc>
          <w:tcPr>
            <w:tcW w:w="2320" w:type="dxa"/>
            <w:vAlign w:val="bottom"/>
          </w:tcPr>
          <w:p>
            <w:pPr>
              <w:ind w:left="1360"/>
              <w:spacing w:after="0"/>
              <w:rPr>
                <w:sz w:val="20"/>
                <w:szCs w:val="20"/>
                <w:color w:val="auto"/>
              </w:rPr>
            </w:pPr>
            <w:r>
              <w:rPr>
                <w:rFonts w:ascii="Arial" w:cs="Arial" w:eastAsia="Arial" w:hAnsi="Arial"/>
                <w:sz w:val="16"/>
                <w:szCs w:val="16"/>
                <w:color w:val="auto"/>
              </w:rPr>
              <w:t>10.2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Rent</w:t>
            </w:r>
          </w:p>
        </w:tc>
        <w:tc>
          <w:tcPr>
            <w:tcW w:w="2320" w:type="dxa"/>
            <w:vAlign w:val="bottom"/>
          </w:tcPr>
          <w:p>
            <w:pPr>
              <w:ind w:left="1360"/>
              <w:spacing w:after="0"/>
              <w:rPr>
                <w:sz w:val="20"/>
                <w:szCs w:val="20"/>
                <w:color w:val="auto"/>
              </w:rPr>
            </w:pPr>
            <w:r>
              <w:rPr>
                <w:rFonts w:ascii="Arial" w:cs="Arial" w:eastAsia="Arial" w:hAnsi="Arial"/>
                <w:sz w:val="16"/>
                <w:szCs w:val="16"/>
                <w:color w:val="auto"/>
              </w:rPr>
              <w:t>4.1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Reportable Use</w:t>
            </w:r>
          </w:p>
        </w:tc>
        <w:tc>
          <w:tcPr>
            <w:tcW w:w="2320" w:type="dxa"/>
            <w:vAlign w:val="bottom"/>
          </w:tcPr>
          <w:p>
            <w:pPr>
              <w:ind w:left="1360"/>
              <w:spacing w:after="0"/>
              <w:rPr>
                <w:sz w:val="20"/>
                <w:szCs w:val="20"/>
                <w:color w:val="auto"/>
              </w:rPr>
            </w:pPr>
            <w:r>
              <w:rPr>
                <w:rFonts w:ascii="Arial" w:cs="Arial" w:eastAsia="Arial" w:hAnsi="Arial"/>
                <w:sz w:val="16"/>
                <w:szCs w:val="16"/>
                <w:color w:val="auto"/>
              </w:rPr>
              <w:t>6.2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Requesting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Responding Party</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Rules and Regulations</w:t>
            </w:r>
          </w:p>
        </w:tc>
        <w:tc>
          <w:tcPr>
            <w:tcW w:w="2320" w:type="dxa"/>
            <w:vAlign w:val="bottom"/>
          </w:tcPr>
          <w:p>
            <w:pPr>
              <w:ind w:left="1360"/>
              <w:spacing w:after="0"/>
              <w:rPr>
                <w:sz w:val="20"/>
                <w:szCs w:val="20"/>
                <w:color w:val="auto"/>
              </w:rPr>
            </w:pPr>
            <w:r>
              <w:rPr>
                <w:rFonts w:ascii="Arial" w:cs="Arial" w:eastAsia="Arial" w:hAnsi="Arial"/>
                <w:sz w:val="16"/>
                <w:szCs w:val="16"/>
                <w:color w:val="auto"/>
              </w:rPr>
              <w:t>2.4, 16.19</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Security Deposit</w:t>
            </w:r>
          </w:p>
        </w:tc>
        <w:tc>
          <w:tcPr>
            <w:tcW w:w="2320" w:type="dxa"/>
            <w:vAlign w:val="bottom"/>
          </w:tcPr>
          <w:p>
            <w:pPr>
              <w:ind w:left="1360"/>
              <w:spacing w:after="0"/>
              <w:rPr>
                <w:sz w:val="20"/>
                <w:szCs w:val="20"/>
                <w:color w:val="auto"/>
              </w:rPr>
            </w:pPr>
            <w:r>
              <w:rPr>
                <w:rFonts w:ascii="Arial" w:cs="Arial" w:eastAsia="Arial" w:hAnsi="Arial"/>
                <w:sz w:val="16"/>
                <w:szCs w:val="16"/>
                <w:color w:val="auto"/>
              </w:rPr>
              <w:t>1.7, 5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w:t>
            </w:r>
          </w:p>
        </w:tc>
        <w:tc>
          <w:tcPr>
            <w:tcW w:w="2320" w:type="dxa"/>
            <w:vAlign w:val="bottom"/>
          </w:tcPr>
          <w:p>
            <w:pPr>
              <w:ind w:left="1360"/>
              <w:spacing w:after="0"/>
              <w:rPr>
                <w:sz w:val="20"/>
                <w:szCs w:val="20"/>
                <w:color w:val="auto"/>
              </w:rPr>
            </w:pPr>
            <w:r>
              <w:rPr>
                <w:rFonts w:ascii="Arial" w:cs="Arial" w:eastAsia="Arial" w:hAnsi="Arial"/>
                <w:sz w:val="16"/>
                <w:szCs w:val="16"/>
                <w:color w:val="auto"/>
              </w:rPr>
              <w:t>1.1</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 Acts</w:t>
            </w:r>
          </w:p>
        </w:tc>
        <w:tc>
          <w:tcPr>
            <w:tcW w:w="2320" w:type="dxa"/>
            <w:vAlign w:val="bottom"/>
          </w:tcPr>
          <w:p>
            <w:pPr>
              <w:ind w:left="1360"/>
              <w:spacing w:after="0"/>
              <w:rPr>
                <w:sz w:val="20"/>
                <w:szCs w:val="20"/>
                <w:color w:val="auto"/>
              </w:rPr>
            </w:pPr>
            <w:r>
              <w:rPr>
                <w:rFonts w:ascii="Arial" w:cs="Arial" w:eastAsia="Arial" w:hAnsi="Arial"/>
                <w:sz w:val="16"/>
                <w:szCs w:val="16"/>
                <w:color w:val="auto"/>
              </w:rPr>
              <w:t>9.2</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Tenant’s Entity</w:t>
            </w:r>
          </w:p>
        </w:tc>
        <w:tc>
          <w:tcPr>
            <w:tcW w:w="2320" w:type="dxa"/>
            <w:vAlign w:val="bottom"/>
          </w:tcPr>
          <w:p>
            <w:pPr>
              <w:ind w:left="1360"/>
              <w:spacing w:after="0"/>
              <w:rPr>
                <w:sz w:val="20"/>
                <w:szCs w:val="20"/>
                <w:color w:val="auto"/>
              </w:rPr>
            </w:pPr>
            <w:r>
              <w:rPr>
                <w:rFonts w:ascii="Arial" w:cs="Arial" w:eastAsia="Arial" w:hAnsi="Arial"/>
                <w:sz w:val="16"/>
                <w:szCs w:val="16"/>
                <w:color w:val="auto"/>
              </w:rPr>
              <w:t>6.2(c)</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Tenant’s Share</w:t>
            </w:r>
          </w:p>
        </w:tc>
        <w:tc>
          <w:tcPr>
            <w:tcW w:w="2320" w:type="dxa"/>
            <w:vAlign w:val="bottom"/>
          </w:tcPr>
          <w:p>
            <w:pPr>
              <w:ind w:left="1360"/>
              <w:spacing w:after="0"/>
              <w:rPr>
                <w:sz w:val="20"/>
                <w:szCs w:val="20"/>
                <w:color w:val="auto"/>
              </w:rPr>
            </w:pPr>
            <w:r>
              <w:rPr>
                <w:rFonts w:ascii="Arial" w:cs="Arial" w:eastAsia="Arial" w:hAnsi="Arial"/>
                <w:sz w:val="16"/>
                <w:szCs w:val="16"/>
                <w:color w:val="auto"/>
              </w:rPr>
              <w:t>1.5</w:t>
            </w: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auto"/>
              </w:rPr>
              <w:t>Term</w:t>
            </w:r>
          </w:p>
        </w:tc>
        <w:tc>
          <w:tcPr>
            <w:tcW w:w="2320" w:type="dxa"/>
            <w:vAlign w:val="bottom"/>
          </w:tcPr>
          <w:p>
            <w:pPr>
              <w:ind w:left="1360"/>
              <w:spacing w:after="0"/>
              <w:rPr>
                <w:sz w:val="20"/>
                <w:szCs w:val="20"/>
                <w:color w:val="auto"/>
              </w:rPr>
            </w:pPr>
            <w:r>
              <w:rPr>
                <w:rFonts w:ascii="Arial" w:cs="Arial" w:eastAsia="Arial" w:hAnsi="Arial"/>
                <w:sz w:val="16"/>
                <w:szCs w:val="16"/>
                <w:color w:val="auto"/>
              </w:rPr>
              <w:t>1.3</w:t>
            </w:r>
          </w:p>
        </w:tc>
      </w:tr>
      <w:tr>
        <w:trPr>
          <w:trHeight w:val="200"/>
        </w:trPr>
        <w:tc>
          <w:tcPr>
            <w:tcW w:w="3640" w:type="dxa"/>
            <w:vAlign w:val="bottom"/>
          </w:tcPr>
          <w:p>
            <w:pPr>
              <w:spacing w:after="0"/>
              <w:rPr>
                <w:sz w:val="20"/>
                <w:szCs w:val="20"/>
                <w:color w:val="auto"/>
              </w:rPr>
            </w:pPr>
            <w:r>
              <w:rPr>
                <w:rFonts w:ascii="Arial" w:cs="Arial" w:eastAsia="Arial" w:hAnsi="Arial"/>
                <w:sz w:val="16"/>
                <w:szCs w:val="16"/>
                <w:color w:val="auto"/>
              </w:rPr>
              <w:t>Use</w:t>
            </w:r>
          </w:p>
        </w:tc>
        <w:tc>
          <w:tcPr>
            <w:tcW w:w="2320" w:type="dxa"/>
            <w:vAlign w:val="bottom"/>
          </w:tcPr>
          <w:p>
            <w:pPr>
              <w:ind w:left="1360"/>
              <w:spacing w:after="0"/>
              <w:rPr>
                <w:sz w:val="20"/>
                <w:szCs w:val="20"/>
                <w:color w:val="auto"/>
              </w:rPr>
            </w:pPr>
            <w:r>
              <w:rPr>
                <w:rFonts w:ascii="Arial" w:cs="Arial" w:eastAsia="Arial" w:hAnsi="Arial"/>
                <w:sz w:val="16"/>
                <w:szCs w:val="16"/>
                <w:color w:val="auto"/>
              </w:rPr>
              <w:t>6.1</w:t>
            </w:r>
          </w:p>
        </w:tc>
      </w:tr>
    </w:tbl>
    <w:p>
      <w:pPr>
        <w:sectPr>
          <w:pgSz w:w="11900" w:h="16838" w:orient="portrait"/>
          <w:cols w:equalWidth="0" w:num="1">
            <w:col w:w="9319"/>
          </w:cols>
          <w:pgMar w:left="1140" w:top="256" w:right="1440" w:bottom="1440" w:gutter="0" w:footer="0" w:header="0"/>
        </w:sectPr>
      </w:pPr>
    </w:p>
    <w:bookmarkStart w:id="504" w:name="page505"/>
    <w:bookmarkEnd w:id="504"/>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1</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Landlord’s Remedies in the Event of Tenant Default - California</w:t>
      </w:r>
    </w:p>
    <w:p>
      <w:pPr>
        <w:spacing w:after="0" w:line="182" w:lineRule="exact"/>
        <w:rPr>
          <w:sz w:val="20"/>
          <w:szCs w:val="20"/>
          <w:color w:val="auto"/>
        </w:rPr>
      </w:pPr>
    </w:p>
    <w:p>
      <w:pPr>
        <w:ind w:right="20" w:firstLine="385"/>
        <w:spacing w:after="0" w:line="266" w:lineRule="auto"/>
        <w:rPr>
          <w:sz w:val="20"/>
          <w:szCs w:val="20"/>
          <w:color w:val="auto"/>
        </w:rPr>
      </w:pPr>
      <w:r>
        <w:rPr>
          <w:rFonts w:ascii="Arial" w:cs="Arial" w:eastAsia="Arial" w:hAnsi="Arial"/>
          <w:sz w:val="16"/>
          <w:szCs w:val="16"/>
          <w:color w:val="auto"/>
        </w:rPr>
        <w:t>This Landlord’s Remedies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right="460" w:firstLine="385"/>
        <w:spacing w:after="0" w:line="266" w:lineRule="auto"/>
        <w:rPr>
          <w:sz w:val="20"/>
          <w:szCs w:val="20"/>
          <w:color w:val="auto"/>
        </w:rPr>
      </w:pPr>
      <w:r>
        <w:rPr>
          <w:rFonts w:ascii="Arial" w:cs="Arial" w:eastAsia="Arial" w:hAnsi="Arial"/>
          <w:sz w:val="16"/>
          <w:szCs w:val="16"/>
          <w:color w:val="auto"/>
        </w:rPr>
        <w:t>In the event of any Default by Tenant, then in addition to any other remedies available to Landlord at law or in equity and under this Lease Landlord shall have any or all of the following remedies:</w:t>
      </w:r>
    </w:p>
    <w:p>
      <w:pPr>
        <w:spacing w:after="0" w:line="158" w:lineRule="exact"/>
        <w:rPr>
          <w:sz w:val="20"/>
          <w:szCs w:val="20"/>
          <w:color w:val="auto"/>
        </w:rPr>
      </w:pPr>
    </w:p>
    <w:p>
      <w:pPr>
        <w:ind w:right="280" w:firstLine="860"/>
        <w:spacing w:after="0" w:line="383" w:lineRule="auto"/>
        <w:tabs>
          <w:tab w:leader="none" w:pos="1079" w:val="left"/>
        </w:tabs>
        <w:numPr>
          <w:ilvl w:val="0"/>
          <w:numId w:val="381"/>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Landlord shall have the immediate option to terminate this Lease and all rights of Tenant hereunder by giving written notice of such intention to terminate. In the event that Landlord shall elect to so terminate this Lease then Landlord may recover from Tenant:</w:t>
      </w:r>
    </w:p>
    <w:p>
      <w:pPr>
        <w:spacing w:after="0" w:line="88" w:lineRule="exact"/>
        <w:rPr>
          <w:rFonts w:ascii="Arial" w:cs="Arial" w:eastAsia="Arial" w:hAnsi="Arial"/>
          <w:sz w:val="13"/>
          <w:szCs w:val="13"/>
          <w:color w:val="auto"/>
        </w:rPr>
      </w:pPr>
    </w:p>
    <w:p>
      <w:pPr>
        <w:ind w:left="1460" w:hanging="216"/>
        <w:spacing w:after="0"/>
        <w:tabs>
          <w:tab w:leader="none" w:pos="1460" w:val="left"/>
        </w:tabs>
        <w:numPr>
          <w:ilvl w:val="1"/>
          <w:numId w:val="381"/>
        </w:numPr>
        <w:rPr>
          <w:rFonts w:ascii="Arial" w:cs="Arial" w:eastAsia="Arial" w:hAnsi="Arial"/>
          <w:sz w:val="13"/>
          <w:szCs w:val="13"/>
          <w:color w:val="auto"/>
        </w:rPr>
      </w:pPr>
      <w:r>
        <w:rPr>
          <w:rFonts w:ascii="Arial" w:cs="Arial" w:eastAsia="Arial" w:hAnsi="Arial"/>
          <w:sz w:val="13"/>
          <w:szCs w:val="13"/>
          <w:color w:val="auto"/>
        </w:rPr>
        <w:t>the worth at the time of award of any unpaid Rent and any other sums due and payable which have been earned at the time of</w:t>
      </w:r>
    </w:p>
    <w:p>
      <w:pPr>
        <w:spacing w:after="0" w:line="50"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6"/>
          <w:szCs w:val="16"/>
          <w:color w:val="auto"/>
        </w:rPr>
        <w:t>such termination; plus</w:t>
      </w:r>
    </w:p>
    <w:p>
      <w:pPr>
        <w:spacing w:after="0" w:line="181" w:lineRule="exact"/>
        <w:rPr>
          <w:rFonts w:ascii="Arial" w:cs="Arial" w:eastAsia="Arial" w:hAnsi="Arial"/>
          <w:sz w:val="13"/>
          <w:szCs w:val="13"/>
          <w:color w:val="auto"/>
        </w:rPr>
      </w:pPr>
    </w:p>
    <w:p>
      <w:pPr>
        <w:ind w:right="120" w:firstLine="1244"/>
        <w:spacing w:after="0" w:line="383" w:lineRule="auto"/>
        <w:tabs>
          <w:tab w:leader="none" w:pos="1473" w:val="left"/>
        </w:tabs>
        <w:numPr>
          <w:ilvl w:val="1"/>
          <w:numId w:val="381"/>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and any other sums due and payable which would have been earned after termination until the time of award exceeds the amount of such rental loss Tenant proves could have been reasonably avoided; plus</w:t>
      </w:r>
    </w:p>
    <w:p>
      <w:pPr>
        <w:spacing w:after="0" w:line="88" w:lineRule="exact"/>
        <w:rPr>
          <w:rFonts w:ascii="Arial" w:cs="Arial" w:eastAsia="Arial" w:hAnsi="Arial"/>
          <w:sz w:val="13"/>
          <w:szCs w:val="13"/>
          <w:color w:val="auto"/>
        </w:rPr>
      </w:pPr>
    </w:p>
    <w:p>
      <w:pPr>
        <w:ind w:right="180" w:firstLine="1244"/>
        <w:spacing w:after="0" w:line="383" w:lineRule="auto"/>
        <w:tabs>
          <w:tab w:leader="none" w:pos="1473" w:val="left"/>
        </w:tabs>
        <w:numPr>
          <w:ilvl w:val="1"/>
          <w:numId w:val="381"/>
        </w:numPr>
        <w:rPr>
          <w:rFonts w:ascii="Arial" w:cs="Arial" w:eastAsia="Arial" w:hAnsi="Arial"/>
          <w:sz w:val="13"/>
          <w:szCs w:val="13"/>
          <w:color w:val="auto"/>
        </w:rPr>
      </w:pPr>
      <w:r>
        <w:rPr>
          <w:rFonts w:ascii="Arial" w:cs="Arial" w:eastAsia="Arial" w:hAnsi="Arial"/>
          <w:sz w:val="13"/>
          <w:szCs w:val="13"/>
          <w:color w:val="auto"/>
        </w:rPr>
        <w:t>the worth at the time of award of the amount by which the unpaid Rent and any other sums due and payable for the balance of the term of this Lease after the time of award exceeds the amount of such rental loss that Tenant proves could be reasonably avoided; plus</w:t>
      </w:r>
    </w:p>
    <w:p>
      <w:pPr>
        <w:spacing w:after="0" w:line="88" w:lineRule="exact"/>
        <w:rPr>
          <w:rFonts w:ascii="Arial" w:cs="Arial" w:eastAsia="Arial" w:hAnsi="Arial"/>
          <w:sz w:val="13"/>
          <w:szCs w:val="13"/>
          <w:color w:val="auto"/>
        </w:rPr>
      </w:pPr>
    </w:p>
    <w:p>
      <w:pPr>
        <w:ind w:right="40" w:firstLine="1244"/>
        <w:spacing w:after="0" w:line="251" w:lineRule="auto"/>
        <w:tabs>
          <w:tab w:leader="none" w:pos="1473"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any other amount necessary to compensate Landlord for all the detriment proximately caused by Tenant’s failure to perform its obligations under this Lease or which in the ordinary course would be likely to result therefrom, including, without limitation, any costs or expenses incurred by Landlord (i) in retaking possession of the Premises; (ii) in maintaining, repairing, preserving, restoring, replacing, cleaning, the Premises or any portion thereof, including such acts for reletting to a new lessee or lessees; (iii) for leasing commissions; or (iv) for any other costs necessary or appropriate to relet the Premises; plus</w:t>
      </w:r>
    </w:p>
    <w:p>
      <w:pPr>
        <w:spacing w:after="0" w:line="169" w:lineRule="exact"/>
        <w:rPr>
          <w:rFonts w:ascii="Arial" w:cs="Arial" w:eastAsia="Arial" w:hAnsi="Arial"/>
          <w:sz w:val="16"/>
          <w:szCs w:val="16"/>
          <w:color w:val="auto"/>
        </w:rPr>
      </w:pPr>
    </w:p>
    <w:p>
      <w:pPr>
        <w:ind w:right="160" w:firstLine="1244"/>
        <w:spacing w:after="0" w:line="266" w:lineRule="auto"/>
        <w:tabs>
          <w:tab w:leader="none" w:pos="1473" w:val="left"/>
        </w:tabs>
        <w:numPr>
          <w:ilvl w:val="1"/>
          <w:numId w:val="381"/>
        </w:numPr>
        <w:rPr>
          <w:rFonts w:ascii="Arial" w:cs="Arial" w:eastAsia="Arial" w:hAnsi="Arial"/>
          <w:sz w:val="16"/>
          <w:szCs w:val="16"/>
          <w:color w:val="auto"/>
        </w:rPr>
      </w:pPr>
      <w:r>
        <w:rPr>
          <w:rFonts w:ascii="Arial" w:cs="Arial" w:eastAsia="Arial" w:hAnsi="Arial"/>
          <w:sz w:val="16"/>
          <w:szCs w:val="16"/>
          <w:color w:val="auto"/>
        </w:rPr>
        <w:t>such reasonable attorneys’ fees incurred by Landlord as a result of a Default, and costs in the event suit is filed by Landlord to enforce such remedy; and plus</w:t>
      </w:r>
    </w:p>
    <w:p>
      <w:pPr>
        <w:spacing w:after="0" w:line="158" w:lineRule="exact"/>
        <w:rPr>
          <w:rFonts w:ascii="Arial" w:cs="Arial" w:eastAsia="Arial" w:hAnsi="Arial"/>
          <w:sz w:val="16"/>
          <w:szCs w:val="16"/>
          <w:color w:val="auto"/>
        </w:rPr>
      </w:pPr>
    </w:p>
    <w:p>
      <w:pPr>
        <w:ind w:right="20" w:firstLine="1244"/>
        <w:spacing w:after="0" w:line="319" w:lineRule="auto"/>
        <w:tabs>
          <w:tab w:leader="none" w:pos="1473" w:val="left"/>
        </w:tabs>
        <w:numPr>
          <w:ilvl w:val="1"/>
          <w:numId w:val="381"/>
        </w:numPr>
        <w:rPr>
          <w:rFonts w:ascii="Arial" w:cs="Arial" w:eastAsia="Arial" w:hAnsi="Arial"/>
          <w:sz w:val="13"/>
          <w:szCs w:val="13"/>
          <w:color w:val="auto"/>
        </w:rPr>
      </w:pPr>
      <w:r>
        <w:rPr>
          <w:rFonts w:ascii="Arial" w:cs="Arial" w:eastAsia="Arial" w:hAnsi="Arial"/>
          <w:sz w:val="13"/>
          <w:szCs w:val="13"/>
          <w:color w:val="auto"/>
        </w:rPr>
        <w:t>at Landlord’s election, such other amounts in addition to or in lieu of the foregoing as may be permitted from time to time by applicable law. As used in subparagraphs (1) and (2) above, the “worth at the time of award” is computed by allowing interest at an annual rate equal to twelve percent (12%) per annum or the maximum rate permitted by law, whichever is less. As used in subparagraph (3) above, the “worth at the time of award” is computed by discounting such amount at the discount rate of the Federal Reserve Bank of San Francisco at the time of award, plus one percent (1 %). Tenant waives redemption or relief from forfeiture under California Code of Civil Procedure Sections 1174 and 1179, or under any other present or future law, in the event Tenant is evicted or Landlord takes possession of the Premises by reason of any Default of Tenant hereunder.</w:t>
      </w:r>
    </w:p>
    <w:p>
      <w:pPr>
        <w:spacing w:after="0" w:line="128" w:lineRule="exact"/>
        <w:rPr>
          <w:rFonts w:ascii="Arial" w:cs="Arial" w:eastAsia="Arial" w:hAnsi="Arial"/>
          <w:sz w:val="13"/>
          <w:szCs w:val="13"/>
          <w:color w:val="auto"/>
        </w:rPr>
      </w:pPr>
    </w:p>
    <w:p>
      <w:pPr>
        <w:ind w:left="1460" w:hanging="216"/>
        <w:spacing w:after="0"/>
        <w:tabs>
          <w:tab w:leader="none" w:pos="1460" w:val="left"/>
        </w:tabs>
        <w:numPr>
          <w:ilvl w:val="1"/>
          <w:numId w:val="381"/>
        </w:numPr>
        <w:rPr>
          <w:rFonts w:ascii="Arial" w:cs="Arial" w:eastAsia="Arial" w:hAnsi="Arial"/>
          <w:sz w:val="16"/>
          <w:szCs w:val="16"/>
          <w:color w:val="auto"/>
        </w:rPr>
      </w:pPr>
      <w:r>
        <w:rPr>
          <w:rFonts w:ascii="Arial" w:cs="Arial" w:eastAsia="Arial" w:hAnsi="Arial"/>
          <w:sz w:val="16"/>
          <w:szCs w:val="16"/>
          <w:color w:val="auto"/>
        </w:rPr>
        <w:t>any other remedies allowed by the laws of the state of California.</w:t>
      </w:r>
    </w:p>
    <w:p>
      <w:pPr>
        <w:spacing w:after="0" w:line="193" w:lineRule="exact"/>
        <w:rPr>
          <w:rFonts w:ascii="Arial" w:cs="Arial" w:eastAsia="Arial" w:hAnsi="Arial"/>
          <w:sz w:val="16"/>
          <w:szCs w:val="16"/>
          <w:color w:val="auto"/>
        </w:rPr>
      </w:pPr>
    </w:p>
    <w:p>
      <w:pPr>
        <w:ind w:right="60" w:firstLine="860"/>
        <w:spacing w:after="0" w:line="253" w:lineRule="auto"/>
        <w:tabs>
          <w:tab w:leader="none" w:pos="1088"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Continuation of Lease</w:t>
      </w:r>
      <w:r>
        <w:rPr>
          <w:rFonts w:ascii="Arial" w:cs="Arial" w:eastAsia="Arial" w:hAnsi="Arial"/>
          <w:sz w:val="16"/>
          <w:szCs w:val="16"/>
          <w:color w:val="auto"/>
        </w:rPr>
        <w:t>. In the event of any Default by Tenant, then in addition to any other remedies available to Landlord at law or in equity and under this Lease, Landlord shall have the remedy described in California Civil Code Section 1951.4 (Landlord may continue this Lease in effect after Tenant’s Default and abandonment and recover Rent as it becomes due, provided tenant has the right to sublet or assign, subject only to reasonable limitations).</w:t>
      </w:r>
    </w:p>
    <w:p>
      <w:pPr>
        <w:spacing w:after="0" w:line="167" w:lineRule="exact"/>
        <w:rPr>
          <w:rFonts w:ascii="Arial" w:cs="Arial" w:eastAsia="Arial" w:hAnsi="Arial"/>
          <w:sz w:val="16"/>
          <w:szCs w:val="16"/>
          <w:color w:val="auto"/>
        </w:rPr>
      </w:pPr>
    </w:p>
    <w:p>
      <w:pPr>
        <w:ind w:right="160" w:firstLine="860"/>
        <w:spacing w:after="0" w:line="256" w:lineRule="auto"/>
        <w:tabs>
          <w:tab w:leader="none" w:pos="1079"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Re-entry</w:t>
      </w:r>
      <w:r>
        <w:rPr>
          <w:rFonts w:ascii="Arial" w:cs="Arial" w:eastAsia="Arial" w:hAnsi="Arial"/>
          <w:sz w:val="16"/>
          <w:szCs w:val="16"/>
          <w:color w:val="auto"/>
        </w:rPr>
        <w:t>. In the event of any Default by Tenant, Landlord shall also have the right, after terminating this Lease, in compliance with applicable law, to re-enter the Premises and remove all persons and property from the Premises; such property may be removed and stored in a public warehouse or elsewhere at the cost of and for the account of Tenant.</w:t>
      </w:r>
    </w:p>
    <w:p>
      <w:pPr>
        <w:spacing w:after="0" w:line="165" w:lineRule="exact"/>
        <w:rPr>
          <w:rFonts w:ascii="Arial" w:cs="Arial" w:eastAsia="Arial" w:hAnsi="Arial"/>
          <w:sz w:val="16"/>
          <w:szCs w:val="16"/>
          <w:color w:val="auto"/>
        </w:rPr>
      </w:pPr>
    </w:p>
    <w:p>
      <w:pPr>
        <w:ind w:firstLine="860"/>
        <w:spacing w:after="0" w:line="316" w:lineRule="auto"/>
        <w:tabs>
          <w:tab w:leader="none" w:pos="1088" w:val="left"/>
        </w:tabs>
        <w:numPr>
          <w:ilvl w:val="0"/>
          <w:numId w:val="381"/>
        </w:numPr>
        <w:rPr>
          <w:rFonts w:ascii="Arial" w:cs="Arial" w:eastAsia="Arial" w:hAnsi="Arial"/>
          <w:sz w:val="13"/>
          <w:szCs w:val="13"/>
          <w:color w:val="auto"/>
        </w:rPr>
      </w:pPr>
      <w:r>
        <w:rPr>
          <w:rFonts w:ascii="Arial" w:cs="Arial" w:eastAsia="Arial" w:hAnsi="Arial"/>
          <w:sz w:val="13"/>
          <w:szCs w:val="13"/>
          <w:u w:val="single" w:color="auto"/>
          <w:color w:val="auto"/>
        </w:rPr>
        <w:t>Reletting</w:t>
      </w:r>
      <w:r>
        <w:rPr>
          <w:rFonts w:ascii="Arial" w:cs="Arial" w:eastAsia="Arial" w:hAnsi="Arial"/>
          <w:sz w:val="13"/>
          <w:szCs w:val="13"/>
          <w:color w:val="auto"/>
        </w:rPr>
        <w:t>. In the event of the abandonment of the Premises by Tenant or in the event that Landlord shall elect to re-enter or shall take possession of the Premises pursuant to legal proceeding or pursuant to any notice provided by law, then if Landlord elects to terminate this Lease as provided in Paragraph a, Landlord may from time to time, relet the Premises or any part thereof for such term or terms and at such rental or rentals and upon such other terms and conditions as Landlord in its sole discretion may deem advisable with the right to make alterations and repairs to the Premises. Notwithstanding anything to the contrary, Tenant hereby specifically acknowledges and agrees that Landlord may hold and apply the Security Deposit against future rent damages incurred by Landlord in the event of a default by Tenant under this Lease and Tenant specifically waives the provisions of California Civil Code section 1950.7 or any successor statute which would prevent Landlord from making such application.</w:t>
      </w:r>
    </w:p>
    <w:p>
      <w:pPr>
        <w:spacing w:after="0" w:line="131" w:lineRule="exact"/>
        <w:rPr>
          <w:rFonts w:ascii="Arial" w:cs="Arial" w:eastAsia="Arial" w:hAnsi="Arial"/>
          <w:sz w:val="13"/>
          <w:szCs w:val="13"/>
          <w:color w:val="auto"/>
        </w:rPr>
      </w:pPr>
    </w:p>
    <w:p>
      <w:pPr>
        <w:jc w:val="both"/>
        <w:ind w:right="160" w:firstLine="860"/>
        <w:spacing w:after="0" w:line="383" w:lineRule="auto"/>
        <w:tabs>
          <w:tab w:leader="none" w:pos="1079" w:val="left"/>
        </w:tabs>
        <w:numPr>
          <w:ilvl w:val="0"/>
          <w:numId w:val="381"/>
        </w:numPr>
        <w:rPr>
          <w:rFonts w:ascii="Arial" w:cs="Arial" w:eastAsia="Arial" w:hAnsi="Arial"/>
          <w:sz w:val="13"/>
          <w:szCs w:val="13"/>
          <w:color w:val="auto"/>
        </w:rPr>
      </w:pPr>
      <w:r>
        <w:rPr>
          <w:rFonts w:ascii="Arial" w:cs="Arial" w:eastAsia="Arial" w:hAnsi="Arial"/>
          <w:sz w:val="13"/>
          <w:szCs w:val="13"/>
          <w:u w:val="single" w:color="auto"/>
          <w:color w:val="auto"/>
        </w:rPr>
        <w:t>Election to Terminate</w:t>
      </w:r>
      <w:r>
        <w:rPr>
          <w:rFonts w:ascii="Arial" w:cs="Arial" w:eastAsia="Arial" w:hAnsi="Arial"/>
          <w:sz w:val="13"/>
          <w:szCs w:val="13"/>
          <w:color w:val="auto"/>
        </w:rPr>
        <w:t>. No re-entry or taking of possession of the Premises by Landlord shall be construed as an election to terminate this Lease unless a written notice of such intention is given to Tenant or unless the termination thereof is decreed by a court of competent jurisdiction.</w:t>
      </w:r>
    </w:p>
    <w:p>
      <w:pPr>
        <w:sectPr>
          <w:pgSz w:w="11900" w:h="16838" w:orient="portrait"/>
          <w:cols w:equalWidth="0" w:num="1">
            <w:col w:w="9560"/>
          </w:cols>
          <w:pgMar w:left="1140" w:top="252" w:right="1199" w:bottom="1440" w:gutter="0" w:footer="0" w:header="0"/>
        </w:sectPr>
      </w:pPr>
    </w:p>
    <w:bookmarkStart w:id="505" w:name="page506"/>
    <w:bookmarkEnd w:id="505"/>
    <w:p>
      <w:pPr>
        <w:ind w:left="1066" w:hanging="200"/>
        <w:spacing w:after="0"/>
        <w:tabs>
          <w:tab w:leader="none" w:pos="1066" w:val="left"/>
        </w:tabs>
        <w:numPr>
          <w:ilvl w:val="1"/>
          <w:numId w:val="382"/>
        </w:numPr>
        <w:rPr>
          <w:rFonts w:ascii="Arial" w:cs="Arial" w:eastAsia="Arial" w:hAnsi="Arial"/>
          <w:sz w:val="13"/>
          <w:szCs w:val="13"/>
          <w:color w:val="auto"/>
        </w:rPr>
      </w:pPr>
      <w:r>
        <w:rPr>
          <w:rFonts w:ascii="Arial" w:cs="Arial" w:eastAsia="Arial" w:hAnsi="Arial"/>
          <w:sz w:val="13"/>
          <w:szCs w:val="13"/>
          <w:u w:val="single" w:color="auto"/>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90105" cy="34290"/>
                    </a:xfrm>
                    <a:prstGeom prst="rect">
                      <a:avLst/>
                    </a:prstGeom>
                    <a:noFill/>
                  </pic:spPr>
                </pic:pic>
              </a:graphicData>
            </a:graphic>
          </wp:anchor>
        </w:drawing>
        <w:t>Default Payment Remedies</w:t>
      </w:r>
      <w:r>
        <w:rPr>
          <w:rFonts w:ascii="Arial" w:cs="Arial" w:eastAsia="Arial" w:hAnsi="Arial"/>
          <w:sz w:val="13"/>
          <w:szCs w:val="13"/>
          <w:color w:val="auto"/>
        </w:rPr>
        <w:t>. If Tenant fails to pay Rent within applicable notice and cure periods more than two (2) times in any twelve</w:t>
      </w:r>
    </w:p>
    <w:p>
      <w:pPr>
        <w:spacing w:after="0" w:line="50" w:lineRule="exact"/>
        <w:rPr>
          <w:rFonts w:ascii="Arial" w:cs="Arial" w:eastAsia="Arial" w:hAnsi="Arial"/>
          <w:sz w:val="13"/>
          <w:szCs w:val="13"/>
          <w:color w:val="auto"/>
        </w:rPr>
      </w:pPr>
    </w:p>
    <w:p>
      <w:pPr>
        <w:ind w:left="6" w:right="100" w:hanging="6"/>
        <w:spacing w:after="0" w:line="249" w:lineRule="auto"/>
        <w:tabs>
          <w:tab w:leader="none" w:pos="307" w:val="left"/>
        </w:tabs>
        <w:numPr>
          <w:ilvl w:val="0"/>
          <w:numId w:val="383"/>
        </w:numPr>
        <w:rPr>
          <w:rFonts w:ascii="Arial" w:cs="Arial" w:eastAsia="Arial" w:hAnsi="Arial"/>
          <w:sz w:val="16"/>
          <w:szCs w:val="16"/>
          <w:color w:val="auto"/>
        </w:rPr>
      </w:pPr>
      <w:r>
        <w:rPr>
          <w:rFonts w:ascii="Arial" w:cs="Arial" w:eastAsia="Arial" w:hAnsi="Arial"/>
          <w:sz w:val="16"/>
          <w:szCs w:val="16"/>
          <w:color w:val="auto"/>
        </w:rPr>
        <w:t>month period or more than three (3) times during the Term or any extension thereof, Landlord, in its sole discretion may demand in writing and Tenant shall pay all future installments of Rent quarterly in advance and all future payments of Rent shall be made by cashier’s check or other certified funds.</w:t>
      </w:r>
    </w:p>
    <w:p>
      <w:pPr>
        <w:spacing w:after="0" w:line="170" w:lineRule="exact"/>
        <w:rPr>
          <w:rFonts w:ascii="Arial" w:cs="Arial" w:eastAsia="Arial" w:hAnsi="Arial"/>
          <w:sz w:val="16"/>
          <w:szCs w:val="16"/>
          <w:color w:val="auto"/>
        </w:rPr>
      </w:pPr>
    </w:p>
    <w:p>
      <w:pPr>
        <w:ind w:left="6" w:right="200" w:firstLine="860"/>
        <w:spacing w:after="0" w:line="266" w:lineRule="auto"/>
        <w:tabs>
          <w:tab w:leader="none" w:pos="1094"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herein provided are not exclusive and Landlord shall have any and all other remedies provided herein or by law or in equity.</w:t>
      </w:r>
    </w:p>
    <w:p>
      <w:pPr>
        <w:spacing w:after="0" w:line="158" w:lineRule="exact"/>
        <w:rPr>
          <w:rFonts w:ascii="Arial" w:cs="Arial" w:eastAsia="Arial" w:hAnsi="Arial"/>
          <w:sz w:val="16"/>
          <w:szCs w:val="16"/>
          <w:color w:val="auto"/>
        </w:rPr>
      </w:pPr>
    </w:p>
    <w:p>
      <w:pPr>
        <w:ind w:left="6" w:right="100" w:firstLine="860"/>
        <w:spacing w:after="0" w:line="268" w:lineRule="auto"/>
        <w:tabs>
          <w:tab w:leader="none" w:pos="1094" w:val="left"/>
        </w:tabs>
        <w:numPr>
          <w:ilvl w:val="1"/>
          <w:numId w:val="383"/>
        </w:numPr>
        <w:rPr>
          <w:rFonts w:ascii="Arial" w:cs="Arial" w:eastAsia="Arial" w:hAnsi="Arial"/>
          <w:sz w:val="15"/>
          <w:szCs w:val="15"/>
          <w:color w:val="auto"/>
        </w:rPr>
      </w:pPr>
      <w:r>
        <w:rPr>
          <w:rFonts w:ascii="Arial" w:cs="Arial" w:eastAsia="Arial" w:hAnsi="Arial"/>
          <w:sz w:val="15"/>
          <w:szCs w:val="15"/>
          <w:u w:val="single" w:color="auto"/>
          <w:color w:val="auto"/>
        </w:rPr>
        <w:t>No Surrender</w:t>
      </w:r>
      <w:r>
        <w:rPr>
          <w:rFonts w:ascii="Arial" w:cs="Arial" w:eastAsia="Arial" w:hAnsi="Arial"/>
          <w:sz w:val="15"/>
          <w:szCs w:val="15"/>
          <w:color w:val="auto"/>
        </w:rPr>
        <w:t>. No act or conduct of Landlord, whether consisting of the acceptance of the keys to the Premises, or otherwise, shall be deemed to be or constitute an acceptance of the surrender of the Premises by Tenant prior to the expiration of the Term, and such acceptance by Landlord of surrender by Tenant shall only flow from and must be evidenced by a written acknowledgment of acceptance of surrender signed by Landlord. The surrender of this Lease by Tenant, voluntarily or otherwise, shall not work a merger unless Landlord elects in writing that such merger take place, but shall operate as an assignment to Landlord of any and all existing subleases, or Landlord may, at its option, elect in writing to treat such surrender as a merger terminating Tenant’s estate under this Lease, and thereupon Landlord may terminate any or all such subleases by notifying the sublessee of its election so to do within five (5) days after such surrender.</w:t>
      </w:r>
    </w:p>
    <w:p>
      <w:pPr>
        <w:spacing w:after="0" w:line="160" w:lineRule="exact"/>
        <w:rPr>
          <w:rFonts w:ascii="Arial" w:cs="Arial" w:eastAsia="Arial" w:hAnsi="Arial"/>
          <w:sz w:val="15"/>
          <w:szCs w:val="15"/>
          <w:color w:val="auto"/>
        </w:rPr>
      </w:pPr>
    </w:p>
    <w:p>
      <w:pPr>
        <w:ind w:left="6" w:firstLine="860"/>
        <w:spacing w:after="0" w:line="323" w:lineRule="auto"/>
        <w:tabs>
          <w:tab w:leader="none" w:pos="1059" w:val="left"/>
        </w:tabs>
        <w:numPr>
          <w:ilvl w:val="1"/>
          <w:numId w:val="383"/>
        </w:numPr>
        <w:rPr>
          <w:rFonts w:ascii="Arial" w:cs="Arial" w:eastAsia="Arial" w:hAnsi="Arial"/>
          <w:sz w:val="13"/>
          <w:szCs w:val="13"/>
          <w:color w:val="auto"/>
        </w:rPr>
      </w:pPr>
      <w:r>
        <w:rPr>
          <w:rFonts w:ascii="Arial" w:cs="Arial" w:eastAsia="Arial" w:hAnsi="Arial"/>
          <w:sz w:val="13"/>
          <w:szCs w:val="13"/>
          <w:u w:val="single" w:color="auto"/>
          <w:color w:val="auto"/>
        </w:rPr>
        <w:t>Notice Provisions</w:t>
      </w:r>
      <w:r>
        <w:rPr>
          <w:rFonts w:ascii="Arial" w:cs="Arial" w:eastAsia="Arial" w:hAnsi="Arial"/>
          <w:sz w:val="13"/>
          <w:szCs w:val="13"/>
          <w:color w:val="auto"/>
        </w:rPr>
        <w:t xml:space="preserve"> Tenant agrees that any notice given by Landlord pursuant to Paragraph 13.1 of the Lease shall satisfy the requirements for notice under California Code of Civil Procedure Section 1161, and Landlord shall not be required to give any additional notice in order to be entitled to commence an unlawful detainer proceeding. Should Landlord prepare any notice to Tenant for failure to pay rent, additional rent or perform any other obligation under the Lease, Tenant shall pay to Landlord, without any further notice from Landlord, the additional sum of $150.00 which the parties hereby agree represents a fair and reasonable estimate of the costs Landlord will incur by reason of preparing such notice.</w:t>
      </w:r>
    </w:p>
    <w:p>
      <w:pPr>
        <w:spacing w:after="0" w:line="125" w:lineRule="exact"/>
        <w:rPr>
          <w:rFonts w:ascii="Arial" w:cs="Arial" w:eastAsia="Arial" w:hAnsi="Arial"/>
          <w:sz w:val="13"/>
          <w:szCs w:val="13"/>
          <w:color w:val="auto"/>
        </w:rPr>
      </w:pPr>
    </w:p>
    <w:p>
      <w:pPr>
        <w:ind w:left="6" w:firstLine="860"/>
        <w:spacing w:after="0" w:line="308" w:lineRule="auto"/>
        <w:tabs>
          <w:tab w:leader="none" w:pos="1059" w:val="left"/>
        </w:tabs>
        <w:numPr>
          <w:ilvl w:val="1"/>
          <w:numId w:val="383"/>
        </w:numPr>
        <w:rPr>
          <w:rFonts w:ascii="Arial" w:cs="Arial" w:eastAsia="Arial" w:hAnsi="Arial"/>
          <w:sz w:val="13"/>
          <w:szCs w:val="13"/>
          <w:color w:val="auto"/>
        </w:rPr>
      </w:pPr>
      <w:r>
        <w:rPr>
          <w:rFonts w:ascii="Arial" w:cs="Arial" w:eastAsia="Arial" w:hAnsi="Arial"/>
          <w:sz w:val="13"/>
          <w:szCs w:val="13"/>
          <w:u w:val="single" w:color="auto"/>
          <w:color w:val="auto"/>
        </w:rPr>
        <w:t>Miscellaneous</w:t>
      </w:r>
      <w:r>
        <w:rPr>
          <w:rFonts w:ascii="Arial" w:cs="Arial" w:eastAsia="Arial" w:hAnsi="Arial"/>
          <w:sz w:val="13"/>
          <w:szCs w:val="13"/>
          <w:color w:val="auto"/>
        </w:rPr>
        <w:t>. Every term, condition, agreement, or provision contained in the Lease shall be deemed to be a covenant. The specified remedies to which Landlord may resort under the terms of the Lease are cumulative and are not intended to be exclusive of any other remedies or means of redress to which Landlord may be lawfully entitled in case of any breach or threatened breach by Tenant of any provision of the Lease. The failure of either party to insist in any one or more cases upon the strict performance of any of the terms, covenants, conditions, provisions or agreements of the Lease or to exercise any option herein contained shall not be construed as a waiver or a relinquishment for the future of any such term, covenant, condition, provision, agreement or option. A receipt and acceptance by Landlord of Rent or any other payment, or the acceptance of performance of anything required by the Lease to be performed, with knowledge of the breach of any term, covenant, condition, provision or agreement of the Lease, shall not be deemed a waiver of such breach, nor shall any such acceptance of Rent in a lesser amount than is herein provided for (regardless of any endorsement on any check, or any statement in any letter accompanying any payment of Rent) operate or be construed either as an accord and satisfaction or in any manner other than as a payment on account of the earliest Rent then unpaid by Tenant, and no waiver by Landlord of any term, covenant, condition, provision or agreement of the Lease shall be deemed to have been made unless expressed in writing and signed by Landlord. In addition to the other remedies provided Landlord in the Lease, Landlord shall be entitled to the immediate restraint by injunction of any violation or attempted or threatened violation, of any of the terms, covenants, conditions, provisions or agreements of the Lease. No act or conduct of Landlord, whether consisting of the acceptance of the keys to the Premises, or otherwise, shall be deemed to be or constitute an acceptance of the surrender of the Premises by Tenant prior to the expiration of the Term, and such acceptance by Landlord of surrender by Tenant shall only flow from and must be evidenced by a written acknowledgment of acceptance of surrender signed by Landlord. Notwithstanding anything to the contrary contained in the Lease or this Addendum, the foregoing terms and conditions shall apply to the extent that they are not contrary to any laws of the state of California.</w:t>
      </w:r>
    </w:p>
    <w:p>
      <w:pPr>
        <w:sectPr>
          <w:pgSz w:w="11900" w:h="16838" w:orient="portrait"/>
          <w:cols w:equalWidth="0" w:num="1">
            <w:col w:w="9586"/>
          </w:cols>
          <w:pgMar w:left="1134" w:top="256" w:right="1179" w:bottom="1440" w:gutter="0" w:footer="0" w:header="0"/>
        </w:sectPr>
      </w:pPr>
    </w:p>
    <w:bookmarkStart w:id="506" w:name="page507"/>
    <w:bookmarkEnd w:id="506"/>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2</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Tenant Improvement Addendum</w:t>
      </w:r>
    </w:p>
    <w:p>
      <w:pPr>
        <w:spacing w:after="0" w:line="182" w:lineRule="exact"/>
        <w:rPr>
          <w:sz w:val="20"/>
          <w:szCs w:val="20"/>
          <w:color w:val="auto"/>
        </w:rPr>
      </w:pPr>
    </w:p>
    <w:p>
      <w:pPr>
        <w:ind w:left="6" w:right="80" w:firstLine="385"/>
        <w:spacing w:after="0" w:line="266" w:lineRule="auto"/>
        <w:rPr>
          <w:sz w:val="20"/>
          <w:szCs w:val="20"/>
          <w:color w:val="auto"/>
        </w:rPr>
      </w:pPr>
      <w:r>
        <w:rPr>
          <w:rFonts w:ascii="Arial" w:cs="Arial" w:eastAsia="Arial" w:hAnsi="Arial"/>
          <w:sz w:val="16"/>
          <w:szCs w:val="16"/>
          <w:color w:val="auto"/>
        </w:rPr>
        <w:t>This Tenant Improvement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left="6" w:right="40"/>
        <w:spacing w:after="0" w:line="308" w:lineRule="auto"/>
        <w:rPr>
          <w:sz w:val="20"/>
          <w:szCs w:val="20"/>
          <w:color w:val="auto"/>
        </w:rPr>
      </w:pPr>
      <w:r>
        <w:rPr>
          <w:rFonts w:ascii="Arial" w:cs="Arial" w:eastAsia="Arial" w:hAnsi="Arial"/>
          <w:sz w:val="13"/>
          <w:szCs w:val="13"/>
          <w:color w:val="auto"/>
        </w:rPr>
        <w:t>Tenant may construct at its sole cost and expense the improvements (“Alterations”) for which Tenant has obtained Landlord’s prior written consent. Landlord hereby consent to the Alterations shown on Schedule 1 hereto. Prior to commencement of construction, Tenant shall obtain and deliver to Landlord any building permit required by applicable law and a copy of the executed construction contract(s). Tenant shall reimburse Landlord within 30 days after the rendition of a bill for all of Landlord’s actual, reasonable out-of-pocket costs incurred in connection with the Alterations, including, without limitation, all management, engineering, outside consulting, and construction fees incurred by or on behalf of Landlord for the review and approval of Tenant’s plans and specifications and for the monitoring of construction of the Alterations. Tenant shall supply all contact info for contractors and subcontractors Tenant shall require its contractor to maintain insurance in the amounts and in the forms reasonably acceptable to Landlord. The Alterations shall be constructed by licensed contractors approved by Landlord and in accordance with reasonable rules, such as hours of construction, imposed by Landlord. Landlord hereby approves Dome Construction and DGA as the contractor and architect for the Alterations. The Alterations shall be completed lien free, in accordance with the plans and specifications approved by Landlord, in a good, workmanlike, and prompt manner, with new materials of first-class quality and comply with all applicable local, state, and federal regulations. At Landlord’s election upon the expiration or earlier termination of the Lease, Tenant shall remove the Alterations except those for which Tenant obtained Landlord’s consent and Landlord, in such consent, did not require the removal of same, and repair any and all damage caused by such removal. Notwithstanding the foregoing, at the end of the Term or earlier termination of this Lease, Tenant shall remove the Approved Alterations set forth in Schedule 1 to this Addendum and restore the Premises to its condition prior to the installation and construction of the Approved Alterations.</w:t>
      </w:r>
    </w:p>
    <w:p>
      <w:pPr>
        <w:spacing w:after="0" w:line="332" w:lineRule="exact"/>
        <w:rPr>
          <w:sz w:val="20"/>
          <w:szCs w:val="20"/>
          <w:color w:val="auto"/>
        </w:rPr>
      </w:pPr>
    </w:p>
    <w:p>
      <w:pPr>
        <w:ind w:left="6" w:right="100"/>
        <w:spacing w:after="0" w:line="256" w:lineRule="auto"/>
        <w:rPr>
          <w:sz w:val="20"/>
          <w:szCs w:val="20"/>
          <w:color w:val="auto"/>
        </w:rPr>
      </w:pPr>
      <w:r>
        <w:rPr>
          <w:rFonts w:ascii="Arial" w:cs="Arial" w:eastAsia="Arial" w:hAnsi="Arial"/>
          <w:sz w:val="16"/>
          <w:szCs w:val="16"/>
          <w:color w:val="auto"/>
        </w:rPr>
        <w:t>Tenant shall pay when due all claims for labor or materials furnished or alleged to have been furnished to or for Tenant at or for use on the Premises. Tenant shall give Landlord not less than 10 days’ notice prior to the commencement of any work in, on, or about the Premises, and Landlord shall have the right to post notices of non-responsibility in or on the Premises as provided by law.</w:t>
      </w:r>
    </w:p>
    <w:p>
      <w:pPr>
        <w:spacing w:after="0" w:line="166" w:lineRule="exact"/>
        <w:rPr>
          <w:sz w:val="20"/>
          <w:szCs w:val="20"/>
          <w:color w:val="auto"/>
        </w:rPr>
      </w:pPr>
    </w:p>
    <w:p>
      <w:pPr>
        <w:ind w:left="6" w:right="120"/>
        <w:spacing w:after="0" w:line="266" w:lineRule="auto"/>
        <w:rPr>
          <w:sz w:val="20"/>
          <w:szCs w:val="20"/>
          <w:color w:val="auto"/>
        </w:rPr>
      </w:pPr>
      <w:r>
        <w:rPr>
          <w:rFonts w:ascii="Arial" w:cs="Arial" w:eastAsia="Arial" w:hAnsi="Arial"/>
          <w:sz w:val="16"/>
          <w:szCs w:val="16"/>
          <w:color w:val="auto"/>
        </w:rPr>
        <w:t>Tenant agrees to indemnify, protect, and defend Landlord and hold Landlord harmless against any loss, liability, or damage resulting from construction of the Alterations.</w:t>
      </w:r>
    </w:p>
    <w:p>
      <w:pPr>
        <w:spacing w:after="0" w:line="158" w:lineRule="exact"/>
        <w:rPr>
          <w:sz w:val="20"/>
          <w:szCs w:val="20"/>
          <w:color w:val="auto"/>
        </w:rPr>
      </w:pPr>
    </w:p>
    <w:p>
      <w:pPr>
        <w:ind w:left="6" w:right="40"/>
        <w:spacing w:after="0" w:line="311" w:lineRule="auto"/>
        <w:rPr>
          <w:sz w:val="20"/>
          <w:szCs w:val="20"/>
          <w:color w:val="auto"/>
        </w:rPr>
      </w:pPr>
      <w:r>
        <w:rPr>
          <w:rFonts w:ascii="Arial" w:cs="Arial" w:eastAsia="Arial" w:hAnsi="Arial"/>
          <w:sz w:val="13"/>
          <w:szCs w:val="13"/>
          <w:color w:val="auto"/>
        </w:rPr>
        <w:t>Tenant Improvement Allowance: Subject to Tenant’s compliance with the provisions of this Addendum and the Lease, Landlord shall provide to Tenant an allowance in the amount of Two Hundred Eighty-Two Thousand One Hundred Thirty-Eight and zero/00 Dollars ($282,138.00) (“TI Allowance”) to construct and install only the alterations to the Premises which have been approved in writing by Landlord pursuant to this Addendum (“Alterations”). The TI Allowance shall be used to design, prepare, plan, obtain approval of, construct and install the Alterations and for no other purpose. Except as otherwise expressly provided herein, Landlord shall have no obligation to contribute the TI Allowance unless and until the Alterations have been completed in a good and workmanlike manner in lien free condition and evidence of same reasonably satisfactory to Landlord has been received by Landlord to include, but not be limited to (a) receipt by Landlord of unconditional mechanics’ lien releases from the contractor and all subcontractors, labor suppliers and materialmen for the Alterations completed by the contractor, subcontractors, labor suppliers and materialmen and for which Tenant seeks funds from the TI Allowance to pay for such Alterations, (b) invoices, bills, or statements for the Alterations completed and the materials and supplies used for all Alterations for which the TI Allowance was utilized, and (c) completion by Landlord or Landlord’s agents of any inspections of the Alterations completed and materials and supplies used as deemed reasonably necessary by Landlord which Landlord will complete within thirty</w:t>
      </w:r>
    </w:p>
    <w:p>
      <w:pPr>
        <w:spacing w:after="0" w:line="149" w:lineRule="exact"/>
        <w:rPr>
          <w:sz w:val="20"/>
          <w:szCs w:val="20"/>
          <w:color w:val="auto"/>
        </w:rPr>
      </w:pPr>
    </w:p>
    <w:p>
      <w:pPr>
        <w:ind w:left="6" w:hanging="6"/>
        <w:spacing w:after="0" w:line="264" w:lineRule="auto"/>
        <w:tabs>
          <w:tab w:leader="none" w:pos="307" w:val="left"/>
        </w:tabs>
        <w:numPr>
          <w:ilvl w:val="0"/>
          <w:numId w:val="384"/>
        </w:numPr>
        <w:rPr>
          <w:rFonts w:ascii="Arial" w:cs="Arial" w:eastAsia="Arial" w:hAnsi="Arial"/>
          <w:sz w:val="15"/>
          <w:szCs w:val="15"/>
          <w:color w:val="auto"/>
        </w:rPr>
      </w:pPr>
      <w:r>
        <w:rPr>
          <w:rFonts w:ascii="Arial" w:cs="Arial" w:eastAsia="Arial" w:hAnsi="Arial"/>
          <w:sz w:val="15"/>
          <w:szCs w:val="15"/>
          <w:color w:val="auto"/>
        </w:rPr>
        <w:t>days after notice from Tenant that work is complete. The TI Allowance shall be paid to Tenant within forty-five (45) days from the satisfaction of the conditions set forth in the immediately preceding sentence. Should the total cost of constructing the Alterations be less than the TI Allowance, the TI Allowance shall be automatically reduced to the amount equal to said actual cost. If the Lease is terminated prior to the date on which the Alterations are completed, for any reason due to the default of Tenant hereunder, in addition to any other remedies available to Landlord under the Lease, Tenant shall pay to Landlord as Additional Rent under the Lease, within thirty (30) days of receipt of a statement therefor, any and all costs incurred by Landlord and not reimbursed or otherwise paid by Tenant as required herein through the date of termination in connection with the Alterations to the extent planned, installed and/or constructed as of such date of termination , including, but not limited to, any costs related to the removal of all or any portion of the Alterations and restoration costs related thereto. Notwithstanding the foregoing, if all of the conditions for payment of the TI Allowance have not been completed or Landlord has not received the request for the TI Allowance from Tenant on or before April 30, 2022, Landlord shall have no obligation to pay the TI Allowance. To the extent that any Alterations or improvements made by or for Tenant or Tenant’s specific use require compliance with Applicable Requirements for the Premises</w:t>
      </w:r>
    </w:p>
    <w:p>
      <w:pPr>
        <w:sectPr>
          <w:pgSz w:w="11900" w:h="16838" w:orient="portrait"/>
          <w:cols w:equalWidth="0" w:num="1">
            <w:col w:w="9606"/>
          </w:cols>
          <w:pgMar w:left="1134" w:top="252" w:right="1159" w:bottom="1440" w:gutter="0" w:footer="0" w:header="0"/>
        </w:sectPr>
      </w:pPr>
    </w:p>
    <w:bookmarkStart w:id="507" w:name="page508"/>
    <w:bookmarkEnd w:id="507"/>
    <w:p>
      <w:pPr>
        <w:spacing w:after="0" w:line="25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or any part of the Industrial Center including, but not limited to, the Americans with Disabilities Act (collectively “Compliance Improvements”), Tenant shall (i) be solely responsible for the cost of the Compliance Improvements, (ii) reimburse Landlord for any amounts expended by Landlord for the cost of the Compliance Improvements, and (iii) indemnify, hold harmless and defend at Tenant’s sole cost by counsel reasonably satisfactory to Landlord, Landlord and the Landlord Entities from any liability, damage or cost arising from the Compliance Improvements, which indemnity shall survive the termination or expiration of the Lease.</w:t>
      </w:r>
    </w:p>
    <w:p>
      <w:pPr>
        <w:spacing w:after="0" w:line="170" w:lineRule="exact"/>
        <w:rPr>
          <w:sz w:val="20"/>
          <w:szCs w:val="20"/>
          <w:color w:val="auto"/>
        </w:rPr>
      </w:pPr>
    </w:p>
    <w:p>
      <w:pPr>
        <w:ind w:right="60"/>
        <w:spacing w:after="0" w:line="316" w:lineRule="auto"/>
        <w:rPr>
          <w:sz w:val="20"/>
          <w:szCs w:val="20"/>
          <w:color w:val="auto"/>
        </w:rPr>
      </w:pPr>
      <w:r>
        <w:rPr>
          <w:rFonts w:ascii="Arial" w:cs="Arial" w:eastAsia="Arial" w:hAnsi="Arial"/>
          <w:sz w:val="13"/>
          <w:szCs w:val="13"/>
          <w:color w:val="auto"/>
        </w:rPr>
        <w:t>Tenant acknowledges and agrees that it has had sufficient opportunity to investigate and inspect the physical condition of the Premises and, except as otherwise set forth in the Lease, accepts the Premises subject to the foregoing in its existing condition, “as-is, where is and with all faults”. Except as specifically set forth herein or in the Lease, it is expressly understood and agreed that Landlord has no responsibility or obligation to or for (1) repair or perform any work with respect to the Premises including, but not limited to, the building, floor, roof, storefront (if any), walls, ceiling, lighting fixtures, heating, ventilating and air-conditioning systems, plumbing, bathrooms, utilities systems or otherwise, (2) the condition of the Premises, (3) the suitability of the Premises for any use by Tenant, (4) the presence of any hazardous, toxic or environmentally sensitive materials in, on or below the Premises, or (5) the existence of any other physical impairment or impairment to the Premises not specifically disclosed in this Lease.</w:t>
      </w:r>
    </w:p>
    <w:p>
      <w:pPr>
        <w:spacing w:after="0" w:line="131" w:lineRule="exact"/>
        <w:rPr>
          <w:sz w:val="20"/>
          <w:szCs w:val="20"/>
          <w:color w:val="auto"/>
        </w:rPr>
      </w:pPr>
    </w:p>
    <w:p>
      <w:pPr>
        <w:jc w:val="both"/>
        <w:ind w:right="380"/>
        <w:spacing w:after="0" w:line="281" w:lineRule="auto"/>
        <w:rPr>
          <w:sz w:val="20"/>
          <w:szCs w:val="20"/>
          <w:color w:val="auto"/>
        </w:rPr>
      </w:pPr>
      <w:r>
        <w:rPr>
          <w:rFonts w:ascii="Arial" w:cs="Arial" w:eastAsia="Arial" w:hAnsi="Arial"/>
          <w:sz w:val="15"/>
          <w:szCs w:val="15"/>
          <w:color w:val="auto"/>
        </w:rPr>
        <w:t>Notwithstanding anything to the contrary, within five (5) business days of receipt from Landlord of a Move-In Inspection form on Landlord’s then current form (“Move-Inspection”), Tenant shall execute the Move-In Inspection and return the signed Move-In Inspection to Landlord. Failure by Tenant to sign and return the Move-In Inspection in a timely manner shall be a default under the Lease.</w:t>
      </w:r>
    </w:p>
    <w:p>
      <w:pPr>
        <w:spacing w:after="0" w:line="149" w:lineRule="exact"/>
        <w:rPr>
          <w:sz w:val="20"/>
          <w:szCs w:val="20"/>
          <w:color w:val="auto"/>
        </w:rPr>
      </w:pPr>
    </w:p>
    <w:p>
      <w:pPr>
        <w:ind w:right="20"/>
        <w:spacing w:after="0" w:line="383" w:lineRule="auto"/>
        <w:rPr>
          <w:sz w:val="20"/>
          <w:szCs w:val="20"/>
          <w:color w:val="auto"/>
        </w:rPr>
      </w:pPr>
      <w:r>
        <w:rPr>
          <w:rFonts w:ascii="Arial" w:cs="Arial" w:eastAsia="Arial" w:hAnsi="Arial"/>
          <w:sz w:val="13"/>
          <w:szCs w:val="13"/>
          <w:color w:val="auto"/>
        </w:rPr>
        <w:t>Where no time period is specified above, Landlord shall respond to any consent or approval request within ten (10) business days and Landlord’s failure to provide or reasonably refuse its consent within such time period shall be deemed Landlord’s consent or approval to the request.</w:t>
      </w:r>
    </w:p>
    <w:p>
      <w:pPr>
        <w:sectPr>
          <w:pgSz w:w="11900" w:h="16838" w:orient="portrait"/>
          <w:cols w:equalWidth="0" w:num="1">
            <w:col w:w="9580"/>
          </w:cols>
          <w:pgMar w:left="1140" w:top="256" w:right="1179" w:bottom="1440" w:gutter="0" w:footer="0" w:header="0"/>
        </w:sectPr>
      </w:pPr>
    </w:p>
    <w:bookmarkStart w:id="508" w:name="page509"/>
    <w:bookmarkEnd w:id="508"/>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Schedule 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Approved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170180</wp:posOffset>
            </wp:positionV>
            <wp:extent cx="4057650" cy="539051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057650" cy="539051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509" w:name="page510"/>
    <w:bookmarkEnd w:id="5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0" w:name="page511"/>
    <w:bookmarkEnd w:id="5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96316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90105" cy="496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1" w:name="page512"/>
    <w:bookmarkEnd w:id="5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2" w:name="page513"/>
    <w:bookmarkEnd w:id="5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496316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90105" cy="496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3" w:name="page514"/>
    <w:bookmarkEnd w:id="5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4" w:name="page515"/>
    <w:bookmarkEnd w:id="5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547243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90105" cy="547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5" w:name="page516"/>
    <w:bookmarkEnd w:id="515"/>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90105" cy="34290"/>
                    </a:xfrm>
                    <a:prstGeom prst="rect">
                      <a:avLst/>
                    </a:prstGeom>
                    <a:noFill/>
                  </pic:spPr>
                </pic:pic>
              </a:graphicData>
            </a:graphic>
          </wp:anchor>
        </w:drawing>
        <w:t>ADDENDUM 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Intentionally Deleted</w:t>
      </w:r>
    </w:p>
    <w:p>
      <w:pPr>
        <w:sectPr>
          <w:pgSz w:w="11900" w:h="16838" w:orient="portrait"/>
          <w:cols w:equalWidth="0" w:num="1">
            <w:col w:w="9019"/>
          </w:cols>
          <w:pgMar w:left="1440" w:top="252" w:right="1440" w:bottom="1440" w:gutter="0" w:footer="0" w:header="0"/>
        </w:sectPr>
      </w:pPr>
    </w:p>
    <w:bookmarkStart w:id="516" w:name="page517"/>
    <w:bookmarkEnd w:id="516"/>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4</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Option to Extend Addendum</w:t>
      </w:r>
    </w:p>
    <w:p>
      <w:pPr>
        <w:spacing w:after="0" w:line="197" w:lineRule="exact"/>
        <w:rPr>
          <w:sz w:val="20"/>
          <w:szCs w:val="20"/>
          <w:color w:val="auto"/>
        </w:rPr>
      </w:pPr>
    </w:p>
    <w:p>
      <w:pPr>
        <w:ind w:right="40" w:firstLine="385"/>
        <w:spacing w:after="0" w:line="266" w:lineRule="auto"/>
        <w:rPr>
          <w:sz w:val="20"/>
          <w:szCs w:val="20"/>
          <w:color w:val="auto"/>
        </w:rPr>
      </w:pPr>
      <w:r>
        <w:rPr>
          <w:rFonts w:ascii="Arial" w:cs="Arial" w:eastAsia="Arial" w:hAnsi="Arial"/>
          <w:sz w:val="16"/>
          <w:szCs w:val="16"/>
          <w:color w:val="auto"/>
        </w:rPr>
        <w:t>This Option to Extend Addendum is a part of the Lease dated February 12, 2021, by and between Terreno Park Union City LLC (“Landlord”) and Tenaya Therapeutics, Inc. (“Tenant”) for the Premises as defined in the Lease.</w:t>
      </w:r>
    </w:p>
    <w:p>
      <w:pPr>
        <w:spacing w:after="0" w:line="158" w:lineRule="exact"/>
        <w:rPr>
          <w:sz w:val="20"/>
          <w:szCs w:val="20"/>
          <w:color w:val="auto"/>
        </w:rPr>
      </w:pPr>
    </w:p>
    <w:p>
      <w:pPr>
        <w:ind w:firstLine="385"/>
        <w:spacing w:after="0" w:line="266" w:lineRule="auto"/>
        <w:rPr>
          <w:sz w:val="20"/>
          <w:szCs w:val="20"/>
          <w:color w:val="auto"/>
        </w:rPr>
      </w:pPr>
      <w:r>
        <w:rPr>
          <w:rFonts w:ascii="Arial" w:cs="Arial" w:eastAsia="Arial" w:hAnsi="Arial"/>
          <w:sz w:val="16"/>
          <w:szCs w:val="16"/>
          <w:color w:val="auto"/>
        </w:rPr>
        <w:t>Landlord hereby grants to Tenant the option (“Option”) to extend the term of the Lease for one (1) five (5) year period from the end of the existing term of the Lease (“Option Period”) on the following terms and conditions:</w:t>
      </w:r>
    </w:p>
    <w:p>
      <w:pPr>
        <w:spacing w:after="0" w:line="158" w:lineRule="exact"/>
        <w:rPr>
          <w:sz w:val="20"/>
          <w:szCs w:val="20"/>
          <w:color w:val="auto"/>
        </w:rPr>
      </w:pPr>
    </w:p>
    <w:p>
      <w:pPr>
        <w:ind w:right="20" w:firstLine="860"/>
        <w:spacing w:after="0" w:line="251" w:lineRule="auto"/>
        <w:tabs>
          <w:tab w:leader="none" w:pos="1027" w:val="left"/>
        </w:tabs>
        <w:numPr>
          <w:ilvl w:val="0"/>
          <w:numId w:val="385"/>
        </w:numPr>
        <w:rPr>
          <w:rFonts w:ascii="Arial" w:cs="Arial" w:eastAsia="Arial" w:hAnsi="Arial"/>
          <w:sz w:val="16"/>
          <w:szCs w:val="16"/>
          <w:color w:val="auto"/>
        </w:rPr>
      </w:pPr>
      <w:r>
        <w:rPr>
          <w:rFonts w:ascii="Arial" w:cs="Arial" w:eastAsia="Arial" w:hAnsi="Arial"/>
          <w:sz w:val="16"/>
          <w:szCs w:val="16"/>
          <w:color w:val="auto"/>
        </w:rPr>
        <w:t>Exercise Date: In order to exercise the Option, Tenant must not be in Default of any of its obligations under the Lease and Tenant must give written notice (“Notice”) of such election to Landlord and Landlord must receive the Notice not earlier than 15 months (“Earliest Exercise Date”) nor later than 12 months prior to the Expiration Date (“Last Exercise Date”) which are sometimes collectively referred to herein as the “Option Exercise Date.” If the Notice is not received, the Option shall automatically expire. Tenant’s failure to notify Landlord by the Option Exercise Date will conclusively be presumed an election by Tenant not to exercise the Option.</w:t>
      </w:r>
    </w:p>
    <w:p>
      <w:pPr>
        <w:spacing w:after="0" w:line="170" w:lineRule="exact"/>
        <w:rPr>
          <w:sz w:val="20"/>
          <w:szCs w:val="20"/>
          <w:color w:val="auto"/>
        </w:rPr>
      </w:pPr>
    </w:p>
    <w:p>
      <w:pPr>
        <w:ind w:right="260" w:firstLine="385"/>
        <w:spacing w:after="0" w:line="319" w:lineRule="auto"/>
        <w:rPr>
          <w:sz w:val="20"/>
          <w:szCs w:val="20"/>
          <w:color w:val="auto"/>
        </w:rPr>
      </w:pPr>
      <w:r>
        <w:rPr>
          <w:rFonts w:ascii="Arial" w:cs="Arial" w:eastAsia="Arial" w:hAnsi="Arial"/>
          <w:sz w:val="13"/>
          <w:szCs w:val="13"/>
          <w:color w:val="auto"/>
        </w:rPr>
        <w:t>Monthly Base Rent. The monthly Base Rent and any increases for each month of the Option Period shall be the fair market rent determined as follows but in no event less than one hundred three percent (103%) of the highest Base Rent paid during the initial Term. Four months prior to the commencement of each Adjustment Period, if the selected Rent Adjustment Alternative is the Market Rent Adjustment, the Parties shall negotiate in good faith to determine the Base Rent for the Adjustment Period. If agreement cannot be reached within thirty days, then Landlord and Tenant shall each, no later than 90 days prior to the commencement of the Adjustment Period, make a reasonable determination of the fair market rental for the Premises for the Adjustment Period and submit such determination, in writing, to arbitration in accordance with the following provisions:</w:t>
      </w:r>
    </w:p>
    <w:p>
      <w:pPr>
        <w:spacing w:after="0" w:line="128" w:lineRule="exact"/>
        <w:rPr>
          <w:sz w:val="20"/>
          <w:szCs w:val="20"/>
          <w:color w:val="auto"/>
        </w:rPr>
      </w:pPr>
    </w:p>
    <w:p>
      <w:pPr>
        <w:jc w:val="both"/>
        <w:ind w:right="20" w:firstLine="860"/>
        <w:spacing w:after="0" w:line="256" w:lineRule="auto"/>
        <w:tabs>
          <w:tab w:leader="none" w:pos="108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No later than 90 days prior to the commencement of the Adjustment Period, Landlord and Tenant shall each select an industrial leasing broker to act as an arbitrator. The two arbitrators so appointed shall, no later than 75 days prior to the commencement of the Adjustment Period, select a third mutually acceptable industrial leasing broker to act as a third arbitrator.</w:t>
      </w:r>
    </w:p>
    <w:p>
      <w:pPr>
        <w:spacing w:after="0" w:line="165" w:lineRule="exact"/>
        <w:rPr>
          <w:rFonts w:ascii="Arial" w:cs="Arial" w:eastAsia="Arial" w:hAnsi="Arial"/>
          <w:sz w:val="16"/>
          <w:szCs w:val="16"/>
          <w:color w:val="auto"/>
        </w:rPr>
      </w:pPr>
    </w:p>
    <w:p>
      <w:pPr>
        <w:jc w:val="both"/>
        <w:ind w:right="40" w:firstLine="860"/>
        <w:spacing w:after="0" w:line="253" w:lineRule="auto"/>
        <w:tabs>
          <w:tab w:leader="none" w:pos="108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three arbitrators, acting by a majority, shall no later than 75 days prior to the commencement of the Adjustment Period, determine the actual fair market rental for the Premises for the Adjustment Period. The decision of a majority of the arbitrators shall be binding on the Parties. The fair market rental determination of Landlord or Tenant which is closest to the fair market rental as determined by the arbitrators shall be the Base Rent for the Adjustment Period.</w:t>
      </w:r>
    </w:p>
    <w:p>
      <w:pPr>
        <w:spacing w:after="0" w:line="167" w:lineRule="exact"/>
        <w:rPr>
          <w:rFonts w:ascii="Arial" w:cs="Arial" w:eastAsia="Arial" w:hAnsi="Arial"/>
          <w:sz w:val="16"/>
          <w:szCs w:val="16"/>
          <w:color w:val="auto"/>
        </w:rPr>
      </w:pPr>
    </w:p>
    <w:p>
      <w:pPr>
        <w:ind w:right="140" w:firstLine="860"/>
        <w:spacing w:after="0" w:line="266" w:lineRule="auto"/>
        <w:tabs>
          <w:tab w:leader="none" w:pos="1088" w:val="left"/>
        </w:tabs>
        <w:numPr>
          <w:ilvl w:val="0"/>
          <w:numId w:val="386"/>
        </w:numPr>
        <w:rPr>
          <w:rFonts w:ascii="Arial" w:cs="Arial" w:eastAsia="Arial" w:hAnsi="Arial"/>
          <w:sz w:val="16"/>
          <w:szCs w:val="16"/>
          <w:color w:val="auto"/>
        </w:rPr>
      </w:pPr>
      <w:r>
        <w:rPr>
          <w:rFonts w:ascii="Arial" w:cs="Arial" w:eastAsia="Arial" w:hAnsi="Arial"/>
          <w:sz w:val="16"/>
          <w:szCs w:val="16"/>
          <w:color w:val="auto"/>
        </w:rPr>
        <w:t>If either of the Parties fails to appoint an arbitrator within the period required by this Addendum, the arbitrator timely appointed shall determine the Base Rent for the Adjustment Period.</w:t>
      </w:r>
    </w:p>
    <w:p>
      <w:pPr>
        <w:spacing w:after="0" w:line="158" w:lineRule="exact"/>
        <w:rPr>
          <w:rFonts w:ascii="Arial" w:cs="Arial" w:eastAsia="Arial" w:hAnsi="Arial"/>
          <w:sz w:val="16"/>
          <w:szCs w:val="16"/>
          <w:color w:val="auto"/>
        </w:rPr>
      </w:pPr>
    </w:p>
    <w:p>
      <w:pPr>
        <w:ind w:left="1080" w:hanging="220"/>
        <w:spacing w:after="0"/>
        <w:tabs>
          <w:tab w:leader="none" w:pos="1080"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entire cost of such arbitration shall be paid by the party whose fair market rental submission is not selected.</w:t>
      </w:r>
    </w:p>
    <w:p>
      <w:pPr>
        <w:spacing w:after="0" w:line="189" w:lineRule="exact"/>
        <w:rPr>
          <w:sz w:val="20"/>
          <w:szCs w:val="20"/>
          <w:color w:val="auto"/>
        </w:rPr>
      </w:pPr>
    </w:p>
    <w:p>
      <w:pPr>
        <w:ind w:left="1020" w:hanging="160"/>
        <w:spacing w:after="0"/>
        <w:tabs>
          <w:tab w:leader="none" w:pos="1020" w:val="left"/>
        </w:tabs>
        <w:numPr>
          <w:ilvl w:val="0"/>
          <w:numId w:val="387"/>
        </w:numPr>
        <w:rPr>
          <w:rFonts w:ascii="Arial" w:cs="Arial" w:eastAsia="Arial" w:hAnsi="Arial"/>
          <w:sz w:val="16"/>
          <w:szCs w:val="16"/>
          <w:color w:val="auto"/>
        </w:rPr>
      </w:pPr>
      <w:r>
        <w:rPr>
          <w:rFonts w:ascii="Arial" w:cs="Arial" w:eastAsia="Arial" w:hAnsi="Arial"/>
          <w:sz w:val="16"/>
          <w:szCs w:val="16"/>
          <w:b w:val="1"/>
          <w:bCs w:val="1"/>
          <w:color w:val="auto"/>
        </w:rPr>
        <w:t xml:space="preserve">Conditions to Exercise of Option. </w:t>
      </w:r>
      <w:r>
        <w:rPr>
          <w:rFonts w:ascii="Arial" w:cs="Arial" w:eastAsia="Arial" w:hAnsi="Arial"/>
          <w:sz w:val="16"/>
          <w:szCs w:val="16"/>
          <w:color w:val="auto"/>
        </w:rPr>
        <w:t>Tenant’s right to extend is conditioned upon and subject to each of the following:</w:t>
      </w:r>
    </w:p>
    <w:p>
      <w:pPr>
        <w:spacing w:after="0" w:line="197" w:lineRule="exact"/>
        <w:rPr>
          <w:rFonts w:ascii="Arial" w:cs="Arial" w:eastAsia="Arial" w:hAnsi="Arial"/>
          <w:sz w:val="16"/>
          <w:szCs w:val="16"/>
          <w:color w:val="auto"/>
        </w:rPr>
      </w:pPr>
    </w:p>
    <w:p>
      <w:pPr>
        <w:ind w:right="60" w:firstLine="1244"/>
        <w:spacing w:after="0" w:line="270" w:lineRule="auto"/>
        <w:tabs>
          <w:tab w:leader="none" w:pos="1386" w:val="left"/>
        </w:tabs>
        <w:numPr>
          <w:ilvl w:val="1"/>
          <w:numId w:val="387"/>
        </w:numPr>
        <w:rPr>
          <w:rFonts w:ascii="Arial" w:cs="Arial" w:eastAsia="Arial" w:hAnsi="Arial"/>
          <w:sz w:val="15"/>
          <w:szCs w:val="15"/>
          <w:color w:val="auto"/>
        </w:rPr>
      </w:pPr>
      <w:r>
        <w:rPr>
          <w:rFonts w:ascii="Arial" w:cs="Arial" w:eastAsia="Arial" w:hAnsi="Arial"/>
          <w:sz w:val="15"/>
          <w:szCs w:val="15"/>
          <w:color w:val="auto"/>
        </w:rPr>
        <w:t>In order to exercise the Option, Tenant must not have been in Default of any of its obligations under the Lease during the Term or any extended Term and must give written notice of such election to Landlord and Landlord must receive the same by the Last Exercise Date but not prior to the Earliest Exercise Date. If proper notification of the exercise of an Option is not given and/or received, the Option shall automatically expire. Failure to exercise an option terminates the Option. Tenant acknowledges that because of the importance to Landlord of knowing no later than the Last Exercise Date whether or not Tenant will exercise the Option, the failure of Tenant to notify Landlord by the Last Exercise Date will conclusively be presumed an election by Tenant not to exercise the Option.</w:t>
      </w:r>
    </w:p>
    <w:p>
      <w:pPr>
        <w:spacing w:after="0" w:line="156" w:lineRule="exact"/>
        <w:rPr>
          <w:rFonts w:ascii="Arial" w:cs="Arial" w:eastAsia="Arial" w:hAnsi="Arial"/>
          <w:sz w:val="15"/>
          <w:szCs w:val="15"/>
          <w:color w:val="auto"/>
        </w:rPr>
      </w:pPr>
    </w:p>
    <w:p>
      <w:pPr>
        <w:ind w:right="60" w:firstLine="1244"/>
        <w:spacing w:after="0" w:line="253" w:lineRule="auto"/>
        <w:tabs>
          <w:tab w:leader="none" w:pos="1429"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Tenant shall have no right to exercise an option (i) if Tenant is in Default or (ii) in the event that Landlord has given to Tenant three or more notices of separate Defaults during the 12-month period immediately preceding the exercise of the option, whether or not the Defaults are cured. The period of time within which the Option may be exercised shall not be extended or enlarged by reason of Tenant’s inability to exercise the Option because of the provisions of this paragraph.</w:t>
      </w:r>
    </w:p>
    <w:p>
      <w:pPr>
        <w:spacing w:after="0" w:line="167" w:lineRule="exact"/>
        <w:rPr>
          <w:rFonts w:ascii="Arial" w:cs="Arial" w:eastAsia="Arial" w:hAnsi="Arial"/>
          <w:sz w:val="16"/>
          <w:szCs w:val="16"/>
          <w:color w:val="auto"/>
        </w:rPr>
      </w:pPr>
    </w:p>
    <w:p>
      <w:pPr>
        <w:ind w:left="1460" w:hanging="216"/>
        <w:spacing w:after="0"/>
        <w:tabs>
          <w:tab w:leader="none" w:pos="146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All of the terms and conditions of this Lease, except where specifically modified by this Amendment, shall apply.</w:t>
      </w:r>
    </w:p>
    <w:p>
      <w:pPr>
        <w:spacing w:after="0" w:line="193" w:lineRule="exact"/>
        <w:rPr>
          <w:rFonts w:ascii="Arial" w:cs="Arial" w:eastAsia="Arial" w:hAnsi="Arial"/>
          <w:sz w:val="16"/>
          <w:szCs w:val="16"/>
          <w:color w:val="auto"/>
        </w:rPr>
      </w:pPr>
    </w:p>
    <w:p>
      <w:pPr>
        <w:ind w:right="380" w:firstLine="1244"/>
        <w:spacing w:after="0" w:line="266" w:lineRule="auto"/>
        <w:tabs>
          <w:tab w:leader="none" w:pos="1464"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The Option is personal to the Tenant and any transferee permitted under Paragraph 12 of the Lease and cannot otherwise be assigned or exercised by anyone other than the Tenant.</w:t>
      </w:r>
    </w:p>
    <w:p>
      <w:pPr>
        <w:sectPr>
          <w:pgSz w:w="11900" w:h="16838" w:orient="portrait"/>
          <w:cols w:equalWidth="0" w:num="1">
            <w:col w:w="9600"/>
          </w:cols>
          <w:pgMar w:left="1140" w:top="252" w:right="1159" w:bottom="1440" w:gutter="0" w:footer="0" w:header="0"/>
        </w:sectPr>
      </w:pPr>
    </w:p>
    <w:bookmarkStart w:id="517" w:name="page518"/>
    <w:bookmarkEnd w:id="517"/>
    <w:p>
      <w:pPr>
        <w:jc w:val="center"/>
        <w:ind w:right="-4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90105" cy="34925"/>
                    </a:xfrm>
                    <a:prstGeom prst="rect">
                      <a:avLst/>
                    </a:prstGeom>
                    <a:noFill/>
                  </pic:spPr>
                </pic:pic>
              </a:graphicData>
            </a:graphic>
          </wp:anchor>
        </w:drawing>
        <w:t>ADDENDUM 5</w:t>
      </w:r>
    </w:p>
    <w:p>
      <w:pPr>
        <w:spacing w:after="0" w:line="193" w:lineRule="exact"/>
        <w:rPr>
          <w:sz w:val="20"/>
          <w:szCs w:val="20"/>
          <w:color w:val="auto"/>
        </w:rPr>
      </w:pPr>
    </w:p>
    <w:p>
      <w:pPr>
        <w:jc w:val="center"/>
        <w:ind w:right="-45"/>
        <w:spacing w:after="0"/>
        <w:rPr>
          <w:sz w:val="20"/>
          <w:szCs w:val="20"/>
          <w:color w:val="auto"/>
        </w:rPr>
      </w:pPr>
      <w:r>
        <w:rPr>
          <w:rFonts w:ascii="Arial" w:cs="Arial" w:eastAsia="Arial" w:hAnsi="Arial"/>
          <w:sz w:val="16"/>
          <w:szCs w:val="16"/>
          <w:b w:val="1"/>
          <w:bCs w:val="1"/>
          <w:color w:val="auto"/>
        </w:rPr>
        <w:t>TERRENO REALTY CORPORATION</w:t>
      </w:r>
    </w:p>
    <w:p>
      <w:pPr>
        <w:spacing w:after="0" w:line="20" w:lineRule="exact"/>
        <w:rPr>
          <w:sz w:val="20"/>
          <w:szCs w:val="20"/>
          <w:color w:val="auto"/>
        </w:rPr>
      </w:pPr>
    </w:p>
    <w:p>
      <w:pPr>
        <w:jc w:val="center"/>
        <w:ind w:right="-45"/>
        <w:spacing w:after="0"/>
        <w:rPr>
          <w:sz w:val="20"/>
          <w:szCs w:val="20"/>
          <w:color w:val="auto"/>
        </w:rPr>
      </w:pPr>
      <w:r>
        <w:rPr>
          <w:rFonts w:ascii="Arial" w:cs="Arial" w:eastAsia="Arial" w:hAnsi="Arial"/>
          <w:sz w:val="16"/>
          <w:szCs w:val="16"/>
          <w:b w:val="1"/>
          <w:bCs w:val="1"/>
          <w:color w:val="auto"/>
        </w:rPr>
        <w:t>Early Possession and Inducement Recapture Addendum</w:t>
      </w:r>
    </w:p>
    <w:p>
      <w:pPr>
        <w:spacing w:after="0" w:line="182" w:lineRule="exact"/>
        <w:rPr>
          <w:sz w:val="20"/>
          <w:szCs w:val="20"/>
          <w:color w:val="auto"/>
        </w:rPr>
      </w:pPr>
    </w:p>
    <w:p>
      <w:pPr>
        <w:ind w:left="6" w:right="80" w:firstLine="385"/>
        <w:spacing w:after="0" w:line="266" w:lineRule="auto"/>
        <w:rPr>
          <w:sz w:val="20"/>
          <w:szCs w:val="20"/>
          <w:color w:val="auto"/>
        </w:rPr>
      </w:pPr>
      <w:r>
        <w:rPr>
          <w:rFonts w:ascii="Arial" w:cs="Arial" w:eastAsia="Arial" w:hAnsi="Arial"/>
          <w:sz w:val="16"/>
          <w:szCs w:val="16"/>
          <w:color w:val="auto"/>
        </w:rPr>
        <w:t>This Early Possession and Inducement Recapture Addendum is a part of the Lease dated February 12, 2021, by and between Terreno Park Union City LLC (“Landlord”) and Tenaya Therapeutics, Inc. (“Tenant”) for the Premises as defined in the Lease.</w:t>
      </w:r>
    </w:p>
    <w:p>
      <w:pPr>
        <w:spacing w:after="0" w:line="154" w:lineRule="exact"/>
        <w:rPr>
          <w:sz w:val="20"/>
          <w:szCs w:val="20"/>
          <w:color w:val="auto"/>
        </w:rPr>
      </w:pPr>
    </w:p>
    <w:p>
      <w:pPr>
        <w:ind w:left="6" w:right="100" w:hanging="6"/>
        <w:spacing w:after="0" w:line="273" w:lineRule="auto"/>
        <w:tabs>
          <w:tab w:leader="none" w:pos="163" w:val="left"/>
        </w:tabs>
        <w:numPr>
          <w:ilvl w:val="0"/>
          <w:numId w:val="388"/>
        </w:numPr>
        <w:rPr>
          <w:rFonts w:ascii="Arial" w:cs="Arial" w:eastAsia="Arial" w:hAnsi="Arial"/>
          <w:sz w:val="15"/>
          <w:szCs w:val="15"/>
          <w:b w:val="1"/>
          <w:bCs w:val="1"/>
          <w:color w:val="auto"/>
        </w:rPr>
      </w:pPr>
      <w:r>
        <w:rPr>
          <w:rFonts w:ascii="Arial" w:cs="Arial" w:eastAsia="Arial" w:hAnsi="Arial"/>
          <w:sz w:val="15"/>
          <w:szCs w:val="15"/>
          <w:b w:val="1"/>
          <w:bCs w:val="1"/>
          <w:color w:val="auto"/>
        </w:rPr>
        <w:t>Early Possession</w:t>
      </w:r>
      <w:r>
        <w:rPr>
          <w:rFonts w:ascii="Arial" w:cs="Arial" w:eastAsia="Arial" w:hAnsi="Arial"/>
          <w:sz w:val="15"/>
          <w:szCs w:val="15"/>
          <w:color w:val="auto"/>
        </w:rPr>
        <w:t>. Tenant may occupy the Premises upon delivery of possession by Landlord after Landlord’s receipt of all monies due upon</w:t>
      </w:r>
      <w:r>
        <w:rPr>
          <w:rFonts w:ascii="Arial" w:cs="Arial" w:eastAsia="Arial" w:hAnsi="Arial"/>
          <w:sz w:val="15"/>
          <w:szCs w:val="15"/>
          <w:b w:val="1"/>
          <w:bCs w:val="1"/>
          <w:color w:val="auto"/>
        </w:rPr>
        <w:t xml:space="preserve"> </w:t>
      </w:r>
      <w:r>
        <w:rPr>
          <w:rFonts w:ascii="Arial" w:cs="Arial" w:eastAsia="Arial" w:hAnsi="Arial"/>
          <w:sz w:val="15"/>
          <w:szCs w:val="15"/>
          <w:color w:val="auto"/>
        </w:rPr>
        <w:t>execution and all evidence of insurance required of Tenant (“Early Possession Date”), even though the Early Possession Date is prior to the Commencement Date of the Lease (“Early Possession”). The obligation to pay Rent shall be abated for the Early Possession Period. All other terms of this Lease, however, including, but not limited to, the obligations to carry the insurance required by Paragraph 8, shall be in effect during the Early Possession period. Such Early Possession shall not change the Expiration Date of the original Term.</w:t>
      </w:r>
    </w:p>
    <w:p>
      <w:pPr>
        <w:spacing w:after="0" w:line="150" w:lineRule="exact"/>
        <w:rPr>
          <w:rFonts w:ascii="Arial" w:cs="Arial" w:eastAsia="Arial" w:hAnsi="Arial"/>
          <w:sz w:val="15"/>
          <w:szCs w:val="15"/>
          <w:b w:val="1"/>
          <w:bCs w:val="1"/>
          <w:color w:val="auto"/>
        </w:rPr>
      </w:pPr>
    </w:p>
    <w:p>
      <w:pPr>
        <w:ind w:left="6" w:hanging="6"/>
        <w:spacing w:after="0" w:line="317" w:lineRule="auto"/>
        <w:tabs>
          <w:tab w:leader="none" w:pos="163" w:val="left"/>
        </w:tabs>
        <w:numPr>
          <w:ilvl w:val="0"/>
          <w:numId w:val="388"/>
        </w:numPr>
        <w:rPr>
          <w:rFonts w:ascii="Arial" w:cs="Arial" w:eastAsia="Arial" w:hAnsi="Arial"/>
          <w:sz w:val="13"/>
          <w:szCs w:val="13"/>
          <w:b w:val="1"/>
          <w:bCs w:val="1"/>
          <w:color w:val="auto"/>
        </w:rPr>
      </w:pPr>
      <w:r>
        <w:rPr>
          <w:rFonts w:ascii="Arial" w:cs="Arial" w:eastAsia="Arial" w:hAnsi="Arial"/>
          <w:sz w:val="13"/>
          <w:szCs w:val="13"/>
          <w:b w:val="1"/>
          <w:bCs w:val="1"/>
          <w:color w:val="auto"/>
        </w:rPr>
        <w:t>Inducement Recapture in Event of Breach</w:t>
      </w:r>
      <w:r>
        <w:rPr>
          <w:rFonts w:ascii="Arial" w:cs="Arial" w:eastAsia="Arial" w:hAnsi="Arial"/>
          <w:sz w:val="13"/>
          <w:szCs w:val="13"/>
          <w:color w:val="auto"/>
        </w:rPr>
        <w:t>. Any agreement by Landlord for possession of the Premises without the payment or reduced 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rent or other charges or for the giving or paying by Landlord to or for Tenant of any cash or other bonus, inducement, or consideration for Tenant’s entering into this Lease including, but not limited to tenant improvement allowances and abated rent, all of which concessions are hereinafter referred to as “Inducement Provisions,” are conditioned upon Tenant’s full and faithful performance of all of the terms, covenants, and conditions of this Lease to be performed or observed by Tenant during the term of this Lease. Upon the occurrence of a Default by Tenant, the unamortized portion of any rent, other charge, bonus, inducement, or consideration abated, given, or paid by Landlord under such an Inducement Provision shall be immediately due and payable by Tenant to Landlord and recoverable by Landlord as additional rent due under this Lease, notwithstanding any subsequent cure by Tenant.</w:t>
      </w:r>
    </w:p>
    <w:p>
      <w:pPr>
        <w:sectPr>
          <w:pgSz w:w="11900" w:h="16838" w:orient="portrait"/>
          <w:cols w:equalWidth="0" w:num="1">
            <w:col w:w="9566"/>
          </w:cols>
          <w:pgMar w:left="1134" w:top="252" w:right="1199" w:bottom="1440" w:gutter="0" w:footer="0" w:header="0"/>
        </w:sectPr>
      </w:pPr>
    </w:p>
    <w:bookmarkStart w:id="518" w:name="page519"/>
    <w:bookmarkEnd w:id="518"/>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90105" cy="34290"/>
                    </a:xfrm>
                    <a:prstGeom prst="rect">
                      <a:avLst/>
                    </a:prstGeom>
                    <a:noFill/>
                  </pic:spPr>
                </pic:pic>
              </a:graphicData>
            </a:graphic>
          </wp:anchor>
        </w:drawing>
        <w:t>Exhibit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Site Plan and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1905635</wp:posOffset>
            </wp:positionH>
            <wp:positionV relativeFrom="paragraph">
              <wp:posOffset>170180</wp:posOffset>
            </wp:positionV>
            <wp:extent cx="1908810" cy="539051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908810" cy="5390515"/>
                    </a:xfrm>
                    <a:prstGeom prst="rect">
                      <a:avLst/>
                    </a:prstGeom>
                    <a:noFill/>
                  </pic:spPr>
                </pic:pic>
              </a:graphicData>
            </a:graphic>
          </wp:anchor>
        </w:drawing>
      </w:r>
    </w:p>
    <w:p>
      <w:pPr>
        <w:sectPr>
          <w:pgSz w:w="11900" w:h="16838" w:orient="portrait"/>
          <w:cols w:equalWidth="0" w:num="1">
            <w:col w:w="9019"/>
          </w:cols>
          <w:pgMar w:left="1440" w:top="252" w:right="1440" w:bottom="1440" w:gutter="0" w:footer="0" w:header="0"/>
        </w:sectPr>
      </w:pPr>
    </w:p>
    <w:bookmarkStart w:id="519" w:name="page520"/>
    <w:bookmarkEnd w:id="519"/>
    <w:tbl>
      <w:tblPr>
        <w:tblLayout w:type="fixed"/>
        <w:tblInd w:w="380" w:type="dxa"/>
        <w:tblCellMar>
          <w:top w:w="0" w:type="dxa"/>
          <w:left w:w="0" w:type="dxa"/>
          <w:bottom w:w="0" w:type="dxa"/>
          <w:right w:w="0" w:type="dxa"/>
        </w:tblCellMar>
      </w:tblPr>
      <w:tr>
        <w:trPr>
          <w:trHeight w:val="189"/>
        </w:trPr>
        <w:tc>
          <w:tcPr>
            <w:tcW w:w="15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w w:val="93"/>
              </w:rPr>
              <w:t>Exhibit “B”</w:t>
            </w:r>
          </w:p>
        </w:tc>
      </w:tr>
      <w:tr>
        <w:trPr>
          <w:trHeight w:val="170"/>
        </w:trPr>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8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6"/>
                <w:szCs w:val="16"/>
                <w:b w:val="1"/>
                <w:bCs w:val="1"/>
                <w:color w:val="auto"/>
              </w:rPr>
              <w:t>COMMENCEMENT DATE MEMORANDUM</w:t>
            </w:r>
          </w:p>
        </w:tc>
        <w:tc>
          <w:tcPr>
            <w:tcW w:w="700" w:type="dxa"/>
            <w:vAlign w:val="bottom"/>
          </w:tcPr>
          <w:p>
            <w:pPr>
              <w:spacing w:after="0"/>
              <w:rPr>
                <w:sz w:val="14"/>
                <w:szCs w:val="14"/>
                <w:color w:val="auto"/>
              </w:rPr>
            </w:pPr>
          </w:p>
        </w:tc>
      </w:tr>
      <w:tr>
        <w:trPr>
          <w:trHeight w:val="376"/>
        </w:trPr>
        <w:tc>
          <w:tcPr>
            <w:tcW w:w="1560" w:type="dxa"/>
            <w:vAlign w:val="bottom"/>
          </w:tcPr>
          <w:p>
            <w:pPr>
              <w:spacing w:after="0"/>
              <w:rPr>
                <w:sz w:val="24"/>
                <w:szCs w:val="24"/>
                <w:color w:val="auto"/>
              </w:rPr>
            </w:pPr>
          </w:p>
        </w:tc>
        <w:tc>
          <w:tcPr>
            <w:tcW w:w="5160" w:type="dxa"/>
            <w:vAlign w:val="bottom"/>
            <w:gridSpan w:val="3"/>
          </w:tcPr>
          <w:p>
            <w:pPr>
              <w:jc w:val="center"/>
              <w:ind w:left="501"/>
              <w:spacing w:after="0"/>
              <w:rPr>
                <w:sz w:val="20"/>
                <w:szCs w:val="20"/>
                <w:color w:val="auto"/>
              </w:rPr>
            </w:pPr>
            <w:r>
              <w:rPr>
                <w:rFonts w:ascii="Arial" w:cs="Arial" w:eastAsia="Arial" w:hAnsi="Arial"/>
                <w:sz w:val="16"/>
                <w:szCs w:val="16"/>
                <w:b w:val="1"/>
                <w:bCs w:val="1"/>
                <w:color w:val="auto"/>
                <w:w w:val="98"/>
              </w:rPr>
              <w:t>[SAMPLE ONLY – FORM TO BE COMPLETED BY LANDLORD</w:t>
            </w:r>
          </w:p>
        </w:tc>
      </w:tr>
      <w:tr>
        <w:trPr>
          <w:trHeight w:val="204"/>
        </w:trPr>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8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AFTER COMMENCEMENT DATE]</w:t>
            </w:r>
          </w:p>
        </w:tc>
      </w:tr>
      <w:tr>
        <w:trPr>
          <w:trHeight w:val="389"/>
        </w:trPr>
        <w:tc>
          <w:tcPr>
            <w:tcW w:w="1560" w:type="dxa"/>
            <w:vAlign w:val="bottom"/>
          </w:tcPr>
          <w:p>
            <w:pPr>
              <w:spacing w:after="0"/>
              <w:rPr>
                <w:sz w:val="20"/>
                <w:szCs w:val="20"/>
                <w:color w:val="auto"/>
              </w:rPr>
            </w:pPr>
            <w:r>
              <w:rPr>
                <w:rFonts w:ascii="Arial" w:cs="Arial" w:eastAsia="Arial" w:hAnsi="Arial"/>
                <w:sz w:val="16"/>
                <w:szCs w:val="16"/>
                <w:color w:val="auto"/>
              </w:rPr>
              <w:t>LANDLORD:</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Terreno Park Union City LLC</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TENANT:</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Tenaya Therapeutics, Inc.</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LEASE DATE:</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February 12, 2021</w:t>
            </w:r>
          </w:p>
        </w:tc>
      </w:tr>
      <w:tr>
        <w:trPr>
          <w:trHeight w:val="189"/>
        </w:trPr>
        <w:tc>
          <w:tcPr>
            <w:tcW w:w="1560" w:type="dxa"/>
            <w:vAlign w:val="bottom"/>
          </w:tcPr>
          <w:p>
            <w:pPr>
              <w:spacing w:after="0"/>
              <w:rPr>
                <w:sz w:val="20"/>
                <w:szCs w:val="20"/>
                <w:color w:val="auto"/>
              </w:rPr>
            </w:pPr>
            <w:r>
              <w:rPr>
                <w:rFonts w:ascii="Arial" w:cs="Arial" w:eastAsia="Arial" w:hAnsi="Arial"/>
                <w:sz w:val="16"/>
                <w:szCs w:val="16"/>
                <w:color w:val="auto"/>
              </w:rPr>
              <w:t>PREMISES:</w:t>
            </w: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33498 Central Avenue</w:t>
            </w:r>
          </w:p>
        </w:tc>
      </w:tr>
      <w:tr>
        <w:trPr>
          <w:trHeight w:val="200"/>
        </w:trPr>
        <w:tc>
          <w:tcPr>
            <w:tcW w:w="1560" w:type="dxa"/>
            <w:vAlign w:val="bottom"/>
          </w:tcPr>
          <w:p>
            <w:pPr>
              <w:spacing w:after="0"/>
              <w:rPr>
                <w:sz w:val="17"/>
                <w:szCs w:val="17"/>
                <w:color w:val="auto"/>
              </w:rPr>
            </w:pPr>
          </w:p>
        </w:tc>
        <w:tc>
          <w:tcPr>
            <w:tcW w:w="5160" w:type="dxa"/>
            <w:vAlign w:val="bottom"/>
            <w:gridSpan w:val="3"/>
          </w:tcPr>
          <w:p>
            <w:pPr>
              <w:ind w:left="840"/>
              <w:spacing w:after="0"/>
              <w:rPr>
                <w:sz w:val="20"/>
                <w:szCs w:val="20"/>
                <w:color w:val="auto"/>
              </w:rPr>
            </w:pPr>
            <w:r>
              <w:rPr>
                <w:rFonts w:ascii="Arial" w:cs="Arial" w:eastAsia="Arial" w:hAnsi="Arial"/>
                <w:sz w:val="16"/>
                <w:szCs w:val="16"/>
                <w:color w:val="auto"/>
              </w:rPr>
              <w:t>Union City, CA 94587</w:t>
            </w:r>
          </w:p>
        </w:tc>
      </w:tr>
    </w:tbl>
    <w:p>
      <w:pPr>
        <w:spacing w:after="0" w:line="1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6"/>
          <w:szCs w:val="16"/>
          <w:color w:val="auto"/>
        </w:rPr>
        <w:t>Tenant hereby accepts the Premises as being in the condition required under the Lease.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740" w:type="dxa"/>
            <w:vAlign w:val="bottom"/>
            <w:gridSpan w:val="3"/>
          </w:tcPr>
          <w:p>
            <w:pPr>
              <w:ind w:left="100"/>
              <w:spacing w:after="0"/>
              <w:rPr>
                <w:sz w:val="20"/>
                <w:szCs w:val="20"/>
                <w:color w:val="auto"/>
              </w:rPr>
            </w:pPr>
            <w:r>
              <w:rPr>
                <w:rFonts w:ascii="Arial" w:cs="Arial" w:eastAsia="Arial" w:hAnsi="Arial"/>
                <w:sz w:val="16"/>
                <w:szCs w:val="16"/>
                <w:color w:val="auto"/>
                <w:w w:val="88"/>
              </w:rPr>
              <w:t>The Commencement Date of the Lease is</w:t>
            </w:r>
          </w:p>
        </w:tc>
        <w:tc>
          <w:tcPr>
            <w:tcW w:w="400" w:type="dxa"/>
            <w:vAlign w:val="bottom"/>
            <w:gridSpan w:val="4"/>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280" w:type="dxa"/>
            <w:vAlign w:val="bottom"/>
          </w:tcPr>
          <w:p>
            <w:pPr>
              <w:spacing w:after="0"/>
              <w:rPr>
                <w:sz w:val="24"/>
                <w:szCs w:val="24"/>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w w:val="90"/>
              </w:rPr>
              <w:t>The Expiration Date of the Lease is</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tcBorders>
            <w:gridSpan w:val="2"/>
          </w:tcPr>
          <w:p>
            <w:pPr>
              <w:spacing w:after="0"/>
              <w:rPr>
                <w:sz w:val="24"/>
                <w:szCs w:val="24"/>
                <w:color w:val="auto"/>
              </w:rPr>
            </w:pPr>
          </w:p>
        </w:tc>
        <w:tc>
          <w:tcPr>
            <w:tcW w:w="80" w:type="dxa"/>
            <w:vAlign w:val="bottom"/>
            <w:gridSpan w:val="2"/>
          </w:tcPr>
          <w:p>
            <w:pPr>
              <w:jc w:val="right"/>
              <w:ind w:right="20"/>
              <w:spacing w:after="0"/>
              <w:rPr>
                <w:sz w:val="20"/>
                <w:szCs w:val="20"/>
                <w:color w:val="auto"/>
              </w:rPr>
            </w:pPr>
            <w:r>
              <w:rPr>
                <w:rFonts w:ascii="Arial" w:cs="Arial" w:eastAsia="Arial" w:hAnsi="Arial"/>
                <w:sz w:val="16"/>
                <w:szCs w:val="16"/>
                <w:color w:val="auto"/>
                <w:w w:val="88"/>
              </w:rPr>
              <w:t>.</w:t>
            </w:r>
          </w:p>
        </w:tc>
        <w:tc>
          <w:tcPr>
            <w:tcW w:w="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660" w:type="dxa"/>
            <w:vAlign w:val="bottom"/>
            <w:gridSpan w:val="2"/>
          </w:tcPr>
          <w:p>
            <w:pPr>
              <w:spacing w:after="0"/>
              <w:rPr>
                <w:sz w:val="20"/>
                <w:szCs w:val="20"/>
                <w:color w:val="auto"/>
              </w:rPr>
            </w:pPr>
            <w:r>
              <w:rPr>
                <w:rFonts w:ascii="Arial" w:cs="Arial" w:eastAsia="Arial" w:hAnsi="Arial"/>
                <w:sz w:val="16"/>
                <w:szCs w:val="16"/>
                <w:b w:val="1"/>
                <w:bCs w:val="1"/>
                <w:color w:val="auto"/>
              </w:rPr>
              <w:t>Landlord:</w:t>
            </w: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b w:val="1"/>
                <w:bCs w:val="1"/>
                <w:color w:val="auto"/>
              </w:rPr>
              <w:t>Tenant:</w:t>
            </w:r>
          </w:p>
        </w:tc>
        <w:tc>
          <w:tcPr>
            <w:tcW w:w="0" w:type="dxa"/>
            <w:vAlign w:val="bottom"/>
          </w:tcPr>
          <w:p>
            <w:pPr>
              <w:spacing w:after="0"/>
              <w:rPr>
                <w:sz w:val="1"/>
                <w:szCs w:val="1"/>
                <w:color w:val="auto"/>
              </w:rPr>
            </w:pPr>
          </w:p>
        </w:tc>
      </w:tr>
      <w:tr>
        <w:trPr>
          <w:trHeight w:val="189"/>
        </w:trPr>
        <w:tc>
          <w:tcPr>
            <w:tcW w:w="2660" w:type="dxa"/>
            <w:vAlign w:val="bottom"/>
            <w:gridSpan w:val="2"/>
          </w:tcPr>
          <w:p>
            <w:pPr>
              <w:spacing w:after="0"/>
              <w:rPr>
                <w:sz w:val="20"/>
                <w:szCs w:val="20"/>
                <w:color w:val="auto"/>
              </w:rPr>
            </w:pPr>
            <w:r>
              <w:rPr>
                <w:rFonts w:ascii="Arial" w:cs="Arial" w:eastAsia="Arial" w:hAnsi="Arial"/>
                <w:sz w:val="16"/>
                <w:szCs w:val="16"/>
                <w:color w:val="auto"/>
              </w:rPr>
              <w:t>Terreno Park Union City LLC,</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color w:val="auto"/>
              </w:rPr>
              <w:t>Tenaya Therapeutics, Inc.,</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a Delaware limited liability company</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500" w:type="dxa"/>
            <w:vAlign w:val="bottom"/>
            <w:gridSpan w:val="5"/>
          </w:tcPr>
          <w:p>
            <w:pPr>
              <w:ind w:left="600"/>
              <w:spacing w:after="0"/>
              <w:rPr>
                <w:sz w:val="20"/>
                <w:szCs w:val="20"/>
                <w:color w:val="auto"/>
              </w:rPr>
            </w:pPr>
            <w:r>
              <w:rPr>
                <w:rFonts w:ascii="Arial" w:cs="Arial" w:eastAsia="Arial" w:hAnsi="Arial"/>
                <w:sz w:val="16"/>
                <w:szCs w:val="16"/>
                <w:color w:val="auto"/>
              </w:rPr>
              <w:t>a Delaware corporation</w:t>
            </w:r>
          </w:p>
        </w:tc>
        <w:tc>
          <w:tcPr>
            <w:tcW w:w="0" w:type="dxa"/>
            <w:vAlign w:val="bottom"/>
          </w:tcPr>
          <w:p>
            <w:pPr>
              <w:spacing w:after="0"/>
              <w:rPr>
                <w:sz w:val="1"/>
                <w:szCs w:val="1"/>
                <w:color w:val="auto"/>
              </w:rPr>
            </w:pPr>
          </w:p>
        </w:tc>
      </w:tr>
      <w:tr>
        <w:trPr>
          <w:trHeight w:val="389"/>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Pr>
          <w:p>
            <w:pPr>
              <w:ind w:left="120"/>
              <w:spacing w:after="0"/>
              <w:rPr>
                <w:sz w:val="20"/>
                <w:szCs w:val="20"/>
                <w:color w:val="auto"/>
              </w:rPr>
            </w:pPr>
            <w:r>
              <w:rPr>
                <w:rFonts w:ascii="Arial" w:cs="Arial" w:eastAsia="Arial" w:hAnsi="Arial"/>
                <w:sz w:val="16"/>
                <w:szCs w:val="16"/>
                <w:color w:val="auto"/>
              </w:rPr>
              <w:t>Terreno Realty LLC,</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80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380" w:type="dxa"/>
            <w:vAlign w:val="bottom"/>
          </w:tcPr>
          <w:p>
            <w:pPr>
              <w:ind w:left="40"/>
              <w:spacing w:after="0" w:line="181" w:lineRule="exact"/>
              <w:rPr>
                <w:sz w:val="20"/>
                <w:szCs w:val="20"/>
                <w:color w:val="auto"/>
              </w:rPr>
            </w:pPr>
            <w:r>
              <w:rPr>
                <w:rFonts w:ascii="Arial" w:cs="Arial" w:eastAsia="Arial" w:hAnsi="Arial"/>
                <w:sz w:val="16"/>
                <w:szCs w:val="16"/>
                <w:color w:val="auto"/>
                <w:w w:val="91"/>
              </w:rPr>
              <w:t>a Delaware limited liability company</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500" w:type="dxa"/>
            <w:vAlign w:val="bottom"/>
            <w:gridSpan w:val="5"/>
          </w:tcPr>
          <w:p>
            <w:pPr>
              <w:ind w:left="800"/>
              <w:spacing w:after="0" w:line="181" w:lineRule="exact"/>
              <w:rPr>
                <w:sz w:val="20"/>
                <w:szCs w:val="20"/>
                <w:color w:val="auto"/>
              </w:rPr>
            </w:pPr>
            <w:r>
              <w:rPr>
                <w:rFonts w:ascii="Arial" w:cs="Arial" w:eastAsia="Arial" w:hAnsi="Arial"/>
                <w:sz w:val="16"/>
                <w:szCs w:val="16"/>
                <w:color w:val="auto"/>
              </w:rPr>
              <w:t>Name:</w:t>
            </w:r>
          </w:p>
        </w:tc>
        <w:tc>
          <w:tcPr>
            <w:tcW w:w="0" w:type="dxa"/>
            <w:vAlign w:val="bottom"/>
          </w:tcPr>
          <w:p>
            <w:pPr>
              <w:spacing w:after="0"/>
              <w:rPr>
                <w:sz w:val="1"/>
                <w:szCs w:val="1"/>
                <w:color w:val="auto"/>
              </w:rPr>
            </w:pPr>
          </w:p>
        </w:tc>
      </w:tr>
      <w:tr>
        <w:trPr>
          <w:trHeight w:val="180"/>
        </w:trPr>
        <w:tc>
          <w:tcPr>
            <w:tcW w:w="280" w:type="dxa"/>
            <w:vAlign w:val="bottom"/>
          </w:tcPr>
          <w:p>
            <w:pPr>
              <w:spacing w:after="0"/>
              <w:rPr>
                <w:sz w:val="15"/>
                <w:szCs w:val="15"/>
                <w:color w:val="auto"/>
              </w:rPr>
            </w:pPr>
          </w:p>
        </w:tc>
        <w:tc>
          <w:tcPr>
            <w:tcW w:w="2380" w:type="dxa"/>
            <w:vAlign w:val="bottom"/>
          </w:tcPr>
          <w:p>
            <w:pPr>
              <w:ind w:left="100"/>
              <w:spacing w:after="0" w:line="180" w:lineRule="exact"/>
              <w:rPr>
                <w:sz w:val="20"/>
                <w:szCs w:val="20"/>
                <w:color w:val="auto"/>
              </w:rPr>
            </w:pPr>
            <w:r>
              <w:rPr>
                <w:rFonts w:ascii="Arial" w:cs="Arial" w:eastAsia="Arial" w:hAnsi="Arial"/>
                <w:sz w:val="16"/>
                <w:szCs w:val="16"/>
                <w:color w:val="auto"/>
              </w:rPr>
              <w:t>its member</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gridSpan w:val="3"/>
          </w:tcPr>
          <w:p>
            <w:pPr>
              <w:ind w:left="760"/>
              <w:spacing w:after="0" w:line="180" w:lineRule="exact"/>
              <w:rPr>
                <w:sz w:val="20"/>
                <w:szCs w:val="20"/>
                <w:color w:val="auto"/>
              </w:rPr>
            </w:pPr>
            <w:r>
              <w:rPr>
                <w:rFonts w:ascii="Arial" w:cs="Arial" w:eastAsia="Arial" w:hAnsi="Arial"/>
                <w:sz w:val="16"/>
                <w:szCs w:val="16"/>
                <w:color w:val="auto"/>
              </w:rPr>
              <w:t>Its:</w:t>
            </w:r>
          </w:p>
        </w:tc>
        <w:tc>
          <w:tcPr>
            <w:tcW w:w="480" w:type="dxa"/>
            <w:vAlign w:val="bottom"/>
            <w:tcBorders>
              <w:top w:val="single" w:sz="8" w:color="auto"/>
            </w:tcBorders>
          </w:tcPr>
          <w:p>
            <w:pPr>
              <w:spacing w:after="0"/>
              <w:rPr>
                <w:sz w:val="15"/>
                <w:szCs w:val="15"/>
                <w:color w:val="auto"/>
              </w:rPr>
            </w:pPr>
          </w:p>
        </w:tc>
        <w:tc>
          <w:tcPr>
            <w:tcW w:w="3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Pr>
          <w:p>
            <w:pPr>
              <w:ind w:left="100"/>
              <w:spacing w:after="0"/>
              <w:rPr>
                <w:sz w:val="20"/>
                <w:szCs w:val="20"/>
                <w:color w:val="auto"/>
              </w:rPr>
            </w:pPr>
            <w:r>
              <w:rPr>
                <w:rFonts w:ascii="Arial" w:cs="Arial" w:eastAsia="Arial" w:hAnsi="Arial"/>
                <w:sz w:val="16"/>
                <w:szCs w:val="16"/>
                <w:color w:val="auto"/>
              </w:rPr>
              <w:t>Terreno Realty Corporation,</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0" w:type="dxa"/>
            <w:vAlign w:val="bottom"/>
          </w:tcPr>
          <w:p>
            <w:pPr>
              <w:spacing w:after="0"/>
              <w:rPr>
                <w:sz w:val="17"/>
                <w:szCs w:val="17"/>
                <w:color w:val="auto"/>
              </w:rPr>
            </w:pPr>
          </w:p>
        </w:tc>
        <w:tc>
          <w:tcPr>
            <w:tcW w:w="2380" w:type="dxa"/>
            <w:vAlign w:val="bottom"/>
          </w:tcPr>
          <w:p>
            <w:pPr>
              <w:ind w:left="100"/>
              <w:spacing w:after="0"/>
              <w:rPr>
                <w:sz w:val="20"/>
                <w:szCs w:val="20"/>
                <w:color w:val="auto"/>
              </w:rPr>
            </w:pPr>
            <w:r>
              <w:rPr>
                <w:rFonts w:ascii="Arial" w:cs="Arial" w:eastAsia="Arial" w:hAnsi="Arial"/>
                <w:sz w:val="16"/>
                <w:szCs w:val="16"/>
                <w:color w:val="auto"/>
              </w:rPr>
              <w:t>a Maryland corporation</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1"/>
        </w:trPr>
        <w:tc>
          <w:tcPr>
            <w:tcW w:w="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gridSpan w:val="4"/>
          </w:tcPr>
          <w:p>
            <w:pPr>
              <w:ind w:left="800"/>
              <w:spacing w:after="0"/>
              <w:rPr>
                <w:sz w:val="20"/>
                <w:szCs w:val="20"/>
                <w:color w:val="auto"/>
              </w:rPr>
            </w:pPr>
            <w:r>
              <w:rPr>
                <w:rFonts w:ascii="Arial" w:cs="Arial" w:eastAsia="Arial" w:hAnsi="Arial"/>
                <w:sz w:val="16"/>
                <w:szCs w:val="16"/>
                <w:color w:val="auto"/>
              </w:rPr>
              <w:t>Executed at:</w:t>
            </w: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20"/>
                <w:szCs w:val="20"/>
                <w:color w:val="auto"/>
              </w:rPr>
            </w:pPr>
            <w:r>
              <w:rPr>
                <w:rFonts w:ascii="Arial" w:cs="Arial" w:eastAsia="Arial" w:hAnsi="Arial"/>
                <w:sz w:val="16"/>
                <w:szCs w:val="16"/>
                <w:color w:val="auto"/>
              </w:rPr>
              <w:t>By:</w:t>
            </w:r>
          </w:p>
        </w:tc>
        <w:tc>
          <w:tcPr>
            <w:tcW w:w="2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500" w:type="dxa"/>
            <w:vAlign w:val="bottom"/>
            <w:gridSpan w:val="5"/>
            <w:vMerge w:val="restart"/>
          </w:tcPr>
          <w:p>
            <w:pPr>
              <w:ind w:left="760"/>
              <w:spacing w:after="0"/>
              <w:rPr>
                <w:sz w:val="20"/>
                <w:szCs w:val="20"/>
                <w:color w:val="auto"/>
              </w:rPr>
            </w:pPr>
            <w:r>
              <w:rPr>
                <w:rFonts w:ascii="Arial" w:cs="Arial" w:eastAsia="Arial" w:hAnsi="Arial"/>
                <w:sz w:val="16"/>
                <w:szCs w:val="16"/>
                <w:color w:val="auto"/>
              </w:rPr>
              <w:t>on:</w:t>
            </w:r>
          </w:p>
        </w:tc>
        <w:tc>
          <w:tcPr>
            <w:tcW w:w="0" w:type="dxa"/>
            <w:vAlign w:val="bottom"/>
          </w:tcPr>
          <w:p>
            <w:pPr>
              <w:spacing w:after="0"/>
              <w:rPr>
                <w:sz w:val="1"/>
                <w:szCs w:val="1"/>
                <w:color w:val="auto"/>
              </w:rPr>
            </w:pPr>
          </w:p>
        </w:tc>
      </w:tr>
      <w:tr>
        <w:trPr>
          <w:trHeight w:val="192"/>
        </w:trPr>
        <w:tc>
          <w:tcPr>
            <w:tcW w:w="2660" w:type="dxa"/>
            <w:vAlign w:val="bottom"/>
            <w:gridSpan w:val="2"/>
          </w:tcPr>
          <w:p>
            <w:pPr>
              <w:spacing w:after="0"/>
              <w:rPr>
                <w:sz w:val="20"/>
                <w:szCs w:val="20"/>
                <w:color w:val="auto"/>
              </w:rPr>
            </w:pPr>
            <w:r>
              <w:rPr>
                <w:rFonts w:ascii="Arial" w:cs="Arial" w:eastAsia="Arial" w:hAnsi="Arial"/>
                <w:sz w:val="16"/>
                <w:szCs w:val="16"/>
                <w:color w:val="auto"/>
              </w:rPr>
              <w:t>Name:</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5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-6350</wp:posOffset>
            </wp:positionV>
            <wp:extent cx="5801995" cy="762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80199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3175</wp:posOffset>
            </wp:positionV>
            <wp:extent cx="2500630" cy="762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Executed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10795</wp:posOffset>
            </wp:positionV>
            <wp:extent cx="2073910" cy="762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07391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10795</wp:posOffset>
            </wp:positionV>
            <wp:extent cx="2500630"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00630" cy="7620"/>
                    </a:xfrm>
                    <a:prstGeom prst="rect">
                      <a:avLst/>
                    </a:prstGeom>
                    <a:noFill/>
                  </pic:spPr>
                </pic:pic>
              </a:graphicData>
            </a:graphic>
          </wp:anchor>
        </w:drawing>
      </w:r>
    </w:p>
    <w:p>
      <w:pPr>
        <w:sectPr>
          <w:pgSz w:w="11900" w:h="16838" w:orient="portrait"/>
          <w:cols w:equalWidth="0" w:num="1">
            <w:col w:w="9620"/>
          </w:cols>
          <w:pgMar w:left="1140" w:top="252" w:right="1139" w:bottom="1440" w:gutter="0" w:footer="0" w:header="0"/>
        </w:sectPr>
      </w:pPr>
    </w:p>
    <w:bookmarkStart w:id="520" w:name="page521"/>
    <w:bookmarkEnd w:id="52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“C”</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TENANT MOVE-IN AND LEASE RENEWAL ENVIRONMENTAL QUESTIONNAIRE FOR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COMMERCIAL AND INDUSTRIAL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Name: </w:t>
      </w:r>
      <w:r>
        <w:rPr>
          <w:rFonts w:ascii="Arial" w:cs="Arial" w:eastAsia="Arial" w:hAnsi="Arial"/>
          <w:sz w:val="16"/>
          <w:szCs w:val="16"/>
          <w:u w:val="single" w:color="auto"/>
          <w:color w:val="auto"/>
        </w:rPr>
        <w:t>Central Pacific Business Park</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Address: </w:t>
      </w:r>
      <w:r>
        <w:rPr>
          <w:rFonts w:ascii="Arial" w:cs="Arial" w:eastAsia="Arial" w:hAnsi="Arial"/>
          <w:sz w:val="16"/>
          <w:szCs w:val="16"/>
          <w:u w:val="single" w:color="auto"/>
          <w:color w:val="auto"/>
        </w:rPr>
        <w:t>33498 Central Avenue, Union City, CA 94587</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Exhibit to Industrial Lease Dated </w:t>
      </w:r>
      <w:r>
        <w:rPr>
          <w:rFonts w:ascii="Arial" w:cs="Arial" w:eastAsia="Arial" w:hAnsi="Arial"/>
          <w:sz w:val="16"/>
          <w:szCs w:val="16"/>
          <w:u w:val="single" w:color="auto"/>
          <w:color w:val="auto"/>
        </w:rPr>
        <w:t>February 12, 2021</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Between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Tenaya Therapeutics,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(“Tenant”)</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Terreno Park Union City LLC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(“Landlord”)</w:t>
      </w:r>
    </w:p>
    <w:p>
      <w:pPr>
        <w:spacing w:after="0" w:line="182"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i w:val="1"/>
          <w:iCs w:val="1"/>
          <w:color w:val="auto"/>
        </w:rPr>
        <w:t>Instructions: The following questionnaire is to be completed by the Tenant Representative with knowledge of the planned/existing operations for the specified building/location. A copy of the completed form must be attached to all new leases and renewals, and forwarded to the Owner’s Risk Management Department.</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5"/>
          <w:szCs w:val="15"/>
          <w:b w:val="1"/>
          <w:bCs w:val="1"/>
          <w:u w:val="single" w:color="auto"/>
          <w:color w:val="auto"/>
        </w:rPr>
        <w:t>PLANNED USE/OPERATIONS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3"/>
          <w:szCs w:val="13"/>
          <w:color w:val="auto"/>
        </w:rPr>
        <w:t>Describe planned use (new Lease) or existing operations (lease renewal), and include brief description of manufacturing processes employed.</w:t>
      </w:r>
    </w:p>
    <w:p>
      <w:pPr>
        <w:spacing w:after="0" w:line="99" w:lineRule="exact"/>
        <w:rPr>
          <w:sz w:val="20"/>
          <w:szCs w:val="20"/>
          <w:color w:val="auto"/>
        </w:rPr>
      </w:pPr>
    </w:p>
    <w:p>
      <w:pPr>
        <w:ind w:left="380" w:right="320"/>
        <w:spacing w:after="0" w:line="266" w:lineRule="auto"/>
        <w:rPr>
          <w:sz w:val="20"/>
          <w:szCs w:val="20"/>
          <w:color w:val="auto"/>
        </w:rPr>
      </w:pPr>
      <w:r>
        <w:rPr>
          <w:rFonts w:ascii="Arial" w:cs="Arial" w:eastAsia="Arial" w:hAnsi="Arial"/>
          <w:sz w:val="16"/>
          <w:szCs w:val="16"/>
          <w:color w:val="auto"/>
        </w:rPr>
        <w:t>Planned use is for Good Manufacturing Production (GMP) of pharmaceutical products targeting heart disease. Tenaya manufacturing process entails gene therapy product production.</w:t>
      </w:r>
    </w:p>
    <w:p>
      <w:pPr>
        <w:spacing w:after="0" w:line="28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2.0</w:t>
      </w:r>
      <w:r>
        <w:rPr>
          <w:sz w:val="20"/>
          <w:szCs w:val="20"/>
          <w:color w:val="auto"/>
        </w:rPr>
        <w:tab/>
      </w:r>
      <w:r>
        <w:rPr>
          <w:rFonts w:ascii="Arial" w:cs="Arial" w:eastAsia="Arial" w:hAnsi="Arial"/>
          <w:sz w:val="15"/>
          <w:szCs w:val="15"/>
          <w:b w:val="1"/>
          <w:bCs w:val="1"/>
          <w:color w:val="auto"/>
        </w:rPr>
        <w:t>HAZARDOUS MATERIALS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3"/>
          <w:szCs w:val="13"/>
          <w:color w:val="auto"/>
        </w:rPr>
        <w:t>Are hazardous materials used or stored? If so, continue with the next question. If not, go to Section 3.0.</w:t>
      </w:r>
    </w:p>
    <w:p>
      <w:pPr>
        <w:spacing w:after="0" w:line="111" w:lineRule="exact"/>
        <w:rPr>
          <w:sz w:val="20"/>
          <w:szCs w:val="20"/>
          <w:color w:val="auto"/>
        </w:rPr>
      </w:pPr>
    </w:p>
    <w:p>
      <w:pPr>
        <w:ind w:left="380" w:hanging="376"/>
        <w:spacing w:after="0" w:line="383" w:lineRule="auto"/>
        <w:tabs>
          <w:tab w:leader="none" w:pos="36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3"/>
          <w:szCs w:val="13"/>
          <w:color w:val="auto"/>
        </w:rPr>
        <w:t>Are any of the following materials handled on the property? (A material is handled if it is used, generated, processed, produced, packaged, treated, stored, emitted, discharged, or disposed.) If so, complete this section. If this question is not applicable, skip this section and go on to Section 5.0.</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Explosives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Fuels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Oils</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Solvents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Oxidizers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w w:val="96"/>
              </w:rPr>
              <w:t>☒</w:t>
            </w:r>
            <w:r>
              <w:rPr>
                <w:rFonts w:ascii="Arial" w:cs="Arial" w:eastAsia="Arial" w:hAnsi="Arial"/>
                <w:sz w:val="16"/>
                <w:szCs w:val="16"/>
                <w:color w:val="auto"/>
                <w:w w:val="96"/>
              </w:rPr>
              <w:t>Organics/Inorganics</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Acids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Bases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Pesticides</w:t>
            </w:r>
          </w:p>
        </w:tc>
      </w:tr>
      <w:tr>
        <w:trPr>
          <w:trHeight w:val="225"/>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720" w:type="dxa"/>
            <w:vAlign w:val="bottom"/>
          </w:tcPr>
          <w:p>
            <w:pPr>
              <w:ind w:left="100"/>
              <w:spacing w:after="0"/>
              <w:rPr>
                <w:sz w:val="20"/>
                <w:szCs w:val="20"/>
                <w:color w:val="auto"/>
              </w:rPr>
            </w:pPr>
            <w:r>
              <w:rPr>
                <w:rFonts w:ascii="Arial" w:cs="Arial" w:eastAsia="Arial" w:hAnsi="Arial"/>
                <w:sz w:val="16"/>
                <w:szCs w:val="16"/>
                <w:color w:val="auto"/>
              </w:rPr>
              <w:t>Gases</w:t>
            </w:r>
          </w:p>
        </w:tc>
        <w:tc>
          <w:tcPr>
            <w:tcW w:w="1880" w:type="dxa"/>
            <w:vAlign w:val="bottom"/>
          </w:tcPr>
          <w:p>
            <w:pPr>
              <w:ind w:left="9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PCBs</w:t>
            </w:r>
          </w:p>
        </w:tc>
        <w:tc>
          <w:tcPr>
            <w:tcW w:w="1720" w:type="dxa"/>
            <w:vAlign w:val="bottom"/>
          </w:tcPr>
          <w:p>
            <w:pPr>
              <w:ind w:left="180"/>
              <w:spacing w:after="0" w:line="184" w:lineRule="exact"/>
              <w:rPr>
                <w:sz w:val="20"/>
                <w:szCs w:val="20"/>
                <w:color w:val="auto"/>
              </w:rPr>
            </w:pPr>
            <w:r>
              <w:rPr>
                <w:rFonts w:ascii="MS PGothic" w:cs="MS PGothic" w:eastAsia="MS PGothic" w:hAnsi="MS PGothic"/>
                <w:sz w:val="16"/>
                <w:szCs w:val="16"/>
                <w:color w:val="auto"/>
                <w:w w:val="89"/>
              </w:rPr>
              <w:t>☐</w:t>
            </w:r>
            <w:r>
              <w:rPr>
                <w:rFonts w:ascii="Arial" w:cs="Arial" w:eastAsia="Arial" w:hAnsi="Arial"/>
                <w:sz w:val="16"/>
                <w:szCs w:val="16"/>
                <w:color w:val="auto"/>
                <w:w w:val="89"/>
              </w:rPr>
              <w:t>Radioactive Materials</w:t>
            </w:r>
          </w:p>
        </w:tc>
      </w:tr>
    </w:tbl>
    <w:p>
      <w:pPr>
        <w:ind w:left="740" w:hanging="353"/>
        <w:spacing w:after="0"/>
        <w:tabs>
          <w:tab w:leader="none" w:pos="740" w:val="left"/>
        </w:tabs>
        <w:numPr>
          <w:ilvl w:val="0"/>
          <w:numId w:val="389"/>
        </w:numPr>
        <w:rPr>
          <w:rFonts w:ascii="MS PGothic" w:cs="MS PGothic" w:eastAsia="MS PGothic" w:hAnsi="MS PGothic"/>
          <w:sz w:val="16"/>
          <w:szCs w:val="16"/>
          <w:color w:val="auto"/>
        </w:rPr>
      </w:pPr>
      <w:r>
        <w:rPr>
          <w:rFonts w:ascii="Arial" w:cs="Arial" w:eastAsia="Arial" w:hAnsi="Arial"/>
          <w:sz w:val="16"/>
          <w:szCs w:val="16"/>
          <w:color w:val="auto"/>
        </w:rPr>
        <w:t>Other (please specify)</w:t>
      </w:r>
    </w:p>
    <w:p>
      <w:pPr>
        <w:spacing w:after="0" w:line="103" w:lineRule="exact"/>
        <w:rPr>
          <w:sz w:val="20"/>
          <w:szCs w:val="20"/>
          <w:color w:val="auto"/>
        </w:rPr>
      </w:pPr>
    </w:p>
    <w:p>
      <w:pPr>
        <w:ind w:left="380" w:right="200" w:hanging="376"/>
        <w:spacing w:after="0" w:line="266" w:lineRule="auto"/>
        <w:tabs>
          <w:tab w:leader="none" w:pos="360" w:val="left"/>
        </w:tabs>
        <w:rPr>
          <w:sz w:val="20"/>
          <w:szCs w:val="20"/>
          <w:color w:val="auto"/>
        </w:rPr>
      </w:pPr>
      <w:r>
        <w:rPr>
          <w:rFonts w:ascii="Arial" w:cs="Arial" w:eastAsia="Arial" w:hAnsi="Arial"/>
          <w:sz w:val="16"/>
          <w:szCs w:val="16"/>
          <w:color w:val="auto"/>
        </w:rPr>
        <w:t>2-3.</w:t>
        <w:tab/>
        <w:t>For the following groups of chemicals, please check the type(s), use(s), and quantity of each chemical used or stored on the site. Attach either a chemical inventory or list the chemicals in each category.</w:t>
      </w:r>
    </w:p>
    <w:p>
      <w:pPr>
        <w:spacing w:after="0" w:line="154" w:lineRule="exact"/>
        <w:rPr>
          <w:sz w:val="20"/>
          <w:szCs w:val="20"/>
          <w:color w:val="auto"/>
        </w:rPr>
      </w:pPr>
    </w:p>
    <w:tbl>
      <w:tblPr>
        <w:tblLayout w:type="fixed"/>
        <w:tblInd w:w="380" w:type="dxa"/>
        <w:tblCellMar>
          <w:top w:w="0" w:type="dxa"/>
          <w:left w:w="0" w:type="dxa"/>
          <w:bottom w:w="0" w:type="dxa"/>
          <w:right w:w="0" w:type="dxa"/>
        </w:tblCellMar>
      </w:tblPr>
      <w:tr>
        <w:trPr>
          <w:trHeight w:val="246"/>
        </w:trPr>
        <w:tc>
          <w:tcPr>
            <w:tcW w:w="2080" w:type="dxa"/>
            <w:vAlign w:val="bottom"/>
            <w:gridSpan w:val="5"/>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Solvents</w:t>
            </w:r>
          </w:p>
        </w:tc>
        <w:tc>
          <w:tcPr>
            <w:tcW w:w="1200" w:type="dxa"/>
            <w:vAlign w:val="bottom"/>
            <w:gridSpan w:val="2"/>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Gases</w:t>
            </w: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31"/>
        </w:trPr>
        <w:tc>
          <w:tcPr>
            <w:tcW w:w="1720" w:type="dxa"/>
            <w:vAlign w:val="bottom"/>
            <w:gridSpan w:val="3"/>
          </w:tcPr>
          <w:p>
            <w:pPr>
              <w:spacing w:after="0"/>
              <w:rPr>
                <w:sz w:val="20"/>
                <w:szCs w:val="20"/>
                <w:color w:val="auto"/>
              </w:rPr>
            </w:pPr>
            <w:r>
              <w:rPr>
                <w:rFonts w:ascii="Arial" w:cs="Arial" w:eastAsia="Arial" w:hAnsi="Arial"/>
                <w:sz w:val="16"/>
                <w:szCs w:val="16"/>
                <w:color w:val="auto"/>
                <w:w w:val="88"/>
              </w:rPr>
              <w:t>Type: Ethanol, Isopropanol</w:t>
            </w:r>
          </w:p>
        </w:tc>
        <w:tc>
          <w:tcPr>
            <w:tcW w:w="360" w:type="dxa"/>
            <w:vAlign w:val="bottom"/>
            <w:gridSpan w:val="2"/>
          </w:tcPr>
          <w:p>
            <w:pPr>
              <w:spacing w:after="0"/>
              <w:rPr>
                <w:sz w:val="20"/>
                <w:szCs w:val="20"/>
                <w:color w:val="auto"/>
              </w:rPr>
            </w:pP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w w:val="99"/>
              </w:rPr>
              <w:t>Type:</w:t>
            </w:r>
          </w:p>
        </w:tc>
        <w:tc>
          <w:tcPr>
            <w:tcW w:w="2080" w:type="dxa"/>
            <w:vAlign w:val="bottom"/>
            <w:gridSpan w:val="4"/>
          </w:tcPr>
          <w:p>
            <w:pPr>
              <w:ind w:left="100"/>
              <w:spacing w:after="0"/>
              <w:rPr>
                <w:sz w:val="20"/>
                <w:szCs w:val="20"/>
                <w:color w:val="auto"/>
              </w:rPr>
            </w:pPr>
            <w:r>
              <w:rPr>
                <w:rFonts w:ascii="Arial" w:cs="Arial" w:eastAsia="Arial" w:hAnsi="Arial"/>
                <w:sz w:val="16"/>
                <w:szCs w:val="16"/>
                <w:color w:val="auto"/>
              </w:rPr>
              <w:t>O2, N2, CO2</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2080" w:type="dxa"/>
            <w:vAlign w:val="bottom"/>
            <w:gridSpan w:val="5"/>
          </w:tcPr>
          <w:p>
            <w:pPr>
              <w:spacing w:after="0"/>
              <w:rPr>
                <w:sz w:val="20"/>
                <w:szCs w:val="20"/>
                <w:color w:val="auto"/>
              </w:rPr>
            </w:pPr>
            <w:r>
              <w:rPr>
                <w:rFonts w:ascii="Arial" w:cs="Arial" w:eastAsia="Arial" w:hAnsi="Arial"/>
                <w:sz w:val="16"/>
                <w:szCs w:val="16"/>
                <w:color w:val="auto"/>
                <w:w w:val="96"/>
              </w:rPr>
              <w:t>Use: disinfecting and cleaning</w:t>
            </w:r>
          </w:p>
        </w:tc>
        <w:tc>
          <w:tcPr>
            <w:tcW w:w="1200" w:type="dxa"/>
            <w:vAlign w:val="bottom"/>
            <w:gridSpan w:val="2"/>
          </w:tcPr>
          <w:p>
            <w:pPr>
              <w:ind w:left="780"/>
              <w:spacing w:after="0"/>
              <w:rPr>
                <w:sz w:val="20"/>
                <w:szCs w:val="20"/>
                <w:color w:val="auto"/>
              </w:rPr>
            </w:pPr>
            <w:r>
              <w:rPr>
                <w:rFonts w:ascii="Arial" w:cs="Arial" w:eastAsia="Arial" w:hAnsi="Arial"/>
                <w:sz w:val="16"/>
                <w:szCs w:val="16"/>
                <w:color w:val="auto"/>
              </w:rPr>
              <w:t>Use:</w:t>
            </w:r>
          </w:p>
        </w:tc>
        <w:tc>
          <w:tcPr>
            <w:tcW w:w="2080" w:type="dxa"/>
            <w:vAlign w:val="bottom"/>
            <w:gridSpan w:val="4"/>
          </w:tcPr>
          <w:p>
            <w:pPr>
              <w:ind w:left="60"/>
              <w:spacing w:after="0"/>
              <w:rPr>
                <w:sz w:val="20"/>
                <w:szCs w:val="20"/>
                <w:color w:val="auto"/>
              </w:rPr>
            </w:pPr>
            <w:r>
              <w:rPr>
                <w:rFonts w:ascii="Arial" w:cs="Arial" w:eastAsia="Arial" w:hAnsi="Arial"/>
                <w:sz w:val="16"/>
                <w:szCs w:val="16"/>
                <w:color w:val="auto"/>
                <w:w w:val="86"/>
              </w:rPr>
              <w:t>temperature control and process</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r>
      <w:tr>
        <w:trPr>
          <w:trHeight w:val="263"/>
        </w:trPr>
        <w:tc>
          <w:tcPr>
            <w:tcW w:w="2080" w:type="dxa"/>
            <w:vAlign w:val="bottom"/>
            <w:gridSpan w:val="5"/>
          </w:tcPr>
          <w:p>
            <w:pPr>
              <w:spacing w:after="0"/>
              <w:rPr>
                <w:sz w:val="20"/>
                <w:szCs w:val="20"/>
                <w:color w:val="auto"/>
              </w:rPr>
            </w:pPr>
            <w:r>
              <w:rPr>
                <w:rFonts w:ascii="Arial" w:cs="Arial" w:eastAsia="Arial" w:hAnsi="Arial"/>
                <w:sz w:val="16"/>
                <w:szCs w:val="16"/>
                <w:color w:val="auto"/>
              </w:rPr>
              <w:t>Quantity:   50 gal</w:t>
            </w: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Quantity:   3600 lbs</w:t>
            </w: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15"/>
        </w:trPr>
        <w:tc>
          <w:tcPr>
            <w:tcW w:w="2080" w:type="dxa"/>
            <w:vAlign w:val="bottom"/>
            <w:gridSpan w:val="5"/>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Inorganic</w:t>
            </w:r>
          </w:p>
        </w:tc>
        <w:tc>
          <w:tcPr>
            <w:tcW w:w="1200" w:type="dxa"/>
            <w:vAlign w:val="bottom"/>
            <w:gridSpan w:val="2"/>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Acids</w:t>
            </w: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1"/>
        </w:trPr>
        <w:tc>
          <w:tcPr>
            <w:tcW w:w="1820" w:type="dxa"/>
            <w:vAlign w:val="bottom"/>
            <w:gridSpan w:val="4"/>
          </w:tcPr>
          <w:p>
            <w:pPr>
              <w:spacing w:after="0"/>
              <w:rPr>
                <w:sz w:val="20"/>
                <w:szCs w:val="20"/>
                <w:color w:val="auto"/>
              </w:rPr>
            </w:pPr>
            <w:r>
              <w:rPr>
                <w:rFonts w:ascii="Arial" w:cs="Arial" w:eastAsia="Arial" w:hAnsi="Arial"/>
                <w:sz w:val="16"/>
                <w:szCs w:val="16"/>
                <w:color w:val="auto"/>
              </w:rPr>
              <w:t>Type:</w:t>
            </w:r>
          </w:p>
        </w:tc>
        <w:tc>
          <w:tcPr>
            <w:tcW w:w="260" w:type="dxa"/>
            <w:vAlign w:val="bottom"/>
          </w:tcPr>
          <w:p>
            <w:pPr>
              <w:spacing w:after="0"/>
              <w:rPr>
                <w:sz w:val="20"/>
                <w:szCs w:val="20"/>
                <w:color w:val="auto"/>
              </w:rPr>
            </w:pP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Type: Phosphoric acid, Acetic acid</w:t>
            </w:r>
          </w:p>
        </w:tc>
      </w:tr>
      <w:tr>
        <w:trPr>
          <w:trHeight w:val="20"/>
        </w:trPr>
        <w:tc>
          <w:tcPr>
            <w:tcW w:w="182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3"/>
        </w:trPr>
        <w:tc>
          <w:tcPr>
            <w:tcW w:w="1820" w:type="dxa"/>
            <w:vAlign w:val="bottom"/>
            <w:gridSpan w:val="4"/>
          </w:tcPr>
          <w:p>
            <w:pPr>
              <w:spacing w:after="0"/>
              <w:rPr>
                <w:sz w:val="20"/>
                <w:szCs w:val="20"/>
                <w:color w:val="auto"/>
              </w:rPr>
            </w:pPr>
            <w:r>
              <w:rPr>
                <w:rFonts w:ascii="Arial" w:cs="Arial" w:eastAsia="Arial" w:hAnsi="Arial"/>
                <w:sz w:val="16"/>
                <w:szCs w:val="16"/>
                <w:color w:val="auto"/>
              </w:rPr>
              <w:t>Use:</w:t>
            </w:r>
          </w:p>
        </w:tc>
        <w:tc>
          <w:tcPr>
            <w:tcW w:w="260" w:type="dxa"/>
            <w:vAlign w:val="bottom"/>
          </w:tcPr>
          <w:p>
            <w:pPr>
              <w:spacing w:after="0"/>
              <w:rPr>
                <w:sz w:val="22"/>
                <w:szCs w:val="22"/>
                <w:color w:val="auto"/>
              </w:rPr>
            </w:pPr>
          </w:p>
        </w:tc>
        <w:tc>
          <w:tcPr>
            <w:tcW w:w="3280" w:type="dxa"/>
            <w:vAlign w:val="bottom"/>
            <w:gridSpan w:val="6"/>
          </w:tcPr>
          <w:p>
            <w:pPr>
              <w:ind w:left="780"/>
              <w:spacing w:after="0"/>
              <w:rPr>
                <w:sz w:val="20"/>
                <w:szCs w:val="20"/>
                <w:color w:val="auto"/>
              </w:rPr>
            </w:pPr>
            <w:r>
              <w:rPr>
                <w:rFonts w:ascii="Arial" w:cs="Arial" w:eastAsia="Arial" w:hAnsi="Arial"/>
                <w:sz w:val="16"/>
                <w:szCs w:val="16"/>
                <w:color w:val="auto"/>
              </w:rPr>
              <w:t>Use: neutralization, lab reagent</w:t>
            </w:r>
          </w:p>
        </w:tc>
      </w:tr>
      <w:tr>
        <w:trPr>
          <w:trHeight w:val="20"/>
        </w:trPr>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9580"/>
          </w:cols>
          <w:pgMar w:left="1140" w:top="252" w:right="1179" w:bottom="1440" w:gutter="0" w:footer="0" w:header="0"/>
        </w:sectPr>
      </w:pPr>
    </w:p>
    <w:bookmarkStart w:id="521" w:name="page522"/>
    <w:bookmarkEnd w:id="52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184"/>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rPr>
              <w:t>50 gal</w:t>
            </w:r>
          </w:p>
        </w:tc>
      </w:tr>
      <w:tr>
        <w:trPr>
          <w:trHeight w:val="20"/>
        </w:trPr>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15"/>
        </w:trPr>
        <w:tc>
          <w:tcPr>
            <w:tcW w:w="660" w:type="dxa"/>
            <w:vAlign w:val="bottom"/>
            <w:gridSpan w:val="3"/>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Fuels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ind w:left="100"/>
              <w:spacing w:after="0" w:line="184" w:lineRule="exact"/>
              <w:rPr>
                <w:sz w:val="20"/>
                <w:szCs w:val="20"/>
                <w:color w:val="auto"/>
              </w:rPr>
            </w:pPr>
            <w:r>
              <w:rPr>
                <w:rFonts w:ascii="MS PGothic" w:cs="MS PGothic" w:eastAsia="MS PGothic" w:hAnsi="MS PGothic"/>
                <w:sz w:val="16"/>
                <w:szCs w:val="16"/>
                <w:color w:val="auto"/>
                <w:w w:val="94"/>
              </w:rPr>
              <w:t>☐</w:t>
            </w:r>
            <w:r>
              <w:rPr>
                <w:rFonts w:ascii="Arial" w:cs="Arial" w:eastAsia="Arial" w:hAnsi="Arial"/>
                <w:sz w:val="16"/>
                <w:szCs w:val="16"/>
                <w:b w:val="1"/>
                <w:bCs w:val="1"/>
                <w:color w:val="auto"/>
                <w:w w:val="94"/>
              </w:rPr>
              <w:t xml:space="preserve"> Explosives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1760" w:type="dxa"/>
            <w:vAlign w:val="bottom"/>
            <w:gridSpan w:val="12"/>
          </w:tcPr>
          <w:p>
            <w:pPr>
              <w:ind w:left="100"/>
              <w:spacing w:after="0"/>
              <w:rPr>
                <w:sz w:val="20"/>
                <w:szCs w:val="20"/>
                <w:color w:val="auto"/>
              </w:rPr>
            </w:pPr>
            <w:r>
              <w:rPr>
                <w:rFonts w:ascii="Arial" w:cs="Arial" w:eastAsia="Arial" w:hAnsi="Arial"/>
                <w:sz w:val="16"/>
                <w:szCs w:val="16"/>
                <w:color w:val="auto"/>
              </w:rPr>
              <w:t>Diesel</w:t>
            </w: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360" w:type="dxa"/>
            <w:vAlign w:val="bottom"/>
            <w:gridSpan w:val="9"/>
          </w:tcPr>
          <w:p>
            <w:pPr>
              <w:ind w:left="40"/>
              <w:spacing w:after="0"/>
              <w:rPr>
                <w:sz w:val="20"/>
                <w:szCs w:val="20"/>
                <w:color w:val="auto"/>
              </w:rPr>
            </w:pPr>
            <w:r>
              <w:rPr>
                <w:rFonts w:ascii="Arial" w:cs="Arial" w:eastAsia="Arial" w:hAnsi="Arial"/>
                <w:sz w:val="16"/>
                <w:szCs w:val="16"/>
                <w:color w:val="auto"/>
                <w:w w:val="85"/>
              </w:rPr>
              <w:t>emergency generator</w:t>
            </w:r>
          </w:p>
        </w:tc>
        <w:tc>
          <w:tcPr>
            <w:tcW w:w="400" w:type="dxa"/>
            <w:vAlign w:val="bottom"/>
            <w:gridSpan w:val="3"/>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315"/>
        </w:trPr>
        <w:tc>
          <w:tcPr>
            <w:tcW w:w="660" w:type="dxa"/>
            <w:vAlign w:val="bottom"/>
            <w:tcBorders>
              <w:top w:val="single" w:sz="8" w:color="auto"/>
            </w:tcBorders>
            <w:gridSpan w:val="3"/>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Oils</w:t>
            </w: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ind w:left="100"/>
              <w:spacing w:after="0" w:line="184" w:lineRule="exact"/>
              <w:rPr>
                <w:sz w:val="20"/>
                <w:szCs w:val="20"/>
                <w:color w:val="auto"/>
              </w:rPr>
            </w:pPr>
            <w:r>
              <w:rPr>
                <w:rFonts w:ascii="MS PGothic" w:cs="MS PGothic" w:eastAsia="MS PGothic" w:hAnsi="MS PGothic"/>
                <w:sz w:val="16"/>
                <w:szCs w:val="16"/>
                <w:color w:val="auto"/>
                <w:w w:val="88"/>
              </w:rPr>
              <w:t>☒</w:t>
            </w:r>
            <w:r>
              <w:rPr>
                <w:rFonts w:ascii="Arial" w:cs="Arial" w:eastAsia="Arial" w:hAnsi="Arial"/>
                <w:sz w:val="16"/>
                <w:szCs w:val="16"/>
                <w:b w:val="1"/>
                <w:bCs w:val="1"/>
                <w:color w:val="auto"/>
                <w:w w:val="88"/>
              </w:rPr>
              <w:t xml:space="preserve"> Bases</w:t>
            </w:r>
          </w:p>
        </w:tc>
        <w:tc>
          <w:tcPr>
            <w:tcW w:w="380" w:type="dxa"/>
            <w:vAlign w:val="bottom"/>
            <w:tcBorders>
              <w:top w:val="single" w:sz="8" w:color="auto"/>
            </w:tcBorders>
            <w:gridSpan w:val="3"/>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1"/>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980" w:type="dxa"/>
            <w:vAlign w:val="bottom"/>
            <w:gridSpan w:val="4"/>
          </w:tcPr>
          <w:p>
            <w:pPr>
              <w:ind w:left="100"/>
              <w:spacing w:after="0"/>
              <w:rPr>
                <w:sz w:val="20"/>
                <w:szCs w:val="20"/>
                <w:color w:val="auto"/>
              </w:rPr>
            </w:pPr>
            <w:r>
              <w:rPr>
                <w:rFonts w:ascii="Arial" w:cs="Arial" w:eastAsia="Arial" w:hAnsi="Arial"/>
                <w:sz w:val="16"/>
                <w:szCs w:val="16"/>
                <w:color w:val="auto"/>
              </w:rPr>
              <w:t>Pump oil</w:t>
            </w:r>
          </w:p>
        </w:tc>
        <w:tc>
          <w:tcPr>
            <w:tcW w:w="780" w:type="dxa"/>
            <w:vAlign w:val="bottom"/>
            <w:gridSpan w:val="8"/>
          </w:tcPr>
          <w:p>
            <w:pPr>
              <w:spacing w:after="0"/>
              <w:rPr>
                <w:sz w:val="20"/>
                <w:szCs w:val="20"/>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3200" w:type="dxa"/>
            <w:vAlign w:val="bottom"/>
            <w:gridSpan w:val="8"/>
          </w:tcPr>
          <w:p>
            <w:pPr>
              <w:ind w:left="180"/>
              <w:spacing w:after="0"/>
              <w:rPr>
                <w:sz w:val="20"/>
                <w:szCs w:val="20"/>
                <w:color w:val="auto"/>
              </w:rPr>
            </w:pPr>
            <w:r>
              <w:rPr>
                <w:rFonts w:ascii="Arial" w:cs="Arial" w:eastAsia="Arial" w:hAnsi="Arial"/>
                <w:sz w:val="16"/>
                <w:szCs w:val="16"/>
                <w:color w:val="auto"/>
              </w:rPr>
              <w:t>NaOH</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40" w:type="dxa"/>
            <w:vAlign w:val="bottom"/>
            <w:gridSpan w:val="13"/>
          </w:tcPr>
          <w:p>
            <w:pPr>
              <w:spacing w:after="0"/>
              <w:rPr>
                <w:sz w:val="20"/>
                <w:szCs w:val="20"/>
                <w:color w:val="auto"/>
              </w:rPr>
            </w:pPr>
            <w:r>
              <w:rPr>
                <w:rFonts w:ascii="Arial" w:cs="Arial" w:eastAsia="Arial" w:hAnsi="Arial"/>
                <w:sz w:val="16"/>
                <w:szCs w:val="16"/>
                <w:color w:val="auto"/>
                <w:w w:val="87"/>
              </w:rPr>
              <w:t>Use: vacuum pumps and motors</w:t>
            </w:r>
          </w:p>
        </w:tc>
        <w:tc>
          <w:tcPr>
            <w:tcW w:w="100" w:type="dxa"/>
            <w:vAlign w:val="bottom"/>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3200" w:type="dxa"/>
            <w:vAlign w:val="bottom"/>
            <w:gridSpan w:val="8"/>
          </w:tcPr>
          <w:p>
            <w:pPr>
              <w:ind w:left="20"/>
              <w:spacing w:after="0"/>
              <w:rPr>
                <w:sz w:val="20"/>
                <w:szCs w:val="20"/>
                <w:color w:val="auto"/>
              </w:rPr>
            </w:pPr>
            <w:r>
              <w:rPr>
                <w:rFonts w:ascii="Arial" w:cs="Arial" w:eastAsia="Arial" w:hAnsi="Arial"/>
                <w:sz w:val="16"/>
                <w:szCs w:val="16"/>
                <w:color w:val="auto"/>
              </w:rPr>
              <w:t>neutralization, sanitization</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40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500" w:type="dxa"/>
            <w:vAlign w:val="bottom"/>
            <w:gridSpan w:val="7"/>
          </w:tcPr>
          <w:p>
            <w:pPr>
              <w:spacing w:after="0"/>
              <w:rPr>
                <w:sz w:val="20"/>
                <w:szCs w:val="20"/>
                <w:color w:val="auto"/>
              </w:rPr>
            </w:pPr>
            <w:r>
              <w:rPr>
                <w:rFonts w:ascii="Arial" w:cs="Arial" w:eastAsia="Arial" w:hAnsi="Arial"/>
                <w:sz w:val="16"/>
                <w:szCs w:val="16"/>
                <w:color w:val="auto"/>
              </w:rPr>
              <w:t>Quantity: 50 gal</w:t>
            </w:r>
          </w:p>
        </w:tc>
        <w:tc>
          <w:tcPr>
            <w:tcW w:w="540" w:type="dxa"/>
            <w:vAlign w:val="bottom"/>
            <w:gridSpan w:val="6"/>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rPr>
              <w:t>50 gal</w:t>
            </w:r>
          </w:p>
        </w:tc>
      </w:tr>
      <w:tr>
        <w:trPr>
          <w:trHeight w:val="20"/>
        </w:trPr>
        <w:tc>
          <w:tcPr>
            <w:tcW w:w="160" w:type="dxa"/>
            <w:vAlign w:val="bottom"/>
            <w:shd w:val="clear" w:color="auto" w:fill="000000"/>
          </w:tcPr>
          <w:p>
            <w:pPr>
              <w:spacing w:after="0" w:line="20" w:lineRule="exact"/>
              <w:rPr>
                <w:sz w:val="1"/>
                <w:szCs w:val="1"/>
                <w:color w:val="auto"/>
              </w:rPr>
            </w:pPr>
          </w:p>
        </w:tc>
        <w:tc>
          <w:tcPr>
            <w:tcW w:w="110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500" w:type="dxa"/>
            <w:vAlign w:val="bottom"/>
            <w:gridSpan w:val="7"/>
          </w:tcPr>
          <w:p>
            <w:pPr>
              <w:spacing w:after="0" w:line="184" w:lineRule="exact"/>
              <w:rPr>
                <w:sz w:val="20"/>
                <w:szCs w:val="20"/>
                <w:color w:val="auto"/>
              </w:rPr>
            </w:pPr>
            <w:r>
              <w:rPr>
                <w:rFonts w:ascii="Arial" w:cs="Arial" w:eastAsia="Arial" w:hAnsi="Arial"/>
                <w:sz w:val="16"/>
                <w:szCs w:val="16"/>
                <w:b w:val="1"/>
                <w:bCs w:val="1"/>
                <w:color w:val="auto"/>
              </w:rPr>
              <w:t xml:space="preserve">X </w:t>
            </w:r>
            <w:r>
              <w:rPr>
                <w:rFonts w:ascii="MS PGothic" w:cs="MS PGothic" w:eastAsia="MS PGothic" w:hAnsi="MS PGothic"/>
                <w:sz w:val="16"/>
                <w:szCs w:val="16"/>
                <w:color w:val="auto"/>
              </w:rPr>
              <w:t>☒</w:t>
            </w:r>
            <w:r>
              <w:rPr>
                <w:rFonts w:ascii="Arial" w:cs="Arial" w:eastAsia="Arial" w:hAnsi="Arial"/>
                <w:sz w:val="16"/>
                <w:szCs w:val="16"/>
                <w:b w:val="1"/>
                <w:bCs w:val="1"/>
                <w:color w:val="auto"/>
              </w:rPr>
              <w:t>Oxidizers</w:t>
            </w:r>
          </w:p>
        </w:tc>
        <w:tc>
          <w:tcPr>
            <w:tcW w:w="640" w:type="dxa"/>
            <w:vAlign w:val="bottom"/>
            <w:gridSpan w:val="7"/>
          </w:tcPr>
          <w:p>
            <w:pPr>
              <w:spacing w:after="0"/>
              <w:rPr>
                <w:sz w:val="22"/>
                <w:szCs w:val="22"/>
                <w:color w:val="auto"/>
              </w:rPr>
            </w:pPr>
          </w:p>
        </w:tc>
        <w:tc>
          <w:tcPr>
            <w:tcW w:w="1100" w:type="dxa"/>
            <w:vAlign w:val="bottom"/>
            <w:gridSpan w:val="4"/>
          </w:tcPr>
          <w:p>
            <w:pPr>
              <w:ind w:left="10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b w:val="1"/>
                <w:bCs w:val="1"/>
                <w:color w:val="auto"/>
                <w:w w:val="98"/>
              </w:rPr>
              <w:t xml:space="preserve"> Pesticides</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w w:val="89"/>
              </w:rPr>
              <w:t>Type:</w:t>
            </w:r>
          </w:p>
        </w:tc>
        <w:tc>
          <w:tcPr>
            <w:tcW w:w="1140" w:type="dxa"/>
            <w:vAlign w:val="bottom"/>
            <w:gridSpan w:val="6"/>
          </w:tcPr>
          <w:p>
            <w:pPr>
              <w:ind w:left="180"/>
              <w:spacing w:after="0"/>
              <w:rPr>
                <w:sz w:val="20"/>
                <w:szCs w:val="20"/>
                <w:color w:val="auto"/>
              </w:rPr>
            </w:pPr>
            <w:r>
              <w:rPr>
                <w:rFonts w:ascii="Arial" w:cs="Arial" w:eastAsia="Arial" w:hAnsi="Arial"/>
                <w:sz w:val="16"/>
                <w:szCs w:val="16"/>
                <w:color w:val="auto"/>
                <w:w w:val="88"/>
              </w:rPr>
              <w:t>Oxygen, H2O2</w:t>
            </w:r>
          </w:p>
        </w:tc>
        <w:tc>
          <w:tcPr>
            <w:tcW w:w="620" w:type="dxa"/>
            <w:vAlign w:val="bottom"/>
            <w:gridSpan w:val="6"/>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3200" w:type="dxa"/>
            <w:vAlign w:val="bottom"/>
            <w:gridSpan w:val="8"/>
          </w:tcPr>
          <w:p>
            <w:pPr>
              <w:ind w:left="160"/>
              <w:spacing w:after="0"/>
              <w:rPr>
                <w:sz w:val="20"/>
                <w:szCs w:val="20"/>
                <w:color w:val="auto"/>
              </w:rPr>
            </w:pPr>
            <w:r>
              <w:rPr>
                <w:rFonts w:ascii="Arial" w:cs="Arial" w:eastAsia="Arial" w:hAnsi="Arial"/>
                <w:sz w:val="16"/>
                <w:szCs w:val="16"/>
                <w:color w:val="auto"/>
              </w:rPr>
              <w:t>Approved and licensed by California</w:t>
            </w: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60" w:type="dxa"/>
            <w:vAlign w:val="bottom"/>
            <w:gridSpan w:val="6"/>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140" w:type="dxa"/>
            <w:vAlign w:val="bottom"/>
            <w:gridSpan w:val="6"/>
          </w:tcPr>
          <w:p>
            <w:pPr>
              <w:ind w:left="40"/>
              <w:spacing w:after="0"/>
              <w:rPr>
                <w:sz w:val="20"/>
                <w:szCs w:val="20"/>
                <w:color w:val="auto"/>
              </w:rPr>
            </w:pPr>
            <w:r>
              <w:rPr>
                <w:rFonts w:ascii="Arial" w:cs="Arial" w:eastAsia="Arial" w:hAnsi="Arial"/>
                <w:sz w:val="16"/>
                <w:szCs w:val="16"/>
                <w:color w:val="auto"/>
              </w:rPr>
              <w:t>manufacturing</w:t>
            </w:r>
          </w:p>
        </w:tc>
        <w:tc>
          <w:tcPr>
            <w:tcW w:w="620" w:type="dxa"/>
            <w:vAlign w:val="bottom"/>
            <w:gridSpan w:val="6"/>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3200" w:type="dxa"/>
            <w:vAlign w:val="bottom"/>
            <w:gridSpan w:val="8"/>
          </w:tcPr>
          <w:p>
            <w:pPr>
              <w:ind w:left="20"/>
              <w:spacing w:after="0"/>
              <w:rPr>
                <w:sz w:val="20"/>
                <w:szCs w:val="20"/>
                <w:color w:val="auto"/>
              </w:rPr>
            </w:pPr>
            <w:r>
              <w:rPr>
                <w:rFonts w:ascii="Arial" w:cs="Arial" w:eastAsia="Arial" w:hAnsi="Arial"/>
                <w:sz w:val="16"/>
                <w:szCs w:val="16"/>
                <w:color w:val="auto"/>
              </w:rPr>
              <w:t>Interior and exterior pest control</w:t>
            </w:r>
          </w:p>
        </w:tc>
      </w:tr>
      <w:tr>
        <w:trPr>
          <w:trHeight w:val="20"/>
        </w:trPr>
        <w:tc>
          <w:tcPr>
            <w:tcW w:w="66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1760" w:type="dxa"/>
            <w:vAlign w:val="bottom"/>
            <w:gridSpan w:val="4"/>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980" w:type="dxa"/>
            <w:vAlign w:val="bottom"/>
            <w:gridSpan w:val="7"/>
          </w:tcPr>
          <w:p>
            <w:pPr>
              <w:ind w:left="140"/>
              <w:spacing w:after="0"/>
              <w:rPr>
                <w:sz w:val="20"/>
                <w:szCs w:val="20"/>
                <w:color w:val="auto"/>
              </w:rPr>
            </w:pPr>
            <w:r>
              <w:rPr>
                <w:rFonts w:ascii="Arial" w:cs="Arial" w:eastAsia="Arial" w:hAnsi="Arial"/>
                <w:sz w:val="16"/>
                <w:szCs w:val="16"/>
                <w:color w:val="auto"/>
              </w:rPr>
              <w:t>1200 lbs</w:t>
            </w:r>
          </w:p>
        </w:tc>
        <w:tc>
          <w:tcPr>
            <w:tcW w:w="500" w:type="dxa"/>
            <w:vAlign w:val="bottom"/>
            <w:gridSpan w:val="4"/>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900" w:type="dxa"/>
            <w:vAlign w:val="bottom"/>
            <w:gridSpan w:val="6"/>
          </w:tcPr>
          <w:p>
            <w:pPr>
              <w:ind w:left="100"/>
              <w:spacing w:after="0"/>
              <w:rPr>
                <w:sz w:val="20"/>
                <w:szCs w:val="20"/>
                <w:color w:val="auto"/>
              </w:rPr>
            </w:pPr>
            <w:r>
              <w:rPr>
                <w:rFonts w:ascii="Arial" w:cs="Arial" w:eastAsia="Arial" w:hAnsi="Arial"/>
                <w:sz w:val="16"/>
                <w:szCs w:val="16"/>
                <w:color w:val="auto"/>
                <w:w w:val="87"/>
              </w:rPr>
              <w:t>As needed by licensed pest control company</w:t>
            </w:r>
          </w:p>
        </w:tc>
      </w:tr>
      <w:tr>
        <w:trPr>
          <w:trHeight w:val="20"/>
        </w:trPr>
        <w:tc>
          <w:tcPr>
            <w:tcW w:w="126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80" w:type="dxa"/>
            <w:vAlign w:val="bottom"/>
            <w:gridSpan w:val="11"/>
            <w:shd w:val="clear" w:color="auto" w:fill="000000"/>
          </w:tcPr>
          <w:p>
            <w:pPr>
              <w:spacing w:after="0" w:line="20" w:lineRule="exact"/>
              <w:rPr>
                <w:sz w:val="1"/>
                <w:szCs w:val="1"/>
                <w:color w:val="auto"/>
              </w:rPr>
            </w:pPr>
          </w:p>
        </w:tc>
      </w:tr>
      <w:tr>
        <w:trPr>
          <w:trHeight w:val="315"/>
        </w:trPr>
        <w:tc>
          <w:tcPr>
            <w:tcW w:w="1640" w:type="dxa"/>
            <w:vAlign w:val="bottom"/>
            <w:gridSpan w:val="10"/>
          </w:tcPr>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Organic</w:t>
            </w:r>
          </w:p>
        </w:tc>
        <w:tc>
          <w:tcPr>
            <w:tcW w:w="500" w:type="dxa"/>
            <w:vAlign w:val="bottom"/>
            <w:gridSpan w:val="4"/>
          </w:tcPr>
          <w:p>
            <w:pPr>
              <w:spacing w:after="0"/>
              <w:rPr>
                <w:sz w:val="24"/>
                <w:szCs w:val="24"/>
                <w:color w:val="auto"/>
              </w:rPr>
            </w:pPr>
          </w:p>
        </w:tc>
        <w:tc>
          <w:tcPr>
            <w:tcW w:w="4300" w:type="dxa"/>
            <w:vAlign w:val="bottom"/>
            <w:gridSpan w:val="12"/>
          </w:tcPr>
          <w:p>
            <w:pP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Radioactive Materials</w:t>
            </w:r>
          </w:p>
        </w:tc>
      </w:tr>
      <w:tr>
        <w:trPr>
          <w:trHeight w:val="231"/>
        </w:trPr>
        <w:tc>
          <w:tcPr>
            <w:tcW w:w="1360" w:type="dxa"/>
            <w:vAlign w:val="bottom"/>
            <w:gridSpan w:val="6"/>
          </w:tcPr>
          <w:p>
            <w:pPr>
              <w:spacing w:after="0"/>
              <w:rPr>
                <w:sz w:val="20"/>
                <w:szCs w:val="20"/>
                <w:color w:val="auto"/>
              </w:rPr>
            </w:pPr>
            <w:r>
              <w:rPr>
                <w:rFonts w:ascii="Arial" w:cs="Arial" w:eastAsia="Arial" w:hAnsi="Arial"/>
                <w:sz w:val="16"/>
                <w:szCs w:val="16"/>
                <w:color w:val="auto"/>
                <w:w w:val="99"/>
              </w:rPr>
              <w:t>Type: lab reagents</w:t>
            </w:r>
          </w:p>
        </w:tc>
        <w:tc>
          <w:tcPr>
            <w:tcW w:w="780" w:type="dxa"/>
            <w:vAlign w:val="bottom"/>
            <w:gridSpan w:val="8"/>
          </w:tcPr>
          <w:p>
            <w:pPr>
              <w:spacing w:after="0"/>
              <w:rPr>
                <w:sz w:val="20"/>
                <w:szCs w:val="20"/>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w w:val="89"/>
              </w:rPr>
              <w:t>Type: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
        </w:trPr>
        <w:tc>
          <w:tcPr>
            <w:tcW w:w="380" w:type="dxa"/>
            <w:vAlign w:val="bottom"/>
            <w:gridSpan w:val="2"/>
            <w:shd w:val="clear" w:color="auto" w:fill="000000"/>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380" w:type="dxa"/>
            <w:vAlign w:val="bottom"/>
            <w:gridSpan w:val="2"/>
          </w:tcPr>
          <w:p>
            <w:pPr>
              <w:spacing w:after="0"/>
              <w:rPr>
                <w:sz w:val="20"/>
                <w:szCs w:val="20"/>
                <w:color w:val="auto"/>
              </w:rPr>
            </w:pPr>
            <w:r>
              <w:rPr>
                <w:rFonts w:ascii="Arial" w:cs="Arial" w:eastAsia="Arial" w:hAnsi="Arial"/>
                <w:sz w:val="16"/>
                <w:szCs w:val="16"/>
                <w:color w:val="auto"/>
              </w:rPr>
              <w:t>Use:</w:t>
            </w:r>
          </w:p>
        </w:tc>
        <w:tc>
          <w:tcPr>
            <w:tcW w:w="1180" w:type="dxa"/>
            <w:vAlign w:val="bottom"/>
            <w:gridSpan w:val="7"/>
          </w:tcPr>
          <w:p>
            <w:pPr>
              <w:ind w:left="120"/>
              <w:spacing w:after="0"/>
              <w:rPr>
                <w:sz w:val="20"/>
                <w:szCs w:val="20"/>
                <w:color w:val="auto"/>
              </w:rPr>
            </w:pPr>
            <w:r>
              <w:rPr>
                <w:rFonts w:ascii="Arial" w:cs="Arial" w:eastAsia="Arial" w:hAnsi="Arial"/>
                <w:sz w:val="16"/>
                <w:szCs w:val="16"/>
                <w:color w:val="auto"/>
              </w:rPr>
              <w:t>manufacturing</w:t>
            </w:r>
          </w:p>
        </w:tc>
        <w:tc>
          <w:tcPr>
            <w:tcW w:w="580" w:type="dxa"/>
            <w:vAlign w:val="bottom"/>
            <w:gridSpan w:val="5"/>
          </w:tcPr>
          <w:p>
            <w:pPr>
              <w:spacing w:after="0"/>
              <w:rPr>
                <w:sz w:val="22"/>
                <w:szCs w:val="22"/>
                <w:color w:val="auto"/>
              </w:rPr>
            </w:pPr>
          </w:p>
        </w:tc>
        <w:tc>
          <w:tcPr>
            <w:tcW w:w="1100" w:type="dxa"/>
            <w:vAlign w:val="bottom"/>
            <w:gridSpan w:val="4"/>
          </w:tcPr>
          <w:p>
            <w:pPr>
              <w:ind w:left="720"/>
              <w:spacing w:after="0"/>
              <w:rPr>
                <w:sz w:val="20"/>
                <w:szCs w:val="20"/>
                <w:color w:val="auto"/>
              </w:rPr>
            </w:pPr>
            <w:r>
              <w:rPr>
                <w:rFonts w:ascii="Arial" w:cs="Arial" w:eastAsia="Arial" w:hAnsi="Arial"/>
                <w:sz w:val="16"/>
                <w:szCs w:val="16"/>
                <w:color w:val="auto"/>
              </w:rPr>
              <w:t>Use:</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66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660" w:type="dxa"/>
            <w:vAlign w:val="bottom"/>
            <w:gridSpan w:val="3"/>
          </w:tcPr>
          <w:p>
            <w:pPr>
              <w:spacing w:after="0"/>
              <w:rPr>
                <w:sz w:val="20"/>
                <w:szCs w:val="20"/>
                <w:color w:val="auto"/>
              </w:rPr>
            </w:pPr>
            <w:r>
              <w:rPr>
                <w:rFonts w:ascii="Arial" w:cs="Arial" w:eastAsia="Arial" w:hAnsi="Arial"/>
                <w:sz w:val="16"/>
                <w:szCs w:val="16"/>
                <w:color w:val="auto"/>
                <w:w w:val="99"/>
              </w:rPr>
              <w:t>Quantity:</w:t>
            </w:r>
          </w:p>
        </w:tc>
        <w:tc>
          <w:tcPr>
            <w:tcW w:w="600" w:type="dxa"/>
            <w:vAlign w:val="bottom"/>
            <w:gridSpan w:val="2"/>
          </w:tcPr>
          <w:p>
            <w:pPr>
              <w:ind w:left="60"/>
              <w:spacing w:after="0"/>
              <w:rPr>
                <w:sz w:val="20"/>
                <w:szCs w:val="20"/>
                <w:color w:val="auto"/>
              </w:rPr>
            </w:pPr>
            <w:r>
              <w:rPr>
                <w:rFonts w:ascii="Arial" w:cs="Arial" w:eastAsia="Arial" w:hAnsi="Arial"/>
                <w:sz w:val="16"/>
                <w:szCs w:val="16"/>
                <w:color w:val="auto"/>
              </w:rPr>
              <w:t>10 gal</w:t>
            </w:r>
          </w:p>
        </w:tc>
        <w:tc>
          <w:tcPr>
            <w:tcW w:w="300" w:type="dxa"/>
            <w:vAlign w:val="bottom"/>
            <w:gridSpan w:val="4"/>
          </w:tcPr>
          <w:p>
            <w:pPr>
              <w:spacing w:after="0"/>
              <w:rPr>
                <w:sz w:val="22"/>
                <w:szCs w:val="22"/>
                <w:color w:val="auto"/>
              </w:rPr>
            </w:pPr>
          </w:p>
        </w:tc>
        <w:tc>
          <w:tcPr>
            <w:tcW w:w="580" w:type="dxa"/>
            <w:vAlign w:val="bottom"/>
            <w:gridSpan w:val="5"/>
          </w:tcPr>
          <w:p>
            <w:pPr>
              <w:spacing w:after="0"/>
              <w:rPr>
                <w:sz w:val="22"/>
                <w:szCs w:val="22"/>
                <w:color w:val="auto"/>
              </w:rPr>
            </w:pPr>
          </w:p>
        </w:tc>
        <w:tc>
          <w:tcPr>
            <w:tcW w:w="1400" w:type="dxa"/>
            <w:vAlign w:val="bottom"/>
            <w:gridSpan w:val="6"/>
          </w:tcPr>
          <w:p>
            <w:pPr>
              <w:ind w:left="720"/>
              <w:spacing w:after="0"/>
              <w:rPr>
                <w:sz w:val="20"/>
                <w:szCs w:val="20"/>
                <w:color w:val="auto"/>
              </w:rPr>
            </w:pPr>
            <w:r>
              <w:rPr>
                <w:rFonts w:ascii="Arial" w:cs="Arial" w:eastAsia="Arial" w:hAnsi="Arial"/>
                <w:sz w:val="16"/>
                <w:szCs w:val="16"/>
                <w:color w:val="auto"/>
              </w:rPr>
              <w:t>Quantity:</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Other</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Type:</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Use:</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u w:val="single" w:color="auto"/>
          <w:color w:val="auto"/>
        </w:rPr>
        <w:t>Quantity:</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2-4.</w:t>
      </w:r>
      <w:r>
        <w:rPr>
          <w:sz w:val="20"/>
          <w:szCs w:val="20"/>
          <w:color w:val="auto"/>
        </w:rPr>
        <w:tab/>
      </w:r>
      <w:r>
        <w:rPr>
          <w:rFonts w:ascii="Arial" w:cs="Arial" w:eastAsia="Arial" w:hAnsi="Arial"/>
          <w:sz w:val="13"/>
          <w:szCs w:val="13"/>
          <w:color w:val="auto"/>
        </w:rPr>
        <w:t>List and quantify the materials identified above.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5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MATERIAL</w:t>
            </w:r>
          </w:p>
        </w:tc>
        <w:tc>
          <w:tcPr>
            <w:tcW w:w="10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PHYSICAL STATE</w:t>
            </w:r>
          </w:p>
        </w:tc>
        <w:tc>
          <w:tcPr>
            <w:tcW w:w="100" w:type="dxa"/>
            <w:vAlign w:val="bottom"/>
          </w:tcPr>
          <w:p>
            <w:pPr>
              <w:spacing w:after="0"/>
              <w:rPr>
                <w:sz w:val="13"/>
                <w:szCs w:val="13"/>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3"/>
              </w:rPr>
              <w:t>CONTAINER SIZE</w:t>
            </w:r>
          </w:p>
        </w:tc>
        <w:tc>
          <w:tcPr>
            <w:tcW w:w="100" w:type="dxa"/>
            <w:vAlign w:val="bottom"/>
          </w:tcPr>
          <w:p>
            <w:pPr>
              <w:spacing w:after="0"/>
              <w:rPr>
                <w:sz w:val="13"/>
                <w:szCs w:val="13"/>
                <w:color w:val="auto"/>
              </w:rPr>
            </w:pPr>
          </w:p>
        </w:tc>
        <w:tc>
          <w:tcPr>
            <w:tcW w:w="22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NUMBER OF CONTAINERS</w:t>
            </w:r>
          </w:p>
        </w:tc>
      </w:tr>
      <w:tr>
        <w:trPr>
          <w:trHeight w:val="215"/>
        </w:trPr>
        <w:tc>
          <w:tcPr>
            <w:tcW w:w="2620" w:type="dxa"/>
            <w:vAlign w:val="bottom"/>
            <w:gridSpan w:val="2"/>
          </w:tcPr>
          <w:p>
            <w:pPr>
              <w:spacing w:after="0"/>
              <w:rPr>
                <w:sz w:val="20"/>
                <w:szCs w:val="20"/>
                <w:color w:val="auto"/>
              </w:rPr>
            </w:pPr>
            <w:r>
              <w:rPr>
                <w:rFonts w:ascii="Arial" w:cs="Arial" w:eastAsia="Arial" w:hAnsi="Arial"/>
                <w:sz w:val="16"/>
                <w:szCs w:val="16"/>
                <w:color w:val="auto"/>
              </w:rPr>
              <w:t>Ethanol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10</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NaOH</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Neutralization base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50 gal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Phosphoric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Neutralization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50 gal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1</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Glacial Acetic acid</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Hydrogen peroxide 35%</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1L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6</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Acetonitrile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Methanol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2</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Vesphene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LPH</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4L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4</w:t>
            </w:r>
          </w:p>
        </w:tc>
      </w:tr>
      <w:tr>
        <w:trPr>
          <w:trHeight w:val="236"/>
        </w:trPr>
        <w:tc>
          <w:tcPr>
            <w:tcW w:w="2620" w:type="dxa"/>
            <w:vAlign w:val="bottom"/>
            <w:gridSpan w:val="2"/>
          </w:tcPr>
          <w:p>
            <w:pPr>
              <w:spacing w:after="0"/>
              <w:rPr>
                <w:sz w:val="20"/>
                <w:szCs w:val="20"/>
                <w:color w:val="auto"/>
              </w:rPr>
            </w:pPr>
            <w:r>
              <w:rPr>
                <w:rFonts w:ascii="Arial" w:cs="Arial" w:eastAsia="Arial" w:hAnsi="Arial"/>
                <w:sz w:val="16"/>
                <w:szCs w:val="16"/>
                <w:color w:val="auto"/>
              </w:rPr>
              <w:t>Trypan Blue</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L</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rPr>
              <w:t>1L</w:t>
            </w:r>
          </w:p>
        </w:tc>
        <w:tc>
          <w:tcPr>
            <w:tcW w:w="2200" w:type="dxa"/>
            <w:vAlign w:val="bottom"/>
          </w:tcPr>
          <w:p>
            <w:pPr>
              <w:jc w:val="center"/>
              <w:spacing w:after="0"/>
              <w:rPr>
                <w:sz w:val="20"/>
                <w:szCs w:val="20"/>
                <w:color w:val="auto"/>
              </w:rPr>
            </w:pPr>
            <w:r>
              <w:rPr>
                <w:rFonts w:ascii="Arial" w:cs="Arial" w:eastAsia="Arial" w:hAnsi="Arial"/>
                <w:sz w:val="16"/>
                <w:szCs w:val="16"/>
                <w:color w:val="auto"/>
                <w:w w:val="89"/>
              </w:rPr>
              <w:t>6</w:t>
            </w:r>
          </w:p>
        </w:tc>
      </w:tr>
    </w:tbl>
    <w:p>
      <w:pPr>
        <w:sectPr>
          <w:pgSz w:w="11900" w:h="16838" w:orient="portrait"/>
          <w:cols w:equalWidth="0" w:num="1">
            <w:col w:w="9620"/>
          </w:cols>
          <w:pgMar w:left="1140" w:top="238" w:right="1139" w:bottom="1440" w:gutter="0" w:footer="0" w:header="0"/>
        </w:sectPr>
      </w:pPr>
    </w:p>
    <w:bookmarkStart w:id="522" w:name="page523"/>
    <w:bookmarkEnd w:id="52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0"/>
        </w:trPr>
        <w:tc>
          <w:tcPr>
            <w:tcW w:w="2220" w:type="dxa"/>
            <w:vAlign w:val="bottom"/>
          </w:tcPr>
          <w:p>
            <w:pPr>
              <w:spacing w:after="0"/>
              <w:rPr>
                <w:sz w:val="20"/>
                <w:szCs w:val="20"/>
                <w:color w:val="auto"/>
              </w:rPr>
            </w:pPr>
            <w:r>
              <w:rPr>
                <w:rFonts w:ascii="Arial" w:cs="Arial" w:eastAsia="Arial" w:hAnsi="Arial"/>
                <w:sz w:val="16"/>
                <w:szCs w:val="16"/>
                <w:color w:val="auto"/>
              </w:rPr>
              <w:t>Triton X</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rPr>
              <w:t>4L</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N2</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400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O2</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400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CO2</w:t>
            </w:r>
          </w:p>
        </w:tc>
        <w:tc>
          <w:tcPr>
            <w:tcW w:w="2660" w:type="dxa"/>
            <w:vAlign w:val="bottom"/>
          </w:tcPr>
          <w:p>
            <w:pPr>
              <w:ind w:left="1480"/>
              <w:spacing w:after="0"/>
              <w:rPr>
                <w:sz w:val="20"/>
                <w:szCs w:val="20"/>
                <w:color w:val="auto"/>
              </w:rPr>
            </w:pPr>
            <w:r>
              <w:rPr>
                <w:rFonts w:ascii="Arial" w:cs="Arial" w:eastAsia="Arial" w:hAnsi="Arial"/>
                <w:sz w:val="16"/>
                <w:szCs w:val="16"/>
                <w:color w:val="auto"/>
              </w:rPr>
              <w:t>G</w:t>
            </w:r>
          </w:p>
        </w:tc>
        <w:tc>
          <w:tcPr>
            <w:tcW w:w="2560" w:type="dxa"/>
            <w:vAlign w:val="bottom"/>
          </w:tcPr>
          <w:p>
            <w:pPr>
              <w:jc w:val="center"/>
              <w:spacing w:after="0"/>
              <w:rPr>
                <w:sz w:val="20"/>
                <w:szCs w:val="20"/>
                <w:color w:val="auto"/>
              </w:rPr>
            </w:pPr>
            <w:r>
              <w:rPr>
                <w:rFonts w:ascii="Arial" w:cs="Arial" w:eastAsia="Arial" w:hAnsi="Arial"/>
                <w:sz w:val="16"/>
                <w:szCs w:val="16"/>
                <w:color w:val="auto"/>
                <w:w w:val="89"/>
              </w:rPr>
              <w:t>200 lbs</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Isopropanol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rPr>
              <w:t>4L</w:t>
            </w: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Diesel fuel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7"/>
              </w:rPr>
              <w:t>400 gal</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2220" w:type="dxa"/>
            <w:vAlign w:val="bottom"/>
          </w:tcPr>
          <w:p>
            <w:pPr>
              <w:spacing w:after="0"/>
              <w:rPr>
                <w:sz w:val="20"/>
                <w:szCs w:val="20"/>
                <w:color w:val="auto"/>
              </w:rPr>
            </w:pPr>
            <w:r>
              <w:rPr>
                <w:rFonts w:ascii="Arial" w:cs="Arial" w:eastAsia="Arial" w:hAnsi="Arial"/>
                <w:sz w:val="16"/>
                <w:szCs w:val="16"/>
                <w:color w:val="auto"/>
              </w:rPr>
              <w:t>Pump oil</w:t>
            </w:r>
          </w:p>
        </w:tc>
        <w:tc>
          <w:tcPr>
            <w:tcW w:w="2660" w:type="dxa"/>
            <w:vAlign w:val="bottom"/>
          </w:tcPr>
          <w:p>
            <w:pPr>
              <w:ind w:left="1500"/>
              <w:spacing w:after="0"/>
              <w:rPr>
                <w:sz w:val="20"/>
                <w:szCs w:val="20"/>
                <w:color w:val="auto"/>
              </w:rPr>
            </w:pPr>
            <w:r>
              <w:rPr>
                <w:rFonts w:ascii="Arial" w:cs="Arial" w:eastAsia="Arial" w:hAnsi="Arial"/>
                <w:sz w:val="16"/>
                <w:szCs w:val="16"/>
                <w:color w:val="auto"/>
              </w:rPr>
              <w:t>L</w:t>
            </w:r>
          </w:p>
        </w:tc>
        <w:tc>
          <w:tcPr>
            <w:tcW w:w="2560" w:type="dxa"/>
            <w:vAlign w:val="bottom"/>
          </w:tcPr>
          <w:p>
            <w:pPr>
              <w:jc w:val="center"/>
              <w:spacing w:after="0"/>
              <w:rPr>
                <w:sz w:val="20"/>
                <w:szCs w:val="20"/>
                <w:color w:val="auto"/>
              </w:rPr>
            </w:pPr>
            <w:r>
              <w:rPr>
                <w:rFonts w:ascii="Arial" w:cs="Arial" w:eastAsia="Arial" w:hAnsi="Arial"/>
                <w:sz w:val="16"/>
                <w:szCs w:val="16"/>
                <w:color w:val="auto"/>
                <w:w w:val="87"/>
              </w:rPr>
              <w:t>55 gal</w:t>
            </w: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r>
    </w:tbl>
    <w:p>
      <w:pPr>
        <w:spacing w:after="0" w:line="20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3"/>
          <w:szCs w:val="13"/>
          <w:color w:val="auto"/>
        </w:rPr>
        <w:t>Describe the storage area location(s) for these materials. Emergency generator tank, gas storage room, flammable storage room, GMP warehouse</w:t>
      </w:r>
    </w:p>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3.0</w:t>
      </w:r>
      <w:r>
        <w:rPr>
          <w:sz w:val="20"/>
          <w:szCs w:val="20"/>
          <w:color w:val="auto"/>
        </w:rPr>
        <w:tab/>
      </w:r>
      <w:r>
        <w:rPr>
          <w:rFonts w:ascii="Arial" w:cs="Arial" w:eastAsia="Arial" w:hAnsi="Arial"/>
          <w:sz w:val="15"/>
          <w:szCs w:val="15"/>
          <w:b w:val="1"/>
          <w:bCs w:val="1"/>
          <w:u w:val="single" w:color="auto"/>
          <w:color w:val="auto"/>
        </w:rPr>
        <w:t>HAZARDOUS WASTES</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3"/>
          <w:szCs w:val="13"/>
          <w:color w:val="auto"/>
        </w:rPr>
        <w:t>Are hazardous wastes generated? If so, continue with the next question. If not, skip this section and go to section 4.0.</w:t>
      </w:r>
    </w:p>
    <w:p>
      <w:pPr>
        <w:spacing w:after="0" w:line="111"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3"/>
          <w:szCs w:val="13"/>
          <w:color w:val="auto"/>
        </w:rPr>
        <w:t>Are any of the following wastes generated, handled, or disposed of (where applicable) on the property? Yes, generated</w:t>
      </w:r>
    </w:p>
    <w:p>
      <w:pPr>
        <w:spacing w:after="0" w:line="189" w:lineRule="exact"/>
        <w:rPr>
          <w:sz w:val="20"/>
          <w:szCs w:val="20"/>
          <w:color w:val="auto"/>
        </w:rPr>
      </w:pPr>
    </w:p>
    <w:tbl>
      <w:tblPr>
        <w:tblLayout w:type="fixed"/>
        <w:tblInd w:w="380" w:type="dxa"/>
        <w:tblCellMar>
          <w:top w:w="0" w:type="dxa"/>
          <w:left w:w="0" w:type="dxa"/>
          <w:bottom w:w="0" w:type="dxa"/>
          <w:right w:w="0" w:type="dxa"/>
        </w:tblCellMar>
      </w:tblP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Hazardous wastes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w w:val="88"/>
              </w:rPr>
              <w:t>Industrial Wastewater</w:t>
            </w:r>
          </w:p>
        </w:tc>
      </w:tr>
      <w:tr>
        <w:trPr>
          <w:trHeight w:val="189"/>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Waste oils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rPr>
              <w:t>PCBs</w:t>
            </w:r>
          </w:p>
        </w:tc>
      </w:tr>
      <w:tr>
        <w:trPr>
          <w:trHeight w:val="225"/>
        </w:trPr>
        <w:tc>
          <w:tcPr>
            <w:tcW w:w="2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Air emissions</w:t>
            </w:r>
          </w:p>
        </w:tc>
        <w:tc>
          <w:tcPr>
            <w:tcW w:w="102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1480" w:type="dxa"/>
            <w:vAlign w:val="bottom"/>
          </w:tcPr>
          <w:p>
            <w:pPr>
              <w:ind w:left="100"/>
              <w:spacing w:after="0"/>
              <w:rPr>
                <w:sz w:val="20"/>
                <w:szCs w:val="20"/>
                <w:color w:val="auto"/>
              </w:rPr>
            </w:pPr>
            <w:r>
              <w:rPr>
                <w:rFonts w:ascii="Arial" w:cs="Arial" w:eastAsia="Arial" w:hAnsi="Arial"/>
                <w:sz w:val="16"/>
                <w:szCs w:val="16"/>
                <w:color w:val="auto"/>
              </w:rPr>
              <w:t>Sludges</w:t>
            </w:r>
          </w:p>
        </w:tc>
      </w:tr>
    </w:tbl>
    <w:p>
      <w:pPr>
        <w:ind w:left="740" w:hanging="353"/>
        <w:spacing w:after="0"/>
        <w:tabs>
          <w:tab w:leader="none" w:pos="740" w:val="left"/>
        </w:tabs>
        <w:numPr>
          <w:ilvl w:val="0"/>
          <w:numId w:val="390"/>
        </w:numPr>
        <w:rPr>
          <w:rFonts w:ascii="MS PGothic" w:cs="MS PGothic" w:eastAsia="MS PGothic" w:hAnsi="MS PGothic"/>
          <w:sz w:val="16"/>
          <w:szCs w:val="16"/>
          <w:color w:val="auto"/>
        </w:rPr>
      </w:pPr>
      <w:r>
        <w:rPr>
          <w:rFonts w:ascii="Arial" w:cs="Arial" w:eastAsia="Arial" w:hAnsi="Arial"/>
          <w:sz w:val="16"/>
          <w:szCs w:val="16"/>
          <w:color w:val="auto"/>
        </w:rPr>
        <w:t>Other (please specify) Biowaste</w:t>
      </w:r>
    </w:p>
    <w:p>
      <w:pPr>
        <w:spacing w:after="0" w:line="209" w:lineRule="exact"/>
        <w:rPr>
          <w:sz w:val="20"/>
          <w:szCs w:val="20"/>
          <w:color w:val="auto"/>
        </w:rPr>
      </w:pPr>
    </w:p>
    <w:p>
      <w:pPr>
        <w:ind w:left="380" w:right="120" w:hanging="376"/>
        <w:spacing w:after="0" w:line="343" w:lineRule="auto"/>
        <w:tabs>
          <w:tab w:leader="none" w:pos="36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3"/>
          <w:szCs w:val="13"/>
          <w:color w:val="auto"/>
        </w:rPr>
        <w:t>Identify and describe those wastes generated, handled or disposed of (disposition). Specify any wastes known to be regulated under the Resource Conservation and Recovery Act (RCRA) as “listed characteristic or statutory” wastes. Include total amounts generated monthly. Please include name, location, and permit number (e.g. EPA ID No.) for transporter and disposal facility, if applicable). Attach separate pages as necessary.</w:t>
      </w:r>
    </w:p>
    <w:p>
      <w:pPr>
        <w:spacing w:after="0" w:line="19" w:lineRule="exact"/>
        <w:rPr>
          <w:sz w:val="20"/>
          <w:szCs w:val="20"/>
          <w:color w:val="auto"/>
        </w:rPr>
      </w:pPr>
    </w:p>
    <w:p>
      <w:pPr>
        <w:ind w:left="380" w:right="660"/>
        <w:spacing w:after="0" w:line="266" w:lineRule="auto"/>
        <w:rPr>
          <w:sz w:val="20"/>
          <w:szCs w:val="20"/>
          <w:color w:val="auto"/>
        </w:rPr>
      </w:pPr>
      <w:r>
        <w:rPr>
          <w:rFonts w:ascii="Arial" w:cs="Arial" w:eastAsia="Arial" w:hAnsi="Arial"/>
          <w:sz w:val="16"/>
          <w:szCs w:val="16"/>
          <w:color w:val="auto"/>
        </w:rPr>
        <w:t>RCRA listed characteristic wastes include ignitable, corrosive and toxic. Hazardous waste transporter will be Veolia Technical Solutions (NJD080631369).</w:t>
      </w:r>
    </w:p>
    <w:p>
      <w:pPr>
        <w:spacing w:after="0" w:line="7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3"/>
          <w:szCs w:val="13"/>
          <w:color w:val="auto"/>
        </w:rPr>
        <w:t>List and quantify the materials identified in Question 3-2 of this section.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3"/>
              </w:rPr>
              <w:t>APPROXIMATE</w:t>
            </w:r>
          </w:p>
        </w:tc>
        <w:tc>
          <w:tcPr>
            <w:tcW w:w="10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90"/>
              </w:rPr>
              <w:t>WASTE</w:t>
            </w: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7"/>
        </w:trPr>
        <w:tc>
          <w:tcPr>
            <w:tcW w:w="2020" w:type="dxa"/>
            <w:vAlign w:val="bottom"/>
            <w:tcBorders>
              <w:bottom w:val="single" w:sz="8" w:color="auto"/>
            </w:tcBorders>
          </w:tcPr>
          <w:p>
            <w:pPr>
              <w:ind w:left="420"/>
              <w:spacing w:after="0"/>
              <w:rPr>
                <w:sz w:val="20"/>
                <w:szCs w:val="20"/>
                <w:color w:val="auto"/>
              </w:rPr>
            </w:pPr>
            <w:r>
              <w:rPr>
                <w:rFonts w:ascii="Arial" w:cs="Arial" w:eastAsia="Arial" w:hAnsi="Arial"/>
                <w:sz w:val="13"/>
                <w:szCs w:val="13"/>
                <w:color w:val="auto"/>
              </w:rPr>
              <w:t>WASTE GENERATED</w:t>
            </w:r>
          </w:p>
        </w:tc>
        <w:tc>
          <w:tcPr>
            <w:tcW w:w="120" w:type="dxa"/>
            <w:vAlign w:val="bottom"/>
          </w:tcPr>
          <w:p>
            <w:pPr>
              <w:spacing w:after="0"/>
              <w:rPr>
                <w:sz w:val="13"/>
                <w:szCs w:val="13"/>
                <w:color w:val="auto"/>
              </w:rPr>
            </w:pPr>
          </w:p>
        </w:tc>
        <w:tc>
          <w:tcPr>
            <w:tcW w:w="18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SOURCE</w:t>
            </w: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7"/>
              </w:rPr>
              <w:t>MONTHLY QUANTITY</w:t>
            </w:r>
          </w:p>
        </w:tc>
        <w:tc>
          <w:tcPr>
            <w:tcW w:w="100" w:type="dxa"/>
            <w:vAlign w:val="bottom"/>
          </w:tcPr>
          <w:p>
            <w:pPr>
              <w:spacing w:after="0"/>
              <w:rPr>
                <w:sz w:val="13"/>
                <w:szCs w:val="13"/>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CHARACTERIZATION</w:t>
            </w:r>
          </w:p>
        </w:tc>
        <w:tc>
          <w:tcPr>
            <w:tcW w:w="100" w:type="dxa"/>
            <w:vAlign w:val="bottom"/>
          </w:tcPr>
          <w:p>
            <w:pPr>
              <w:spacing w:after="0"/>
              <w:rPr>
                <w:sz w:val="13"/>
                <w:szCs w:val="13"/>
                <w:color w:val="auto"/>
              </w:rPr>
            </w:pPr>
          </w:p>
        </w:tc>
        <w:tc>
          <w:tcPr>
            <w:tcW w:w="1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DISPOSITION</w:t>
            </w:r>
          </w:p>
        </w:tc>
      </w:tr>
      <w:tr>
        <w:trPr>
          <w:trHeight w:val="215"/>
        </w:trPr>
        <w:tc>
          <w:tcPr>
            <w:tcW w:w="2020" w:type="dxa"/>
            <w:vAlign w:val="bottom"/>
          </w:tcPr>
          <w:p>
            <w:pPr>
              <w:spacing w:after="0"/>
              <w:rPr>
                <w:sz w:val="20"/>
                <w:szCs w:val="20"/>
                <w:color w:val="auto"/>
              </w:rPr>
            </w:pPr>
            <w:r>
              <w:rPr>
                <w:rFonts w:ascii="Arial" w:cs="Arial" w:eastAsia="Arial" w:hAnsi="Arial"/>
                <w:sz w:val="16"/>
                <w:szCs w:val="16"/>
                <w:color w:val="auto"/>
              </w:rPr>
              <w:t>Cleaning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ignitable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incineration</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Lab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corrosive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treatment</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Lab 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25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toxic</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incineration</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Biowaste</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rPr>
              <w:t>200 lbs</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biowaste</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treatment</w:t>
            </w:r>
          </w:p>
        </w:tc>
      </w:tr>
      <w:tr>
        <w:trPr>
          <w:trHeight w:val="236"/>
        </w:trPr>
        <w:tc>
          <w:tcPr>
            <w:tcW w:w="2020" w:type="dxa"/>
            <w:vAlign w:val="bottom"/>
          </w:tcPr>
          <w:p>
            <w:pPr>
              <w:spacing w:after="0"/>
              <w:rPr>
                <w:sz w:val="20"/>
                <w:szCs w:val="20"/>
                <w:color w:val="auto"/>
              </w:rPr>
            </w:pPr>
            <w:r>
              <w:rPr>
                <w:rFonts w:ascii="Arial" w:cs="Arial" w:eastAsia="Arial" w:hAnsi="Arial"/>
                <w:sz w:val="16"/>
                <w:szCs w:val="16"/>
                <w:color w:val="auto"/>
              </w:rPr>
              <w:t>Industrial wastewater</w:t>
            </w:r>
          </w:p>
        </w:tc>
        <w:tc>
          <w:tcPr>
            <w:tcW w:w="1940" w:type="dxa"/>
            <w:vAlign w:val="bottom"/>
            <w:gridSpan w:val="2"/>
          </w:tcPr>
          <w:p>
            <w:pPr>
              <w:ind w:left="100"/>
              <w:spacing w:after="0"/>
              <w:rPr>
                <w:sz w:val="20"/>
                <w:szCs w:val="20"/>
                <w:color w:val="auto"/>
              </w:rPr>
            </w:pPr>
            <w:r>
              <w:rPr>
                <w:rFonts w:ascii="Arial" w:cs="Arial" w:eastAsia="Arial" w:hAnsi="Arial"/>
                <w:sz w:val="16"/>
                <w:szCs w:val="16"/>
                <w:color w:val="auto"/>
              </w:rPr>
              <w:t>operations</w:t>
            </w:r>
          </w:p>
        </w:tc>
        <w:tc>
          <w:tcPr>
            <w:tcW w:w="1920" w:type="dxa"/>
            <w:vAlign w:val="bottom"/>
            <w:gridSpan w:val="2"/>
          </w:tcPr>
          <w:p>
            <w:pPr>
              <w:ind w:left="80"/>
              <w:spacing w:after="0"/>
              <w:rPr>
                <w:sz w:val="20"/>
                <w:szCs w:val="20"/>
                <w:color w:val="auto"/>
              </w:rPr>
            </w:pPr>
            <w:r>
              <w:rPr>
                <w:rFonts w:ascii="Arial" w:cs="Arial" w:eastAsia="Arial" w:hAnsi="Arial"/>
                <w:sz w:val="16"/>
                <w:szCs w:val="16"/>
                <w:color w:val="auto"/>
                <w:w w:val="88"/>
              </w:rPr>
              <w:t>Discharged to sanitary sewer</w:t>
            </w:r>
          </w:p>
        </w:tc>
        <w:tc>
          <w:tcPr>
            <w:tcW w:w="1920" w:type="dxa"/>
            <w:vAlign w:val="bottom"/>
            <w:gridSpan w:val="2"/>
          </w:tcPr>
          <w:p>
            <w:pPr>
              <w:ind w:left="100"/>
              <w:spacing w:after="0"/>
              <w:rPr>
                <w:sz w:val="20"/>
                <w:szCs w:val="20"/>
                <w:color w:val="auto"/>
              </w:rPr>
            </w:pPr>
            <w:r>
              <w:rPr>
                <w:rFonts w:ascii="Arial" w:cs="Arial" w:eastAsia="Arial" w:hAnsi="Arial"/>
                <w:sz w:val="16"/>
                <w:szCs w:val="16"/>
                <w:color w:val="auto"/>
              </w:rPr>
              <w:t>NA</w:t>
            </w:r>
          </w:p>
        </w:tc>
        <w:tc>
          <w:tcPr>
            <w:tcW w:w="1820" w:type="dxa"/>
            <w:vAlign w:val="bottom"/>
            <w:gridSpan w:val="2"/>
          </w:tcPr>
          <w:p>
            <w:pPr>
              <w:ind w:left="100"/>
              <w:spacing w:after="0"/>
              <w:rPr>
                <w:sz w:val="20"/>
                <w:szCs w:val="20"/>
                <w:color w:val="auto"/>
              </w:rPr>
            </w:pPr>
            <w:r>
              <w:rPr>
                <w:rFonts w:ascii="Arial" w:cs="Arial" w:eastAsia="Arial" w:hAnsi="Arial"/>
                <w:sz w:val="16"/>
                <w:szCs w:val="16"/>
                <w:color w:val="auto"/>
              </w:rPr>
              <w:t>POTW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0" w:right="360" w:hanging="376"/>
        <w:spacing w:after="0" w:line="266" w:lineRule="auto"/>
        <w:tabs>
          <w:tab w:leader="none" w:pos="360" w:val="left"/>
        </w:tabs>
        <w:rPr>
          <w:sz w:val="20"/>
          <w:szCs w:val="20"/>
          <w:color w:val="auto"/>
        </w:rPr>
      </w:pPr>
      <w:r>
        <w:rPr>
          <w:rFonts w:ascii="Arial" w:cs="Arial" w:eastAsia="Arial" w:hAnsi="Arial"/>
          <w:sz w:val="16"/>
          <w:szCs w:val="16"/>
          <w:color w:val="auto"/>
        </w:rPr>
        <w:t>3-5.</w:t>
        <w:tab/>
        <w:t>Are pollution controls or monitoring employed in the process to prevent or minimize the release of wastes into the environment? If so, please describe.</w:t>
      </w:r>
    </w:p>
    <w:p>
      <w:pPr>
        <w:spacing w:after="0" w:line="64" w:lineRule="exact"/>
        <w:rPr>
          <w:sz w:val="20"/>
          <w:szCs w:val="20"/>
          <w:color w:val="auto"/>
        </w:rPr>
      </w:pPr>
    </w:p>
    <w:p>
      <w:pPr>
        <w:ind w:left="380" w:right="240"/>
        <w:spacing w:after="0" w:line="266" w:lineRule="auto"/>
        <w:rPr>
          <w:sz w:val="20"/>
          <w:szCs w:val="20"/>
          <w:color w:val="auto"/>
        </w:rPr>
      </w:pPr>
      <w:r>
        <w:rPr>
          <w:rFonts w:ascii="Arial" w:cs="Arial" w:eastAsia="Arial" w:hAnsi="Arial"/>
          <w:sz w:val="16"/>
          <w:szCs w:val="16"/>
          <w:color w:val="auto"/>
        </w:rPr>
        <w:t>Hazardous wastes are generated inside the facility and kept in closed containers, stored inside the facility until transported off site for treatment and disposal.</w:t>
      </w:r>
    </w:p>
    <w:p>
      <w:pPr>
        <w:sectPr>
          <w:pgSz w:w="11900" w:h="16838" w:orient="portrait"/>
          <w:cols w:equalWidth="0" w:num="1">
            <w:col w:w="9620"/>
          </w:cols>
          <w:pgMar w:left="1140" w:top="303" w:right="1139" w:bottom="1440" w:gutter="0" w:footer="0" w:header="0"/>
        </w:sectPr>
      </w:pPr>
    </w:p>
    <w:bookmarkStart w:id="523" w:name="page524"/>
    <w:bookmarkEnd w:id="523"/>
    <w:p>
      <w:pPr>
        <w:spacing w:after="0"/>
        <w:tabs>
          <w:tab w:leader="none" w:pos="360" w:val="left"/>
        </w:tabs>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90105" cy="34925"/>
                    </a:xfrm>
                    <a:prstGeom prst="rect">
                      <a:avLst/>
                    </a:prstGeom>
                    <a:noFill/>
                  </pic:spPr>
                </pic:pic>
              </a:graphicData>
            </a:graphic>
          </wp:anchor>
        </w:drawing>
        <w:t>4.0</w:t>
      </w:r>
      <w:r>
        <w:rPr>
          <w:sz w:val="20"/>
          <w:szCs w:val="20"/>
          <w:color w:val="auto"/>
        </w:rPr>
        <w:tab/>
      </w:r>
      <w:r>
        <w:rPr>
          <w:rFonts w:ascii="Arial" w:cs="Arial" w:eastAsia="Arial" w:hAnsi="Arial"/>
          <w:sz w:val="13"/>
          <w:szCs w:val="13"/>
          <w:b w:val="1"/>
          <w:bCs w:val="1"/>
          <w:u w:val="single" w:color="auto"/>
          <w:color w:val="auto"/>
        </w:rPr>
        <w:t>USTS/ASTS</w:t>
      </w:r>
    </w:p>
    <w:p>
      <w:pPr>
        <w:spacing w:after="0" w:line="115" w:lineRule="exact"/>
        <w:rPr>
          <w:sz w:val="20"/>
          <w:szCs w:val="20"/>
          <w:color w:val="auto"/>
        </w:rPr>
      </w:pPr>
    </w:p>
    <w:p>
      <w:pPr>
        <w:ind w:left="380" w:hanging="376"/>
        <w:spacing w:after="0" w:line="256" w:lineRule="auto"/>
        <w:tabs>
          <w:tab w:leader="none" w:pos="360" w:val="left"/>
        </w:tabs>
        <w:rPr>
          <w:sz w:val="20"/>
          <w:szCs w:val="20"/>
          <w:color w:val="auto"/>
        </w:rPr>
      </w:pPr>
      <w:r>
        <w:rPr>
          <w:rFonts w:ascii="Arial" w:cs="Arial" w:eastAsia="Arial" w:hAnsi="Arial"/>
          <w:sz w:val="16"/>
          <w:szCs w:val="16"/>
          <w:color w:val="auto"/>
        </w:rPr>
        <w:t>4-1.</w:t>
        <w:tab/>
        <w:t>Are underground storage tanks (USTs), aboveground storage tanks (ASTs), or associated pipelines present on site (lease renewals) or required for planned operations (new tenants)? If not, continue with section 5.0. If yes, please describe capacity, contents, age, design and construction of USTs or ASTs</w:t>
      </w:r>
    </w:p>
    <w:p>
      <w:pPr>
        <w:spacing w:after="0" w:line="71" w:lineRule="exact"/>
        <w:rPr>
          <w:sz w:val="20"/>
          <w:szCs w:val="20"/>
          <w:color w:val="auto"/>
        </w:rPr>
      </w:pPr>
    </w:p>
    <w:p>
      <w:pPr>
        <w:ind w:left="380" w:right="3160"/>
        <w:spacing w:after="0" w:line="256" w:lineRule="auto"/>
        <w:rPr>
          <w:sz w:val="20"/>
          <w:szCs w:val="20"/>
          <w:color w:val="auto"/>
        </w:rPr>
      </w:pPr>
      <w:r>
        <w:rPr>
          <w:rFonts w:ascii="Arial" w:cs="Arial" w:eastAsia="Arial" w:hAnsi="Arial"/>
          <w:sz w:val="16"/>
          <w:szCs w:val="16"/>
          <w:color w:val="auto"/>
        </w:rPr>
        <w:t>New emergency generator will have a double walled belly AST to hold ~ 400 gal diesel fuel and new wastewater neutralization system will have &lt; 50 gal acid and base AST for wastewater neutralization.</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3"/>
          <w:szCs w:val="13"/>
          <w:color w:val="auto"/>
        </w:rPr>
        <w:t>Is the UST/AST registered and permitted with the appropriate regulatory agencies? Please provide a copy of the required permits.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ASTs will be registered and permitted by the jurisdiction having authority.</w:t>
      </w:r>
    </w:p>
    <w:p>
      <w:pPr>
        <w:spacing w:after="0" w:line="111" w:lineRule="exact"/>
        <w:rPr>
          <w:sz w:val="20"/>
          <w:szCs w:val="20"/>
          <w:color w:val="auto"/>
        </w:rPr>
      </w:pPr>
    </w:p>
    <w:p>
      <w:pPr>
        <w:ind w:left="380" w:right="80" w:hanging="376"/>
        <w:spacing w:after="0" w:line="256" w:lineRule="auto"/>
        <w:tabs>
          <w:tab w:leader="none" w:pos="360" w:val="left"/>
        </w:tabs>
        <w:rPr>
          <w:sz w:val="20"/>
          <w:szCs w:val="20"/>
          <w:color w:val="auto"/>
        </w:rPr>
      </w:pPr>
      <w:r>
        <w:rPr>
          <w:rFonts w:ascii="Arial" w:cs="Arial" w:eastAsia="Arial" w:hAnsi="Arial"/>
          <w:sz w:val="16"/>
          <w:szCs w:val="16"/>
          <w:color w:val="auto"/>
        </w:rPr>
        <w:t>4-3.</w:t>
        <w:tab/>
        <w:t>Indicate if any of the following leak prevention measures have been provided for the USTs/ASTs and their associated piping. Additionally, please indicate the number of tanks that are provided with the indicated measure. Please provide copies of written test results and monitoring documentation.</w:t>
      </w:r>
    </w:p>
    <w:p>
      <w:pPr>
        <w:sectPr>
          <w:pgSz w:w="11900" w:h="16838" w:orient="portrait"/>
          <w:cols w:equalWidth="0" w:num="1">
            <w:col w:w="9600"/>
          </w:cols>
          <w:pgMar w:left="1140" w:top="252" w:right="1159" w:bottom="1440" w:gutter="0" w:footer="0" w:header="0"/>
        </w:sectPr>
      </w:pPr>
    </w:p>
    <w:p>
      <w:pPr>
        <w:spacing w:after="0" w:line="162" w:lineRule="exact"/>
        <w:rPr>
          <w:sz w:val="20"/>
          <w:szCs w:val="20"/>
          <w:color w:val="auto"/>
        </w:r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Integrity testing 3</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Inventory reconciliation</w:t>
      </w:r>
    </w:p>
    <w:p>
      <w:pPr>
        <w:spacing w:after="0" w:line="106" w:lineRule="exact"/>
        <w:rPr>
          <w:sz w:val="20"/>
          <w:szCs w:val="20"/>
          <w:color w:val="auto"/>
        </w:rPr>
      </w:pPr>
    </w:p>
    <w:p>
      <w:pPr>
        <w:sectPr>
          <w:pgSz w:w="11900" w:h="16838" w:orient="portrait"/>
          <w:cols w:equalWidth="0" w:num="4">
            <w:col w:w="520" w:space="40"/>
            <w:col w:w="2200" w:space="720"/>
            <w:col w:w="140" w:space="40"/>
            <w:col w:w="5940"/>
          </w:cols>
          <w:pgMar w:left="1140" w:top="252"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Leak detection system 1</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Overfill spill protection 3</w:t>
      </w:r>
    </w:p>
    <w:p>
      <w:pPr>
        <w:spacing w:after="0" w:line="83" w:lineRule="exact"/>
        <w:rPr>
          <w:sz w:val="20"/>
          <w:szCs w:val="20"/>
          <w:color w:val="auto"/>
        </w:rPr>
      </w:pPr>
    </w:p>
    <w:p>
      <w:pPr>
        <w:sectPr>
          <w:pgSz w:w="11900" w:h="16838" w:orient="portrait"/>
          <w:cols w:equalWidth="0" w:num="4">
            <w:col w:w="520" w:space="40"/>
            <w:col w:w="2200" w:space="720"/>
            <w:col w:w="140" w:space="40"/>
            <w:col w:w="5940"/>
          </w:cols>
          <w:pgMar w:left="1140" w:top="252"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Secondary containment 3</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Other (please describe)</w:t>
      </w:r>
    </w:p>
    <w:p>
      <w:pPr>
        <w:spacing w:after="0" w:line="106" w:lineRule="exact"/>
        <w:rPr>
          <w:sz w:val="20"/>
          <w:szCs w:val="20"/>
          <w:color w:val="auto"/>
        </w:rPr>
      </w:pPr>
    </w:p>
    <w:p>
      <w:pPr>
        <w:sectPr>
          <w:pgSz w:w="11900" w:h="16838" w:orient="portrait"/>
          <w:cols w:equalWidth="0" w:num="4">
            <w:col w:w="520" w:space="40"/>
            <w:col w:w="2200" w:space="720"/>
            <w:col w:w="140" w:space="40"/>
            <w:col w:w="5940"/>
          </w:cols>
          <w:pgMar w:left="1140" w:top="252" w:right="1159" w:bottom="1440" w:gutter="0" w:footer="0" w:header="0"/>
          <w:type w:val="continuous"/>
        </w:sectPr>
      </w:pPr>
    </w:p>
    <w:p>
      <w:pPr>
        <w:ind w:left="38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Cathodic protection</w:t>
      </w:r>
    </w:p>
    <w:p>
      <w:pPr>
        <w:spacing w:after="0" w:line="145" w:lineRule="exact"/>
        <w:rPr>
          <w:sz w:val="20"/>
          <w:szCs w:val="20"/>
          <w:color w:val="auto"/>
        </w:rPr>
      </w:pPr>
    </w:p>
    <w:p>
      <w:pPr>
        <w:sectPr>
          <w:pgSz w:w="11900" w:h="16838" w:orient="portrait"/>
          <w:cols w:equalWidth="0" w:num="2">
            <w:col w:w="520" w:space="40"/>
            <w:col w:w="9040"/>
          </w:cols>
          <w:pgMar w:left="1140" w:top="252" w:right="1159" w:bottom="1440" w:gutter="0" w:footer="0" w:header="0"/>
          <w:type w:val="continuous"/>
        </w:sectPr>
      </w:pPr>
    </w:p>
    <w:p>
      <w:pPr>
        <w:ind w:left="380" w:right="320" w:hanging="376"/>
        <w:spacing w:after="0" w:line="300" w:lineRule="auto"/>
        <w:tabs>
          <w:tab w:leader="none" w:pos="360"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5"/>
          <w:szCs w:val="15"/>
          <w:color w:val="auto"/>
        </w:rPr>
        <w:t>If this Questionnaire is being completed for a lease renewal, and if any of the USTs/ASTs have leaked, please state the substance released, the media(s) impacted (e.g., soil, water, asphalt, etc.), the actions taken, and all remedial responses to the incident. NA</w:t>
      </w:r>
    </w:p>
    <w:p>
      <w:pPr>
        <w:spacing w:after="0" w:line="52" w:lineRule="exact"/>
        <w:rPr>
          <w:sz w:val="20"/>
          <w:szCs w:val="20"/>
          <w:color w:val="auto"/>
        </w:rPr>
      </w:pPr>
    </w:p>
    <w:p>
      <w:pPr>
        <w:ind w:left="380" w:right="120" w:hanging="376"/>
        <w:spacing w:after="0" w:line="300" w:lineRule="auto"/>
        <w:tabs>
          <w:tab w:leader="none" w:pos="36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5"/>
          <w:szCs w:val="15"/>
          <w:color w:val="auto"/>
        </w:rPr>
        <w:t>If this Questionnaire is being completed for a lease renewal, have USTs/ASTs been removed from the property? If so, please provide any official closure letters or reports and supporting documentation (e.g., analytical test results, remediation report results, etc.). NA</w:t>
      </w:r>
    </w:p>
    <w:p>
      <w:pPr>
        <w:spacing w:after="0" w:line="52" w:lineRule="exact"/>
        <w:rPr>
          <w:sz w:val="20"/>
          <w:szCs w:val="20"/>
          <w:color w:val="auto"/>
        </w:rPr>
      </w:pPr>
    </w:p>
    <w:p>
      <w:pPr>
        <w:ind w:left="380" w:right="80" w:hanging="376"/>
        <w:spacing w:after="0" w:line="266" w:lineRule="auto"/>
        <w:tabs>
          <w:tab w:leader="none" w:pos="360" w:val="left"/>
        </w:tabs>
        <w:rPr>
          <w:sz w:val="20"/>
          <w:szCs w:val="20"/>
          <w:color w:val="auto"/>
        </w:rPr>
      </w:pPr>
      <w:r>
        <w:rPr>
          <w:rFonts w:ascii="Arial" w:cs="Arial" w:eastAsia="Arial" w:hAnsi="Arial"/>
          <w:sz w:val="16"/>
          <w:szCs w:val="16"/>
          <w:color w:val="auto"/>
        </w:rPr>
        <w:t>4-6.</w:t>
        <w:tab/>
        <w:t>For Lease renewals, are there any above or below ground pipelines on site used to transfer chemicals or wastes? For new tenants, are installations of this type required for the planned operations? If so, please describe.</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Wastewater only</w:t>
      </w:r>
    </w:p>
    <w:p>
      <w:pPr>
        <w:spacing w:after="0" w:line="111" w:lineRule="exact"/>
        <w:rPr>
          <w:sz w:val="20"/>
          <w:szCs w:val="20"/>
          <w:color w:val="auto"/>
        </w:rPr>
      </w:pPr>
    </w:p>
    <w:p>
      <w:pPr>
        <w:ind w:left="380" w:right="140" w:hanging="376"/>
        <w:spacing w:after="0" w:line="266" w:lineRule="auto"/>
        <w:tabs>
          <w:tab w:leader="none" w:pos="360" w:val="left"/>
        </w:tabs>
        <w:rPr>
          <w:sz w:val="20"/>
          <w:szCs w:val="20"/>
          <w:color w:val="auto"/>
        </w:rPr>
      </w:pPr>
      <w:r>
        <w:rPr>
          <w:rFonts w:ascii="Arial" w:cs="Arial" w:eastAsia="Arial" w:hAnsi="Arial"/>
          <w:sz w:val="16"/>
          <w:szCs w:val="16"/>
          <w:color w:val="auto"/>
        </w:rPr>
        <w:t>4-7.</w:t>
        <w:tab/>
        <w:t>If present or planned, have the chemical transfer pipelines been inspected or tested for leaks? If so, please indicate the results and provide a copy of the inspection or test results.</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Neutralization system will be inspected tested before operation.</w:t>
      </w:r>
    </w:p>
    <w:p>
      <w:pPr>
        <w:spacing w:after="0" w:line="319"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5.0</w:t>
      </w:r>
      <w:r>
        <w:rPr>
          <w:sz w:val="20"/>
          <w:szCs w:val="20"/>
          <w:color w:val="auto"/>
        </w:rPr>
        <w:tab/>
      </w:r>
      <w:r>
        <w:rPr>
          <w:rFonts w:ascii="Arial" w:cs="Arial" w:eastAsia="Arial" w:hAnsi="Arial"/>
          <w:sz w:val="15"/>
          <w:szCs w:val="15"/>
          <w:b w:val="1"/>
          <w:bCs w:val="1"/>
          <w:u w:val="single" w:color="auto"/>
          <w:color w:val="auto"/>
        </w:rPr>
        <w:t>ASBESTOS CONTAINING BUILDING MATERIALS</w:t>
      </w:r>
    </w:p>
    <w:p>
      <w:pPr>
        <w:spacing w:after="0" w:line="115" w:lineRule="exact"/>
        <w:rPr>
          <w:sz w:val="20"/>
          <w:szCs w:val="20"/>
          <w:color w:val="auto"/>
        </w:rPr>
      </w:pPr>
    </w:p>
    <w:p>
      <w:pPr>
        <w:ind w:left="380" w:right="80" w:hanging="376"/>
        <w:spacing w:after="0" w:line="251" w:lineRule="auto"/>
        <w:tabs>
          <w:tab w:leader="none" w:pos="360" w:val="left"/>
        </w:tabs>
        <w:rPr>
          <w:sz w:val="20"/>
          <w:szCs w:val="20"/>
          <w:color w:val="auto"/>
        </w:rPr>
      </w:pPr>
      <w:r>
        <w:rPr>
          <w:rFonts w:ascii="Arial" w:cs="Arial" w:eastAsia="Arial" w:hAnsi="Arial"/>
          <w:sz w:val="16"/>
          <w:szCs w:val="16"/>
          <w:color w:val="auto"/>
        </w:rPr>
        <w:t>5-1.</w:t>
        <w:tab/>
        <w:t>Please be advised that this property participates in an Asbestos Operations and Maintenance Program, and that an asbestos survey may have been performed at the Property. If provided, please review the information that identifies the locations of known asbestos containing material or presumed asbestos containing material. All personnel and appropriate subcontractors should be notified of the presence of these materials, and informed not to disturb these materials. Any activity that involves the disturbance or removal of these materials must be done by an appropriately trained individual/contractor.</w:t>
      </w:r>
    </w:p>
    <w:p>
      <w:pPr>
        <w:sectPr>
          <w:pgSz w:w="11900" w:h="16838" w:orient="portrait"/>
          <w:cols w:equalWidth="0" w:num="1">
            <w:col w:w="9600"/>
          </w:cols>
          <w:pgMar w:left="1140" w:top="252" w:right="1159" w:bottom="1440" w:gutter="0" w:footer="0" w:header="0"/>
          <w:type w:val="continuous"/>
        </w:sectPr>
      </w:pPr>
    </w:p>
    <w:bookmarkStart w:id="524" w:name="page525"/>
    <w:bookmarkEnd w:id="524"/>
    <w:p>
      <w:pPr>
        <w:spacing w:after="0"/>
        <w:tabs>
          <w:tab w:leader="none" w:pos="36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90105" cy="34925"/>
                    </a:xfrm>
                    <a:prstGeom prst="rect">
                      <a:avLst/>
                    </a:prstGeom>
                    <a:noFill/>
                  </pic:spPr>
                </pic:pic>
              </a:graphicData>
            </a:graphic>
          </wp:anchor>
        </w:drawing>
        <w:t>6.0</w:t>
      </w:r>
      <w:r>
        <w:rPr>
          <w:sz w:val="20"/>
          <w:szCs w:val="20"/>
          <w:color w:val="auto"/>
        </w:rPr>
        <w:tab/>
      </w:r>
      <w:r>
        <w:rPr>
          <w:rFonts w:ascii="Arial" w:cs="Arial" w:eastAsia="Arial" w:hAnsi="Arial"/>
          <w:sz w:val="15"/>
          <w:szCs w:val="15"/>
          <w:b w:val="1"/>
          <w:bCs w:val="1"/>
          <w:u w:val="single" w:color="auto"/>
          <w:color w:val="auto"/>
        </w:rPr>
        <w:t>REGULATORY</w:t>
      </w:r>
    </w:p>
    <w:p>
      <w:pPr>
        <w:spacing w:after="0" w:line="115" w:lineRule="exact"/>
        <w:rPr>
          <w:sz w:val="20"/>
          <w:szCs w:val="20"/>
          <w:color w:val="auto"/>
        </w:rPr>
      </w:pPr>
    </w:p>
    <w:p>
      <w:pPr>
        <w:ind w:left="380" w:right="680" w:hanging="376"/>
        <w:spacing w:after="0" w:line="266" w:lineRule="auto"/>
        <w:tabs>
          <w:tab w:leader="none" w:pos="360" w:val="left"/>
        </w:tabs>
        <w:rPr>
          <w:sz w:val="20"/>
          <w:szCs w:val="20"/>
          <w:color w:val="auto"/>
        </w:rPr>
      </w:pPr>
      <w:r>
        <w:rPr>
          <w:rFonts w:ascii="Arial" w:cs="Arial" w:eastAsia="Arial" w:hAnsi="Arial"/>
          <w:sz w:val="16"/>
          <w:szCs w:val="16"/>
          <w:color w:val="auto"/>
        </w:rPr>
        <w:t>6-1.</w:t>
        <w:tab/>
        <w:t>For Lease Renewals, are there any past, current, or pending regulatory actions by federal, state, or local environmental agencies alleging noncompliance with regulations? If so, please describe. NA</w:t>
      </w:r>
    </w:p>
    <w:p>
      <w:pPr>
        <w:spacing w:after="0" w:line="76" w:lineRule="exact"/>
        <w:rPr>
          <w:sz w:val="20"/>
          <w:szCs w:val="20"/>
          <w:color w:val="auto"/>
        </w:rPr>
      </w:pPr>
    </w:p>
    <w:p>
      <w:pPr>
        <w:ind w:left="380" w:right="40" w:hanging="376"/>
        <w:spacing w:after="0" w:line="266" w:lineRule="auto"/>
        <w:tabs>
          <w:tab w:leader="none" w:pos="360" w:val="left"/>
        </w:tabs>
        <w:rPr>
          <w:sz w:val="20"/>
          <w:szCs w:val="20"/>
          <w:color w:val="auto"/>
        </w:rPr>
      </w:pPr>
      <w:r>
        <w:rPr>
          <w:rFonts w:ascii="Arial" w:cs="Arial" w:eastAsia="Arial" w:hAnsi="Arial"/>
          <w:sz w:val="16"/>
          <w:szCs w:val="16"/>
          <w:color w:val="auto"/>
        </w:rPr>
        <w:t>6-2.</w:t>
        <w:tab/>
        <w:t>For lease renewals, are there any past, current, or pending lawsuits or administrative proceedings for alleged environmental damages involving the property, you, or any owner or tenant of the property? If so, please describe. NA</w:t>
      </w:r>
    </w:p>
    <w:p>
      <w:pPr>
        <w:spacing w:after="0" w:line="76" w:lineRule="exact"/>
        <w:rPr>
          <w:sz w:val="20"/>
          <w:szCs w:val="20"/>
          <w:color w:val="auto"/>
        </w:rPr>
      </w:pPr>
    </w:p>
    <w:p>
      <w:pPr>
        <w:ind w:left="380" w:right="20" w:hanging="376"/>
        <w:spacing w:after="0" w:line="266" w:lineRule="auto"/>
        <w:tabs>
          <w:tab w:leader="none" w:pos="360" w:val="left"/>
        </w:tabs>
        <w:rPr>
          <w:sz w:val="20"/>
          <w:szCs w:val="20"/>
          <w:color w:val="auto"/>
        </w:rPr>
      </w:pPr>
      <w:r>
        <w:rPr>
          <w:rFonts w:ascii="Arial" w:cs="Arial" w:eastAsia="Arial" w:hAnsi="Arial"/>
          <w:sz w:val="16"/>
          <w:szCs w:val="16"/>
          <w:color w:val="auto"/>
        </w:rPr>
        <w:t>6-3.</w:t>
        <w:tab/>
        <w:t>Does the operation have or require a National Pollutant Discharge Elimination System (NPDES) or equivalent permit? If so, please provide a copy of this permit. No</w:t>
      </w:r>
    </w:p>
    <w:p>
      <w:pPr>
        <w:spacing w:after="0" w:line="76" w:lineRule="exact"/>
        <w:rPr>
          <w:sz w:val="20"/>
          <w:szCs w:val="20"/>
          <w:color w:val="auto"/>
        </w:rPr>
      </w:pPr>
    </w:p>
    <w:p>
      <w:pPr>
        <w:jc w:val="both"/>
        <w:ind w:left="380" w:right="180" w:hanging="376"/>
        <w:spacing w:after="0" w:line="256" w:lineRule="auto"/>
        <w:tabs>
          <w:tab w:leader="none" w:pos="360" w:val="left"/>
        </w:tabs>
        <w:rPr>
          <w:sz w:val="20"/>
          <w:szCs w:val="20"/>
          <w:color w:val="auto"/>
        </w:rPr>
      </w:pPr>
      <w:r>
        <w:rPr>
          <w:rFonts w:ascii="Arial" w:cs="Arial" w:eastAsia="Arial" w:hAnsi="Arial"/>
          <w:sz w:val="16"/>
          <w:szCs w:val="16"/>
          <w:color w:val="auto"/>
        </w:rPr>
        <w:t>6-4.</w:t>
        <w:tab/>
        <w:t>For Lease renewals, have there been any complaints from the surrounding community regarding facility operations? If so, please describe. Have there been any worker complaints or regulatory investigations regarding hazardous material exposure at the facility? If so, please describe status and any corrective actions taken. NA</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color w:val="auto"/>
        </w:rPr>
        <w:t>6-5.</w:t>
      </w:r>
      <w:r>
        <w:rPr>
          <w:sz w:val="20"/>
          <w:szCs w:val="20"/>
          <w:color w:val="auto"/>
        </w:rPr>
        <w:tab/>
      </w:r>
      <w:r>
        <w:rPr>
          <w:rFonts w:ascii="Arial" w:cs="Arial" w:eastAsia="Arial" w:hAnsi="Arial"/>
          <w:sz w:val="13"/>
          <w:szCs w:val="13"/>
          <w:color w:val="auto"/>
        </w:rPr>
        <w:t>Has a Hazardous Materials Business Plan been developed for the site? If so, please provide a copy.</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Hazardous Materials Business Plan will be developed and provided before operations begin.</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CERTIFICATION</w:t>
      </w:r>
    </w:p>
    <w:p>
      <w:pPr>
        <w:spacing w:after="0" w:line="103" w:lineRule="exact"/>
        <w:rPr>
          <w:sz w:val="20"/>
          <w:szCs w:val="20"/>
          <w:color w:val="auto"/>
        </w:rPr>
      </w:pPr>
    </w:p>
    <w:p>
      <w:pPr>
        <w:jc w:val="both"/>
        <w:ind w:right="140" w:firstLine="385"/>
        <w:spacing w:after="0" w:line="281" w:lineRule="auto"/>
        <w:rPr>
          <w:sz w:val="20"/>
          <w:szCs w:val="20"/>
          <w:color w:val="auto"/>
        </w:rPr>
      </w:pPr>
      <w:r>
        <w:rPr>
          <w:rFonts w:ascii="Arial" w:cs="Arial" w:eastAsia="Arial" w:hAnsi="Arial"/>
          <w:sz w:val="15"/>
          <w:szCs w:val="15"/>
          <w:color w:val="auto"/>
        </w:rPr>
        <w:t>Tenant is familiar with the real property described in this questionnaire. By signing below, Tenant represents and warrants that the answers to the above questions are complete and accurate to Tenant’s current actual, knowledge. Tenant also understand that the Owner will rely on the completeness and accuracy of my answers in assessing any environmental liability risks associated with the property.</w:t>
      </w:r>
    </w:p>
    <w:p>
      <w:pPr>
        <w:spacing w:after="0" w:line="17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TENAYA THERAPEUTICS, INC.</w:t>
      </w:r>
    </w:p>
    <w:p>
      <w:pPr>
        <w:spacing w:after="0" w:line="193" w:lineRule="exact"/>
        <w:rPr>
          <w:sz w:val="20"/>
          <w:szCs w:val="20"/>
          <w:color w:val="auto"/>
        </w:rPr>
      </w:pPr>
    </w:p>
    <w:tbl>
      <w:tblPr>
        <w:tblLayout w:type="fixed"/>
        <w:tblInd w:w="6000" w:type="dxa"/>
        <w:tblCellMar>
          <w:top w:w="0" w:type="dxa"/>
          <w:left w:w="0" w:type="dxa"/>
          <w:bottom w:w="0" w:type="dxa"/>
          <w:right w:w="0" w:type="dxa"/>
        </w:tblCellMar>
      </w:tblPr>
      <w:tr>
        <w:trPr>
          <w:trHeight w:val="201"/>
        </w:trPr>
        <w:tc>
          <w:tcPr>
            <w:tcW w:w="860" w:type="dxa"/>
            <w:vAlign w:val="bottom"/>
          </w:tcPr>
          <w:p>
            <w:pPr>
              <w:spacing w:after="0"/>
              <w:rPr>
                <w:sz w:val="20"/>
                <w:szCs w:val="20"/>
                <w:color w:val="auto"/>
              </w:rPr>
            </w:pPr>
            <w:r>
              <w:rPr>
                <w:rFonts w:ascii="Arial" w:cs="Arial" w:eastAsia="Arial" w:hAnsi="Arial"/>
                <w:sz w:val="16"/>
                <w:szCs w:val="16"/>
                <w:color w:val="auto"/>
              </w:rPr>
              <w:t>Signature: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Kameron Balzer</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Name: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Kameron Balzer</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Title: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Sr Director Facilities</w:t>
            </w:r>
          </w:p>
        </w:tc>
      </w:tr>
      <w:tr>
        <w:trPr>
          <w:trHeight w:val="286"/>
        </w:trPr>
        <w:tc>
          <w:tcPr>
            <w:tcW w:w="860" w:type="dxa"/>
            <w:vAlign w:val="bottom"/>
          </w:tcPr>
          <w:p>
            <w:pPr>
              <w:spacing w:after="0"/>
              <w:rPr>
                <w:sz w:val="20"/>
                <w:szCs w:val="20"/>
                <w:color w:val="auto"/>
              </w:rPr>
            </w:pPr>
            <w:r>
              <w:rPr>
                <w:rFonts w:ascii="Arial" w:cs="Arial" w:eastAsia="Arial" w:hAnsi="Arial"/>
                <w:sz w:val="16"/>
                <w:szCs w:val="16"/>
                <w:color w:val="auto"/>
              </w:rPr>
              <w:t>Date:</w:t>
            </w:r>
          </w:p>
        </w:tc>
        <w:tc>
          <w:tcPr>
            <w:tcW w:w="27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02/10/21</w:t>
            </w:r>
          </w:p>
        </w:tc>
      </w:tr>
      <w:tr>
        <w:trPr>
          <w:trHeight w:val="287"/>
        </w:trPr>
        <w:tc>
          <w:tcPr>
            <w:tcW w:w="860" w:type="dxa"/>
            <w:vAlign w:val="bottom"/>
          </w:tcPr>
          <w:p>
            <w:pPr>
              <w:spacing w:after="0"/>
              <w:rPr>
                <w:sz w:val="20"/>
                <w:szCs w:val="20"/>
                <w:color w:val="auto"/>
              </w:rPr>
            </w:pPr>
            <w:r>
              <w:rPr>
                <w:rFonts w:ascii="Arial" w:cs="Arial" w:eastAsia="Arial" w:hAnsi="Arial"/>
                <w:sz w:val="16"/>
                <w:szCs w:val="16"/>
                <w:color w:val="auto"/>
              </w:rPr>
              <w:t>Telephone:</w:t>
            </w:r>
          </w:p>
        </w:tc>
        <w:tc>
          <w:tcPr>
            <w:tcW w:w="2760" w:type="dxa"/>
            <w:vAlign w:val="bottom"/>
          </w:tcPr>
          <w:p>
            <w:pPr>
              <w:spacing w:after="0"/>
              <w:rPr>
                <w:sz w:val="24"/>
                <w:szCs w:val="24"/>
                <w:color w:val="auto"/>
              </w:rPr>
            </w:pPr>
          </w:p>
        </w:tc>
      </w:tr>
    </w:tbl>
    <w:p>
      <w:pPr>
        <w:sectPr>
          <w:pgSz w:w="11900" w:h="16838" w:orient="portrait"/>
          <w:cols w:equalWidth="0" w:num="1">
            <w:col w:w="9620"/>
          </w:cols>
          <w:pgMar w:left="1140" w:top="252" w:right="1139" w:bottom="1440" w:gutter="0" w:footer="0" w:header="0"/>
        </w:sectPr>
      </w:pPr>
    </w:p>
    <w:bookmarkStart w:id="525" w:name="page526"/>
    <w:bookmarkEnd w:id="525"/>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MOVE OUT STANDARDS</w:t>
      </w:r>
    </w:p>
    <w:p>
      <w:pPr>
        <w:spacing w:after="0" w:line="197" w:lineRule="exact"/>
        <w:rPr>
          <w:sz w:val="20"/>
          <w:szCs w:val="20"/>
          <w:color w:val="auto"/>
        </w:rPr>
      </w:pPr>
    </w:p>
    <w:p>
      <w:pPr>
        <w:ind w:right="280"/>
        <w:spacing w:after="0" w:line="311" w:lineRule="auto"/>
        <w:rPr>
          <w:sz w:val="20"/>
          <w:szCs w:val="20"/>
          <w:color w:val="auto"/>
        </w:rPr>
      </w:pPr>
      <w:r>
        <w:rPr>
          <w:rFonts w:ascii="Arial" w:cs="Arial" w:eastAsia="Arial" w:hAnsi="Arial"/>
          <w:sz w:val="13"/>
          <w:szCs w:val="13"/>
          <w:color w:val="auto"/>
        </w:rPr>
        <w:t>This Move Out Standards Exhibit is dated for the reference purposes as of the same date as the Lease, and is made between Terreno Park Union City LLC (“Landlord”) and Tenaya Therapeutics, Inc. (“Tenant”) to be a part of that certain Industrial Lease (“Lease”) concerning the premises located at</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33498 Central Avenue, Union City, CA 94587 (“Premises”). Landlord and Tenant agree that the Lease is hereby modified and supplemented as follows:</w:t>
      </w:r>
    </w:p>
    <w:p>
      <w:pPr>
        <w:spacing w:after="0" w:line="216" w:lineRule="exact"/>
        <w:rPr>
          <w:sz w:val="20"/>
          <w:szCs w:val="20"/>
          <w:color w:val="auto"/>
        </w:rPr>
      </w:pPr>
    </w:p>
    <w:p>
      <w:pPr>
        <w:ind w:right="100"/>
        <w:spacing w:after="0" w:line="314" w:lineRule="auto"/>
        <w:rPr>
          <w:sz w:val="20"/>
          <w:szCs w:val="20"/>
          <w:color w:val="auto"/>
        </w:rPr>
      </w:pPr>
      <w:r>
        <w:rPr>
          <w:rFonts w:ascii="Arial" w:cs="Arial" w:eastAsia="Arial" w:hAnsi="Arial"/>
          <w:sz w:val="13"/>
          <w:szCs w:val="13"/>
          <w:color w:val="auto"/>
        </w:rPr>
        <w:t>At the expiration or earlier termination of the Lease and subject to any other provisions of the Lease regarding surrender of the Premises, Tenant shall surrender the Premises in the same condition as they were upon delivery of possession thereto under the Lease, reasonable wear and tear, casualty, condemnation, and repairs that are not Tenant’s responsibility under the Lease, excepted, and shall deliver all keys to Landlord. Before surrendering the Premises, Tenant shall remove all of its personal property and trade fixtures and such alterations or additions to the Premises made by Tenant as may be specified for removal by Landlord at the time of its consent thereto. If Tenant fails to remove its personal property, fixtures or alterations or additions upon the expiration or earlier termination of the Lease, the same shall be deemed abandoned and shall become the property of the Landlord. Notwithstanding the foregoing, Tenant shall be liable to Landlord for all costs and damages incurred by Landlord in removing, storing or selling such property, fixtures, alterations or additions and in restoring the Premises to the condition required pursuant to the Lease.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Subject to any provision to the contrary in the Lease, Tenant shall surrender the Premises, at the time of the expiration or earlier termination of the</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Lease, in a condition that shall include, but is not limited to,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0" w:type="dxa"/>
            <w:vAlign w:val="bottom"/>
          </w:tcPr>
          <w:p>
            <w:pPr>
              <w:jc w:val="right"/>
              <w:spacing w:after="0"/>
              <w:rPr>
                <w:sz w:val="20"/>
                <w:szCs w:val="20"/>
                <w:color w:val="auto"/>
              </w:rPr>
            </w:pPr>
            <w:r>
              <w:rPr>
                <w:rFonts w:ascii="Arial" w:cs="Arial" w:eastAsia="Arial" w:hAnsi="Arial"/>
                <w:sz w:val="16"/>
                <w:szCs w:val="16"/>
                <w:color w:val="auto"/>
                <w:w w:val="74"/>
              </w:rPr>
              <w:t>1.</w:t>
            </w:r>
          </w:p>
        </w:tc>
        <w:tc>
          <w:tcPr>
            <w:tcW w:w="2840" w:type="dxa"/>
            <w:vAlign w:val="bottom"/>
          </w:tcPr>
          <w:p>
            <w:pPr>
              <w:ind w:left="20"/>
              <w:spacing w:after="0"/>
              <w:rPr>
                <w:sz w:val="20"/>
                <w:szCs w:val="20"/>
                <w:color w:val="auto"/>
              </w:rPr>
            </w:pPr>
            <w:r>
              <w:rPr>
                <w:rFonts w:ascii="Arial" w:cs="Arial" w:eastAsia="Arial" w:hAnsi="Arial"/>
                <w:sz w:val="16"/>
                <w:szCs w:val="16"/>
                <w:color w:val="auto"/>
              </w:rPr>
              <w:t>Lights:</w:t>
            </w:r>
          </w:p>
        </w:tc>
        <w:tc>
          <w:tcPr>
            <w:tcW w:w="6640" w:type="dxa"/>
            <w:vAlign w:val="bottom"/>
          </w:tcPr>
          <w:p>
            <w:pPr>
              <w:ind w:left="380"/>
              <w:spacing w:after="0"/>
              <w:rPr>
                <w:sz w:val="20"/>
                <w:szCs w:val="20"/>
                <w:color w:val="auto"/>
              </w:rPr>
            </w:pPr>
            <w:r>
              <w:rPr>
                <w:rFonts w:ascii="Arial" w:cs="Arial" w:eastAsia="Arial" w:hAnsi="Arial"/>
                <w:sz w:val="16"/>
                <w:szCs w:val="16"/>
                <w:color w:val="auto"/>
                <w:w w:val="97"/>
              </w:rPr>
              <w:t>Office, exterior, emergency exit and warehouse lights will be fully operational with all bulbs</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functioning. Replacement lamps should be consistent in color, type and style.</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2.</w:t>
            </w:r>
          </w:p>
        </w:tc>
        <w:tc>
          <w:tcPr>
            <w:tcW w:w="2840" w:type="dxa"/>
            <w:vAlign w:val="bottom"/>
          </w:tcPr>
          <w:p>
            <w:pPr>
              <w:ind w:left="20"/>
              <w:spacing w:after="0"/>
              <w:rPr>
                <w:sz w:val="20"/>
                <w:szCs w:val="20"/>
                <w:color w:val="auto"/>
              </w:rPr>
            </w:pPr>
            <w:r>
              <w:rPr>
                <w:rFonts w:ascii="Arial" w:cs="Arial" w:eastAsia="Arial" w:hAnsi="Arial"/>
                <w:sz w:val="16"/>
                <w:szCs w:val="16"/>
                <w:color w:val="auto"/>
              </w:rPr>
              <w:t>Roll-Up Doors &amp; Pedestrian Doors:</w:t>
            </w:r>
          </w:p>
        </w:tc>
        <w:tc>
          <w:tcPr>
            <w:tcW w:w="6640" w:type="dxa"/>
            <w:vAlign w:val="bottom"/>
          </w:tcPr>
          <w:p>
            <w:pPr>
              <w:ind w:left="380"/>
              <w:spacing w:after="0"/>
              <w:rPr>
                <w:sz w:val="20"/>
                <w:szCs w:val="20"/>
                <w:color w:val="auto"/>
              </w:rPr>
            </w:pPr>
            <w:r>
              <w:rPr>
                <w:rFonts w:ascii="Arial" w:cs="Arial" w:eastAsia="Arial" w:hAnsi="Arial"/>
                <w:sz w:val="16"/>
                <w:szCs w:val="16"/>
                <w:color w:val="auto"/>
              </w:rPr>
              <w:t>Roll-up doors must receive final maintenance by a licensed contractor to include: lube,</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adjustments, alignment and replacement of seals and panels (if required). Pedestrian doors must</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have all hardware in working condition (including crash hardware, thresholds, closers and weather-</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0"/>
              </w:rPr>
              <w:t>stripping). Replacement of doors and/or hardware shall be of similar type as existing. Tenant shall</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provide written evidence of such maintenance/repairs to Landlord.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3.</w:t>
            </w:r>
          </w:p>
        </w:tc>
        <w:tc>
          <w:tcPr>
            <w:tcW w:w="2840" w:type="dxa"/>
            <w:vAlign w:val="bottom"/>
          </w:tcPr>
          <w:p>
            <w:pPr>
              <w:ind w:left="20"/>
              <w:spacing w:after="0"/>
              <w:rPr>
                <w:sz w:val="20"/>
                <w:szCs w:val="20"/>
                <w:color w:val="auto"/>
              </w:rPr>
            </w:pPr>
            <w:r>
              <w:rPr>
                <w:rFonts w:ascii="Arial" w:cs="Arial" w:eastAsia="Arial" w:hAnsi="Arial"/>
                <w:sz w:val="16"/>
                <w:szCs w:val="16"/>
                <w:color w:val="auto"/>
              </w:rPr>
              <w:t>Loading Docks:</w:t>
            </w:r>
          </w:p>
        </w:tc>
        <w:tc>
          <w:tcPr>
            <w:tcW w:w="6640" w:type="dxa"/>
            <w:vAlign w:val="bottom"/>
          </w:tcPr>
          <w:p>
            <w:pPr>
              <w:ind w:left="380"/>
              <w:spacing w:after="0"/>
              <w:rPr>
                <w:sz w:val="20"/>
                <w:szCs w:val="20"/>
                <w:color w:val="auto"/>
              </w:rPr>
            </w:pPr>
            <w:r>
              <w:rPr>
                <w:rFonts w:ascii="Arial" w:cs="Arial" w:eastAsia="Arial" w:hAnsi="Arial"/>
                <w:sz w:val="16"/>
                <w:szCs w:val="16"/>
                <w:color w:val="auto"/>
                <w:w w:val="92"/>
              </w:rPr>
              <w:t>Includes dock levelers, dock bumpers, dock door seals, pit levelers and sump pumps. Tenant to</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provide evidence of final maintenance on all items from a licensed contractor.</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4.</w:t>
            </w:r>
          </w:p>
        </w:tc>
        <w:tc>
          <w:tcPr>
            <w:tcW w:w="2840" w:type="dxa"/>
            <w:vAlign w:val="bottom"/>
          </w:tcPr>
          <w:p>
            <w:pPr>
              <w:ind w:left="20"/>
              <w:spacing w:after="0"/>
              <w:rPr>
                <w:sz w:val="20"/>
                <w:szCs w:val="20"/>
                <w:color w:val="auto"/>
              </w:rPr>
            </w:pPr>
            <w:r>
              <w:rPr>
                <w:rFonts w:ascii="Arial" w:cs="Arial" w:eastAsia="Arial" w:hAnsi="Arial"/>
                <w:sz w:val="16"/>
                <w:szCs w:val="16"/>
                <w:color w:val="auto"/>
              </w:rPr>
              <w:t>Warehouse Floor:</w:t>
            </w: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Tenant shall remove all paint and stickers and leave floors free of stains, and swept with no racking</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7"/>
              </w:rPr>
              <w:t>bolts or other protrusions left in floor. Cracks should be repaired with an epoxy or polymer.</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5.</w:t>
            </w:r>
          </w:p>
        </w:tc>
        <w:tc>
          <w:tcPr>
            <w:tcW w:w="2840" w:type="dxa"/>
            <w:vAlign w:val="bottom"/>
          </w:tcPr>
          <w:p>
            <w:pPr>
              <w:ind w:left="20"/>
              <w:spacing w:after="0"/>
              <w:rPr>
                <w:sz w:val="20"/>
                <w:szCs w:val="20"/>
                <w:color w:val="auto"/>
              </w:rPr>
            </w:pPr>
            <w:r>
              <w:rPr>
                <w:rFonts w:ascii="Arial" w:cs="Arial" w:eastAsia="Arial" w:hAnsi="Arial"/>
                <w:sz w:val="16"/>
                <w:szCs w:val="16"/>
                <w:color w:val="auto"/>
              </w:rPr>
              <w:t>Tenant-Installed Equipment &amp; Wiring:</w:t>
            </w:r>
          </w:p>
        </w:tc>
        <w:tc>
          <w:tcPr>
            <w:tcW w:w="6640" w:type="dxa"/>
            <w:vAlign w:val="bottom"/>
          </w:tcPr>
          <w:p>
            <w:pPr>
              <w:ind w:left="380"/>
              <w:spacing w:after="0"/>
              <w:rPr>
                <w:sz w:val="20"/>
                <w:szCs w:val="20"/>
                <w:color w:val="auto"/>
              </w:rPr>
            </w:pPr>
            <w:r>
              <w:rPr>
                <w:rFonts w:ascii="Arial" w:cs="Arial" w:eastAsia="Arial" w:hAnsi="Arial"/>
                <w:sz w:val="16"/>
                <w:szCs w:val="16"/>
                <w:color w:val="auto"/>
                <w:w w:val="93"/>
              </w:rPr>
              <w:t>Tenant shall remove all air lines, junction boxes, distribution boxes, conduit, etc. All wiring shall</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be terminated back to point of connection. Telecom and associated data wiring shall be removed</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and terminated at the original phone board.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6.</w:t>
            </w:r>
          </w:p>
        </w:tc>
        <w:tc>
          <w:tcPr>
            <w:tcW w:w="2840" w:type="dxa"/>
            <w:vAlign w:val="bottom"/>
          </w:tcPr>
          <w:p>
            <w:pPr>
              <w:ind w:left="20"/>
              <w:spacing w:after="0"/>
              <w:rPr>
                <w:sz w:val="20"/>
                <w:szCs w:val="20"/>
                <w:color w:val="auto"/>
              </w:rPr>
            </w:pPr>
            <w:r>
              <w:rPr>
                <w:rFonts w:ascii="Arial" w:cs="Arial" w:eastAsia="Arial" w:hAnsi="Arial"/>
                <w:sz w:val="16"/>
                <w:szCs w:val="16"/>
                <w:color w:val="auto"/>
              </w:rPr>
              <w:t>Walls:</w:t>
            </w:r>
          </w:p>
        </w:tc>
        <w:tc>
          <w:tcPr>
            <w:tcW w:w="6640" w:type="dxa"/>
            <w:vAlign w:val="bottom"/>
          </w:tcPr>
          <w:p>
            <w:pPr>
              <w:ind w:left="380"/>
              <w:spacing w:after="0"/>
              <w:rPr>
                <w:sz w:val="20"/>
                <w:szCs w:val="20"/>
                <w:color w:val="auto"/>
              </w:rPr>
            </w:pPr>
            <w:r>
              <w:rPr>
                <w:rFonts w:ascii="Arial" w:cs="Arial" w:eastAsia="Arial" w:hAnsi="Arial"/>
                <w:sz w:val="16"/>
                <w:szCs w:val="16"/>
                <w:color w:val="auto"/>
                <w:w w:val="89"/>
              </w:rPr>
              <w:t>Warehouse Walls - Sheetrock (drywall) damage should be patched and fire-taped so that there are</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6"/>
              </w:rPr>
              <w:t>no holes remaining. Office Walls – shall be patched and returned to a paint-ready condition.</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7.</w:t>
            </w:r>
          </w:p>
        </w:tc>
        <w:tc>
          <w:tcPr>
            <w:tcW w:w="2840" w:type="dxa"/>
            <w:vAlign w:val="bottom"/>
          </w:tcPr>
          <w:p>
            <w:pPr>
              <w:ind w:left="20"/>
              <w:spacing w:after="0"/>
              <w:rPr>
                <w:sz w:val="20"/>
                <w:szCs w:val="20"/>
                <w:color w:val="auto"/>
              </w:rPr>
            </w:pPr>
            <w:r>
              <w:rPr>
                <w:rFonts w:ascii="Arial" w:cs="Arial" w:eastAsia="Arial" w:hAnsi="Arial"/>
                <w:sz w:val="16"/>
                <w:szCs w:val="16"/>
                <w:color w:val="auto"/>
              </w:rPr>
              <w:t>Roof:</w:t>
            </w:r>
          </w:p>
        </w:tc>
        <w:tc>
          <w:tcPr>
            <w:tcW w:w="6640" w:type="dxa"/>
            <w:vAlign w:val="bottom"/>
          </w:tcPr>
          <w:p>
            <w:pPr>
              <w:ind w:left="380"/>
              <w:spacing w:after="0"/>
              <w:rPr>
                <w:sz w:val="20"/>
                <w:szCs w:val="20"/>
                <w:color w:val="auto"/>
              </w:rPr>
            </w:pPr>
            <w:r>
              <w:rPr>
                <w:rFonts w:ascii="Arial" w:cs="Arial" w:eastAsia="Arial" w:hAnsi="Arial"/>
                <w:sz w:val="16"/>
                <w:szCs w:val="16"/>
                <w:color w:val="auto"/>
                <w:w w:val="95"/>
              </w:rPr>
              <w:t>Any tenant-installed equipment must be removed and roof penetrations properly repaired by</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Landlord’s roofing contractor or a roofing contractor reasonably approved by Landlord.</w:t>
            </w:r>
          </w:p>
        </w:tc>
      </w:tr>
      <w:tr>
        <w:trPr>
          <w:trHeight w:val="366"/>
        </w:trPr>
        <w:tc>
          <w:tcPr>
            <w:tcW w:w="140" w:type="dxa"/>
            <w:vAlign w:val="bottom"/>
          </w:tcPr>
          <w:p>
            <w:pPr>
              <w:jc w:val="right"/>
              <w:spacing w:after="0"/>
              <w:rPr>
                <w:sz w:val="20"/>
                <w:szCs w:val="20"/>
                <w:color w:val="auto"/>
              </w:rPr>
            </w:pPr>
            <w:r>
              <w:rPr>
                <w:rFonts w:ascii="Arial" w:cs="Arial" w:eastAsia="Arial" w:hAnsi="Arial"/>
                <w:sz w:val="16"/>
                <w:szCs w:val="16"/>
                <w:color w:val="auto"/>
                <w:w w:val="74"/>
              </w:rPr>
              <w:t>8.</w:t>
            </w:r>
          </w:p>
        </w:tc>
        <w:tc>
          <w:tcPr>
            <w:tcW w:w="2840" w:type="dxa"/>
            <w:vAlign w:val="bottom"/>
          </w:tcPr>
          <w:p>
            <w:pPr>
              <w:ind w:left="20"/>
              <w:spacing w:after="0"/>
              <w:rPr>
                <w:sz w:val="20"/>
                <w:szCs w:val="20"/>
                <w:color w:val="auto"/>
              </w:rPr>
            </w:pPr>
            <w:r>
              <w:rPr>
                <w:rFonts w:ascii="Arial" w:cs="Arial" w:eastAsia="Arial" w:hAnsi="Arial"/>
                <w:sz w:val="16"/>
                <w:szCs w:val="16"/>
                <w:color w:val="auto"/>
              </w:rPr>
              <w:t>Signs:</w:t>
            </w:r>
          </w:p>
        </w:tc>
        <w:tc>
          <w:tcPr>
            <w:tcW w:w="6640" w:type="dxa"/>
            <w:vAlign w:val="bottom"/>
          </w:tcPr>
          <w:p>
            <w:pPr>
              <w:ind w:left="380"/>
              <w:spacing w:after="0"/>
              <w:rPr>
                <w:sz w:val="20"/>
                <w:szCs w:val="20"/>
                <w:color w:val="auto"/>
              </w:rPr>
            </w:pPr>
            <w:r>
              <w:rPr>
                <w:rFonts w:ascii="Arial" w:cs="Arial" w:eastAsia="Arial" w:hAnsi="Arial"/>
                <w:sz w:val="16"/>
                <w:szCs w:val="16"/>
                <w:color w:val="auto"/>
                <w:w w:val="94"/>
              </w:rPr>
              <w:t>All Tenant installed signage shall be removed, including interior and exterior window signage.</w:t>
            </w:r>
          </w:p>
        </w:tc>
      </w:tr>
      <w:tr>
        <w:trPr>
          <w:trHeight w:val="189"/>
        </w:trPr>
        <w:tc>
          <w:tcPr>
            <w:tcW w:w="1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w w:val="91"/>
              </w:rPr>
              <w:t>Exterior building surface shall be restored to original condition, including patching of all holes and</w:t>
            </w:r>
          </w:p>
        </w:tc>
      </w:tr>
      <w:tr>
        <w:trPr>
          <w:trHeight w:val="200"/>
        </w:trPr>
        <w:tc>
          <w:tcPr>
            <w:tcW w:w="1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640" w:type="dxa"/>
            <w:vAlign w:val="bottom"/>
          </w:tcPr>
          <w:p>
            <w:pPr>
              <w:ind w:left="380"/>
              <w:spacing w:after="0"/>
              <w:rPr>
                <w:sz w:val="20"/>
                <w:szCs w:val="20"/>
                <w:color w:val="auto"/>
              </w:rPr>
            </w:pPr>
            <w:r>
              <w:rPr>
                <w:rFonts w:ascii="Arial" w:cs="Arial" w:eastAsia="Arial" w:hAnsi="Arial"/>
                <w:sz w:val="16"/>
                <w:szCs w:val="16"/>
                <w:color w:val="auto"/>
              </w:rPr>
              <w:t>painting to match exterior color.</w:t>
            </w:r>
          </w:p>
        </w:tc>
      </w:tr>
    </w:tbl>
    <w:p>
      <w:pPr>
        <w:sectPr>
          <w:pgSz w:w="11900" w:h="16838" w:orient="portrait"/>
          <w:cols w:equalWidth="0" w:num="1">
            <w:col w:w="9620"/>
          </w:cols>
          <w:pgMar w:left="1140" w:top="252" w:right="1139" w:bottom="1440" w:gutter="0" w:footer="0" w:header="0"/>
        </w:sectPr>
      </w:pPr>
    </w:p>
    <w:bookmarkStart w:id="526" w:name="page527"/>
    <w:bookmarkEnd w:id="526"/>
    <w:p>
      <w:pPr>
        <w:spacing w:after="0"/>
        <w:rPr>
          <w:sz w:val="20"/>
          <w:szCs w:val="20"/>
          <w:color w:val="auto"/>
        </w:rPr>
      </w:pPr>
      <w:r>
        <w:rPr>
          <w:rFonts w:ascii="Arial" w:cs="Arial" w:eastAsia="Arial" w:hAnsi="Arial"/>
          <w:sz w:val="13"/>
          <w:szCs w:val="13"/>
          <w:color w:val="auto"/>
        </w:rPr>
        <w:t>9. Heating &amp; Air Conditioning System:</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6"/>
          <w:szCs w:val="16"/>
          <w:color w:val="auto"/>
        </w:rPr>
        <w:t>HVAC equipment must receive final maintenance by a licensed HVAC contractor, including filter changes and repairs/replacements if required. Tenant shall provide written evidence of maintenance/repairs 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-447040</wp:posOffset>
            </wp:positionV>
            <wp:extent cx="7190105" cy="3492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90105" cy="3492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640" w:space="720"/>
            <w:col w:w="6220"/>
          </w:cols>
          <w:pgMar w:left="1140" w:top="256" w:right="1179" w:bottom="1440" w:gutter="0" w:footer="0" w:header="0"/>
        </w:sectPr>
      </w:pPr>
    </w:p>
    <w:p>
      <w:pPr>
        <w:spacing w:after="0"/>
        <w:rPr>
          <w:sz w:val="20"/>
          <w:szCs w:val="20"/>
          <w:color w:val="auto"/>
        </w:rPr>
      </w:pPr>
      <w:r>
        <w:rPr>
          <w:rFonts w:ascii="Arial" w:cs="Arial" w:eastAsia="Arial" w:hAnsi="Arial"/>
          <w:sz w:val="13"/>
          <w:szCs w:val="13"/>
          <w:color w:val="auto"/>
        </w:rPr>
        <w:t>10. Plumbing</w:t>
      </w:r>
    </w:p>
    <w:p>
      <w:pPr>
        <w:spacing w:after="0" w:line="20" w:lineRule="exact"/>
        <w:rPr>
          <w:sz w:val="20"/>
          <w:szCs w:val="20"/>
          <w:color w:val="auto"/>
        </w:rPr>
      </w:pPr>
      <w:r>
        <w:rPr>
          <w:sz w:val="20"/>
          <w:szCs w:val="20"/>
          <w:color w:val="auto"/>
        </w:rPr>
        <w:br w:type="column"/>
      </w:r>
    </w:p>
    <w:p>
      <w:pPr>
        <w:spacing w:after="0" w:line="343" w:lineRule="auto"/>
        <w:rPr>
          <w:sz w:val="20"/>
          <w:szCs w:val="20"/>
          <w:color w:val="auto"/>
        </w:rPr>
      </w:pPr>
      <w:r>
        <w:rPr>
          <w:rFonts w:ascii="Arial" w:cs="Arial" w:eastAsia="Arial" w:hAnsi="Arial"/>
          <w:sz w:val="13"/>
          <w:szCs w:val="13"/>
          <w:color w:val="auto"/>
        </w:rPr>
        <w:t>Restroom/Kitchen fixtures and accessories (i.e. “insta-hot” water heaters, vanity heaters, handrails, soap dispensers, paper towel holders, etc.) shall be returned in good working condition, free of leaks and stains. Tenant shall provide written evidence of final service to water heater.</w:t>
      </w:r>
    </w:p>
    <w:p>
      <w:pPr>
        <w:spacing w:after="0" w:line="114" w:lineRule="exact"/>
        <w:rPr>
          <w:sz w:val="20"/>
          <w:szCs w:val="20"/>
          <w:color w:val="auto"/>
        </w:rPr>
      </w:pPr>
    </w:p>
    <w:p>
      <w:pPr>
        <w:sectPr>
          <w:pgSz w:w="11900" w:h="16838" w:orient="portrait"/>
          <w:cols w:equalWidth="0" w:num="2">
            <w:col w:w="2640" w:space="720"/>
            <w:col w:w="6220"/>
          </w:cols>
          <w:pgMar w:left="1140" w:top="256" w:right="1179" w:bottom="1440" w:gutter="0" w:footer="0" w:header="0"/>
          <w:type w:val="continuous"/>
        </w:sectPr>
      </w:pPr>
    </w:p>
    <w:p>
      <w:pPr>
        <w:spacing w:after="0"/>
        <w:rPr>
          <w:sz w:val="20"/>
          <w:szCs w:val="20"/>
          <w:color w:val="auto"/>
        </w:rPr>
      </w:pPr>
      <w:r>
        <w:rPr>
          <w:rFonts w:ascii="Arial" w:cs="Arial" w:eastAsia="Arial" w:hAnsi="Arial"/>
          <w:sz w:val="13"/>
          <w:szCs w:val="13"/>
          <w:color w:val="auto"/>
        </w:rPr>
        <w:t>10. Overall Cleanliness:</w:t>
      </w:r>
    </w:p>
    <w:p>
      <w:pPr>
        <w:spacing w:after="0" w:line="20" w:lineRule="exact"/>
        <w:rPr>
          <w:sz w:val="20"/>
          <w:szCs w:val="20"/>
          <w:color w:val="auto"/>
        </w:rPr>
      </w:pPr>
      <w:r>
        <w:rPr>
          <w:sz w:val="20"/>
          <w:szCs w:val="20"/>
          <w:color w:val="auto"/>
        </w:rPr>
        <w:br w:type="column"/>
      </w:r>
    </w:p>
    <w:p>
      <w:pPr>
        <w:ind w:right="160"/>
        <w:spacing w:after="0" w:line="253" w:lineRule="auto"/>
        <w:rPr>
          <w:sz w:val="20"/>
          <w:szCs w:val="20"/>
          <w:color w:val="auto"/>
        </w:rPr>
      </w:pPr>
      <w:r>
        <w:rPr>
          <w:rFonts w:ascii="Arial" w:cs="Arial" w:eastAsia="Arial" w:hAnsi="Arial"/>
          <w:sz w:val="16"/>
          <w:szCs w:val="16"/>
          <w:color w:val="auto"/>
        </w:rPr>
        <w:t>Clean windows, sanitize bathroom(s), vacuum carpet, and remove any and all debris from office and warehouse. Remove all pallets and debris from exterior of premises and dock areas. In addition, Tenant shall properly dispose of all hazardous materials, including paint, at Tenant’s expense.</w:t>
      </w:r>
    </w:p>
    <w:p>
      <w:pPr>
        <w:sectPr>
          <w:pgSz w:w="11900" w:h="16838" w:orient="portrait"/>
          <w:cols w:equalWidth="0" w:num="2">
            <w:col w:w="2640" w:space="720"/>
            <w:col w:w="6220"/>
          </w:cols>
          <w:pgMar w:left="1140" w:top="256" w:right="1179" w:bottom="1440" w:gutter="0" w:footer="0" w:header="0"/>
          <w:type w:val="continuous"/>
        </w:sectPr>
      </w:pPr>
    </w:p>
    <w:bookmarkStart w:id="527" w:name="page528"/>
    <w:bookmarkEnd w:id="527"/>
    <w:p>
      <w:pPr>
        <w:jc w:val="center"/>
        <w:ind w:right="-5"/>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92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90105" cy="34925"/>
                    </a:xfrm>
                    <a:prstGeom prst="rect">
                      <a:avLst/>
                    </a:prstGeom>
                    <a:noFill/>
                  </pic:spPr>
                </pic:pic>
              </a:graphicData>
            </a:graphic>
          </wp:anchor>
        </w:drawing>
        <w:t>Exhibit “E”</w:t>
      </w:r>
    </w:p>
    <w:p>
      <w:pPr>
        <w:spacing w:after="0" w:line="193"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Rules &amp; Regulations</w:t>
      </w:r>
    </w:p>
    <w:p>
      <w:pPr>
        <w:spacing w:after="0" w:line="197" w:lineRule="exact"/>
        <w:rPr>
          <w:sz w:val="20"/>
          <w:szCs w:val="20"/>
          <w:color w:val="auto"/>
        </w:rPr>
      </w:pPr>
    </w:p>
    <w:p>
      <w:pPr>
        <w:ind w:left="6"/>
        <w:spacing w:after="0" w:line="323" w:lineRule="auto"/>
        <w:rPr>
          <w:sz w:val="20"/>
          <w:szCs w:val="20"/>
          <w:color w:val="auto"/>
        </w:rPr>
      </w:pPr>
      <w:r>
        <w:rPr>
          <w:rFonts w:ascii="Arial" w:cs="Arial" w:eastAsia="Arial" w:hAnsi="Arial"/>
          <w:sz w:val="13"/>
          <w:szCs w:val="13"/>
          <w:color w:val="auto"/>
        </w:rPr>
        <w:t xml:space="preserve">This Rules &amp; Regulations Exhibit is dated for the reference purposes as of the same date as the Lease, and is made between Terreno Park Union City LLC (“Landlord”) and Tenaya Therapeutics, Inc. (“Tenant”) to be a part of that certain Industrial Lease (“Lease”) concerning the premises located at 33498 Central Avenue, Union City, CA 94587 (“Premises”). Landlord and Tenant agree that (i) the terms, conditions and provisions of this </w:t>
      </w:r>
      <w:r>
        <w:rPr>
          <w:rFonts w:ascii="Arial" w:cs="Arial" w:eastAsia="Arial" w:hAnsi="Arial"/>
          <w:sz w:val="13"/>
          <w:szCs w:val="13"/>
          <w:u w:val="single" w:color="auto"/>
          <w:color w:val="auto"/>
        </w:rPr>
        <w:t>Exhibit E</w:t>
      </w:r>
      <w:r>
        <w:rPr>
          <w:rFonts w:ascii="Arial" w:cs="Arial" w:eastAsia="Arial" w:hAnsi="Arial"/>
          <w:sz w:val="13"/>
          <w:szCs w:val="13"/>
          <w:color w:val="auto"/>
        </w:rPr>
        <w:t xml:space="preserve"> are hereby incorporated into and are made a part of the Lease, (ii) any capitalized terms used herein and not otherwise defined herein shall have the meaning ascribed to such terms as set forth in the Lease, and (iii) the Lease is hereby modified and supplemented as follows:</w:t>
      </w:r>
    </w:p>
    <w:p>
      <w:pPr>
        <w:spacing w:after="0" w:line="43" w:lineRule="exact"/>
        <w:rPr>
          <w:sz w:val="20"/>
          <w:szCs w:val="20"/>
          <w:color w:val="auto"/>
        </w:rPr>
      </w:pPr>
    </w:p>
    <w:p>
      <w:pPr>
        <w:ind w:left="386" w:right="300" w:hanging="386"/>
        <w:spacing w:after="0" w:line="300" w:lineRule="auto"/>
        <w:tabs>
          <w:tab w:leader="none" w:pos="386" w:val="left"/>
        </w:tabs>
        <w:numPr>
          <w:ilvl w:val="0"/>
          <w:numId w:val="391"/>
        </w:numPr>
        <w:rPr>
          <w:rFonts w:ascii="Arial" w:cs="Arial" w:eastAsia="Arial" w:hAnsi="Arial"/>
          <w:sz w:val="15"/>
          <w:szCs w:val="15"/>
          <w:color w:val="auto"/>
        </w:rPr>
      </w:pPr>
      <w:r>
        <w:rPr>
          <w:rFonts w:ascii="Arial" w:cs="Arial" w:eastAsia="Arial" w:hAnsi="Arial"/>
          <w:sz w:val="15"/>
          <w:szCs w:val="15"/>
          <w:color w:val="auto"/>
        </w:rPr>
        <w:t>No advertisement, picture or sign of any sort shall be displayed on or outside the Premises or the Building without the prior written consent of Landlord. Landlord shall have the right to remove any such unapproved item without notice and at Tenant’s expense.</w:t>
      </w:r>
    </w:p>
    <w:p>
      <w:pPr>
        <w:spacing w:after="0" w:line="52" w:lineRule="exact"/>
        <w:rPr>
          <w:rFonts w:ascii="Arial" w:cs="Arial" w:eastAsia="Arial" w:hAnsi="Arial"/>
          <w:sz w:val="15"/>
          <w:szCs w:val="15"/>
          <w:color w:val="auto"/>
        </w:rPr>
      </w:pPr>
    </w:p>
    <w:p>
      <w:pPr>
        <w:ind w:left="386" w:hanging="386"/>
        <w:spacing w:after="0"/>
        <w:tabs>
          <w:tab w:leader="none" w:pos="386" w:val="left"/>
        </w:tabs>
        <w:numPr>
          <w:ilvl w:val="0"/>
          <w:numId w:val="391"/>
        </w:numPr>
        <w:rPr>
          <w:rFonts w:ascii="Arial" w:cs="Arial" w:eastAsia="Arial" w:hAnsi="Arial"/>
          <w:sz w:val="13"/>
          <w:szCs w:val="13"/>
          <w:color w:val="auto"/>
        </w:rPr>
      </w:pPr>
      <w:r>
        <w:rPr>
          <w:rFonts w:ascii="Arial" w:cs="Arial" w:eastAsia="Arial" w:hAnsi="Arial"/>
          <w:sz w:val="13"/>
          <w:szCs w:val="13"/>
          <w:color w:val="auto"/>
        </w:rPr>
        <w:t>Tenant shall not use any method of heating or air conditioning other than that supplied by Landlord without the prior written consent of Landlord.</w:t>
      </w:r>
    </w:p>
    <w:p>
      <w:pPr>
        <w:spacing w:after="0" w:line="145" w:lineRule="exact"/>
        <w:rPr>
          <w:rFonts w:ascii="Arial" w:cs="Arial" w:eastAsia="Arial" w:hAnsi="Arial"/>
          <w:sz w:val="13"/>
          <w:szCs w:val="13"/>
          <w:color w:val="auto"/>
        </w:rPr>
      </w:pPr>
    </w:p>
    <w:p>
      <w:pPr>
        <w:jc w:val="both"/>
        <w:ind w:left="386" w:hanging="386"/>
        <w:spacing w:after="0" w:line="383" w:lineRule="auto"/>
        <w:tabs>
          <w:tab w:leader="none" w:pos="386" w:val="left"/>
        </w:tabs>
        <w:numPr>
          <w:ilvl w:val="0"/>
          <w:numId w:val="391"/>
        </w:numPr>
        <w:rPr>
          <w:rFonts w:ascii="Arial" w:cs="Arial" w:eastAsia="Arial" w:hAnsi="Arial"/>
          <w:sz w:val="13"/>
          <w:szCs w:val="13"/>
          <w:color w:val="auto"/>
        </w:rPr>
      </w:pPr>
      <w:r>
        <w:rPr>
          <w:rFonts w:ascii="Arial" w:cs="Arial" w:eastAsia="Arial" w:hAnsi="Arial"/>
          <w:sz w:val="13"/>
          <w:szCs w:val="13"/>
          <w:color w:val="auto"/>
        </w:rPr>
        <w:t>All window coverings installed by Tenant and visible from the outside of the Building require the prior written approval of Landlord. Tenants shall not remove any carpet, or wall coverings, window blinds, or window draperies in their Premises without the prior written approval from Landlord.</w:t>
      </w:r>
    </w:p>
    <w:p>
      <w:pPr>
        <w:spacing w:after="0" w:line="6" w:lineRule="exact"/>
        <w:rPr>
          <w:rFonts w:ascii="Arial" w:cs="Arial" w:eastAsia="Arial" w:hAnsi="Arial"/>
          <w:sz w:val="13"/>
          <w:szCs w:val="13"/>
          <w:color w:val="auto"/>
        </w:rPr>
      </w:pPr>
    </w:p>
    <w:p>
      <w:pPr>
        <w:ind w:left="386" w:hanging="386"/>
        <w:spacing w:after="0" w:line="253"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shall not use, keep, or permit to be used or to be kept, any foul or noxious gas or substance in the Premises, or permit or suffer the Premises to be occupied or used in a manner offensive or objectionable to Landlord or other occupants of the Building by reason of noise, odors and/or vibrations, or interfere in any way with other Lessees or those having business therein. Tenant shall maintain the leased Premises free from mice, rats, bugs and ants attracted by food, water or storage materials.</w:t>
      </w:r>
    </w:p>
    <w:p>
      <w:pPr>
        <w:spacing w:after="0" w:line="84" w:lineRule="exact"/>
        <w:rPr>
          <w:rFonts w:ascii="Arial" w:cs="Arial" w:eastAsia="Arial" w:hAnsi="Arial"/>
          <w:sz w:val="16"/>
          <w:szCs w:val="16"/>
          <w:color w:val="auto"/>
        </w:rPr>
      </w:pPr>
    </w:p>
    <w:p>
      <w:pPr>
        <w:ind w:left="386" w:right="60" w:hanging="386"/>
        <w:spacing w:after="0" w:line="26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No person shall disturb the occupants of this or adjoining buildings or Premises by the use of any radio or musical instrument or by the making of loud or improper noises.</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shall not disturb, solicit or canvas any occupant of the Building or Industrial Center and shall cooperate to prevent same.</w:t>
      </w:r>
    </w:p>
    <w:p>
      <w:pPr>
        <w:spacing w:after="0" w:line="110" w:lineRule="exact"/>
        <w:rPr>
          <w:rFonts w:ascii="Arial" w:cs="Arial" w:eastAsia="Arial" w:hAnsi="Arial"/>
          <w:sz w:val="16"/>
          <w:szCs w:val="16"/>
          <w:color w:val="auto"/>
        </w:rPr>
      </w:pPr>
    </w:p>
    <w:p>
      <w:pPr>
        <w:ind w:left="386" w:hanging="386"/>
        <w:spacing w:after="0" w:line="281" w:lineRule="auto"/>
        <w:tabs>
          <w:tab w:leader="none" w:pos="386" w:val="left"/>
        </w:tabs>
        <w:numPr>
          <w:ilvl w:val="0"/>
          <w:numId w:val="391"/>
        </w:numPr>
        <w:rPr>
          <w:rFonts w:ascii="Arial" w:cs="Arial" w:eastAsia="Arial" w:hAnsi="Arial"/>
          <w:sz w:val="15"/>
          <w:szCs w:val="15"/>
          <w:color w:val="auto"/>
        </w:rPr>
      </w:pPr>
      <w:r>
        <w:rPr>
          <w:rFonts w:ascii="Arial" w:cs="Arial" w:eastAsia="Arial" w:hAnsi="Arial"/>
          <w:sz w:val="15"/>
          <w:szCs w:val="15"/>
          <w:color w:val="auto"/>
        </w:rPr>
        <w:t>Parking any type of recreational vehicles is specifically prohibited. No vehicle of any type shall be stored in the parking areas at any time. In the event that a vehicle is disabled, it shall be removed within 48 hours. There shall be no “For Sale” or other advertising signs on or about any parked vehicle. All vehicles shall be parked in the designated parking areas in conformation with all signs and other markings.</w:t>
      </w:r>
    </w:p>
    <w:p>
      <w:pPr>
        <w:spacing w:after="0" w:line="66" w:lineRule="exact"/>
        <w:rPr>
          <w:rFonts w:ascii="Arial" w:cs="Arial" w:eastAsia="Arial" w:hAnsi="Arial"/>
          <w:sz w:val="15"/>
          <w:szCs w:val="15"/>
          <w:color w:val="auto"/>
        </w:rPr>
      </w:pPr>
    </w:p>
    <w:p>
      <w:pPr>
        <w:jc w:val="both"/>
        <w:ind w:left="386" w:right="40" w:hanging="386"/>
        <w:spacing w:after="0" w:line="25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shall park motor vehicles in those general parking areas as designated by Landlord except for loading and unloading. During those periods of loading and unloading, Tenant shall not unreasonably interfere with traffic flow within the Industrial Center and loading and unloading areas of other tenants.</w:t>
      </w:r>
    </w:p>
    <w:p>
      <w:pPr>
        <w:spacing w:after="0" w:line="83" w:lineRule="exact"/>
        <w:rPr>
          <w:rFonts w:ascii="Arial" w:cs="Arial" w:eastAsia="Arial" w:hAnsi="Arial"/>
          <w:sz w:val="16"/>
          <w:szCs w:val="16"/>
          <w:color w:val="auto"/>
        </w:rPr>
      </w:pPr>
    </w:p>
    <w:p>
      <w:pPr>
        <w:ind w:left="386" w:right="380" w:hanging="386"/>
        <w:spacing w:after="0" w:line="25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Tractor trailers which must be unhooked or parked with dolly wheels beyond the concrete loading areas must use steel plates or wood blocks under the dolly wheels to prevent damage to the asphalt paving surfaces. No parking or storing of such trailers will be permitted in the auto parking areas of the Industrial Center or on streets adjacent thereto.</w:t>
      </w:r>
    </w:p>
    <w:p>
      <w:pPr>
        <w:spacing w:after="0" w:line="83" w:lineRule="exact"/>
        <w:rPr>
          <w:rFonts w:ascii="Arial" w:cs="Arial" w:eastAsia="Arial" w:hAnsi="Arial"/>
          <w:sz w:val="16"/>
          <w:szCs w:val="16"/>
          <w:color w:val="auto"/>
        </w:rPr>
      </w:pPr>
    </w:p>
    <w:p>
      <w:pPr>
        <w:ind w:left="386" w:hanging="386"/>
        <w:spacing w:after="0"/>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No person shall go on the roof without Landlord’s permission.</w:t>
      </w:r>
    </w:p>
    <w:p>
      <w:pPr>
        <w:spacing w:after="0" w:line="110" w:lineRule="exact"/>
        <w:rPr>
          <w:rFonts w:ascii="Arial" w:cs="Arial" w:eastAsia="Arial" w:hAnsi="Arial"/>
          <w:sz w:val="16"/>
          <w:szCs w:val="16"/>
          <w:color w:val="auto"/>
        </w:rPr>
      </w:pPr>
    </w:p>
    <w:p>
      <w:pPr>
        <w:ind w:left="386" w:right="60" w:hanging="386"/>
        <w:spacing w:after="0" w:line="26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All goods, including material used to store goods, delivered to the Premises of Tenant shall be immediately moved into the Premises and shall not be left in parking or receiving areas overnight.</w:t>
      </w:r>
    </w:p>
    <w:p>
      <w:pPr>
        <w:spacing w:after="0" w:line="75" w:lineRule="exact"/>
        <w:rPr>
          <w:rFonts w:ascii="Arial" w:cs="Arial" w:eastAsia="Arial" w:hAnsi="Arial"/>
          <w:sz w:val="16"/>
          <w:szCs w:val="16"/>
          <w:color w:val="auto"/>
        </w:rPr>
      </w:pPr>
    </w:p>
    <w:p>
      <w:pPr>
        <w:ind w:left="386" w:hanging="386"/>
        <w:spacing w:after="0"/>
        <w:tabs>
          <w:tab w:leader="none" w:pos="386" w:val="left"/>
        </w:tabs>
        <w:numPr>
          <w:ilvl w:val="0"/>
          <w:numId w:val="391"/>
        </w:numPr>
        <w:rPr>
          <w:rFonts w:ascii="Arial" w:cs="Arial" w:eastAsia="Arial" w:hAnsi="Arial"/>
          <w:sz w:val="15"/>
          <w:szCs w:val="15"/>
          <w:color w:val="auto"/>
        </w:rPr>
      </w:pPr>
      <w:r>
        <w:rPr>
          <w:rFonts w:ascii="Arial" w:cs="Arial" w:eastAsia="Arial" w:hAnsi="Arial"/>
          <w:sz w:val="15"/>
          <w:szCs w:val="15"/>
          <w:color w:val="auto"/>
        </w:rPr>
        <w:t>Forklifts which operate on asphalt paving areas shall not have solid rubber tires and shall only use tires that do not damage the asphalt.</w:t>
      </w:r>
    </w:p>
    <w:p>
      <w:pPr>
        <w:spacing w:after="0" w:line="122" w:lineRule="exact"/>
        <w:rPr>
          <w:rFonts w:ascii="Arial" w:cs="Arial" w:eastAsia="Arial" w:hAnsi="Arial"/>
          <w:sz w:val="15"/>
          <w:szCs w:val="15"/>
          <w:color w:val="auto"/>
        </w:rPr>
      </w:pPr>
    </w:p>
    <w:p>
      <w:pPr>
        <w:ind w:left="386" w:right="80" w:hanging="386"/>
        <w:spacing w:after="0" w:line="26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is responsible for the storage and removal of all trash and refuse. All such trash and refuse shall be contained in suitable receptacles stored behind screened enclosures at locations approved by Landlord.</w:t>
      </w:r>
    </w:p>
    <w:p>
      <w:pPr>
        <w:spacing w:after="0" w:line="75" w:lineRule="exact"/>
        <w:rPr>
          <w:rFonts w:ascii="Arial" w:cs="Arial" w:eastAsia="Arial" w:hAnsi="Arial"/>
          <w:sz w:val="16"/>
          <w:szCs w:val="16"/>
          <w:color w:val="auto"/>
        </w:rPr>
      </w:pPr>
    </w:p>
    <w:p>
      <w:pPr>
        <w:ind w:left="386" w:right="100" w:hanging="386"/>
        <w:spacing w:after="0" w:line="256" w:lineRule="auto"/>
        <w:tabs>
          <w:tab w:leader="none" w:pos="386" w:val="left"/>
        </w:tabs>
        <w:numPr>
          <w:ilvl w:val="0"/>
          <w:numId w:val="391"/>
        </w:numPr>
        <w:rPr>
          <w:rFonts w:ascii="Arial" w:cs="Arial" w:eastAsia="Arial" w:hAnsi="Arial"/>
          <w:sz w:val="16"/>
          <w:szCs w:val="16"/>
          <w:color w:val="auto"/>
        </w:rPr>
      </w:pPr>
      <w:r>
        <w:rPr>
          <w:rFonts w:ascii="Arial" w:cs="Arial" w:eastAsia="Arial" w:hAnsi="Arial"/>
          <w:sz w:val="16"/>
          <w:szCs w:val="16"/>
          <w:color w:val="auto"/>
        </w:rPr>
        <w:t>Tenant shall not store or permit the storage or placement of goods, or merchandise or pallets or equipment of any sort outside of the Premises nor in or around the Building, the Industrial Center or any of the Common Areas of the foregoing. No displays or sales of merchandise shall be allowed in the parking lots or other Common Areas.</w:t>
      </w:r>
    </w:p>
    <w:p>
      <w:pPr>
        <w:sectPr>
          <w:pgSz w:w="11900" w:h="16838" w:orient="portrait"/>
          <w:cols w:equalWidth="0" w:num="1">
            <w:col w:w="9606"/>
          </w:cols>
          <w:pgMar w:left="1134" w:top="252" w:right="1159" w:bottom="1440" w:gutter="0" w:footer="0" w:header="0"/>
        </w:sectPr>
      </w:pPr>
    </w:p>
    <w:bookmarkStart w:id="528" w:name="page529"/>
    <w:bookmarkEnd w:id="528"/>
    <w:p>
      <w:pPr>
        <w:ind w:left="386" w:right="520" w:hanging="386"/>
        <w:spacing w:after="0" w:line="266"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186690</wp:posOffset>
            </wp:positionH>
            <wp:positionV relativeFrom="page">
              <wp:posOffset>88900</wp:posOffset>
            </wp:positionV>
            <wp:extent cx="7190105" cy="342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90105" cy="34290"/>
                    </a:xfrm>
                    <a:prstGeom prst="rect">
                      <a:avLst/>
                    </a:prstGeom>
                    <a:noFill/>
                  </pic:spPr>
                </pic:pic>
              </a:graphicData>
            </a:graphic>
          </wp:anchor>
        </w:drawing>
        <w:t>Tenant shall not permit any animals, including, but not limited to, any household pets, fish tanks, etc., to be brought or kept in or about the Premises, the Building, the Industrial Center or any of the Common Areas of the foregoing.</w:t>
      </w:r>
    </w:p>
    <w:p>
      <w:pPr>
        <w:spacing w:after="0" w:line="75" w:lineRule="exact"/>
        <w:rPr>
          <w:rFonts w:ascii="Arial" w:cs="Arial" w:eastAsia="Arial" w:hAnsi="Arial"/>
          <w:sz w:val="16"/>
          <w:szCs w:val="16"/>
          <w:color w:val="auto"/>
        </w:rPr>
      </w:pPr>
    </w:p>
    <w:p>
      <w:pPr>
        <w:ind w:left="386" w:hanging="386"/>
        <w:spacing w:after="0" w:line="256"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Tenant shall not permit any motor vehicles to be washed on any portion of the Premises or in the Common Areas of the Industrial Center, nor shall Tenant permit mechanical work or maintenance of motor vehicles to be performed on any portion of the Premises or in the Common Areas of the Industrial Center.</w:t>
      </w:r>
    </w:p>
    <w:p>
      <w:pPr>
        <w:spacing w:after="0" w:line="83" w:lineRule="exact"/>
        <w:rPr>
          <w:rFonts w:ascii="Arial" w:cs="Arial" w:eastAsia="Arial" w:hAnsi="Arial"/>
          <w:sz w:val="16"/>
          <w:szCs w:val="16"/>
          <w:color w:val="auto"/>
        </w:rPr>
      </w:pPr>
    </w:p>
    <w:p>
      <w:pPr>
        <w:ind w:left="386" w:hanging="386"/>
        <w:spacing w:after="0" w:line="251"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Tenants shall not do, or permit anything to be done in their Premises or bring or keep anything therein which will in anyway obstruct or interfere with the rights of other Tenants, or do, or permit anything to be done in their Premises which shall, in the judgment of the Landlord or its manager, in any way injure or annoy them, or conflict with the laws relating to fire, or with the regulations of the fire department or with any insurance policy upon the Building or any part thereof or any contents there in or conflict with any of the rules and ordinances of the public Building or health authorities.</w:t>
      </w:r>
    </w:p>
    <w:p>
      <w:pPr>
        <w:spacing w:after="0" w:line="87" w:lineRule="exact"/>
        <w:rPr>
          <w:rFonts w:ascii="Arial" w:cs="Arial" w:eastAsia="Arial" w:hAnsi="Arial"/>
          <w:sz w:val="16"/>
          <w:szCs w:val="16"/>
          <w:color w:val="auto"/>
        </w:rPr>
      </w:pPr>
    </w:p>
    <w:p>
      <w:pPr>
        <w:ind w:left="386" w:right="220" w:hanging="386"/>
        <w:spacing w:after="0" w:line="343" w:lineRule="auto"/>
        <w:tabs>
          <w:tab w:leader="none" w:pos="386" w:val="left"/>
        </w:tabs>
        <w:numPr>
          <w:ilvl w:val="0"/>
          <w:numId w:val="392"/>
        </w:numPr>
        <w:rPr>
          <w:rFonts w:ascii="Arial" w:cs="Arial" w:eastAsia="Arial" w:hAnsi="Arial"/>
          <w:sz w:val="13"/>
          <w:szCs w:val="13"/>
          <w:color w:val="auto"/>
        </w:rPr>
      </w:pPr>
      <w:r>
        <w:rPr>
          <w:rFonts w:ascii="Arial" w:cs="Arial" w:eastAsia="Arial" w:hAnsi="Arial"/>
          <w:sz w:val="13"/>
          <w:szCs w:val="13"/>
          <w:color w:val="auto"/>
        </w:rPr>
        <w:t>All electrical equipment used by Tenants shall be U.L. approved. Nothing shall be done or permitted in Tenant’s Premises, and nothing shall be brought into or kept in the Premises which would impair or interfere with any of the Building services or the proper and economic heating, cooling, cleaning or other servicing of the Building or the Premises. Tenant’s computers and other equipment are hereby expressly allowed.</w:t>
      </w:r>
    </w:p>
    <w:p>
      <w:pPr>
        <w:spacing w:after="0" w:line="31" w:lineRule="exact"/>
        <w:rPr>
          <w:rFonts w:ascii="Arial" w:cs="Arial" w:eastAsia="Arial" w:hAnsi="Arial"/>
          <w:sz w:val="13"/>
          <w:szCs w:val="13"/>
          <w:color w:val="auto"/>
        </w:rPr>
      </w:pPr>
    </w:p>
    <w:p>
      <w:pPr>
        <w:ind w:left="386" w:right="100" w:hanging="386"/>
        <w:spacing w:after="0" w:line="329" w:lineRule="auto"/>
        <w:tabs>
          <w:tab w:leader="none" w:pos="386" w:val="left"/>
        </w:tabs>
        <w:numPr>
          <w:ilvl w:val="0"/>
          <w:numId w:val="392"/>
        </w:numPr>
        <w:rPr>
          <w:rFonts w:ascii="Arial" w:cs="Arial" w:eastAsia="Arial" w:hAnsi="Arial"/>
          <w:sz w:val="13"/>
          <w:szCs w:val="13"/>
          <w:color w:val="auto"/>
        </w:rPr>
      </w:pPr>
      <w:r>
        <w:rPr>
          <w:rFonts w:ascii="Arial" w:cs="Arial" w:eastAsia="Arial" w:hAnsi="Arial"/>
          <w:sz w:val="13"/>
          <w:szCs w:val="13"/>
          <w:color w:val="auto"/>
        </w:rPr>
        <w:t>Tenants shall not install or operate any steam or gas engine or boiler, or carry on any mechanical business in the Premises or Building. The use of oil, gas or inflammable liquids for heating, lighting or any other purpose is expressly prohibited. Explosives or other articles deemed extra hazardous shall not be brought into the Premises, Building or Industrial Center. Notwithstanding the foregoing, Tenant may use diesel fuel in connection with its operation of a generator serving the Premises and natural gas for heating purposes within the Premises.</w:t>
      </w:r>
    </w:p>
    <w:p>
      <w:pPr>
        <w:spacing w:after="0" w:line="40" w:lineRule="exact"/>
        <w:rPr>
          <w:rFonts w:ascii="Arial" w:cs="Arial" w:eastAsia="Arial" w:hAnsi="Arial"/>
          <w:sz w:val="13"/>
          <w:szCs w:val="13"/>
          <w:color w:val="auto"/>
        </w:rPr>
      </w:pPr>
    </w:p>
    <w:p>
      <w:pPr>
        <w:ind w:left="386" w:right="20" w:hanging="386"/>
        <w:spacing w:after="0" w:line="253"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water closets, urinals, waste lines, vents or flues of the Building shall not be used for any purpose other than those for which they were constructed, and no rubbish, acids, vapors, newspapers or other such substances of any kind shall be thrown into them. The expense caused by any breakage, stoppage or damage resulting from a violation of this rule by any Tenant, its employees, visitors, guests or licensees, shall be paid by Tenant.</w:t>
      </w:r>
    </w:p>
    <w:p>
      <w:pPr>
        <w:spacing w:after="0" w:line="84" w:lineRule="exact"/>
        <w:rPr>
          <w:rFonts w:ascii="Arial" w:cs="Arial" w:eastAsia="Arial" w:hAnsi="Arial"/>
          <w:sz w:val="16"/>
          <w:szCs w:val="16"/>
          <w:color w:val="auto"/>
        </w:rPr>
      </w:pPr>
    </w:p>
    <w:p>
      <w:pPr>
        <w:ind w:left="386" w:right="20" w:hanging="386"/>
        <w:spacing w:after="0" w:line="251"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If any Tenant desires radio signal, communication equipment such as satellite dishes, etc., or any other utility or service connection installed or changed, such work shall be done at the expense of Tenant, with the prior written approval and under the direction of Landlord. No wiring shall be installed in any part of the Building without Landlord’s approval and direction. Landlord reserves the right to disconnect any radio signal or alarm system when, in Landlord’s opinion, such installation or apparatus interferes with the proper operation of the Building or systems within the Building.</w:t>
      </w:r>
    </w:p>
    <w:p>
      <w:pPr>
        <w:spacing w:after="0" w:line="87" w:lineRule="exact"/>
        <w:rPr>
          <w:rFonts w:ascii="Arial" w:cs="Arial" w:eastAsia="Arial" w:hAnsi="Arial"/>
          <w:sz w:val="16"/>
          <w:szCs w:val="16"/>
          <w:color w:val="auto"/>
        </w:rPr>
      </w:pPr>
    </w:p>
    <w:p>
      <w:pPr>
        <w:ind w:left="386" w:right="60" w:hanging="386"/>
        <w:spacing w:after="0" w:line="253" w:lineRule="auto"/>
        <w:tabs>
          <w:tab w:leader="none" w:pos="386" w:val="left"/>
        </w:tabs>
        <w:numPr>
          <w:ilvl w:val="0"/>
          <w:numId w:val="392"/>
        </w:numPr>
        <w:rPr>
          <w:rFonts w:ascii="Arial" w:cs="Arial" w:eastAsia="Arial" w:hAnsi="Arial"/>
          <w:sz w:val="16"/>
          <w:szCs w:val="16"/>
          <w:color w:val="auto"/>
        </w:rPr>
      </w:pPr>
      <w:r>
        <w:rPr>
          <w:rFonts w:ascii="Arial" w:cs="Arial" w:eastAsia="Arial" w:hAnsi="Arial"/>
          <w:sz w:val="16"/>
          <w:szCs w:val="16"/>
          <w:color w:val="auto"/>
        </w:rPr>
        <w:t>Landlord reserves the right to make such other and further reasonable and non-discriminatory rules and regulations as in its judgment may from time to time be needful and desirable for the safety, care and cleanliness of the Premises, the Building or the Industrial Center and for the preservation of good order therein. In the event of a conflict between these rules and regulations and the provisions of the Lease, the provisions of the Lease shall control.</w:t>
      </w:r>
    </w:p>
    <w:sectPr>
      <w:pgSz w:w="11900" w:h="16838" w:orient="portrait"/>
      <w:cols w:equalWidth="0" w:num="1">
        <w:col w:w="9606"/>
      </w:cols>
      <w:pgMar w:left="1134" w:top="256"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906F60"/>
    <w:multiLevelType w:val="hybridMultilevel"/>
    <w:lvl w:ilvl="0">
      <w:lvlJc w:val="left"/>
      <w:lvlText w:val="(%1)"/>
      <w:numFmt w:val="decimal"/>
      <w:start w:val="1"/>
    </w:lvl>
  </w:abstractNum>
  <w:abstractNum w:abstractNumId="1">
    <w:nsid w:val="10DB9DAA"/>
    <w:multiLevelType w:val="hybridMultilevel"/>
    <w:lvl w:ilvl="0">
      <w:lvlJc w:val="left"/>
      <w:lvlText w:val="(%1)"/>
      <w:numFmt w:val="decimal"/>
      <w:start w:val="1"/>
    </w:lvl>
  </w:abstractNum>
  <w:abstractNum w:abstractNumId="2">
    <w:nsid w:val="697D2D2"/>
    <w:multiLevelType w:val="hybridMultilevel"/>
    <w:lvl w:ilvl="0">
      <w:lvlJc w:val="left"/>
      <w:lvlText w:val="%1."/>
      <w:numFmt w:val="decimal"/>
      <w:start w:val="1"/>
    </w:lvl>
  </w:abstractNum>
  <w:abstractNum w:abstractNumId="3">
    <w:nsid w:val="6D68AB2"/>
    <w:multiLevelType w:val="hybridMultilevel"/>
    <w:lvl w:ilvl="0">
      <w:lvlJc w:val="left"/>
      <w:lvlText w:val="%1."/>
      <w:numFmt w:val="decimal"/>
      <w:start w:val="1"/>
    </w:lvl>
  </w:abstractNum>
  <w:abstractNum w:abstractNumId="4">
    <w:nsid w:val="3A966CD0"/>
    <w:multiLevelType w:val="hybridMultilevel"/>
    <w:lvl w:ilvl="0">
      <w:lvlJc w:val="left"/>
      <w:lvlText w:val="%1."/>
      <w:numFmt w:val="decimal"/>
      <w:start w:val="5"/>
    </w:lvl>
  </w:abstractNum>
  <w:abstractNum w:abstractNumId="5">
    <w:nsid w:val="63F37E85"/>
    <w:multiLevelType w:val="hybridMultilevel"/>
    <w:lvl w:ilvl="0">
      <w:lvlJc w:val="left"/>
      <w:lvlText w:val="•"/>
      <w:numFmt w:val="bullet"/>
      <w:start w:val="1"/>
    </w:lvl>
  </w:abstractNum>
  <w:abstractNum w:abstractNumId="6">
    <w:nsid w:val="5895F5FA"/>
    <w:multiLevelType w:val="hybridMultilevel"/>
    <w:lvl w:ilvl="0">
      <w:lvlJc w:val="left"/>
      <w:lvlText w:val="•"/>
      <w:numFmt w:val="bullet"/>
      <w:start w:val="1"/>
    </w:lvl>
  </w:abstractNum>
  <w:abstractNum w:abstractNumId="7">
    <w:nsid w:val="38A5D054"/>
    <w:multiLevelType w:val="hybridMultilevel"/>
    <w:lvl w:ilvl="0">
      <w:lvlJc w:val="left"/>
      <w:lvlText w:val="•"/>
      <w:numFmt w:val="bullet"/>
      <w:start w:val="1"/>
    </w:lvl>
  </w:abstractNum>
  <w:abstractNum w:abstractNumId="8">
    <w:nsid w:val="F3F09D8"/>
    <w:multiLevelType w:val="hybridMultilevel"/>
    <w:lvl w:ilvl="0">
      <w:lvlJc w:val="left"/>
      <w:lvlText w:val="•"/>
      <w:numFmt w:val="bullet"/>
      <w:start w:val="1"/>
    </w:lvl>
  </w:abstractNum>
  <w:abstractNum w:abstractNumId="9">
    <w:nsid w:val="4B793735"/>
    <w:multiLevelType w:val="hybridMultilevel"/>
    <w:lvl w:ilvl="0">
      <w:lvlJc w:val="left"/>
      <w:lvlText w:val="•"/>
      <w:numFmt w:val="bullet"/>
      <w:start w:val="1"/>
    </w:lvl>
  </w:abstractNum>
  <w:abstractNum w:abstractNumId="10">
    <w:nsid w:val="4A10B4E8"/>
    <w:multiLevelType w:val="hybridMultilevel"/>
    <w:lvl w:ilvl="0">
      <w:lvlJc w:val="left"/>
      <w:lvlText w:val="•"/>
      <w:numFmt w:val="bullet"/>
      <w:start w:val="1"/>
    </w:lvl>
  </w:abstractNum>
  <w:abstractNum w:abstractNumId="11">
    <w:nsid w:val="43D3BCD4"/>
    <w:multiLevelType w:val="hybridMultilevel"/>
    <w:lvl w:ilvl="0">
      <w:lvlJc w:val="left"/>
      <w:lvlText w:val="•"/>
      <w:numFmt w:val="bullet"/>
      <w:start w:val="1"/>
    </w:lvl>
  </w:abstractNum>
  <w:abstractNum w:abstractNumId="12">
    <w:nsid w:val="4C2A7166"/>
    <w:multiLevelType w:val="hybridMultilevel"/>
    <w:lvl w:ilvl="0">
      <w:lvlJc w:val="left"/>
      <w:lvlText w:val="•"/>
      <w:numFmt w:val="bullet"/>
      <w:start w:val="1"/>
    </w:lvl>
  </w:abstractNum>
  <w:abstractNum w:abstractNumId="13">
    <w:nsid w:val="2E534A82"/>
    <w:multiLevelType w:val="hybridMultilevel"/>
    <w:lvl w:ilvl="0">
      <w:lvlJc w:val="left"/>
      <w:lvlText w:val="•"/>
      <w:numFmt w:val="bullet"/>
      <w:start w:val="1"/>
    </w:lvl>
  </w:abstractNum>
  <w:abstractNum w:abstractNumId="14">
    <w:nsid w:val="26F2D364"/>
    <w:multiLevelType w:val="hybridMultilevel"/>
    <w:lvl w:ilvl="0">
      <w:lvlJc w:val="left"/>
      <w:lvlText w:val="•"/>
      <w:numFmt w:val="bullet"/>
      <w:start w:val="1"/>
    </w:lvl>
  </w:abstractNum>
  <w:abstractNum w:abstractNumId="15">
    <w:nsid w:val="71C1AF98"/>
    <w:multiLevelType w:val="hybridMultilevel"/>
    <w:lvl w:ilvl="0">
      <w:lvlJc w:val="left"/>
      <w:lvlText w:val="•"/>
      <w:numFmt w:val="bullet"/>
      <w:start w:val="1"/>
    </w:lvl>
  </w:abstractNum>
  <w:abstractNum w:abstractNumId="16">
    <w:nsid w:val="3D00B9D9"/>
    <w:multiLevelType w:val="hybridMultilevel"/>
    <w:lvl w:ilvl="0">
      <w:lvlJc w:val="left"/>
      <w:lvlText w:val="(%1)"/>
      <w:numFmt w:val="decimal"/>
      <w:start w:val="1"/>
    </w:lvl>
  </w:abstractNum>
  <w:abstractNum w:abstractNumId="17">
    <w:nsid w:val="15BCABA8"/>
    <w:multiLevelType w:val="hybridMultilevel"/>
    <w:lvl w:ilvl="0">
      <w:lvlJc w:val="left"/>
      <w:lvlText w:val="(%1)"/>
      <w:numFmt w:val="decimal"/>
      <w:start w:val="1"/>
    </w:lvl>
  </w:abstractNum>
  <w:abstractNum w:abstractNumId="18">
    <w:nsid w:val="4E0B9A87"/>
    <w:multiLevelType w:val="hybridMultilevel"/>
    <w:lvl w:ilvl="0">
      <w:lvlJc w:val="left"/>
      <w:lvlText w:val="(%1)"/>
      <w:numFmt w:val="decimal"/>
      <w:start w:val="3"/>
    </w:lvl>
  </w:abstractNum>
  <w:abstractNum w:abstractNumId="19">
    <w:nsid w:val="434BAE75"/>
    <w:multiLevelType w:val="hybridMultilevel"/>
    <w:lvl w:ilvl="0">
      <w:lvlJc w:val="left"/>
      <w:lvlText w:val="(%1)"/>
      <w:numFmt w:val="decimal"/>
      <w:start w:val="4"/>
    </w:lvl>
  </w:abstractNum>
  <w:abstractNum w:abstractNumId="20">
    <w:nsid w:val="4F38F265"/>
    <w:multiLevelType w:val="hybridMultilevel"/>
    <w:lvl w:ilvl="0">
      <w:lvlJc w:val="left"/>
      <w:lvlText w:val="•"/>
      <w:numFmt w:val="bullet"/>
      <w:start w:val="1"/>
    </w:lvl>
  </w:abstractNum>
  <w:abstractNum w:abstractNumId="21">
    <w:nsid w:val="4C502870"/>
    <w:multiLevelType w:val="hybridMultilevel"/>
    <w:lvl w:ilvl="0">
      <w:lvlJc w:val="left"/>
      <w:lvlText w:val="•"/>
      <w:numFmt w:val="bullet"/>
      <w:start w:val="1"/>
    </w:lvl>
  </w:abstractNum>
  <w:abstractNum w:abstractNumId="22">
    <w:nsid w:val="1DE8725A"/>
    <w:multiLevelType w:val="hybridMultilevel"/>
    <w:lvl w:ilvl="0">
      <w:lvlJc w:val="left"/>
      <w:lvlText w:val="•"/>
      <w:numFmt w:val="bullet"/>
      <w:start w:val="1"/>
    </w:lvl>
  </w:abstractNum>
  <w:abstractNum w:abstractNumId="23">
    <w:nsid w:val="6A37288A"/>
    <w:multiLevelType w:val="hybridMultilevel"/>
    <w:lvl w:ilvl="0">
      <w:lvlJc w:val="left"/>
      <w:lvlText w:val="•"/>
      <w:numFmt w:val="bullet"/>
      <w:start w:val="1"/>
    </w:lvl>
  </w:abstractNum>
  <w:abstractNum w:abstractNumId="24">
    <w:nsid w:val="8F8B73F"/>
    <w:multiLevelType w:val="hybridMultilevel"/>
    <w:lvl w:ilvl="0">
      <w:lvlJc w:val="left"/>
      <w:lvlText w:val="•"/>
      <w:numFmt w:val="bullet"/>
      <w:start w:val="1"/>
    </w:lvl>
  </w:abstractNum>
  <w:abstractNum w:abstractNumId="25">
    <w:nsid w:val="CA6B462"/>
    <w:multiLevelType w:val="hybridMultilevel"/>
    <w:lvl w:ilvl="0">
      <w:lvlJc w:val="left"/>
      <w:lvlText w:val="•"/>
      <w:numFmt w:val="bullet"/>
      <w:start w:val="1"/>
    </w:lvl>
  </w:abstractNum>
  <w:abstractNum w:abstractNumId="26">
    <w:nsid w:val="763CB680"/>
    <w:multiLevelType w:val="hybridMultilevel"/>
    <w:lvl w:ilvl="0">
      <w:lvlJc w:val="left"/>
      <w:lvlText w:val="•"/>
      <w:numFmt w:val="bullet"/>
      <w:start w:val="1"/>
    </w:lvl>
  </w:abstractNum>
  <w:abstractNum w:abstractNumId="27">
    <w:nsid w:val="15B71329"/>
    <w:multiLevelType w:val="hybridMultilevel"/>
    <w:lvl w:ilvl="0">
      <w:lvlJc w:val="left"/>
      <w:lvlText w:val="•"/>
      <w:numFmt w:val="bullet"/>
      <w:start w:val="1"/>
    </w:lvl>
  </w:abstractNum>
  <w:abstractNum w:abstractNumId="28">
    <w:nsid w:val="3DA97044"/>
    <w:multiLevelType w:val="hybridMultilevel"/>
    <w:lvl w:ilvl="0">
      <w:lvlJc w:val="left"/>
      <w:lvlText w:val="•"/>
      <w:numFmt w:val="bullet"/>
      <w:start w:val="1"/>
    </w:lvl>
  </w:abstractNum>
  <w:abstractNum w:abstractNumId="29">
    <w:nsid w:val="1CDCE2DE"/>
    <w:multiLevelType w:val="hybridMultilevel"/>
    <w:lvl w:ilvl="0">
      <w:lvlJc w:val="left"/>
      <w:lvlText w:val="•"/>
      <w:numFmt w:val="bullet"/>
      <w:start w:val="1"/>
    </w:lvl>
  </w:abstractNum>
  <w:abstractNum w:abstractNumId="30">
    <w:nsid w:val="69D3947C"/>
    <w:multiLevelType w:val="hybridMultilevel"/>
    <w:lvl w:ilvl="0">
      <w:lvlJc w:val="left"/>
      <w:lvlText w:val="•"/>
      <w:numFmt w:val="bullet"/>
      <w:start w:val="1"/>
    </w:lvl>
  </w:abstractNum>
  <w:abstractNum w:abstractNumId="31">
    <w:nsid w:val="2539DFA5"/>
    <w:multiLevelType w:val="hybridMultilevel"/>
    <w:lvl w:ilvl="0">
      <w:lvlJc w:val="left"/>
      <w:lvlText w:val="•"/>
      <w:numFmt w:val="bullet"/>
      <w:start w:val="1"/>
    </w:lvl>
  </w:abstractNum>
  <w:abstractNum w:abstractNumId="32">
    <w:nsid w:val="2DB88089"/>
    <w:multiLevelType w:val="hybridMultilevel"/>
    <w:lvl w:ilvl="0">
      <w:lvlJc w:val="left"/>
      <w:lvlText w:val="•"/>
      <w:numFmt w:val="bullet"/>
      <w:start w:val="1"/>
    </w:lvl>
  </w:abstractNum>
  <w:abstractNum w:abstractNumId="33">
    <w:nsid w:val="706B674E"/>
    <w:multiLevelType w:val="hybridMultilevel"/>
    <w:lvl w:ilvl="0">
      <w:lvlJc w:val="left"/>
      <w:lvlText w:val="•"/>
      <w:numFmt w:val="bullet"/>
      <w:start w:val="1"/>
    </w:lvl>
  </w:abstractNum>
  <w:abstractNum w:abstractNumId="34">
    <w:nsid w:val="2C106A57"/>
    <w:multiLevelType w:val="hybridMultilevel"/>
    <w:lvl w:ilvl="0">
      <w:lvlJc w:val="left"/>
      <w:lvlText w:val="•"/>
      <w:numFmt w:val="bullet"/>
      <w:start w:val="1"/>
    </w:lvl>
  </w:abstractNum>
  <w:abstractNum w:abstractNumId="35">
    <w:nsid w:val="684EED59"/>
    <w:multiLevelType w:val="hybridMultilevel"/>
    <w:lvl w:ilvl="0">
      <w:lvlJc w:val="left"/>
      <w:lvlText w:val="•"/>
      <w:numFmt w:val="bullet"/>
      <w:start w:val="1"/>
    </w:lvl>
  </w:abstractNum>
  <w:abstractNum w:abstractNumId="36">
    <w:nsid w:val="545EE5D3"/>
    <w:multiLevelType w:val="hybridMultilevel"/>
    <w:lvl w:ilvl="0">
      <w:lvlJc w:val="left"/>
      <w:lvlText w:val="•"/>
      <w:numFmt w:val="bullet"/>
      <w:start w:val="1"/>
    </w:lvl>
  </w:abstractNum>
  <w:abstractNum w:abstractNumId="37">
    <w:nsid w:val="4A66051"/>
    <w:multiLevelType w:val="hybridMultilevel"/>
    <w:lvl w:ilvl="0">
      <w:lvlJc w:val="left"/>
      <w:lvlText w:val="•"/>
      <w:numFmt w:val="bullet"/>
      <w:start w:val="1"/>
    </w:lvl>
  </w:abstractNum>
  <w:abstractNum w:abstractNumId="38">
    <w:nsid w:val="20F4BDAD"/>
    <w:multiLevelType w:val="hybridMultilevel"/>
    <w:lvl w:ilvl="0">
      <w:lvlJc w:val="left"/>
      <w:lvlText w:val="•"/>
      <w:numFmt w:val="bullet"/>
      <w:start w:val="1"/>
    </w:lvl>
  </w:abstractNum>
  <w:abstractNum w:abstractNumId="39">
    <w:nsid w:val="639DEFAC"/>
    <w:multiLevelType w:val="hybridMultilevel"/>
    <w:lvl w:ilvl="0">
      <w:lvlJc w:val="left"/>
      <w:lvlText w:val="•"/>
      <w:numFmt w:val="bullet"/>
      <w:start w:val="1"/>
    </w:lvl>
  </w:abstractNum>
  <w:abstractNum w:abstractNumId="40">
    <w:nsid w:val="501F9786"/>
    <w:multiLevelType w:val="hybridMultilevel"/>
    <w:lvl w:ilvl="0">
      <w:lvlJc w:val="left"/>
      <w:lvlText w:val="•"/>
      <w:numFmt w:val="bullet"/>
      <w:start w:val="1"/>
    </w:lvl>
  </w:abstractNum>
  <w:abstractNum w:abstractNumId="41">
    <w:nsid w:val="6B057295"/>
    <w:multiLevelType w:val="hybridMultilevel"/>
    <w:lvl w:ilvl="0">
      <w:lvlJc w:val="left"/>
      <w:lvlText w:val="•"/>
      <w:numFmt w:val="bullet"/>
      <w:start w:val="1"/>
    </w:lvl>
  </w:abstractNum>
  <w:abstractNum w:abstractNumId="42">
    <w:nsid w:val="2771AC80"/>
    <w:multiLevelType w:val="hybridMultilevel"/>
    <w:lvl w:ilvl="0">
      <w:lvlJc w:val="left"/>
      <w:lvlText w:val="•"/>
      <w:numFmt w:val="bullet"/>
      <w:start w:val="1"/>
    </w:lvl>
  </w:abstractNum>
  <w:abstractNum w:abstractNumId="43">
    <w:nsid w:val="1C4A08EC"/>
    <w:multiLevelType w:val="hybridMultilevel"/>
    <w:lvl w:ilvl="0">
      <w:lvlJc w:val="left"/>
      <w:lvlText w:val="•"/>
      <w:numFmt w:val="bullet"/>
      <w:start w:val="1"/>
    </w:lvl>
  </w:abstractNum>
  <w:abstractNum w:abstractNumId="44">
    <w:nsid w:val="1958BD17"/>
    <w:multiLevelType w:val="hybridMultilevel"/>
    <w:lvl w:ilvl="0">
      <w:lvlJc w:val="left"/>
      <w:lvlText w:val="•"/>
      <w:numFmt w:val="bullet"/>
      <w:start w:val="1"/>
    </w:lvl>
  </w:abstractNum>
  <w:abstractNum w:abstractNumId="45">
    <w:nsid w:val="4E647FE4"/>
    <w:multiLevelType w:val="hybridMultilevel"/>
    <w:lvl w:ilvl="0">
      <w:lvlJc w:val="left"/>
      <w:lvlText w:val="•"/>
      <w:numFmt w:val="bullet"/>
      <w:start w:val="1"/>
    </w:lvl>
  </w:abstractNum>
  <w:abstractNum w:abstractNumId="46">
    <w:nsid w:val="E0BB885"/>
    <w:multiLevelType w:val="hybridMultilevel"/>
    <w:lvl w:ilvl="0">
      <w:lvlJc w:val="left"/>
      <w:lvlText w:val="•"/>
      <w:numFmt w:val="bullet"/>
      <w:start w:val="1"/>
    </w:lvl>
  </w:abstractNum>
  <w:abstractNum w:abstractNumId="47">
    <w:nsid w:val="565976F1"/>
    <w:multiLevelType w:val="hybridMultilevel"/>
    <w:lvl w:ilvl="0">
      <w:lvlJc w:val="left"/>
      <w:lvlText w:val="•"/>
      <w:numFmt w:val="bullet"/>
      <w:start w:val="1"/>
    </w:lvl>
  </w:abstractNum>
  <w:abstractNum w:abstractNumId="48">
    <w:nsid w:val="64212B8C"/>
    <w:multiLevelType w:val="hybridMultilevel"/>
    <w:lvl w:ilvl="0">
      <w:lvlJc w:val="left"/>
      <w:lvlText w:val="•"/>
      <w:numFmt w:val="bullet"/>
      <w:start w:val="1"/>
    </w:lvl>
  </w:abstractNum>
  <w:abstractNum w:abstractNumId="49">
    <w:nsid w:val="5C17530C"/>
    <w:multiLevelType w:val="hybridMultilevel"/>
    <w:lvl w:ilvl="0">
      <w:lvlJc w:val="left"/>
      <w:lvlText w:val="•"/>
      <w:numFmt w:val="bullet"/>
      <w:start w:val="1"/>
    </w:lvl>
  </w:abstractNum>
  <w:abstractNum w:abstractNumId="50">
    <w:nsid w:val="19A52566"/>
    <w:multiLevelType w:val="hybridMultilevel"/>
    <w:lvl w:ilvl="0">
      <w:lvlJc w:val="left"/>
      <w:lvlText w:val="•"/>
      <w:numFmt w:val="bullet"/>
      <w:start w:val="1"/>
    </w:lvl>
  </w:abstractNum>
  <w:abstractNum w:abstractNumId="51">
    <w:nsid w:val="335A1DF1"/>
    <w:multiLevelType w:val="hybridMultilevel"/>
    <w:lvl w:ilvl="0">
      <w:lvlJc w:val="left"/>
      <w:lvlText w:val="•"/>
      <w:numFmt w:val="bullet"/>
      <w:start w:val="1"/>
    </w:lvl>
  </w:abstractNum>
  <w:abstractNum w:abstractNumId="52">
    <w:nsid w:val="28677B7C"/>
    <w:multiLevelType w:val="hybridMultilevel"/>
    <w:lvl w:ilvl="0">
      <w:lvlJc w:val="left"/>
      <w:lvlText w:val="•"/>
      <w:numFmt w:val="bullet"/>
      <w:start w:val="1"/>
    </w:lvl>
  </w:abstractNum>
  <w:abstractNum w:abstractNumId="53">
    <w:nsid w:val="378D97C0"/>
    <w:multiLevelType w:val="hybridMultilevel"/>
    <w:lvl w:ilvl="0">
      <w:lvlJc w:val="left"/>
      <w:lvlText w:val="•"/>
      <w:numFmt w:val="bullet"/>
      <w:start w:val="1"/>
    </w:lvl>
  </w:abstractNum>
  <w:abstractNum w:abstractNumId="54">
    <w:nsid w:val="1D91467C"/>
    <w:multiLevelType w:val="hybridMultilevel"/>
    <w:lvl w:ilvl="0">
      <w:lvlJc w:val="left"/>
      <w:lvlText w:val="•"/>
      <w:numFmt w:val="bullet"/>
      <w:start w:val="1"/>
    </w:lvl>
  </w:abstractNum>
  <w:abstractNum w:abstractNumId="55">
    <w:nsid w:val="316032BB"/>
    <w:multiLevelType w:val="hybridMultilevel"/>
    <w:lvl w:ilvl="0">
      <w:lvlJc w:val="left"/>
      <w:lvlText w:val="•"/>
      <w:numFmt w:val="bullet"/>
      <w:start w:val="1"/>
    </w:lvl>
  </w:abstractNum>
  <w:abstractNum w:abstractNumId="56">
    <w:nsid w:val="44344C22"/>
    <w:multiLevelType w:val="hybridMultilevel"/>
    <w:lvl w:ilvl="0">
      <w:lvlJc w:val="left"/>
      <w:lvlText w:val="•"/>
      <w:numFmt w:val="bullet"/>
      <w:start w:val="1"/>
    </w:lvl>
  </w:abstractNum>
  <w:abstractNum w:abstractNumId="57">
    <w:nsid w:val="13CDFCFC"/>
    <w:multiLevelType w:val="hybridMultilevel"/>
    <w:lvl w:ilvl="0">
      <w:lvlJc w:val="left"/>
      <w:lvlText w:val="•"/>
      <w:numFmt w:val="bullet"/>
      <w:start w:val="1"/>
    </w:lvl>
  </w:abstractNum>
  <w:abstractNum w:abstractNumId="58">
    <w:nsid w:val="471745E4"/>
    <w:multiLevelType w:val="hybridMultilevel"/>
    <w:lvl w:ilvl="0">
      <w:lvlJc w:val="left"/>
      <w:lvlText w:val="•"/>
      <w:numFmt w:val="bullet"/>
      <w:start w:val="1"/>
    </w:lvl>
  </w:abstractNum>
  <w:abstractNum w:abstractNumId="59">
    <w:nsid w:val="1DDBC66"/>
    <w:multiLevelType w:val="hybridMultilevel"/>
    <w:lvl w:ilvl="0">
      <w:lvlJc w:val="left"/>
      <w:lvlText w:val="•"/>
      <w:numFmt w:val="bullet"/>
      <w:start w:val="1"/>
    </w:lvl>
  </w:abstractNum>
  <w:abstractNum w:abstractNumId="60">
    <w:nsid w:val="30AADFDA"/>
    <w:multiLevelType w:val="hybridMultilevel"/>
    <w:lvl w:ilvl="0">
      <w:lvlJc w:val="left"/>
      <w:lvlText w:val="•"/>
      <w:numFmt w:val="bullet"/>
      <w:start w:val="1"/>
    </w:lvl>
  </w:abstractNum>
  <w:abstractNum w:abstractNumId="61">
    <w:nsid w:val="30EADA61"/>
    <w:multiLevelType w:val="hybridMultilevel"/>
    <w:lvl w:ilvl="0">
      <w:lvlJc w:val="left"/>
      <w:lvlText w:val="•"/>
      <w:numFmt w:val="bullet"/>
      <w:start w:val="1"/>
    </w:lvl>
  </w:abstractNum>
  <w:abstractNum w:abstractNumId="62">
    <w:nsid w:val="27179C0B"/>
    <w:multiLevelType w:val="hybridMultilevel"/>
    <w:lvl w:ilvl="0">
      <w:lvlJc w:val="left"/>
      <w:lvlText w:val="•"/>
      <w:numFmt w:val="bullet"/>
      <w:start w:val="1"/>
    </w:lvl>
  </w:abstractNum>
  <w:abstractNum w:abstractNumId="63">
    <w:nsid w:val="5E636063"/>
    <w:multiLevelType w:val="hybridMultilevel"/>
    <w:lvl w:ilvl="0">
      <w:lvlJc w:val="left"/>
      <w:lvlText w:val="•"/>
      <w:numFmt w:val="bullet"/>
      <w:start w:val="1"/>
    </w:lvl>
  </w:abstractNum>
  <w:abstractNum w:abstractNumId="64">
    <w:nsid w:val="215641AF"/>
    <w:multiLevelType w:val="hybridMultilevel"/>
    <w:lvl w:ilvl="0">
      <w:lvlJc w:val="left"/>
      <w:lvlText w:val="•"/>
      <w:numFmt w:val="bullet"/>
      <w:start w:val="1"/>
    </w:lvl>
  </w:abstractNum>
  <w:abstractNum w:abstractNumId="65">
    <w:nsid w:val="53280662"/>
    <w:multiLevelType w:val="hybridMultilevel"/>
    <w:lvl w:ilvl="0">
      <w:lvlJc w:val="left"/>
      <w:lvlText w:val="•"/>
      <w:numFmt w:val="bullet"/>
      <w:start w:val="1"/>
    </w:lvl>
  </w:abstractNum>
  <w:abstractNum w:abstractNumId="66">
    <w:nsid w:val="46B24DBC"/>
    <w:multiLevelType w:val="hybridMultilevel"/>
    <w:lvl w:ilvl="0">
      <w:lvlJc w:val="left"/>
      <w:lvlText w:val="(%1)"/>
      <w:numFmt w:val="decimal"/>
      <w:start w:val="1"/>
    </w:lvl>
  </w:abstractNum>
  <w:abstractNum w:abstractNumId="67">
    <w:nsid w:val="75B52783"/>
    <w:multiLevelType w:val="hybridMultilevel"/>
    <w:lvl w:ilvl="0">
      <w:lvlJc w:val="left"/>
      <w:lvlText w:val="•"/>
      <w:numFmt w:val="bullet"/>
      <w:start w:val="1"/>
    </w:lvl>
  </w:abstractNum>
  <w:abstractNum w:abstractNumId="68">
    <w:nsid w:val="57CE66B4"/>
    <w:multiLevelType w:val="hybridMultilevel"/>
    <w:lvl w:ilvl="0">
      <w:lvlJc w:val="left"/>
      <w:lvlText w:val="•"/>
      <w:numFmt w:val="bullet"/>
      <w:start w:val="1"/>
    </w:lvl>
  </w:abstractNum>
  <w:abstractNum w:abstractNumId="69">
    <w:nsid w:val="67A70B69"/>
    <w:multiLevelType w:val="hybridMultilevel"/>
    <w:lvl w:ilvl="0">
      <w:lvlJc w:val="left"/>
      <w:lvlText w:val="•"/>
      <w:numFmt w:val="bullet"/>
      <w:start w:val="1"/>
    </w:lvl>
  </w:abstractNum>
  <w:abstractNum w:abstractNumId="70">
    <w:nsid w:val="5953172F"/>
    <w:multiLevelType w:val="hybridMultilevel"/>
    <w:lvl w:ilvl="0">
      <w:lvlJc w:val="left"/>
      <w:lvlText w:val="•"/>
      <w:numFmt w:val="bullet"/>
      <w:start w:val="1"/>
    </w:lvl>
  </w:abstractNum>
  <w:abstractNum w:abstractNumId="71">
    <w:nsid w:val="27EDFE3A"/>
    <w:multiLevelType w:val="hybridMultilevel"/>
    <w:lvl w:ilvl="0">
      <w:lvlJc w:val="left"/>
      <w:lvlText w:val="(%1)"/>
      <w:numFmt w:val="decimal"/>
      <w:start w:val="1"/>
    </w:lvl>
  </w:abstractNum>
  <w:abstractNum w:abstractNumId="72">
    <w:nsid w:val="52AC7DFF"/>
    <w:multiLevelType w:val="hybridMultilevel"/>
    <w:lvl w:ilvl="0">
      <w:lvlJc w:val="left"/>
      <w:lvlText w:val="(%1)"/>
      <w:numFmt w:val="decimal"/>
      <w:start w:val="1"/>
    </w:lvl>
  </w:abstractNum>
  <w:abstractNum w:abstractNumId="73">
    <w:nsid w:val="C4C3AF"/>
    <w:multiLevelType w:val="hybridMultilevel"/>
    <w:lvl w:ilvl="0">
      <w:lvlJc w:val="left"/>
      <w:lvlText w:val="•"/>
      <w:numFmt w:val="bullet"/>
      <w:start w:val="1"/>
    </w:lvl>
  </w:abstractNum>
  <w:abstractNum w:abstractNumId="74">
    <w:nsid w:val="44380727"/>
    <w:multiLevelType w:val="hybridMultilevel"/>
    <w:lvl w:ilvl="0">
      <w:lvlJc w:val="left"/>
      <w:lvlText w:val="•"/>
      <w:numFmt w:val="bullet"/>
      <w:start w:val="1"/>
    </w:lvl>
  </w:abstractNum>
  <w:abstractNum w:abstractNumId="75">
    <w:nsid w:val="6C053B16"/>
    <w:multiLevelType w:val="hybridMultilevel"/>
    <w:lvl w:ilvl="0">
      <w:lvlJc w:val="left"/>
      <w:lvlText w:val="•"/>
      <w:numFmt w:val="bullet"/>
      <w:start w:val="1"/>
    </w:lvl>
  </w:abstractNum>
  <w:abstractNum w:abstractNumId="76">
    <w:nsid w:val="4F294393"/>
    <w:multiLevelType w:val="hybridMultilevel"/>
    <w:lvl w:ilvl="0">
      <w:lvlJc w:val="left"/>
      <w:lvlText w:val="•"/>
      <w:numFmt w:val="bullet"/>
      <w:start w:val="1"/>
    </w:lvl>
  </w:abstractNum>
  <w:abstractNum w:abstractNumId="77">
    <w:nsid w:val="5243BFAC"/>
    <w:multiLevelType w:val="hybridMultilevel"/>
    <w:lvl w:ilvl="0">
      <w:lvlJc w:val="left"/>
      <w:lvlText w:val="•"/>
      <w:numFmt w:val="bullet"/>
      <w:start w:val="1"/>
    </w:lvl>
  </w:abstractNum>
  <w:abstractNum w:abstractNumId="78">
    <w:nsid w:val="425EB207"/>
    <w:multiLevelType w:val="hybridMultilevel"/>
    <w:lvl w:ilvl="0">
      <w:lvlJc w:val="left"/>
      <w:lvlText w:val="%1."/>
      <w:numFmt w:val="decimal"/>
      <w:start w:val="1"/>
    </w:lvl>
  </w:abstractNum>
  <w:abstractNum w:abstractNumId="79">
    <w:nsid w:val="334A6F1F"/>
    <w:multiLevelType w:val="hybridMultilevel"/>
    <w:lvl w:ilvl="0">
      <w:lvlJc w:val="left"/>
      <w:lvlText w:val="%1."/>
      <w:numFmt w:val="decimal"/>
      <w:start w:val="1"/>
    </w:lvl>
  </w:abstractNum>
  <w:abstractNum w:abstractNumId="80">
    <w:nsid w:val="2E5B12B8"/>
    <w:multiLevelType w:val="hybridMultilevel"/>
    <w:lvl w:ilvl="0">
      <w:lvlJc w:val="left"/>
      <w:lvlText w:val="%1."/>
      <w:numFmt w:val="decimal"/>
      <w:start w:val="3"/>
    </w:lvl>
  </w:abstractNum>
  <w:abstractNum w:abstractNumId="81">
    <w:nsid w:val="5C03D76D"/>
    <w:multiLevelType w:val="hybridMultilevel"/>
    <w:lvl w:ilvl="0">
      <w:lvlJc w:val="left"/>
      <w:lvlText w:val="•"/>
      <w:numFmt w:val="bullet"/>
      <w:start w:val="1"/>
    </w:lvl>
  </w:abstractNum>
  <w:abstractNum w:abstractNumId="82">
    <w:nsid w:val="66A48D11"/>
    <w:multiLevelType w:val="hybridMultilevel"/>
    <w:lvl w:ilvl="0">
      <w:lvlJc w:val="left"/>
      <w:lvlText w:val="•"/>
      <w:numFmt w:val="bullet"/>
      <w:start w:val="1"/>
    </w:lvl>
  </w:abstractNum>
  <w:abstractNum w:abstractNumId="83">
    <w:nsid w:val="56C28E34"/>
    <w:multiLevelType w:val="hybridMultilevel"/>
    <w:lvl w:ilvl="0">
      <w:lvlJc w:val="left"/>
      <w:lvlText w:val="•"/>
      <w:numFmt w:val="bullet"/>
      <w:start w:val="1"/>
    </w:lvl>
  </w:abstractNum>
  <w:abstractNum w:abstractNumId="84">
    <w:nsid w:val="13916F2D"/>
    <w:multiLevelType w:val="hybridMultilevel"/>
    <w:lvl w:ilvl="0">
      <w:lvlJc w:val="left"/>
      <w:lvlText w:val="•"/>
      <w:numFmt w:val="bullet"/>
      <w:start w:val="1"/>
    </w:lvl>
  </w:abstractNum>
  <w:abstractNum w:abstractNumId="85">
    <w:nsid w:val="435D38D"/>
    <w:multiLevelType w:val="hybridMultilevel"/>
    <w:lvl w:ilvl="0">
      <w:lvlJc w:val="left"/>
      <w:lvlText w:val="•"/>
      <w:numFmt w:val="bullet"/>
      <w:start w:val="1"/>
    </w:lvl>
  </w:abstractNum>
  <w:abstractNum w:abstractNumId="86">
    <w:nsid w:val="822C0EF"/>
    <w:multiLevelType w:val="hybridMultilevel"/>
    <w:lvl w:ilvl="0">
      <w:lvlJc w:val="left"/>
      <w:lvlText w:val="•"/>
      <w:numFmt w:val="bullet"/>
      <w:start w:val="1"/>
    </w:lvl>
  </w:abstractNum>
  <w:abstractNum w:abstractNumId="87">
    <w:nsid w:val="57C5BB4F"/>
    <w:multiLevelType w:val="hybridMultilevel"/>
    <w:lvl w:ilvl="0">
      <w:lvlJc w:val="left"/>
      <w:lvlText w:val="(%1)"/>
      <w:numFmt w:val="decimal"/>
      <w:start w:val="1"/>
    </w:lvl>
  </w:abstractNum>
  <w:abstractNum w:abstractNumId="88">
    <w:nsid w:val="1803D089"/>
    <w:multiLevelType w:val="hybridMultilevel"/>
    <w:lvl w:ilvl="0">
      <w:lvlJc w:val="left"/>
      <w:lvlText w:val="•"/>
      <w:numFmt w:val="bullet"/>
      <w:start w:val="1"/>
    </w:lvl>
  </w:abstractNum>
  <w:abstractNum w:abstractNumId="89">
    <w:nsid w:val="4F3A06D4"/>
    <w:multiLevelType w:val="hybridMultilevel"/>
    <w:lvl w:ilvl="0">
      <w:lvlJc w:val="left"/>
      <w:lvlText w:val="•"/>
      <w:numFmt w:val="bullet"/>
      <w:start w:val="1"/>
    </w:lvl>
  </w:abstractNum>
  <w:abstractNum w:abstractNumId="90">
    <w:nsid w:val="59A377B6"/>
    <w:multiLevelType w:val="hybridMultilevel"/>
    <w:lvl w:ilvl="0">
      <w:lvlJc w:val="left"/>
      <w:lvlText w:val="•"/>
      <w:numFmt w:val="bullet"/>
      <w:start w:val="1"/>
    </w:lvl>
  </w:abstractNum>
  <w:abstractNum w:abstractNumId="91">
    <w:nsid w:val="48AEB063"/>
    <w:multiLevelType w:val="hybridMultilevel"/>
    <w:lvl w:ilvl="0">
      <w:lvlJc w:val="left"/>
      <w:lvlText w:val="•"/>
      <w:numFmt w:val="bullet"/>
      <w:start w:val="1"/>
    </w:lvl>
  </w:abstractNum>
  <w:abstractNum w:abstractNumId="92">
    <w:nsid w:val="24E135"/>
    <w:multiLevelType w:val="hybridMultilevel"/>
    <w:lvl w:ilvl="0">
      <w:lvlJc w:val="left"/>
      <w:lvlText w:val="%1."/>
      <w:numFmt w:val="decimal"/>
      <w:start w:val="1"/>
    </w:lvl>
    <w:lvl w:ilvl="1">
      <w:lvlJc w:val="left"/>
      <w:lvlText w:val="•"/>
      <w:numFmt w:val="bullet"/>
      <w:start w:val="1"/>
    </w:lvl>
  </w:abstractNum>
  <w:abstractNum w:abstractNumId="93">
    <w:nsid w:val="BB13C1"/>
    <w:multiLevelType w:val="hybridMultilevel"/>
    <w:lvl w:ilvl="0">
      <w:lvlJc w:val="left"/>
      <w:lvlText w:val="•"/>
      <w:numFmt w:val="bullet"/>
      <w:start w:val="1"/>
    </w:lvl>
  </w:abstractNum>
  <w:abstractNum w:abstractNumId="94">
    <w:nsid w:val="271210C7"/>
    <w:multiLevelType w:val="hybridMultilevel"/>
    <w:lvl w:ilvl="0">
      <w:lvlJc w:val="left"/>
      <w:lvlText w:val="•"/>
      <w:numFmt w:val="bullet"/>
      <w:start w:val="1"/>
    </w:lvl>
  </w:abstractNum>
  <w:abstractNum w:abstractNumId="95">
    <w:nsid w:val="217B22E4"/>
    <w:multiLevelType w:val="hybridMultilevel"/>
    <w:lvl w:ilvl="0">
      <w:lvlJc w:val="left"/>
      <w:lvlText w:val="•"/>
      <w:numFmt w:val="bullet"/>
      <w:start w:val="1"/>
    </w:lvl>
  </w:abstractNum>
  <w:abstractNum w:abstractNumId="96">
    <w:nsid w:val="53E31A24"/>
    <w:multiLevelType w:val="hybridMultilevel"/>
    <w:lvl w:ilvl="0">
      <w:lvlJc w:val="left"/>
      <w:lvlText w:val="•"/>
      <w:numFmt w:val="bullet"/>
      <w:start w:val="1"/>
    </w:lvl>
  </w:abstractNum>
  <w:abstractNum w:abstractNumId="97">
    <w:nsid w:val="6DC45E83"/>
    <w:multiLevelType w:val="hybridMultilevel"/>
    <w:lvl w:ilvl="0">
      <w:lvlJc w:val="left"/>
      <w:lvlText w:val="•"/>
      <w:numFmt w:val="bullet"/>
      <w:start w:val="1"/>
    </w:lvl>
  </w:abstractNum>
  <w:abstractNum w:abstractNumId="98">
    <w:nsid w:val="17304A67"/>
    <w:multiLevelType w:val="hybridMultilevel"/>
    <w:lvl w:ilvl="0">
      <w:lvlJc w:val="left"/>
      <w:lvlText w:val="•"/>
      <w:numFmt w:val="bullet"/>
      <w:start w:val="1"/>
    </w:lvl>
  </w:abstractNum>
  <w:abstractNum w:abstractNumId="99">
    <w:nsid w:val="2BB180D8"/>
    <w:multiLevelType w:val="hybridMultilevel"/>
    <w:lvl w:ilvl="0">
      <w:lvlJc w:val="left"/>
      <w:lvlText w:val="•"/>
      <w:numFmt w:val="bullet"/>
      <w:start w:val="1"/>
    </w:lvl>
  </w:abstractNum>
  <w:abstractNum w:abstractNumId="100">
    <w:nsid w:val="556B69ED"/>
    <w:multiLevelType w:val="hybridMultilevel"/>
    <w:lvl w:ilvl="0">
      <w:lvlJc w:val="left"/>
      <w:lvlText w:val="•"/>
      <w:numFmt w:val="bullet"/>
      <w:start w:val="1"/>
    </w:lvl>
  </w:abstractNum>
  <w:abstractNum w:abstractNumId="101">
    <w:nsid w:val="70836196"/>
    <w:multiLevelType w:val="hybridMultilevel"/>
    <w:lvl w:ilvl="0">
      <w:lvlJc w:val="left"/>
      <w:lvlText w:val="•"/>
      <w:numFmt w:val="bullet"/>
      <w:start w:val="1"/>
    </w:lvl>
  </w:abstractNum>
  <w:abstractNum w:abstractNumId="102">
    <w:nsid w:val="539F7F12"/>
    <w:multiLevelType w:val="hybridMultilevel"/>
    <w:lvl w:ilvl="0">
      <w:lvlJc w:val="left"/>
      <w:lvlText w:val="•"/>
      <w:numFmt w:val="bullet"/>
      <w:start w:val="1"/>
    </w:lvl>
  </w:abstractNum>
  <w:abstractNum w:abstractNumId="103">
    <w:nsid w:val="2817E7EC"/>
    <w:multiLevelType w:val="hybridMultilevel"/>
    <w:lvl w:ilvl="0">
      <w:lvlJc w:val="left"/>
      <w:lvlText w:val="•"/>
      <w:numFmt w:val="bullet"/>
      <w:start w:val="1"/>
    </w:lvl>
  </w:abstractNum>
  <w:abstractNum w:abstractNumId="104">
    <w:nsid w:val="71482545"/>
    <w:multiLevelType w:val="hybridMultilevel"/>
    <w:lvl w:ilvl="0">
      <w:lvlJc w:val="left"/>
      <w:lvlText w:val="•"/>
      <w:numFmt w:val="bullet"/>
      <w:start w:val="1"/>
    </w:lvl>
  </w:abstractNum>
  <w:abstractNum w:abstractNumId="105">
    <w:nsid w:val="17D78639"/>
    <w:multiLevelType w:val="hybridMultilevel"/>
    <w:lvl w:ilvl="0">
      <w:lvlJc w:val="left"/>
      <w:lvlText w:val="•"/>
      <w:numFmt w:val="bullet"/>
      <w:start w:val="1"/>
    </w:lvl>
  </w:abstractNum>
  <w:abstractNum w:abstractNumId="106">
    <w:nsid w:val="141D2302"/>
    <w:multiLevelType w:val="hybridMultilevel"/>
    <w:lvl w:ilvl="0">
      <w:lvlJc w:val="left"/>
      <w:lvlText w:val="•"/>
      <w:numFmt w:val="bullet"/>
      <w:start w:val="1"/>
    </w:lvl>
  </w:abstractNum>
  <w:abstractNum w:abstractNumId="107">
    <w:nsid w:val="407168D8"/>
    <w:multiLevelType w:val="hybridMultilevel"/>
    <w:lvl w:ilvl="0">
      <w:lvlJc w:val="left"/>
      <w:lvlText w:val="•"/>
      <w:numFmt w:val="bullet"/>
      <w:start w:val="1"/>
    </w:lvl>
  </w:abstractNum>
  <w:abstractNum w:abstractNumId="108">
    <w:nsid w:val="6A1B45E5"/>
    <w:multiLevelType w:val="hybridMultilevel"/>
    <w:lvl w:ilvl="0">
      <w:lvlJc w:val="left"/>
      <w:lvlText w:val="•"/>
      <w:numFmt w:val="bullet"/>
      <w:start w:val="1"/>
    </w:lvl>
  </w:abstractNum>
  <w:abstractNum w:abstractNumId="109">
    <w:nsid w:val="567BD50A"/>
    <w:multiLevelType w:val="hybridMultilevel"/>
    <w:lvl w:ilvl="0">
      <w:lvlJc w:val="left"/>
      <w:lvlText w:val="•"/>
      <w:numFmt w:val="bullet"/>
      <w:start w:val="1"/>
    </w:lvl>
  </w:abstractNum>
  <w:abstractNum w:abstractNumId="110">
    <w:nsid w:val="73BBD7F8"/>
    <w:multiLevelType w:val="hybridMultilevel"/>
    <w:lvl w:ilvl="0">
      <w:lvlJc w:val="left"/>
      <w:lvlText w:val="•"/>
      <w:numFmt w:val="bullet"/>
      <w:start w:val="1"/>
    </w:lvl>
  </w:abstractNum>
  <w:abstractNum w:abstractNumId="111">
    <w:nsid w:val="1876589D"/>
    <w:multiLevelType w:val="hybridMultilevel"/>
    <w:lvl w:ilvl="0">
      <w:lvlJc w:val="left"/>
      <w:lvlText w:val="•"/>
      <w:numFmt w:val="bullet"/>
      <w:start w:val="1"/>
    </w:lvl>
  </w:abstractNum>
  <w:abstractNum w:abstractNumId="112">
    <w:nsid w:val="327FAC77"/>
    <w:multiLevelType w:val="hybridMultilevel"/>
    <w:lvl w:ilvl="0">
      <w:lvlJc w:val="left"/>
      <w:lvlText w:val="•"/>
      <w:numFmt w:val="bullet"/>
      <w:start w:val="1"/>
    </w:lvl>
  </w:abstractNum>
  <w:abstractNum w:abstractNumId="113">
    <w:nsid w:val="5A606509"/>
    <w:multiLevelType w:val="hybridMultilevel"/>
    <w:lvl w:ilvl="0">
      <w:lvlJc w:val="left"/>
      <w:lvlText w:val="•"/>
      <w:numFmt w:val="bullet"/>
      <w:start w:val="1"/>
    </w:lvl>
  </w:abstractNum>
  <w:abstractNum w:abstractNumId="114">
    <w:nsid w:val="6F38E6D1"/>
    <w:multiLevelType w:val="hybridMultilevel"/>
    <w:lvl w:ilvl="0">
      <w:lvlJc w:val="left"/>
      <w:lvlText w:val="•"/>
      <w:numFmt w:val="bullet"/>
      <w:start w:val="1"/>
    </w:lvl>
  </w:abstractNum>
  <w:abstractNum w:abstractNumId="115">
    <w:nsid w:val="46111BA5"/>
    <w:multiLevelType w:val="hybridMultilevel"/>
    <w:lvl w:ilvl="0">
      <w:lvlJc w:val="left"/>
      <w:lvlText w:val="•"/>
      <w:numFmt w:val="bullet"/>
      <w:start w:val="1"/>
    </w:lvl>
  </w:abstractNum>
  <w:abstractNum w:abstractNumId="116">
    <w:nsid w:val="5E963896"/>
    <w:multiLevelType w:val="hybridMultilevel"/>
    <w:lvl w:ilvl="0">
      <w:lvlJc w:val="left"/>
      <w:lvlText w:val="•"/>
      <w:numFmt w:val="bullet"/>
      <w:start w:val="1"/>
    </w:lvl>
  </w:abstractNum>
  <w:abstractNum w:abstractNumId="117">
    <w:nsid w:val="775BA7C1"/>
    <w:multiLevelType w:val="hybridMultilevel"/>
    <w:lvl w:ilvl="0">
      <w:lvlJc w:val="left"/>
      <w:lvlText w:val="•"/>
      <w:numFmt w:val="bullet"/>
      <w:start w:val="1"/>
    </w:lvl>
  </w:abstractNum>
  <w:abstractNum w:abstractNumId="118">
    <w:nsid w:val="1DD6D6F4"/>
    <w:multiLevelType w:val="hybridMultilevel"/>
    <w:lvl w:ilvl="0">
      <w:lvlJc w:val="left"/>
      <w:lvlText w:val="•"/>
      <w:numFmt w:val="bullet"/>
      <w:start w:val="1"/>
    </w:lvl>
  </w:abstractNum>
  <w:abstractNum w:abstractNumId="119">
    <w:nsid w:val="769A091F"/>
    <w:multiLevelType w:val="hybridMultilevel"/>
    <w:lvl w:ilvl="0">
      <w:lvlJc w:val="left"/>
      <w:lvlText w:val="•"/>
      <w:numFmt w:val="bullet"/>
      <w:start w:val="1"/>
    </w:lvl>
  </w:abstractNum>
  <w:abstractNum w:abstractNumId="120">
    <w:nsid w:val="4695AE95"/>
    <w:multiLevelType w:val="hybridMultilevel"/>
    <w:lvl w:ilvl="0">
      <w:lvlJc w:val="left"/>
      <w:lvlText w:val="•"/>
      <w:numFmt w:val="bullet"/>
      <w:start w:val="1"/>
    </w:lvl>
  </w:abstractNum>
  <w:abstractNum w:abstractNumId="121">
    <w:nsid w:val="777A4EAA"/>
    <w:multiLevelType w:val="hybridMultilevel"/>
    <w:lvl w:ilvl="0">
      <w:lvlJc w:val="left"/>
      <w:lvlText w:val="•"/>
      <w:numFmt w:val="bullet"/>
      <w:start w:val="1"/>
    </w:lvl>
  </w:abstractNum>
  <w:abstractNum w:abstractNumId="122">
    <w:nsid w:val="3F48B982"/>
    <w:multiLevelType w:val="hybridMultilevel"/>
    <w:lvl w:ilvl="0">
      <w:lvlJc w:val="left"/>
      <w:lvlText w:val="•"/>
      <w:numFmt w:val="bullet"/>
      <w:start w:val="1"/>
    </w:lvl>
  </w:abstractNum>
  <w:abstractNum w:abstractNumId="123">
    <w:nsid w:val="46BA8FCA"/>
    <w:multiLevelType w:val="hybridMultilevel"/>
    <w:lvl w:ilvl="0">
      <w:lvlJc w:val="left"/>
      <w:lvlText w:val="(%1)"/>
      <w:numFmt w:val="decimal"/>
      <w:start w:val="1"/>
    </w:lvl>
  </w:abstractNum>
  <w:abstractNum w:abstractNumId="124">
    <w:nsid w:val="7835626C"/>
    <w:multiLevelType w:val="hybridMultilevel"/>
    <w:lvl w:ilvl="0">
      <w:lvlJc w:val="left"/>
      <w:lvlText w:val="•"/>
      <w:numFmt w:val="bullet"/>
      <w:start w:val="1"/>
    </w:lvl>
  </w:abstractNum>
  <w:abstractNum w:abstractNumId="125">
    <w:nsid w:val="665ACA49"/>
    <w:multiLevelType w:val="hybridMultilevel"/>
    <w:lvl w:ilvl="0">
      <w:lvlJc w:val="left"/>
      <w:lvlText w:val="•"/>
      <w:numFmt w:val="bullet"/>
      <w:start w:val="1"/>
    </w:lvl>
    <w:lvl w:ilvl="1">
      <w:lvlJc w:val="left"/>
      <w:lvlText w:val="."/>
      <w:numFmt w:val="bullet"/>
      <w:start w:val="1"/>
    </w:lvl>
  </w:abstractNum>
  <w:abstractNum w:abstractNumId="126">
    <w:nsid w:val="6835B2AE"/>
    <w:multiLevelType w:val="hybridMultilevel"/>
    <w:lvl w:ilvl="0">
      <w:lvlJc w:val="left"/>
      <w:lvlText w:val="•"/>
      <w:numFmt w:val="bullet"/>
      <w:start w:val="1"/>
    </w:lvl>
  </w:abstractNum>
  <w:abstractNum w:abstractNumId="127">
    <w:nsid w:val="4C187C90"/>
    <w:multiLevelType w:val="hybridMultilevel"/>
    <w:lvl w:ilvl="0">
      <w:lvlJc w:val="left"/>
      <w:lvlText w:val="(%1)"/>
      <w:numFmt w:val="decimal"/>
      <w:start w:val="1"/>
    </w:lvl>
  </w:abstractNum>
  <w:abstractNum w:abstractNumId="128">
    <w:nsid w:val="541F28CD"/>
    <w:multiLevelType w:val="hybridMultilevel"/>
    <w:lvl w:ilvl="0">
      <w:lvlJc w:val="left"/>
      <w:lvlText w:val="•"/>
      <w:numFmt w:val="bullet"/>
      <w:start w:val="1"/>
    </w:lvl>
  </w:abstractNum>
  <w:abstractNum w:abstractNumId="129">
    <w:nsid w:val="7F65FD16"/>
    <w:multiLevelType w:val="hybridMultilevel"/>
    <w:lvl w:ilvl="0">
      <w:lvlJc w:val="left"/>
      <w:lvlText w:val="(%1)"/>
      <w:numFmt w:val="decimal"/>
      <w:start w:val="1"/>
    </w:lvl>
  </w:abstractNum>
  <w:abstractNum w:abstractNumId="130">
    <w:nsid w:val="77C9FD68"/>
    <w:multiLevelType w:val="hybridMultilevel"/>
    <w:lvl w:ilvl="0">
      <w:lvlJc w:val="left"/>
      <w:lvlText w:val="(%1)"/>
      <w:numFmt w:val="decimal"/>
      <w:start w:val="1"/>
    </w:lvl>
  </w:abstractNum>
  <w:abstractNum w:abstractNumId="131">
    <w:nsid w:val="298A92BA"/>
    <w:multiLevelType w:val="hybridMultilevel"/>
    <w:lvl w:ilvl="0">
      <w:lvlJc w:val="left"/>
      <w:lvlText w:val="(%1)"/>
      <w:numFmt w:val="decimal"/>
      <w:start w:val="3"/>
    </w:lvl>
  </w:abstractNum>
  <w:abstractNum w:abstractNumId="132">
    <w:nsid w:val="6FE95EAC"/>
    <w:multiLevelType w:val="hybridMultilevel"/>
    <w:lvl w:ilvl="0">
      <w:lvlJc w:val="left"/>
      <w:lvlText w:val="•"/>
      <w:numFmt w:val="bullet"/>
      <w:start w:val="1"/>
    </w:lvl>
  </w:abstractNum>
  <w:abstractNum w:abstractNumId="133">
    <w:nsid w:val="4B697C7A"/>
    <w:multiLevelType w:val="hybridMultilevel"/>
    <w:lvl w:ilvl="0">
      <w:lvlJc w:val="left"/>
      <w:lvlText w:val="•"/>
      <w:numFmt w:val="bullet"/>
      <w:start w:val="1"/>
    </w:lvl>
  </w:abstractNum>
  <w:abstractNum w:abstractNumId="134">
    <w:nsid w:val="51A27AA6"/>
    <w:multiLevelType w:val="hybridMultilevel"/>
    <w:lvl w:ilvl="0">
      <w:lvlJc w:val="left"/>
      <w:lvlText w:val="(%1)"/>
      <w:numFmt w:val="decimal"/>
      <w:start w:val="1"/>
    </w:lvl>
  </w:abstractNum>
  <w:abstractNum w:abstractNumId="135">
    <w:nsid w:val="613183F2"/>
    <w:multiLevelType w:val="hybridMultilevel"/>
    <w:lvl w:ilvl="0">
      <w:lvlJc w:val="left"/>
      <w:lvlText w:val="(%1)"/>
      <w:numFmt w:val="decimal"/>
      <w:start w:val="1"/>
    </w:lvl>
  </w:abstractNum>
  <w:abstractNum w:abstractNumId="136">
    <w:nsid w:val="634102B4"/>
    <w:multiLevelType w:val="hybridMultilevel"/>
    <w:lvl w:ilvl="0">
      <w:lvlJc w:val="left"/>
      <w:lvlText w:val="•"/>
      <w:numFmt w:val="bullet"/>
      <w:start w:val="1"/>
    </w:lvl>
  </w:abstractNum>
  <w:abstractNum w:abstractNumId="137">
    <w:nsid w:val="65BF9DA8"/>
    <w:multiLevelType w:val="hybridMultilevel"/>
    <w:lvl w:ilvl="0">
      <w:lvlJc w:val="left"/>
      <w:lvlText w:val="*"/>
      <w:numFmt w:val="bullet"/>
      <w:start w:val="1"/>
    </w:lvl>
  </w:abstractNum>
  <w:abstractNum w:abstractNumId="138">
    <w:nsid w:val="21A2ECCA"/>
    <w:multiLevelType w:val="hybridMultilevel"/>
    <w:lvl w:ilvl="0">
      <w:lvlJc w:val="left"/>
      <w:lvlText w:val="(%1)"/>
      <w:numFmt w:val="decimal"/>
      <w:start w:val="1"/>
    </w:lvl>
  </w:abstractNum>
  <w:abstractNum w:abstractNumId="139">
    <w:nsid w:val="4D5C4899"/>
    <w:multiLevelType w:val="hybridMultilevel"/>
    <w:lvl w:ilvl="0">
      <w:lvlJc w:val="left"/>
      <w:lvlText w:val="(%1)"/>
      <w:numFmt w:val="decimal"/>
      <w:start w:val="5"/>
    </w:lvl>
  </w:abstractNum>
  <w:abstractNum w:abstractNumId="140">
    <w:nsid w:val="3C3B72B2"/>
    <w:multiLevelType w:val="hybridMultilevel"/>
    <w:lvl w:ilvl="0">
      <w:lvlJc w:val="left"/>
      <w:lvlText w:val="•"/>
      <w:numFmt w:val="bullet"/>
      <w:start w:val="1"/>
    </w:lvl>
  </w:abstractNum>
  <w:abstractNum w:abstractNumId="141">
    <w:nsid w:val="155EC4C2"/>
    <w:multiLevelType w:val="hybridMultilevel"/>
    <w:lvl w:ilvl="0">
      <w:lvlJc w:val="left"/>
      <w:lvlText w:val="•"/>
      <w:numFmt w:val="bullet"/>
      <w:start w:val="1"/>
    </w:lvl>
  </w:abstractNum>
  <w:abstractNum w:abstractNumId="142">
    <w:nsid w:val="65D2A137"/>
    <w:multiLevelType w:val="hybridMultilevel"/>
    <w:lvl w:ilvl="0">
      <w:lvlJc w:val="left"/>
      <w:lvlText w:val="•"/>
      <w:numFmt w:val="bullet"/>
      <w:start w:val="1"/>
    </w:lvl>
  </w:abstractNum>
  <w:abstractNum w:abstractNumId="143">
    <w:nsid w:val="6EBB1F2A"/>
    <w:multiLevelType w:val="hybridMultilevel"/>
    <w:lvl w:ilvl="0">
      <w:lvlJc w:val="left"/>
      <w:lvlText w:val="•"/>
      <w:numFmt w:val="bullet"/>
      <w:start w:val="1"/>
    </w:lvl>
  </w:abstractNum>
  <w:abstractNum w:abstractNumId="144">
    <w:nsid w:val="6FBF29CB"/>
    <w:multiLevelType w:val="hybridMultilevel"/>
    <w:lvl w:ilvl="0">
      <w:lvlJc w:val="left"/>
      <w:lvlText w:val="•"/>
      <w:numFmt w:val="bullet"/>
      <w:start w:val="1"/>
    </w:lvl>
  </w:abstractNum>
  <w:abstractNum w:abstractNumId="145">
    <w:nsid w:val="550B8808"/>
    <w:multiLevelType w:val="hybridMultilevel"/>
    <w:lvl w:ilvl="0">
      <w:lvlJc w:val="left"/>
      <w:lvlText w:val="•"/>
      <w:numFmt w:val="bullet"/>
      <w:start w:val="1"/>
    </w:lvl>
  </w:abstractNum>
  <w:abstractNum w:abstractNumId="146">
    <w:nsid w:val="34CC3ACF"/>
    <w:multiLevelType w:val="hybridMultilevel"/>
    <w:lvl w:ilvl="0">
      <w:lvlJc w:val="left"/>
      <w:lvlText w:val="•"/>
      <w:numFmt w:val="bullet"/>
      <w:start w:val="1"/>
    </w:lvl>
  </w:abstractNum>
  <w:abstractNum w:abstractNumId="147">
    <w:nsid w:val="4E556261"/>
    <w:multiLevelType w:val="hybridMultilevel"/>
    <w:lvl w:ilvl="0">
      <w:lvlJc w:val="left"/>
      <w:lvlText w:val="•"/>
      <w:numFmt w:val="bullet"/>
      <w:start w:val="1"/>
    </w:lvl>
  </w:abstractNum>
  <w:abstractNum w:abstractNumId="148">
    <w:nsid w:val="4C672FC9"/>
    <w:multiLevelType w:val="hybridMultilevel"/>
    <w:lvl w:ilvl="0">
      <w:lvlJc w:val="left"/>
      <w:lvlText w:val="•"/>
      <w:numFmt w:val="bullet"/>
      <w:start w:val="1"/>
    </w:lvl>
  </w:abstractNum>
  <w:abstractNum w:abstractNumId="149">
    <w:nsid w:val="52A311C3"/>
    <w:multiLevelType w:val="hybridMultilevel"/>
    <w:lvl w:ilvl="0">
      <w:lvlJc w:val="left"/>
      <w:lvlText w:val="(%1)"/>
      <w:numFmt w:val="lowerLetter"/>
      <w:start w:val="1"/>
    </w:lvl>
  </w:abstractNum>
  <w:abstractNum w:abstractNumId="150">
    <w:nsid w:val="44EF6B80"/>
    <w:multiLevelType w:val="hybridMultilevel"/>
    <w:lvl w:ilvl="0">
      <w:lvlJc w:val="left"/>
      <w:lvlText w:val="(%1)"/>
      <w:numFmt w:val="lowerRoman"/>
      <w:start w:val="2"/>
    </w:lvl>
    <w:lvl w:ilvl="1">
      <w:lvlJc w:val="left"/>
      <w:lvlText w:val="•"/>
      <w:numFmt w:val="bullet"/>
      <w:start w:val="1"/>
    </w:lvl>
  </w:abstractNum>
  <w:abstractNum w:abstractNumId="151">
    <w:nsid w:val="12FCDE5E"/>
    <w:multiLevelType w:val="hybridMultilevel"/>
    <w:lvl w:ilvl="0">
      <w:lvlJc w:val="left"/>
      <w:lvlText w:val="(%1)"/>
      <w:numFmt w:val="lowerLetter"/>
      <w:start w:val="1"/>
    </w:lvl>
  </w:abstractNum>
  <w:abstractNum w:abstractNumId="152">
    <w:nsid w:val="4A1D606E"/>
    <w:multiLevelType w:val="hybridMultilevel"/>
    <w:lvl w:ilvl="0">
      <w:lvlJc w:val="left"/>
      <w:lvlText w:val="(%1)"/>
      <w:numFmt w:val="lowerLetter"/>
      <w:start w:val="1"/>
    </w:lvl>
  </w:abstractNum>
  <w:abstractNum w:abstractNumId="153">
    <w:nsid w:val="4382503"/>
    <w:multiLevelType w:val="hybridMultilevel"/>
    <w:lvl w:ilvl="0">
      <w:lvlJc w:val="left"/>
      <w:lvlText w:val="(%1)"/>
      <w:numFmt w:val="lowerLetter"/>
      <w:start w:val="1"/>
    </w:lvl>
  </w:abstractNum>
  <w:abstractNum w:abstractNumId="154">
    <w:nsid w:val="59B76E28"/>
    <w:multiLevelType w:val="hybridMultilevel"/>
    <w:lvl w:ilvl="0">
      <w:lvlJc w:val="left"/>
      <w:lvlText w:val="(%1)"/>
      <w:numFmt w:val="lowerLetter"/>
      <w:start w:val="1"/>
    </w:lvl>
  </w:abstractNum>
  <w:abstractNum w:abstractNumId="155">
    <w:nsid w:val="4252C2DA"/>
    <w:multiLevelType w:val="hybridMultilevel"/>
    <w:lvl w:ilvl="0">
      <w:lvlJc w:val="left"/>
      <w:lvlText w:val="%1."/>
      <w:numFmt w:val="lowerRoman"/>
      <w:start w:val="2"/>
    </w:lvl>
  </w:abstractNum>
  <w:abstractNum w:abstractNumId="156">
    <w:nsid w:val="6A92EF4C"/>
    <w:multiLevelType w:val="hybridMultilevel"/>
    <w:lvl w:ilvl="0">
      <w:lvlJc w:val="left"/>
      <w:lvlText w:val="%1."/>
      <w:numFmt w:val="decimal"/>
      <w:start w:val="7"/>
    </w:lvl>
  </w:abstractNum>
  <w:abstractNum w:abstractNumId="157">
    <w:nsid w:val="41ED20D7"/>
    <w:multiLevelType w:val="hybridMultilevel"/>
    <w:lvl w:ilvl="0">
      <w:lvlJc w:val="left"/>
      <w:lvlText w:val="%1."/>
      <w:numFmt w:val="decimal"/>
      <w:start w:val="12"/>
    </w:lvl>
  </w:abstractNum>
  <w:abstractNum w:abstractNumId="158">
    <w:nsid w:val="E6B3F6A"/>
    <w:multiLevelType w:val="hybridMultilevel"/>
    <w:lvl w:ilvl="0">
      <w:lvlJc w:val="left"/>
      <w:lvlText w:val="*"/>
      <w:numFmt w:val="bullet"/>
      <w:start w:val="1"/>
    </w:lvl>
  </w:abstractNum>
  <w:abstractNum w:abstractNumId="159">
    <w:nsid w:val="3EB21819"/>
    <w:multiLevelType w:val="hybridMultilevel"/>
    <w:lvl w:ilvl="0">
      <w:lvlJc w:val="left"/>
      <w:lvlText w:val="(%1)"/>
      <w:numFmt w:val="decimal"/>
      <w:start w:val="4"/>
    </w:lvl>
  </w:abstractNum>
  <w:abstractNum w:abstractNumId="160">
    <w:nsid w:val="41531DED"/>
    <w:multiLevelType w:val="hybridMultilevel"/>
    <w:lvl w:ilvl="0">
      <w:lvlJc w:val="left"/>
      <w:lvlText w:val="(%1)"/>
      <w:numFmt w:val="lowerLetter"/>
      <w:start w:val="1"/>
    </w:lvl>
  </w:abstractNum>
  <w:abstractNum w:abstractNumId="161">
    <w:nsid w:val="6353CD2"/>
    <w:multiLevelType w:val="hybridMultilevel"/>
    <w:lvl w:ilvl="0">
      <w:lvlJc w:val="left"/>
      <w:lvlText w:val="(%1)"/>
      <w:numFmt w:val="lowerLetter"/>
      <w:start w:val="4"/>
    </w:lvl>
  </w:abstractNum>
  <w:abstractNum w:abstractNumId="162">
    <w:nsid w:val="683CAAD3"/>
    <w:multiLevelType w:val="hybridMultilevel"/>
    <w:lvl w:ilvl="0">
      <w:lvlJc w:val="left"/>
      <w:lvlText w:val="(%1)"/>
      <w:numFmt w:val="decimal"/>
      <w:start w:val="2"/>
    </w:lvl>
  </w:abstractNum>
  <w:abstractNum w:abstractNumId="163">
    <w:nsid w:val="313C7C99"/>
    <w:multiLevelType w:val="hybridMultilevel"/>
    <w:lvl w:ilvl="0">
      <w:lvlJc w:val="left"/>
      <w:lvlText w:val="(%1)"/>
      <w:numFmt w:val="decimal"/>
      <w:start w:val="1"/>
    </w:lvl>
  </w:abstractNum>
  <w:abstractNum w:abstractNumId="164">
    <w:nsid w:val="519EB94C"/>
    <w:multiLevelType w:val="hybridMultilevel"/>
    <w:lvl w:ilvl="0">
      <w:lvlJc w:val="left"/>
      <w:lvlText w:val="*"/>
      <w:numFmt w:val="bullet"/>
      <w:start w:val="1"/>
    </w:lvl>
  </w:abstractNum>
  <w:abstractNum w:abstractNumId="165">
    <w:nsid w:val="39DF2579"/>
    <w:multiLevelType w:val="hybridMultilevel"/>
    <w:lvl w:ilvl="0">
      <w:lvlJc w:val="left"/>
      <w:lvlText w:val="%1."/>
      <w:numFmt w:val="decimal"/>
      <w:start w:val="1"/>
    </w:lvl>
    <w:lvl w:ilvl="1">
      <w:lvlJc w:val="left"/>
      <w:lvlText w:val="•"/>
      <w:numFmt w:val="bullet"/>
      <w:start w:val="1"/>
    </w:lvl>
  </w:abstractNum>
  <w:abstractNum w:abstractNumId="166">
    <w:nsid w:val="126E008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167">
    <w:nsid w:val="34DFBC00"/>
    <w:multiLevelType w:val="hybridMultilevel"/>
    <w:lvl w:ilvl="0">
      <w:lvlJc w:val="left"/>
      <w:lvlText w:val="(%1)"/>
      <w:numFmt w:val="lowerRoman"/>
      <w:start w:val="2"/>
    </w:lvl>
  </w:abstractNum>
  <w:abstractNum w:abstractNumId="168">
    <w:nsid w:val="1F9EC322"/>
    <w:multiLevelType w:val="hybridMultilevel"/>
    <w:lvl w:ilvl="0">
      <w:lvlJc w:val="left"/>
      <w:lvlText w:val="(%1)"/>
      <w:numFmt w:val="lowerLetter"/>
      <w:start w:val="7"/>
    </w:lvl>
  </w:abstractNum>
  <w:abstractNum w:abstractNumId="169">
    <w:nsid w:val="3410ED56"/>
    <w:multiLevelType w:val="hybridMultilevel"/>
    <w:lvl w:ilvl="0">
      <w:lvlJc w:val="left"/>
      <w:lvlText w:val="(%1)"/>
      <w:numFmt w:val="lowerLetter"/>
      <w:start w:val="8"/>
    </w:lvl>
    <w:lvl w:ilvl="1">
      <w:lvlJc w:val="left"/>
      <w:lvlText w:val="(%2)"/>
      <w:numFmt w:val="lowerLetter"/>
      <w:start w:val="9"/>
    </w:lvl>
  </w:abstractNum>
  <w:abstractNum w:abstractNumId="170">
    <w:nsid w:val="23C049A"/>
    <w:multiLevelType w:val="hybridMultilevel"/>
    <w:lvl w:ilvl="0">
      <w:lvlJc w:val="left"/>
      <w:lvlText w:val="%1"/>
      <w:numFmt w:val="lowerLetter"/>
      <w:start w:val="1"/>
    </w:lvl>
    <w:lvl w:ilvl="1">
      <w:lvlJc w:val="left"/>
      <w:lvlText w:val="(%2)"/>
      <w:numFmt w:val="lowerRoman"/>
      <w:start w:val="2"/>
    </w:lvl>
  </w:abstractNum>
  <w:abstractNum w:abstractNumId="171">
    <w:nsid w:val="5BDA35D4"/>
    <w:multiLevelType w:val="hybridMultilevel"/>
    <w:lvl w:ilvl="0">
      <w:lvlJc w:val="left"/>
      <w:lvlText w:val="(%1)"/>
      <w:numFmt w:val="lowerLetter"/>
      <w:start w:val="18"/>
    </w:lvl>
    <w:lvl w:ilvl="1">
      <w:lvlJc w:val="left"/>
      <w:lvlText w:val="%2"/>
      <w:numFmt w:val="lowerRoman"/>
      <w:start w:val="1"/>
    </w:lvl>
  </w:abstractNum>
  <w:abstractNum w:abstractNumId="172">
    <w:nsid w:val="496FB218"/>
    <w:multiLevelType w:val="hybridMultilevel"/>
    <w:lvl w:ilvl="0">
      <w:lvlJc w:val="left"/>
      <w:lvlText w:val="(%1)"/>
      <w:numFmt w:val="lowerLetter"/>
      <w:start w:val="27"/>
    </w:lvl>
  </w:abstractNum>
  <w:abstractNum w:abstractNumId="173">
    <w:nsid w:val="680EA5D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4">
    <w:nsid w:val="4A9554FE"/>
    <w:multiLevelType w:val="hybridMultilevel"/>
    <w:lvl w:ilvl="0">
      <w:lvlJc w:val="left"/>
      <w:lvlText w:val="(%1)"/>
      <w:numFmt w:val="lowerLetter"/>
      <w:start w:val="2"/>
    </w:lvl>
    <w:lvl w:ilvl="1">
      <w:lvlJc w:val="left"/>
      <w:lvlText w:val="(%2)"/>
      <w:numFmt w:val="lowerRoman"/>
      <w:start w:val="1"/>
    </w:lvl>
  </w:abstractNum>
  <w:abstractNum w:abstractNumId="175">
    <w:nsid w:val="392EDBE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6">
    <w:nsid w:val="3D1A2DD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77">
    <w:nsid w:val="7F618FCD"/>
    <w:multiLevelType w:val="hybridMultilevel"/>
    <w:lvl w:ilvl="0">
      <w:lvlJc w:val="left"/>
      <w:lvlText w:val="%1"/>
      <w:numFmt w:val="lowerLetter"/>
      <w:start w:val="1"/>
    </w:lvl>
    <w:lvl w:ilvl="1">
      <w:lvlJc w:val="left"/>
      <w:lvlText w:val="(%2)"/>
      <w:numFmt w:val="lowerRoman"/>
      <w:start w:val="2"/>
    </w:lvl>
  </w:abstractNum>
  <w:abstractNum w:abstractNumId="178">
    <w:nsid w:val="7843E45"/>
    <w:multiLevelType w:val="hybridMultilevel"/>
    <w:lvl w:ilvl="0">
      <w:lvlJc w:val="left"/>
      <w:lvlText w:val="(%1)"/>
      <w:numFmt w:val="lowerLetter"/>
      <w:start w:val="6"/>
    </w:lvl>
    <w:lvl w:ilvl="1">
      <w:lvlJc w:val="left"/>
      <w:lvlText w:val="(%2)"/>
      <w:numFmt w:val="lowerRoman"/>
      <w:start w:val="1"/>
    </w:lvl>
  </w:abstractNum>
  <w:abstractNum w:abstractNumId="179">
    <w:nsid w:val="9815D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0">
    <w:nsid w:val="5204A19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1">
    <w:nsid w:val="4C73A9C6"/>
    <w:multiLevelType w:val="hybridMultilevel"/>
    <w:lvl w:ilvl="0">
      <w:lvlJc w:val="left"/>
      <w:lvlText w:val="(%1)"/>
      <w:numFmt w:val="lowerLetter"/>
      <w:start w:val="3"/>
    </w:lvl>
    <w:lvl w:ilvl="1">
      <w:lvlJc w:val="left"/>
      <w:lvlText w:val="(%2)"/>
      <w:numFmt w:val="lowerRoman"/>
      <w:start w:val="1"/>
    </w:lvl>
  </w:abstractNum>
  <w:abstractNum w:abstractNumId="182">
    <w:nsid w:val="1C7E3C01"/>
    <w:multiLevelType w:val="hybridMultilevel"/>
    <w:lvl w:ilvl="0">
      <w:lvlJc w:val="left"/>
      <w:lvlText w:val="%1."/>
      <w:numFmt w:val="decimal"/>
      <w:start w:val="8"/>
    </w:lvl>
    <w:lvl w:ilvl="1">
      <w:lvlJc w:val="left"/>
      <w:lvlText w:val="(%2)"/>
      <w:numFmt w:val="lowerLetter"/>
      <w:start w:val="1"/>
    </w:lvl>
  </w:abstractNum>
  <w:abstractNum w:abstractNumId="183">
    <w:nsid w:val="1C2201FF"/>
    <w:multiLevelType w:val="hybridMultilevel"/>
    <w:lvl w:ilvl="0">
      <w:lvlJc w:val="left"/>
      <w:lvlText w:val="%1"/>
      <w:numFmt w:val="decimal"/>
      <w:start w:val="1"/>
    </w:lvl>
    <w:lvl w:ilvl="1">
      <w:lvlJc w:val="left"/>
      <w:lvlText w:val="(%2)"/>
      <w:numFmt w:val="lowerLetter"/>
      <w:start w:val="5"/>
    </w:lvl>
  </w:abstractNum>
  <w:abstractNum w:abstractNumId="184">
    <w:nsid w:val="50ABCEC9"/>
    <w:multiLevelType w:val="hybridMultilevel"/>
    <w:lvl w:ilvl="0">
      <w:lvlJc w:val="left"/>
      <w:lvlText w:val="%1."/>
      <w:numFmt w:val="decimal"/>
      <w:start w:val="9"/>
    </w:lvl>
    <w:lvl w:ilvl="1">
      <w:lvlJc w:val="left"/>
      <w:lvlText w:val="(%2)"/>
      <w:numFmt w:val="lowerLetter"/>
      <w:start w:val="1"/>
    </w:lvl>
  </w:abstractNum>
  <w:abstractNum w:abstractNumId="185">
    <w:nsid w:val="7635AA2A"/>
    <w:multiLevelType w:val="hybridMultilevel"/>
    <w:lvl w:ilvl="0">
      <w:lvlJc w:val="left"/>
      <w:lvlText w:val="%1."/>
      <w:numFmt w:val="decimal"/>
      <w:start w:val="10"/>
    </w:lvl>
    <w:lvl w:ilvl="1">
      <w:lvlJc w:val="left"/>
      <w:lvlText w:val="(%2)"/>
      <w:numFmt w:val="lowerLetter"/>
      <w:start w:val="1"/>
    </w:lvl>
  </w:abstractNum>
  <w:abstractNum w:abstractNumId="186">
    <w:nsid w:val="5E74C4D9"/>
    <w:multiLevelType w:val="hybridMultilevel"/>
    <w:lvl w:ilvl="0">
      <w:lvlJc w:val="left"/>
      <w:lvlText w:val="%1."/>
      <w:numFmt w:val="decimal"/>
      <w:start w:val="13"/>
    </w:lvl>
    <w:lvl w:ilvl="1">
      <w:lvlJc w:val="left"/>
      <w:lvlText w:val="(%2)"/>
      <w:numFmt w:val="lowerLetter"/>
      <w:start w:val="1"/>
    </w:lvl>
  </w:abstractNum>
  <w:abstractNum w:abstractNumId="187">
    <w:nsid w:val="3B3EBE15"/>
    <w:multiLevelType w:val="hybridMultilevel"/>
    <w:lvl w:ilvl="0">
      <w:lvlJc w:val="left"/>
      <w:lvlText w:val="%1."/>
      <w:numFmt w:val="decimal"/>
      <w:start w:val="14"/>
    </w:lvl>
    <w:lvl w:ilvl="1">
      <w:lvlJc w:val="left"/>
      <w:lvlText w:val="(%2)"/>
      <w:numFmt w:val="lowerLetter"/>
      <w:start w:val="1"/>
    </w:lvl>
  </w:abstractNum>
  <w:abstractNum w:abstractNumId="188">
    <w:nsid w:val="3822CB0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89">
    <w:nsid w:val="6CE00443"/>
    <w:multiLevelType w:val="hybridMultilevel"/>
    <w:lvl w:ilvl="0">
      <w:lvlJc w:val="left"/>
      <w:lvlText w:val="(%1)"/>
      <w:numFmt w:val="lowerLetter"/>
      <w:start w:val="61"/>
    </w:lvl>
    <w:lvl w:ilvl="1">
      <w:lvlJc w:val="left"/>
      <w:lvlText w:val="%2."/>
      <w:numFmt w:val="decimal"/>
      <w:start w:val="15"/>
    </w:lvl>
    <w:lvl w:ilvl="2">
      <w:lvlJc w:val="left"/>
      <w:lvlText w:val="(%3)"/>
      <w:numFmt w:val="lowerLetter"/>
      <w:start w:val="1"/>
    </w:lvl>
  </w:abstractNum>
  <w:abstractNum w:abstractNumId="190">
    <w:nsid w:val="79F0D62F"/>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191">
    <w:nsid w:val="7975E8EE"/>
    <w:multiLevelType w:val="hybridMultilevel"/>
    <w:lvl w:ilvl="0">
      <w:lvlJc w:val="left"/>
      <w:lvlText w:val="(%1)"/>
      <w:numFmt w:val="decimal"/>
      <w:start w:val="500"/>
    </w:lvl>
    <w:lvl w:ilvl="1">
      <w:lvlJc w:val="left"/>
      <w:lvlText w:val="%2"/>
      <w:numFmt w:val="decimal"/>
      <w:start w:val="1"/>
    </w:lvl>
    <w:lvl w:ilvl="2">
      <w:lvlJc w:val="left"/>
      <w:lvlText w:val="%3"/>
      <w:numFmt w:val="lowerLetter"/>
      <w:start w:val="1"/>
    </w:lvl>
  </w:abstractNum>
  <w:abstractNum w:abstractNumId="192">
    <w:nsid w:val="73154115"/>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93">
    <w:nsid w:val="622D8102"/>
    <w:multiLevelType w:val="hybridMultilevel"/>
    <w:lvl w:ilvl="0">
      <w:lvlJc w:val="left"/>
      <w:lvlText w:val="%1."/>
      <w:numFmt w:val="upperLetter"/>
      <w:start w:val="9"/>
    </w:lvl>
  </w:abstractNum>
  <w:abstractNum w:abstractNumId="194">
    <w:nsid w:val="2AB26587"/>
    <w:multiLevelType w:val="hybridMultilevel"/>
    <w:lvl w:ilvl="0">
      <w:lvlJc w:val="left"/>
      <w:lvlText w:val="%1."/>
      <w:numFmt w:val="upperLetter"/>
      <w:start w:val="35"/>
    </w:lvl>
    <w:lvl w:ilvl="1">
      <w:lvlJc w:val="left"/>
      <w:lvlText w:val="%2."/>
      <w:numFmt w:val="decimal"/>
      <w:start w:val="1"/>
    </w:lvl>
  </w:abstractNum>
  <w:abstractNum w:abstractNumId="195">
    <w:nsid w:val="44B3FA61"/>
    <w:multiLevelType w:val="hybridMultilevel"/>
    <w:lvl w:ilvl="0">
      <w:lvlJc w:val="left"/>
      <w:lvlText w:val="%1."/>
      <w:numFmt w:val="decimal"/>
      <w:start w:val="2"/>
    </w:lvl>
    <w:lvl w:ilvl="1">
      <w:lvlJc w:val="left"/>
      <w:lvlText w:val="(%2)"/>
      <w:numFmt w:val="lowerLetter"/>
      <w:start w:val="1"/>
    </w:lvl>
  </w:abstractNum>
  <w:abstractNum w:abstractNumId="196">
    <w:nsid w:val="1C0CA67C"/>
    <w:multiLevelType w:val="hybridMultilevel"/>
    <w:lvl w:ilvl="0">
      <w:lvlJc w:val="left"/>
      <w:lvlText w:val="%1."/>
      <w:numFmt w:val="decimal"/>
      <w:start w:val="3"/>
    </w:lvl>
  </w:abstractNum>
  <w:abstractNum w:abstractNumId="197">
    <w:nsid w:val="3D206613"/>
    <w:multiLevelType w:val="hybridMultilevel"/>
    <w:lvl w:ilvl="0">
      <w:lvlJc w:val="left"/>
      <w:lvlText w:val="%1."/>
      <w:numFmt w:val="decimal"/>
      <w:start w:val="4"/>
    </w:lvl>
  </w:abstractNum>
  <w:abstractNum w:abstractNumId="198">
    <w:nsid w:val="7993B662"/>
    <w:multiLevelType w:val="hybridMultilevel"/>
    <w:lvl w:ilvl="0">
      <w:lvlJc w:val="left"/>
      <w:lvlText w:val="%1."/>
      <w:numFmt w:val="decimal"/>
      <w:start w:val="5"/>
    </w:lvl>
    <w:lvl w:ilvl="1">
      <w:lvlJc w:val="left"/>
      <w:lvlText w:val="(%2)"/>
      <w:numFmt w:val="lowerLetter"/>
      <w:start w:val="1"/>
    </w:lvl>
  </w:abstractNum>
  <w:abstractNum w:abstractNumId="199">
    <w:nsid w:val="3BAB699E"/>
    <w:multiLevelType w:val="hybridMultilevel"/>
    <w:lvl w:ilvl="0">
      <w:lvlJc w:val="left"/>
      <w:lvlText w:val="%1."/>
      <w:numFmt w:val="decimal"/>
      <w:start w:val="6"/>
    </w:lvl>
    <w:lvl w:ilvl="1">
      <w:lvlJc w:val="left"/>
      <w:lvlText w:val="(%2)"/>
      <w:numFmt w:val="lowerLetter"/>
      <w:start w:val="1"/>
    </w:lvl>
  </w:abstractNum>
  <w:abstractNum w:abstractNumId="200">
    <w:nsid w:val="71315369"/>
    <w:multiLevelType w:val="hybridMultilevel"/>
    <w:lvl w:ilvl="0">
      <w:lvlJc w:val="left"/>
      <w:lvlText w:val="%1"/>
      <w:numFmt w:val="decimal"/>
      <w:start w:val="1"/>
    </w:lvl>
    <w:lvl w:ilvl="1">
      <w:lvlJc w:val="left"/>
      <w:lvlText w:val="(%2)"/>
      <w:numFmt w:val="lowerLetter"/>
      <w:start w:val="3"/>
    </w:lvl>
  </w:abstractNum>
  <w:abstractNum w:abstractNumId="201">
    <w:nsid w:val="7BCFBAFC"/>
    <w:multiLevelType w:val="hybridMultilevel"/>
    <w:lvl w:ilvl="0">
      <w:lvlJc w:val="left"/>
      <w:lvlText w:val="%1."/>
      <w:numFmt w:val="decimal"/>
      <w:start w:val="10"/>
    </w:lvl>
    <w:lvl w:ilvl="1">
      <w:lvlJc w:val="left"/>
      <w:lvlText w:val="%2"/>
      <w:numFmt w:val="lowerLetter"/>
      <w:start w:val="1"/>
    </w:lvl>
  </w:abstractNum>
  <w:abstractNum w:abstractNumId="202">
    <w:nsid w:val="17859F72"/>
    <w:multiLevelType w:val="hybridMultilevel"/>
    <w:lvl w:ilvl="0">
      <w:lvlJc w:val="left"/>
      <w:lvlText w:val="%1."/>
      <w:numFmt w:val="decimal"/>
      <w:start w:val="2"/>
    </w:lvl>
    <w:lvl w:ilvl="1">
      <w:lvlJc w:val="left"/>
      <w:lvlText w:val="(%2)"/>
      <w:numFmt w:val="lowerLetter"/>
      <w:start w:val="1"/>
    </w:lvl>
  </w:abstractNum>
  <w:abstractNum w:abstractNumId="203">
    <w:nsid w:val="3AA10581"/>
    <w:multiLevelType w:val="hybridMultilevel"/>
    <w:lvl w:ilvl="0">
      <w:lvlJc w:val="left"/>
      <w:lvlText w:val="%1"/>
      <w:numFmt w:val="decimal"/>
      <w:start w:val="1"/>
    </w:lvl>
    <w:lvl w:ilvl="1">
      <w:lvlJc w:val="left"/>
      <w:lvlText w:val="(%2)"/>
      <w:numFmt w:val="lowerLetter"/>
      <w:start w:val="2"/>
    </w:lvl>
  </w:abstractNum>
  <w:abstractNum w:abstractNumId="204">
    <w:nsid w:val="63DE60CD"/>
    <w:multiLevelType w:val="hybridMultilevel"/>
    <w:lvl w:ilvl="0">
      <w:lvlJc w:val="left"/>
      <w:lvlText w:val="(%1)"/>
      <w:numFmt w:val="decimal"/>
      <w:start w:val="120"/>
    </w:lvl>
    <w:lvl w:ilvl="1">
      <w:lvlJc w:val="left"/>
      <w:lvlText w:val="(%2)"/>
      <w:numFmt w:val="lowerLetter"/>
      <w:start w:val="6"/>
    </w:lvl>
  </w:abstractNum>
  <w:abstractNum w:abstractNumId="205">
    <w:nsid w:val="621AF471"/>
    <w:multiLevelType w:val="hybridMultilevel"/>
    <w:lvl w:ilvl="0">
      <w:lvlJc w:val="left"/>
      <w:lvlText w:val="%1."/>
      <w:numFmt w:val="decimal"/>
      <w:start w:val="6"/>
    </w:lvl>
    <w:lvl w:ilvl="1">
      <w:lvlJc w:val="left"/>
      <w:lvlText w:val="(%2)"/>
      <w:numFmt w:val="lowerLetter"/>
      <w:start w:val="1"/>
    </w:lvl>
  </w:abstractNum>
  <w:abstractNum w:abstractNumId="206">
    <w:nsid w:val="73CFE165"/>
    <w:multiLevelType w:val="hybridMultilevel"/>
    <w:lvl w:ilvl="0">
      <w:lvlJc w:val="left"/>
      <w:lvlText w:val="(%1)"/>
      <w:numFmt w:val="lowerLetter"/>
      <w:start w:val="2"/>
    </w:lvl>
  </w:abstractNum>
  <w:abstractNum w:abstractNumId="207">
    <w:nsid w:val="20F88EA6"/>
    <w:multiLevelType w:val="hybridMultilevel"/>
    <w:lvl w:ilvl="0">
      <w:lvlJc w:val="left"/>
      <w:lvlText w:val="%1."/>
      <w:numFmt w:val="decimal"/>
      <w:start w:val="8"/>
    </w:lvl>
  </w:abstractNum>
  <w:abstractNum w:abstractNumId="208">
    <w:nsid w:val="617C843E"/>
    <w:multiLevelType w:val="hybridMultilevel"/>
    <w:lvl w:ilvl="0">
      <w:lvlJc w:val="left"/>
      <w:lvlText w:val="(%1)"/>
      <w:numFmt w:val="lowerLetter"/>
      <w:start w:val="1"/>
    </w:lvl>
  </w:abstractNum>
  <w:abstractNum w:abstractNumId="209">
    <w:nsid w:val="7B541FAB"/>
    <w:multiLevelType w:val="hybridMultilevel"/>
    <w:lvl w:ilvl="0">
      <w:lvlJc w:val="left"/>
      <w:lvlText w:val="(%1)"/>
      <w:numFmt w:val="decimal"/>
      <w:start w:val="2"/>
    </w:lvl>
  </w:abstractNum>
  <w:abstractNum w:abstractNumId="210">
    <w:nsid w:val="2A79EC49"/>
    <w:multiLevelType w:val="hybridMultilevel"/>
    <w:lvl w:ilvl="0">
      <w:lvlJc w:val="left"/>
      <w:lvlText w:val="(%1)"/>
      <w:numFmt w:val="lowerLetter"/>
      <w:start w:val="4"/>
    </w:lvl>
  </w:abstractNum>
  <w:abstractNum w:abstractNumId="211">
    <w:nsid w:val="338125CF"/>
    <w:multiLevelType w:val="hybridMultilevel"/>
    <w:lvl w:ilvl="0">
      <w:lvlJc w:val="left"/>
      <w:lvlText w:val="%1."/>
      <w:numFmt w:val="upperLetter"/>
      <w:start w:val="9"/>
    </w:lvl>
  </w:abstractNum>
  <w:abstractNum w:abstractNumId="212">
    <w:nsid w:val="47C7C971"/>
    <w:multiLevelType w:val="hybridMultilevel"/>
    <w:lvl w:ilvl="0">
      <w:lvlJc w:val="left"/>
      <w:lvlText w:val="%1."/>
      <w:numFmt w:val="upperLetter"/>
      <w:start w:val="35"/>
    </w:lvl>
    <w:lvl w:ilvl="1">
      <w:lvlJc w:val="left"/>
      <w:lvlText w:val="%2."/>
      <w:numFmt w:val="decimal"/>
      <w:start w:val="1"/>
    </w:lvl>
  </w:abstractNum>
  <w:abstractNum w:abstractNumId="213">
    <w:nsid w:val="46F8284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4">
    <w:nsid w:val="4FA327CE"/>
    <w:multiLevelType w:val="hybridMultilevel"/>
    <w:lvl w:ilvl="0">
      <w:lvlJc w:val="left"/>
      <w:lvlText w:val="%1."/>
      <w:numFmt w:val="decimal"/>
      <w:start w:val="3"/>
    </w:lvl>
  </w:abstractNum>
  <w:abstractNum w:abstractNumId="215">
    <w:nsid w:val="1873983A"/>
    <w:multiLevelType w:val="hybridMultilevel"/>
    <w:lvl w:ilvl="0">
      <w:lvlJc w:val="left"/>
      <w:lvlText w:val="%1."/>
      <w:numFmt w:val="decimal"/>
      <w:start w:val="5"/>
    </w:lvl>
    <w:lvl w:ilvl="1">
      <w:lvlJc w:val="left"/>
      <w:lvlText w:val="(%2)"/>
      <w:numFmt w:val="lowerLetter"/>
      <w:start w:val="1"/>
    </w:lvl>
  </w:abstractNum>
  <w:abstractNum w:abstractNumId="216">
    <w:nsid w:val="3D2DD275"/>
    <w:multiLevelType w:val="hybridMultilevel"/>
    <w:lvl w:ilvl="0">
      <w:lvlJc w:val="left"/>
      <w:lvlText w:val="%1."/>
      <w:numFmt w:val="decimal"/>
      <w:start w:val="9"/>
    </w:lvl>
    <w:lvl w:ilvl="1">
      <w:lvlJc w:val="left"/>
      <w:lvlText w:val="(%2)"/>
      <w:numFmt w:val="lowerLetter"/>
      <w:start w:val="1"/>
    </w:lvl>
  </w:abstractNum>
  <w:abstractNum w:abstractNumId="217">
    <w:nsid w:val="2E17ECA7"/>
    <w:multiLevelType w:val="hybridMultilevel"/>
    <w:lvl w:ilvl="0">
      <w:lvlJc w:val="left"/>
      <w:lvlText w:val="%1."/>
      <w:numFmt w:val="decimal"/>
      <w:start w:val="2"/>
    </w:lvl>
    <w:lvl w:ilvl="1">
      <w:lvlJc w:val="left"/>
      <w:lvlText w:val="(%2)"/>
      <w:numFmt w:val="lowerLetter"/>
      <w:start w:val="1"/>
    </w:lvl>
  </w:abstractNum>
  <w:abstractNum w:abstractNumId="218">
    <w:nsid w:val="53B2564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19">
    <w:nsid w:val="75509D76"/>
    <w:multiLevelType w:val="hybridMultilevel"/>
    <w:lvl w:ilvl="0">
      <w:lvlJc w:val="left"/>
      <w:lvlText w:val="(%1)"/>
      <w:numFmt w:val="decimal"/>
      <w:start w:val="120"/>
    </w:lvl>
    <w:lvl w:ilvl="1">
      <w:lvlJc w:val="left"/>
      <w:lvlText w:val="%2."/>
      <w:numFmt w:val="decimal"/>
      <w:start w:val="5"/>
    </w:lvl>
    <w:lvl w:ilvl="2">
      <w:lvlJc w:val="left"/>
      <w:lvlText w:val="(%3)"/>
      <w:numFmt w:val="lowerLetter"/>
      <w:start w:val="6"/>
    </w:lvl>
  </w:abstractNum>
  <w:abstractNum w:abstractNumId="220">
    <w:nsid w:val="1AF7F0EA"/>
    <w:multiLevelType w:val="hybridMultilevel"/>
    <w:lvl w:ilvl="0">
      <w:lvlJc w:val="left"/>
      <w:lvlText w:val="%1."/>
      <w:numFmt w:val="decimal"/>
      <w:start w:val="7"/>
    </w:lvl>
    <w:lvl w:ilvl="1">
      <w:lvlJc w:val="left"/>
      <w:lvlText w:val="(%2)"/>
      <w:numFmt w:val="lowerLetter"/>
      <w:start w:val="1"/>
    </w:lvl>
  </w:abstractNum>
  <w:abstractNum w:abstractNumId="221">
    <w:nsid w:val="4DA32C7E"/>
    <w:multiLevelType w:val="hybridMultilevel"/>
    <w:lvl w:ilvl="0">
      <w:lvlJc w:val="left"/>
      <w:lvlText w:val="%1"/>
      <w:numFmt w:val="decimal"/>
      <w:start w:val="1"/>
    </w:lvl>
    <w:lvl w:ilvl="1">
      <w:lvlJc w:val="left"/>
      <w:lvlText w:val="(%2)"/>
      <w:numFmt w:val="lowerLetter"/>
      <w:start w:val="2"/>
    </w:lvl>
  </w:abstractNum>
  <w:abstractNum w:abstractNumId="222">
    <w:nsid w:val="6EC68664"/>
    <w:multiLevelType w:val="hybridMultilevel"/>
    <w:lvl w:ilvl="0">
      <w:lvlJc w:val="left"/>
      <w:lvlText w:val="%1."/>
      <w:numFmt w:val="decimal"/>
      <w:start w:val="8"/>
    </w:lvl>
    <w:lvl w:ilvl="1">
      <w:lvlJc w:val="left"/>
      <w:lvlText w:val="%2"/>
      <w:numFmt w:val="lowerLetter"/>
      <w:start w:val="1"/>
    </w:lvl>
  </w:abstractNum>
  <w:abstractNum w:abstractNumId="223">
    <w:nsid w:val="E0D31FF"/>
    <w:multiLevelType w:val="hybridMultilevel"/>
    <w:lvl w:ilvl="0">
      <w:lvlJc w:val="left"/>
      <w:lvlText w:val="%1."/>
      <w:numFmt w:val="decimal"/>
      <w:start w:val="9"/>
    </w:lvl>
  </w:abstractNum>
  <w:abstractNum w:abstractNumId="224">
    <w:nsid w:val="2FD0AD81"/>
    <w:multiLevelType w:val="hybridMultilevel"/>
    <w:lvl w:ilvl="0">
      <w:lvlJc w:val="left"/>
      <w:lvlText w:val="(%1)"/>
      <w:numFmt w:val="lowerLetter"/>
      <w:start w:val="1"/>
    </w:lvl>
  </w:abstractNum>
  <w:abstractNum w:abstractNumId="225">
    <w:nsid w:val="1978EBEB"/>
    <w:multiLevelType w:val="hybridMultilevel"/>
    <w:lvl w:ilvl="0">
      <w:lvlJc w:val="left"/>
      <w:lvlText w:val="(%1)"/>
      <w:numFmt w:val="decimal"/>
      <w:start w:val="2"/>
    </w:lvl>
  </w:abstractNum>
  <w:abstractNum w:abstractNumId="226">
    <w:nsid w:val="52C12C61"/>
    <w:multiLevelType w:val="hybridMultilevel"/>
    <w:lvl w:ilvl="0">
      <w:lvlJc w:val="left"/>
      <w:lvlText w:val="(%1)"/>
      <w:numFmt w:val="lowerLetter"/>
      <w:start w:val="4"/>
    </w:lvl>
  </w:abstractNum>
  <w:abstractNum w:abstractNumId="227">
    <w:nsid w:val="4BDD53FD"/>
    <w:multiLevelType w:val="hybridMultilevel"/>
    <w:lvl w:ilvl="0">
      <w:lvlJc w:val="left"/>
      <w:lvlText w:val="%1."/>
      <w:numFmt w:val="decimal"/>
      <w:start w:val="1"/>
    </w:lvl>
    <w:lvl w:ilvl="1">
      <w:lvlJc w:val="left"/>
      <w:lvlText w:val="(%2)"/>
      <w:numFmt w:val="lowerLetter"/>
      <w:start w:val="1"/>
    </w:lvl>
  </w:abstractNum>
  <w:abstractNum w:abstractNumId="228">
    <w:nsid w:val="569951FE"/>
    <w:multiLevelType w:val="hybridMultilevel"/>
    <w:lvl w:ilvl="0">
      <w:lvlJc w:val="left"/>
      <w:lvlText w:val="%1"/>
      <w:numFmt w:val="decimal"/>
      <w:start w:val="1"/>
    </w:lvl>
    <w:lvl w:ilvl="1">
      <w:lvlJc w:val="left"/>
      <w:lvlText w:val="(%2)"/>
      <w:numFmt w:val="lowerLetter"/>
      <w:start w:val="3"/>
    </w:lvl>
  </w:abstractNum>
  <w:abstractNum w:abstractNumId="229">
    <w:nsid w:val="4C54E2C3"/>
    <w:multiLevelType w:val="hybridMultilevel"/>
    <w:lvl w:ilvl="0">
      <w:lvlJc w:val="left"/>
      <w:lvlText w:val="%1."/>
      <w:numFmt w:val="decimal"/>
      <w:start w:val="2"/>
    </w:lvl>
    <w:lvl w:ilvl="1">
      <w:lvlJc w:val="left"/>
      <w:lvlText w:val="(%2)"/>
      <w:numFmt w:val="lowerLetter"/>
      <w:start w:val="1"/>
    </w:lvl>
  </w:abstractNum>
  <w:abstractNum w:abstractNumId="230">
    <w:nsid w:val="788BD9B"/>
    <w:multiLevelType w:val="hybridMultilevel"/>
    <w:lvl w:ilvl="0">
      <w:lvlJc w:val="left"/>
      <w:lvlText w:val="%1."/>
      <w:numFmt w:val="decimal"/>
      <w:start w:val="3"/>
    </w:lvl>
  </w:abstractNum>
  <w:abstractNum w:abstractNumId="231">
    <w:nsid w:val="47CAA567"/>
    <w:multiLevelType w:val="hybridMultilevel"/>
    <w:lvl w:ilvl="0">
      <w:lvlJc w:val="left"/>
      <w:lvlText w:val="%1."/>
      <w:numFmt w:val="decimal"/>
      <w:start w:val="5"/>
    </w:lvl>
  </w:abstractNum>
  <w:abstractNum w:abstractNumId="232">
    <w:nsid w:val="48249DBF"/>
    <w:multiLevelType w:val="hybridMultilevel"/>
    <w:lvl w:ilvl="0">
      <w:lvlJc w:val="left"/>
      <w:lvlText w:val="%1."/>
      <w:numFmt w:val="decimal"/>
      <w:start w:val="9"/>
    </w:lvl>
  </w:abstractNum>
  <w:abstractNum w:abstractNumId="233">
    <w:nsid w:val="1F0E5D0D"/>
    <w:multiLevelType w:val="hybridMultilevel"/>
    <w:lvl w:ilvl="0">
      <w:lvlJc w:val="left"/>
      <w:lvlText w:val="%1."/>
      <w:numFmt w:val="decimal"/>
      <w:start w:val="1"/>
    </w:lvl>
  </w:abstractNum>
  <w:abstractNum w:abstractNumId="234">
    <w:nsid w:val="26BAAE9"/>
    <w:multiLevelType w:val="hybridMultilevel"/>
    <w:lvl w:ilvl="0">
      <w:lvlJc w:val="left"/>
      <w:lvlText w:val="%1."/>
      <w:numFmt w:val="decimal"/>
      <w:start w:val="5"/>
    </w:lvl>
  </w:abstractNum>
  <w:abstractNum w:abstractNumId="235">
    <w:nsid w:val="2C02FE8C"/>
    <w:multiLevelType w:val="hybridMultilevel"/>
    <w:lvl w:ilvl="0">
      <w:lvlJc w:val="left"/>
      <w:lvlText w:val="%1."/>
      <w:numFmt w:val="decimal"/>
      <w:start w:val="14"/>
    </w:lvl>
  </w:abstractNum>
  <w:abstractNum w:abstractNumId="236">
    <w:nsid w:val="129517E"/>
    <w:multiLevelType w:val="hybridMultilevel"/>
    <w:lvl w:ilvl="0">
      <w:lvlJc w:val="left"/>
      <w:lvlText w:val="%1."/>
      <w:numFmt w:val="decimal"/>
      <w:start w:val="1"/>
    </w:lvl>
  </w:abstractNum>
  <w:abstractNum w:abstractNumId="237">
    <w:nsid w:val="763B8C4E"/>
    <w:multiLevelType w:val="hybridMultilevel"/>
    <w:lvl w:ilvl="0">
      <w:lvlJc w:val="left"/>
      <w:lvlText w:val="%1."/>
      <w:numFmt w:val="decimal"/>
      <w:start w:val="4"/>
    </w:lvl>
  </w:abstractNum>
  <w:abstractNum w:abstractNumId="238">
    <w:nsid w:val="4CFB8D32"/>
    <w:multiLevelType w:val="hybridMultilevel"/>
    <w:lvl w:ilvl="0">
      <w:lvlJc w:val="left"/>
      <w:lvlText w:val="%1."/>
      <w:numFmt w:val="decimal"/>
      <w:start w:val="5"/>
    </w:lvl>
  </w:abstractNum>
  <w:abstractNum w:abstractNumId="239">
    <w:nsid w:val="62A5D5BD"/>
    <w:multiLevelType w:val="hybridMultilevel"/>
    <w:lvl w:ilvl="0">
      <w:lvlJc w:val="left"/>
      <w:lvlText w:val="%1."/>
      <w:numFmt w:val="decimal"/>
      <w:start w:val="3"/>
    </w:lvl>
  </w:abstractNum>
  <w:abstractNum w:abstractNumId="240">
    <w:nsid w:val="718FABF9"/>
    <w:multiLevelType w:val="hybridMultilevel"/>
    <w:lvl w:ilvl="0">
      <w:lvlJc w:val="left"/>
      <w:lvlText w:val="%1."/>
      <w:numFmt w:val="decimal"/>
      <w:start w:val="4"/>
    </w:lvl>
  </w:abstractNum>
  <w:abstractNum w:abstractNumId="241">
    <w:nsid w:val="7775797C"/>
    <w:multiLevelType w:val="hybridMultilevel"/>
    <w:lvl w:ilvl="0">
      <w:lvlJc w:val="left"/>
      <w:lvlText w:val="*"/>
      <w:numFmt w:val="bullet"/>
      <w:start w:val="1"/>
    </w:lvl>
  </w:abstractNum>
  <w:abstractNum w:abstractNumId="242">
    <w:nsid w:val="1626FB8C"/>
    <w:multiLevelType w:val="hybridMultilevel"/>
    <w:lvl w:ilvl="0">
      <w:lvlJc w:val="left"/>
      <w:lvlText w:val="%1."/>
      <w:numFmt w:val="decimal"/>
      <w:start w:val="1"/>
    </w:lvl>
  </w:abstractNum>
  <w:abstractNum w:abstractNumId="243">
    <w:nsid w:val="3957756A"/>
    <w:multiLevelType w:val="hybridMultilevel"/>
    <w:lvl w:ilvl="0">
      <w:lvlJc w:val="left"/>
      <w:lvlText w:val="(%1)"/>
      <w:numFmt w:val="lowerRoman"/>
      <w:start w:val="1"/>
    </w:lvl>
  </w:abstractNum>
  <w:abstractNum w:abstractNumId="244">
    <w:nsid w:val="3E6DA1C7"/>
    <w:multiLevelType w:val="hybridMultilevel"/>
    <w:lvl w:ilvl="0">
      <w:lvlJc w:val="left"/>
      <w:lvlText w:val="(%1)"/>
      <w:numFmt w:val="lowerRoman"/>
      <w:start w:val="1"/>
    </w:lvl>
  </w:abstractNum>
  <w:abstractNum w:abstractNumId="245">
    <w:nsid w:val="65CA235B"/>
    <w:multiLevelType w:val="hybridMultilevel"/>
    <w:lvl w:ilvl="0">
      <w:lvlJc w:val="left"/>
      <w:lvlText w:val="(%1)"/>
      <w:numFmt w:val="decimal"/>
      <w:start w:val="10"/>
    </w:lvl>
  </w:abstractNum>
  <w:abstractNum w:abstractNumId="246">
    <w:nsid w:val="51CB0DA4"/>
    <w:multiLevelType w:val="hybridMultilevel"/>
    <w:lvl w:ilvl="0">
      <w:lvlJc w:val="left"/>
      <w:lvlText w:val="%1."/>
      <w:numFmt w:val="decimal"/>
      <w:start w:val="3"/>
    </w:lvl>
  </w:abstractNum>
  <w:abstractNum w:abstractNumId="247">
    <w:nsid w:val="7B9B743C"/>
    <w:multiLevelType w:val="hybridMultilevel"/>
    <w:lvl w:ilvl="0">
      <w:lvlJc w:val="left"/>
      <w:lvlText w:val="%1."/>
      <w:numFmt w:val="decimal"/>
      <w:start w:val="4"/>
    </w:lvl>
  </w:abstractNum>
  <w:abstractNum w:abstractNumId="248">
    <w:nsid w:val="13E21002"/>
    <w:multiLevelType w:val="hybridMultilevel"/>
    <w:lvl w:ilvl="0">
      <w:lvlJc w:val="left"/>
      <w:lvlText w:val="(%1)"/>
      <w:numFmt w:val="decimal"/>
      <w:start w:val="12"/>
    </w:lvl>
  </w:abstractNum>
  <w:abstractNum w:abstractNumId="249">
    <w:nsid w:val="257D63F4"/>
    <w:multiLevelType w:val="hybridMultilevel"/>
    <w:lvl w:ilvl="0">
      <w:lvlJc w:val="left"/>
      <w:lvlText w:val="(%1)"/>
      <w:numFmt w:val="lowerRoman"/>
      <w:start w:val="7"/>
    </w:lvl>
  </w:abstractNum>
  <w:abstractNum w:abstractNumId="250">
    <w:nsid w:val="70EC11B2"/>
    <w:multiLevelType w:val="hybridMultilevel"/>
    <w:lvl w:ilvl="0">
      <w:lvlJc w:val="left"/>
      <w:lvlText w:val="(%1)"/>
      <w:numFmt w:val="lowerRoman"/>
      <w:start w:val="11"/>
    </w:lvl>
  </w:abstractNum>
  <w:abstractNum w:abstractNumId="251">
    <w:nsid w:val="2EDA00ED"/>
    <w:multiLevelType w:val="hybridMultilevel"/>
    <w:lvl w:ilvl="0">
      <w:lvlJc w:val="left"/>
      <w:lvlText w:val="(%1)"/>
      <w:numFmt w:val="upperLetter"/>
      <w:start w:val="3"/>
    </w:lvl>
    <w:lvl w:ilvl="1">
      <w:lvlJc w:val="left"/>
      <w:lvlText w:val="(%2)"/>
      <w:numFmt w:val="lowerLetter"/>
      <w:start w:val="1"/>
    </w:lvl>
  </w:abstractNum>
  <w:abstractNum w:abstractNumId="252">
    <w:nsid w:val="73209072"/>
    <w:multiLevelType w:val="hybridMultilevel"/>
    <w:lvl w:ilvl="0">
      <w:lvlJc w:val="left"/>
      <w:lvlText w:val="(%1)"/>
      <w:numFmt w:val="lowerLetter"/>
      <w:start w:val="9"/>
    </w:lvl>
  </w:abstractNum>
  <w:abstractNum w:abstractNumId="253">
    <w:nsid w:val="5FB29816"/>
    <w:multiLevelType w:val="hybridMultilevel"/>
    <w:lvl w:ilvl="0">
      <w:lvlJc w:val="left"/>
      <w:lvlText w:val="(%1)"/>
      <w:numFmt w:val="lowerRoman"/>
      <w:start w:val="1"/>
    </w:lvl>
  </w:abstractNum>
  <w:abstractNum w:abstractNumId="254">
    <w:nsid w:val="3CE732EC"/>
    <w:multiLevelType w:val="hybridMultilevel"/>
    <w:lvl w:ilvl="0">
      <w:lvlJc w:val="left"/>
      <w:lvlText w:val="(%1)"/>
      <w:numFmt w:val="lowerRoman"/>
      <w:start w:val="4"/>
    </w:lvl>
  </w:abstractNum>
  <w:abstractNum w:abstractNumId="255">
    <w:nsid w:val="22F13DF3"/>
    <w:multiLevelType w:val="hybridMultilevel"/>
    <w:lvl w:ilvl="0">
      <w:lvlJc w:val="left"/>
      <w:lvlText w:val="(%1)"/>
      <w:numFmt w:val="decimal"/>
      <w:start w:val="30"/>
    </w:lvl>
  </w:abstractNum>
  <w:abstractNum w:abstractNumId="256">
    <w:nsid w:val="792B8401"/>
    <w:multiLevelType w:val="hybridMultilevel"/>
    <w:lvl w:ilvl="0">
      <w:lvlJc w:val="left"/>
      <w:lvlText w:val="(%1)"/>
      <w:numFmt w:val="decimal"/>
      <w:start w:val="5"/>
    </w:lvl>
  </w:abstractNum>
  <w:abstractNum w:abstractNumId="257">
    <w:nsid w:val="FA85F4D"/>
    <w:multiLevelType w:val="hybridMultilevel"/>
    <w:lvl w:ilvl="0">
      <w:lvlJc w:val="left"/>
      <w:lvlText w:val="%1."/>
      <w:numFmt w:val="decimal"/>
      <w:start w:val="9"/>
    </w:lvl>
  </w:abstractNum>
  <w:abstractNum w:abstractNumId="258">
    <w:nsid w:val="6ECE91F0"/>
    <w:multiLevelType w:val="hybridMultilevel"/>
    <w:lvl w:ilvl="0">
      <w:lvlJc w:val="left"/>
      <w:lvlText w:val="(%1)"/>
      <w:numFmt w:val="decimal"/>
      <w:start w:val="30"/>
    </w:lvl>
  </w:abstractNum>
  <w:abstractNum w:abstractNumId="259">
    <w:nsid w:val="4FC4D600"/>
    <w:multiLevelType w:val="hybridMultilevel"/>
    <w:lvl w:ilvl="0">
      <w:lvlJc w:val="left"/>
      <w:lvlText w:val="%1."/>
      <w:numFmt w:val="decimal"/>
      <w:start w:val="12"/>
    </w:lvl>
  </w:abstractNum>
  <w:abstractNum w:abstractNumId="260">
    <w:nsid w:val="5BFD4210"/>
    <w:multiLevelType w:val="hybridMultilevel"/>
    <w:lvl w:ilvl="0">
      <w:lvlJc w:val="left"/>
      <w:lvlText w:val="(%1)"/>
      <w:numFmt w:val="lowerRoman"/>
      <w:start w:val="5"/>
    </w:lvl>
  </w:abstractNum>
  <w:abstractNum w:abstractNumId="261">
    <w:nsid w:val="76574F8B"/>
    <w:multiLevelType w:val="hybridMultilevel"/>
    <w:lvl w:ilvl="0">
      <w:lvlJc w:val="left"/>
      <w:lvlText w:val="%1."/>
      <w:numFmt w:val="decimal"/>
      <w:start w:val="16"/>
    </w:lvl>
  </w:abstractNum>
  <w:abstractNum w:abstractNumId="262">
    <w:nsid w:val="178F7B67"/>
    <w:multiLevelType w:val="hybridMultilevel"/>
    <w:lvl w:ilvl="0">
      <w:lvlJc w:val="left"/>
      <w:lvlText w:val="(%1)"/>
      <w:numFmt w:val="decimal"/>
      <w:start w:val="30"/>
    </w:lvl>
  </w:abstractNum>
  <w:abstractNum w:abstractNumId="263">
    <w:nsid w:val="2421DFCF"/>
    <w:multiLevelType w:val="hybridMultilevel"/>
    <w:lvl w:ilvl="0">
      <w:lvlJc w:val="left"/>
      <w:lvlText w:val="(%1)"/>
      <w:numFmt w:val="lowerRoman"/>
      <w:start w:val="1"/>
    </w:lvl>
  </w:abstractNum>
  <w:abstractNum w:abstractNumId="264">
    <w:nsid w:val="1565AC99"/>
    <w:multiLevelType w:val="hybridMultilevel"/>
    <w:lvl w:ilvl="0">
      <w:lvlJc w:val="left"/>
      <w:lvlText w:val="(%1)"/>
      <w:numFmt w:val="lowerRoman"/>
      <w:start w:val="3"/>
    </w:lvl>
  </w:abstractNum>
  <w:abstractNum w:abstractNumId="265">
    <w:nsid w:val="19FB2650"/>
    <w:multiLevelType w:val="hybridMultilevel"/>
    <w:lvl w:ilvl="0">
      <w:lvlJc w:val="left"/>
      <w:lvlText w:val="%1."/>
      <w:numFmt w:val="decimal"/>
      <w:start w:val="20"/>
    </w:lvl>
  </w:abstractNum>
  <w:abstractNum w:abstractNumId="266">
    <w:nsid w:val="5024DE5B"/>
    <w:multiLevelType w:val="hybridMultilevel"/>
    <w:lvl w:ilvl="0">
      <w:lvlJc w:val="left"/>
      <w:lvlText w:val="(%1)"/>
      <w:numFmt w:val="upperLetter"/>
      <w:start w:val="35"/>
    </w:lvl>
  </w:abstractNum>
  <w:abstractNum w:abstractNumId="267">
    <w:nsid w:val="168EFE17"/>
    <w:multiLevelType w:val="hybridMultilevel"/>
    <w:lvl w:ilvl="0">
      <w:lvlJc w:val="left"/>
      <w:lvlText w:val="(%1)"/>
      <w:numFmt w:val="decimal"/>
      <w:start w:val="3"/>
    </w:lvl>
  </w:abstractNum>
  <w:abstractNum w:abstractNumId="268">
    <w:nsid w:val="1036B29F"/>
    <w:multiLevelType w:val="hybridMultilevel"/>
    <w:lvl w:ilvl="0">
      <w:lvlJc w:val="left"/>
      <w:lvlText w:val="%1."/>
      <w:numFmt w:val="decimal"/>
      <w:start w:val="22"/>
    </w:lvl>
  </w:abstractNum>
  <w:abstractNum w:abstractNumId="269">
    <w:nsid w:val="1D206B8E"/>
    <w:multiLevelType w:val="hybridMultilevel"/>
    <w:lvl w:ilvl="0">
      <w:lvlJc w:val="left"/>
      <w:lvlText w:val="(%1)"/>
      <w:numFmt w:val="lowerRoman"/>
      <w:start w:val="1"/>
    </w:lvl>
  </w:abstractNum>
  <w:abstractNum w:abstractNumId="270">
    <w:nsid w:val="7934D3D4"/>
    <w:multiLevelType w:val="hybridMultilevel"/>
    <w:lvl w:ilvl="0">
      <w:lvlJc w:val="left"/>
      <w:lvlText w:val="%1."/>
      <w:numFmt w:val="decimal"/>
      <w:start w:val="24"/>
    </w:lvl>
  </w:abstractNum>
  <w:abstractNum w:abstractNumId="271">
    <w:nsid w:val="1C65E98"/>
    <w:multiLevelType w:val="hybridMultilevel"/>
    <w:lvl w:ilvl="0">
      <w:lvlJc w:val="left"/>
      <w:lvlText w:val="%1."/>
      <w:numFmt w:val="decimal"/>
      <w:start w:val="25"/>
    </w:lvl>
  </w:abstractNum>
  <w:abstractNum w:abstractNumId="272">
    <w:nsid w:val="1495E50A"/>
    <w:multiLevelType w:val="hybridMultilevel"/>
    <w:lvl w:ilvl="0">
      <w:lvlJc w:val="left"/>
      <w:lvlText w:val="%1."/>
      <w:numFmt w:val="decimal"/>
      <w:start w:val="27"/>
    </w:lvl>
  </w:abstractNum>
  <w:abstractNum w:abstractNumId="273">
    <w:nsid w:val="F5BCF61"/>
    <w:multiLevelType w:val="hybridMultilevel"/>
    <w:lvl w:ilvl="0">
      <w:lvlJc w:val="left"/>
      <w:lvlText w:val="(%1)"/>
      <w:numFmt w:val="lowerRoman"/>
      <w:start w:val="2"/>
    </w:lvl>
  </w:abstractNum>
  <w:abstractNum w:abstractNumId="274">
    <w:nsid w:val="3B1DD4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3"/>
    </w:lvl>
    <w:lvl w:ilvl="4">
      <w:lvlJc w:val="left"/>
      <w:lvlText w:val="(%5)"/>
      <w:numFmt w:val="lowerRoman"/>
      <w:start w:val="2"/>
    </w:lvl>
  </w:abstractNum>
  <w:abstractNum w:abstractNumId="275">
    <w:nsid w:val="530386D1"/>
    <w:multiLevelType w:val="hybridMultilevel"/>
    <w:lvl w:ilvl="0">
      <w:lvlJc w:val="left"/>
      <w:lvlText w:val="%1"/>
      <w:numFmt w:val="decimal"/>
      <w:start w:val="1"/>
    </w:lvl>
    <w:lvl w:ilvl="1">
      <w:lvlJc w:val="left"/>
      <w:lvlText w:val="(%2)"/>
      <w:numFmt w:val="lowerLetter"/>
      <w:start w:val="11"/>
    </w:lvl>
  </w:abstractNum>
  <w:abstractNum w:abstractNumId="276">
    <w:nsid w:val="7525F2BC"/>
    <w:multiLevelType w:val="hybridMultilevel"/>
    <w:lvl w:ilvl="0">
      <w:lvlJc w:val="left"/>
      <w:lvlText w:val="%1."/>
      <w:numFmt w:val="decimal"/>
      <w:start w:val="2"/>
    </w:lvl>
    <w:lvl w:ilvl="1">
      <w:lvlJc w:val="left"/>
      <w:lvlText w:val="(%2)"/>
      <w:numFmt w:val="lowerLetter"/>
      <w:start w:val="1"/>
    </w:lvl>
  </w:abstractNum>
  <w:abstractNum w:abstractNumId="277">
    <w:nsid w:val="CE8E1A7"/>
    <w:multiLevelType w:val="hybridMultilevel"/>
    <w:lvl w:ilvl="0">
      <w:lvlJc w:val="left"/>
      <w:lvlText w:val="(%1)"/>
      <w:numFmt w:val="lowerRoman"/>
      <w:start w:val="8"/>
    </w:lvl>
    <w:lvl w:ilvl="1">
      <w:lvlJc w:val="left"/>
      <w:lvlText w:val="(%2)"/>
      <w:numFmt w:val="lowerLetter"/>
      <w:start w:val="3"/>
    </w:lvl>
    <w:lvl w:ilvl="2">
      <w:lvlJc w:val="left"/>
      <w:lvlText w:val="(%3)"/>
      <w:numFmt w:val="lowerRoman"/>
      <w:start w:val="1"/>
    </w:lvl>
  </w:abstractNum>
  <w:abstractNum w:abstractNumId="278">
    <w:nsid w:val="4E9EFB0D"/>
    <w:multiLevelType w:val="hybridMultilevel"/>
    <w:lvl w:ilvl="0">
      <w:lvlJc w:val="left"/>
      <w:lvlText w:val="%1"/>
      <w:numFmt w:val="decimal"/>
      <w:start w:val="1"/>
    </w:lvl>
    <w:lvl w:ilvl="1">
      <w:lvlJc w:val="left"/>
      <w:lvlText w:val="(%2)"/>
      <w:numFmt w:val="lowerLetter"/>
      <w:start w:val="5"/>
    </w:lvl>
  </w:abstractNum>
  <w:abstractNum w:abstractNumId="279">
    <w:nsid w:val="90802BE"/>
    <w:multiLevelType w:val="hybridMultilevel"/>
    <w:lvl w:ilvl="0">
      <w:lvlJc w:val="left"/>
      <w:lvlText w:val="%1."/>
      <w:numFmt w:val="decimal"/>
      <w:start w:val="3"/>
    </w:lvl>
    <w:lvl w:ilvl="1">
      <w:lvlJc w:val="left"/>
      <w:lvlText w:val="(%2)"/>
      <w:numFmt w:val="lowerLetter"/>
      <w:start w:val="1"/>
    </w:lvl>
  </w:abstractNum>
  <w:abstractNum w:abstractNumId="280">
    <w:nsid w:val="3266459B"/>
    <w:multiLevelType w:val="hybridMultilevel"/>
    <w:lvl w:ilvl="0">
      <w:lvlJc w:val="left"/>
      <w:lvlText w:val="%1"/>
      <w:numFmt w:val="decimal"/>
      <w:start w:val="1"/>
    </w:lvl>
    <w:lvl w:ilvl="1">
      <w:lvlJc w:val="left"/>
      <w:lvlText w:val="(%2)"/>
      <w:numFmt w:val="lowerLetter"/>
      <w:start w:val="3"/>
    </w:lvl>
  </w:abstractNum>
  <w:abstractNum w:abstractNumId="281">
    <w:nsid w:val="3F8B0CBF"/>
    <w:multiLevelType w:val="hybridMultilevel"/>
    <w:lvl w:ilvl="0">
      <w:lvlJc w:val="left"/>
      <w:lvlText w:val="%1."/>
      <w:numFmt w:val="decimal"/>
      <w:start w:val="4"/>
    </w:lvl>
    <w:lvl w:ilvl="1">
      <w:lvlJc w:val="left"/>
      <w:lvlText w:val="(%2)"/>
      <w:numFmt w:val="lowerLetter"/>
      <w:start w:val="1"/>
    </w:lvl>
  </w:abstractNum>
  <w:abstractNum w:abstractNumId="282">
    <w:nsid w:val="37E203AB"/>
    <w:multiLevelType w:val="hybridMultilevel"/>
    <w:lvl w:ilvl="0">
      <w:lvlJc w:val="left"/>
      <w:lvlText w:val="(%1)"/>
      <w:numFmt w:val="lowerLetter"/>
      <w:start w:val="3"/>
    </w:lvl>
    <w:lvl w:ilvl="1">
      <w:lvlJc w:val="left"/>
      <w:lvlText w:val="(%2)"/>
      <w:numFmt w:val="lowerLetter"/>
      <w:start w:val="2"/>
    </w:lvl>
  </w:abstractNum>
  <w:abstractNum w:abstractNumId="283">
    <w:nsid w:val="2586D6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84">
    <w:nsid w:val="1F3DA4D5"/>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285">
    <w:nsid w:val="74C93698"/>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286">
    <w:nsid w:val="48781401"/>
    <w:multiLevelType w:val="hybridMultilevel"/>
    <w:lvl w:ilvl="0">
      <w:lvlJc w:val="left"/>
      <w:lvlText w:val="%1."/>
      <w:numFmt w:val="decimal"/>
      <w:start w:val="1"/>
    </w:lvl>
  </w:abstractNum>
  <w:abstractNum w:abstractNumId="287">
    <w:nsid w:val="186928D6"/>
    <w:multiLevelType w:val="hybridMultilevel"/>
    <w:lvl w:ilvl="0">
      <w:lvlJc w:val="left"/>
      <w:lvlText w:val="%1."/>
      <w:numFmt w:val="decimal"/>
      <w:start w:val="1"/>
    </w:lvl>
  </w:abstractNum>
  <w:abstractNum w:abstractNumId="288">
    <w:nsid w:val="47195E5"/>
    <w:multiLevelType w:val="hybridMultilevel"/>
    <w:lvl w:ilvl="0">
      <w:lvlJc w:val="left"/>
      <w:lvlText w:val="%1."/>
      <w:numFmt w:val="decimal"/>
      <w:start w:val="9"/>
    </w:lvl>
  </w:abstractNum>
  <w:abstractNum w:abstractNumId="289">
    <w:nsid w:val="3746A5F2"/>
    <w:multiLevelType w:val="hybridMultilevel"/>
    <w:lvl w:ilvl="0">
      <w:lvlJc w:val="left"/>
      <w:lvlText w:val="%1."/>
      <w:numFmt w:val="decimal"/>
      <w:start w:val="1"/>
    </w:lvl>
  </w:abstractNum>
  <w:abstractNum w:abstractNumId="290">
    <w:nsid w:val="682DFED6"/>
    <w:multiLevelType w:val="hybridMultilevel"/>
    <w:lvl w:ilvl="0">
      <w:lvlJc w:val="left"/>
      <w:lvlText w:val="%1."/>
      <w:numFmt w:val="decimal"/>
      <w:start w:val="1"/>
    </w:lvl>
  </w:abstractNum>
  <w:abstractNum w:abstractNumId="291">
    <w:nsid w:val="606ED7F6"/>
    <w:multiLevelType w:val="hybridMultilevel"/>
    <w:lvl w:ilvl="0">
      <w:lvlJc w:val="left"/>
      <w:lvlText w:val="%1."/>
      <w:numFmt w:val="decimal"/>
      <w:start w:val="1"/>
    </w:lvl>
  </w:abstractNum>
  <w:abstractNum w:abstractNumId="292">
    <w:nsid w:val="2D9DF57D"/>
    <w:multiLevelType w:val="hybridMultilevel"/>
    <w:lvl w:ilvl="0">
      <w:lvlJc w:val="left"/>
      <w:lvlText w:val="%1."/>
      <w:numFmt w:val="decimal"/>
      <w:start w:val="11"/>
    </w:lvl>
  </w:abstractNum>
  <w:abstractNum w:abstractNumId="293">
    <w:nsid w:val="7FBD7A3E"/>
    <w:multiLevelType w:val="hybridMultilevel"/>
    <w:lvl w:ilvl="0">
      <w:lvlJc w:val="left"/>
      <w:lvlText w:val="%1."/>
      <w:numFmt w:val="decimal"/>
      <w:start w:val="1"/>
    </w:lvl>
  </w:abstractNum>
  <w:abstractNum w:abstractNumId="294">
    <w:nsid w:val="490B7C5"/>
    <w:multiLevelType w:val="hybridMultilevel"/>
    <w:lvl w:ilvl="0">
      <w:lvlJc w:val="left"/>
      <w:lvlText w:val="%1."/>
      <w:numFmt w:val="decimal"/>
      <w:start w:val="1"/>
    </w:lvl>
  </w:abstractNum>
  <w:abstractNum w:abstractNumId="295">
    <w:nsid w:val="4303A216"/>
    <w:multiLevelType w:val="hybridMultilevel"/>
    <w:lvl w:ilvl="0">
      <w:lvlJc w:val="left"/>
      <w:lvlText w:val="%1."/>
      <w:numFmt w:val="decimal"/>
      <w:start w:val="1"/>
    </w:lvl>
  </w:abstractNum>
  <w:abstractNum w:abstractNumId="296">
    <w:nsid w:val="19B8A08E"/>
    <w:multiLevelType w:val="hybridMultilevel"/>
    <w:lvl w:ilvl="0">
      <w:lvlJc w:val="left"/>
      <w:lvlText w:val="%1."/>
      <w:numFmt w:val="decimal"/>
      <w:start w:val="4"/>
    </w:lvl>
  </w:abstractNum>
  <w:abstractNum w:abstractNumId="297">
    <w:nsid w:val="54B59621"/>
    <w:multiLevelType w:val="hybridMultilevel"/>
    <w:lvl w:ilvl="0">
      <w:lvlJc w:val="left"/>
      <w:lvlText w:val="%1."/>
      <w:numFmt w:val="decimal"/>
      <w:start w:val="1"/>
    </w:lvl>
  </w:abstractNum>
  <w:abstractNum w:abstractNumId="298">
    <w:nsid w:val="5992A02E"/>
    <w:multiLevelType w:val="hybridMultilevel"/>
    <w:lvl w:ilvl="0">
      <w:lvlJc w:val="left"/>
      <w:lvlText w:val="%1."/>
      <w:numFmt w:val="decimal"/>
      <w:start w:val="1"/>
    </w:lvl>
  </w:abstractNum>
  <w:abstractNum w:abstractNumId="299">
    <w:nsid w:val="29EF532D"/>
    <w:multiLevelType w:val="hybridMultilevel"/>
    <w:lvl w:ilvl="0">
      <w:lvlJc w:val="left"/>
      <w:lvlText w:val="%1."/>
      <w:numFmt w:val="decimal"/>
      <w:start w:val="1"/>
    </w:lvl>
  </w:abstractNum>
  <w:abstractNum w:abstractNumId="300">
    <w:nsid w:val="71D601AF"/>
    <w:multiLevelType w:val="hybridMultilevel"/>
    <w:lvl w:ilvl="0">
      <w:lvlJc w:val="left"/>
      <w:lvlText w:val="%1."/>
      <w:numFmt w:val="decimal"/>
      <w:start w:val="4"/>
    </w:lvl>
  </w:abstractNum>
  <w:abstractNum w:abstractNumId="301">
    <w:nsid w:val="52C77402"/>
    <w:multiLevelType w:val="hybridMultilevel"/>
    <w:lvl w:ilvl="0">
      <w:lvlJc w:val="left"/>
      <w:lvlText w:val="%1."/>
      <w:numFmt w:val="decimal"/>
      <w:start w:val="1"/>
    </w:lvl>
  </w:abstractNum>
  <w:abstractNum w:abstractNumId="302">
    <w:nsid w:val="2BB5B1C6"/>
    <w:multiLevelType w:val="hybridMultilevel"/>
    <w:lvl w:ilvl="0">
      <w:lvlJc w:val="left"/>
      <w:lvlText w:val="%1."/>
      <w:numFmt w:val="decimal"/>
      <w:start w:val="1"/>
    </w:lvl>
  </w:abstractNum>
  <w:abstractNum w:abstractNumId="303">
    <w:nsid w:val="66BE6B9"/>
    <w:multiLevelType w:val="hybridMultilevel"/>
    <w:lvl w:ilvl="0">
      <w:lvlJc w:val="left"/>
      <w:lvlText w:val="%1."/>
      <w:numFmt w:val="decimal"/>
      <w:start w:val="1"/>
    </w:lvl>
  </w:abstractNum>
  <w:abstractNum w:abstractNumId="304">
    <w:nsid w:val="62234363"/>
    <w:multiLevelType w:val="hybridMultilevel"/>
    <w:lvl w:ilvl="0">
      <w:lvlJc w:val="left"/>
      <w:lvlText w:val="%1."/>
      <w:numFmt w:val="decimal"/>
      <w:start w:val="1"/>
    </w:lvl>
  </w:abstractNum>
  <w:abstractNum w:abstractNumId="305">
    <w:nsid w:val="66D385C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06">
    <w:nsid w:val="596F6D8A"/>
    <w:multiLevelType w:val="hybridMultilevel"/>
    <w:lvl w:ilvl="0">
      <w:lvlJc w:val="left"/>
      <w:lvlText w:val="•"/>
      <w:numFmt w:val="bullet"/>
      <w:start w:val="1"/>
    </w:lvl>
  </w:abstractNum>
  <w:abstractNum w:abstractNumId="307">
    <w:nsid w:val="5749361F"/>
    <w:multiLevelType w:val="hybridMultilevel"/>
    <w:lvl w:ilvl="0">
      <w:lvlJc w:val="left"/>
      <w:lvlText w:val="•"/>
      <w:numFmt w:val="bullet"/>
      <w:start w:val="1"/>
    </w:lvl>
  </w:abstractNum>
  <w:abstractNum w:abstractNumId="308">
    <w:nsid w:val="73BC6770"/>
    <w:multiLevelType w:val="hybridMultilevel"/>
    <w:lvl w:ilvl="0">
      <w:lvlJc w:val="left"/>
      <w:lvlText w:val="•"/>
      <w:numFmt w:val="bullet"/>
      <w:start w:val="1"/>
    </w:lvl>
  </w:abstractNum>
  <w:abstractNum w:abstractNumId="309">
    <w:nsid w:val="280E6897"/>
    <w:multiLevelType w:val="hybridMultilevel"/>
    <w:lvl w:ilvl="0">
      <w:lvlJc w:val="left"/>
      <w:lvlText w:val="•"/>
      <w:numFmt w:val="bullet"/>
      <w:start w:val="1"/>
    </w:lvl>
  </w:abstractNum>
  <w:abstractNum w:abstractNumId="310">
    <w:nsid w:val="605138DE"/>
    <w:multiLevelType w:val="hybridMultilevel"/>
    <w:lvl w:ilvl="0">
      <w:lvlJc w:val="left"/>
      <w:lvlText w:val="•"/>
      <w:numFmt w:val="bullet"/>
      <w:start w:val="1"/>
    </w:lvl>
  </w:abstractNum>
  <w:abstractNum w:abstractNumId="311">
    <w:nsid w:val="2622AD0C"/>
    <w:multiLevelType w:val="hybridMultilevel"/>
    <w:lvl w:ilvl="0">
      <w:lvlJc w:val="left"/>
      <w:lvlText w:val="•"/>
      <w:numFmt w:val="bullet"/>
      <w:start w:val="1"/>
    </w:lvl>
  </w:abstractNum>
  <w:abstractNum w:abstractNumId="312">
    <w:nsid w:val="67997556"/>
    <w:multiLevelType w:val="hybridMultilevel"/>
    <w:lvl w:ilvl="0">
      <w:lvlJc w:val="left"/>
      <w:lvlText w:val="•"/>
      <w:numFmt w:val="bullet"/>
      <w:start w:val="1"/>
    </w:lvl>
    <w:lvl w:ilvl="1">
      <w:lvlJc w:val="left"/>
      <w:lvlText w:val="•"/>
      <w:numFmt w:val="bullet"/>
      <w:start w:val="1"/>
    </w:lvl>
  </w:abstractNum>
  <w:abstractNum w:abstractNumId="313">
    <w:nsid w:val="18333C89"/>
    <w:multiLevelType w:val="hybridMultilevel"/>
    <w:lvl w:ilvl="0">
      <w:lvlJc w:val="left"/>
      <w:lvlText w:val="•"/>
      <w:numFmt w:val="bullet"/>
      <w:start w:val="1"/>
    </w:lvl>
  </w:abstractNum>
  <w:abstractNum w:abstractNumId="314">
    <w:nsid w:val="4BA9831A"/>
    <w:multiLevelType w:val="hybridMultilevel"/>
    <w:lvl w:ilvl="0">
      <w:lvlJc w:val="left"/>
      <w:lvlText w:val="%1."/>
      <w:numFmt w:val="decimal"/>
      <w:start w:val="1"/>
    </w:lvl>
  </w:abstractNum>
  <w:abstractNum w:abstractNumId="315">
    <w:nsid w:val="6D71A2B"/>
    <w:multiLevelType w:val="hybridMultilevel"/>
    <w:lvl w:ilvl="0">
      <w:lvlJc w:val="left"/>
      <w:lvlText w:val="•"/>
      <w:numFmt w:val="bullet"/>
      <w:start w:val="1"/>
    </w:lvl>
  </w:abstractNum>
  <w:abstractNum w:abstractNumId="316">
    <w:nsid w:val="CFC7321"/>
    <w:multiLevelType w:val="hybridMultilevel"/>
    <w:lvl w:ilvl="0">
      <w:lvlJc w:val="left"/>
      <w:lvlText w:val="%1."/>
      <w:numFmt w:val="decimal"/>
      <w:start w:val="1"/>
    </w:lvl>
  </w:abstractNum>
  <w:abstractNum w:abstractNumId="317">
    <w:nsid w:val="1421971B"/>
    <w:multiLevelType w:val="hybridMultilevel"/>
    <w:lvl w:ilvl="0">
      <w:lvlJc w:val="left"/>
      <w:lvlText w:val="•"/>
      <w:numFmt w:val="bullet"/>
      <w:start w:val="1"/>
    </w:lvl>
  </w:abstractNum>
  <w:abstractNum w:abstractNumId="318">
    <w:nsid w:val="1F404301"/>
    <w:multiLevelType w:val="hybridMultilevel"/>
    <w:lvl w:ilvl="0">
      <w:lvlJc w:val="left"/>
      <w:lvlText w:val="•"/>
      <w:numFmt w:val="bullet"/>
      <w:start w:val="1"/>
    </w:lvl>
  </w:abstractNum>
  <w:abstractNum w:abstractNumId="319">
    <w:nsid w:val="116E0907"/>
    <w:multiLevelType w:val="hybridMultilevel"/>
    <w:lvl w:ilvl="0">
      <w:lvlJc w:val="left"/>
      <w:lvlText w:val="%1."/>
      <w:numFmt w:val="decimal"/>
      <w:start w:val="1"/>
    </w:lvl>
    <w:lvl w:ilvl="1">
      <w:lvlJc w:val="left"/>
      <w:lvlText w:val="•"/>
      <w:numFmt w:val="bullet"/>
      <w:start w:val="1"/>
    </w:lvl>
  </w:abstractNum>
  <w:abstractNum w:abstractNumId="320">
    <w:nsid w:val="4B683D0D"/>
    <w:multiLevelType w:val="hybridMultilevel"/>
    <w:lvl w:ilvl="0">
      <w:lvlJc w:val="left"/>
      <w:lvlText w:val="%1."/>
      <w:numFmt w:val="decimal"/>
      <w:start w:val="1"/>
    </w:lvl>
  </w:abstractNum>
  <w:abstractNum w:abstractNumId="321">
    <w:nsid w:val="76E41D8"/>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22">
    <w:nsid w:val="71DCE0FD"/>
    <w:multiLevelType w:val="hybridMultilevel"/>
    <w:lvl w:ilvl="0">
      <w:lvlJc w:val="left"/>
      <w:lvlText w:val="%1."/>
      <w:numFmt w:val="lowerLetter"/>
      <w:start w:val="1"/>
    </w:lvl>
  </w:abstractNum>
  <w:abstractNum w:abstractNumId="323">
    <w:nsid w:val="7906328B"/>
    <w:multiLevelType w:val="hybridMultilevel"/>
    <w:lvl w:ilvl="0">
      <w:lvlJc w:val="left"/>
      <w:lvlText w:val="•"/>
      <w:numFmt w:val="bullet"/>
      <w:start w:val="1"/>
    </w:lvl>
  </w:abstractNum>
  <w:abstractNum w:abstractNumId="324">
    <w:nsid w:val="72BBC16"/>
    <w:multiLevelType w:val="hybridMultilevel"/>
    <w:lvl w:ilvl="0">
      <w:lvlJc w:val="left"/>
      <w:lvlText w:val="•"/>
      <w:numFmt w:val="bullet"/>
      <w:start w:val="1"/>
    </w:lvl>
  </w:abstractNum>
  <w:abstractNum w:abstractNumId="325">
    <w:nsid w:val="766D98C2"/>
    <w:multiLevelType w:val="hybridMultilevel"/>
    <w:lvl w:ilvl="0">
      <w:lvlJc w:val="left"/>
      <w:lvlText w:val="•"/>
      <w:numFmt w:val="bullet"/>
      <w:start w:val="1"/>
    </w:lvl>
  </w:abstractNum>
  <w:abstractNum w:abstractNumId="326">
    <w:nsid w:val="3C09D4A1"/>
    <w:multiLevelType w:val="hybridMultilevel"/>
    <w:lvl w:ilvl="0">
      <w:lvlJc w:val="left"/>
      <w:lvlText w:val="•"/>
      <w:numFmt w:val="bullet"/>
      <w:start w:val="1"/>
    </w:lvl>
  </w:abstractNum>
  <w:abstractNum w:abstractNumId="327">
    <w:nsid w:val="20E45CA4"/>
    <w:multiLevelType w:val="hybridMultilevel"/>
    <w:lvl w:ilvl="0">
      <w:lvlJc w:val="left"/>
      <w:lvlText w:val="(%1)"/>
      <w:numFmt w:val="decimal"/>
      <w:start w:val="2"/>
    </w:lvl>
  </w:abstractNum>
  <w:abstractNum w:abstractNumId="328">
    <w:nsid w:val="4B232EE3"/>
    <w:multiLevelType w:val="hybridMultilevel"/>
    <w:lvl w:ilvl="0">
      <w:lvlJc w:val="left"/>
      <w:lvlText w:val="%1."/>
      <w:numFmt w:val="decimal"/>
      <w:start w:val="1"/>
    </w:lvl>
    <w:lvl w:ilvl="1">
      <w:lvlJc w:val="left"/>
      <w:lvlText w:val="%2."/>
      <w:numFmt w:val="lowerLetter"/>
      <w:start w:val="1"/>
    </w:lvl>
  </w:abstractNum>
  <w:abstractNum w:abstractNumId="329">
    <w:nsid w:val="159C74CF"/>
    <w:multiLevelType w:val="hybridMultilevel"/>
    <w:lvl w:ilvl="0">
      <w:lvlJc w:val="left"/>
      <w:lvlText w:val="%1"/>
      <w:numFmt w:val="decimal"/>
      <w:start w:val="1"/>
    </w:lvl>
    <w:lvl w:ilvl="1">
      <w:lvlJc w:val="left"/>
      <w:lvlText w:val="%2."/>
      <w:numFmt w:val="decimal"/>
      <w:start w:val="1"/>
    </w:lvl>
  </w:abstractNum>
  <w:abstractNum w:abstractNumId="330">
    <w:nsid w:val="4AD3AFD2"/>
    <w:multiLevelType w:val="hybridMultilevel"/>
    <w:lvl w:ilvl="0">
      <w:lvlJc w:val="left"/>
      <w:lvlText w:val="%1."/>
      <w:numFmt w:val="decimal"/>
      <w:start w:val="5"/>
    </w:lvl>
    <w:lvl w:ilvl="1">
      <w:lvlJc w:val="left"/>
      <w:lvlText w:val="%2"/>
      <w:numFmt w:val="decimal"/>
      <w:start w:val="1"/>
    </w:lvl>
  </w:abstractNum>
  <w:abstractNum w:abstractNumId="331">
    <w:nsid w:val="3CF93092"/>
    <w:multiLevelType w:val="hybridMultilevel"/>
    <w:lvl w:ilvl="0">
      <w:lvlJc w:val="left"/>
      <w:lvlText w:val="%1."/>
      <w:numFmt w:val="decimal"/>
      <w:start w:val="1"/>
    </w:lvl>
  </w:abstractNum>
  <w:abstractNum w:abstractNumId="332">
    <w:nsid w:val="6863E8D2"/>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33">
    <w:nsid w:val="76896198"/>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34">
    <w:nsid w:val="4365174B"/>
    <w:multiLevelType w:val="hybridMultilevel"/>
    <w:lvl w:ilvl="0">
      <w:lvlJc w:val="left"/>
      <w:lvlText w:val="•"/>
      <w:numFmt w:val="bullet"/>
      <w:start w:val="1"/>
    </w:lvl>
    <w:lvl w:ilvl="1">
      <w:lvlJc w:val="left"/>
      <w:lvlText w:val="•"/>
      <w:numFmt w:val="bullet"/>
      <w:start w:val="1"/>
    </w:lvl>
  </w:abstractNum>
  <w:abstractNum w:abstractNumId="335">
    <w:nsid w:val="4A872C35"/>
    <w:multiLevelType w:val="hybridMultilevel"/>
    <w:lvl w:ilvl="0">
      <w:lvlJc w:val="left"/>
      <w:lvlText w:val="%1."/>
      <w:numFmt w:val="decimal"/>
      <w:start w:val="7"/>
    </w:lvl>
    <w:lvl w:ilvl="1">
      <w:lvlJc w:val="left"/>
      <w:lvlText w:val="•"/>
      <w:numFmt w:val="bullet"/>
      <w:start w:val="1"/>
    </w:lvl>
  </w:abstractNum>
  <w:abstractNum w:abstractNumId="336">
    <w:nsid w:val="5D5CE761"/>
    <w:multiLevelType w:val="hybridMultilevel"/>
    <w:lvl w:ilvl="0">
      <w:lvlJc w:val="left"/>
      <w:lvlText w:val="%1."/>
      <w:numFmt w:val="decimal"/>
      <w:start w:val="1"/>
    </w:lvl>
  </w:abstractNum>
  <w:abstractNum w:abstractNumId="337">
    <w:nsid w:val="1CD484D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38">
    <w:nsid w:val="21D06255"/>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339">
    <w:nsid w:val="51194ED1"/>
    <w:multiLevelType w:val="hybridMultilevel"/>
    <w:lvl w:ilvl="0">
      <w:lvlJc w:val="left"/>
      <w:lvlText w:val="•"/>
      <w:numFmt w:val="bullet"/>
      <w:start w:val="1"/>
    </w:lvl>
  </w:abstractNum>
  <w:abstractNum w:abstractNumId="340">
    <w:nsid w:val="44E2ED6C"/>
    <w:multiLevelType w:val="hybridMultilevel"/>
    <w:lvl w:ilvl="0">
      <w:lvlJc w:val="left"/>
      <w:lvlText w:val="•"/>
      <w:numFmt w:val="bullet"/>
      <w:start w:val="1"/>
    </w:lvl>
  </w:abstractNum>
  <w:abstractNum w:abstractNumId="341">
    <w:nsid w:val="2219B33"/>
    <w:multiLevelType w:val="hybridMultilevel"/>
    <w:lvl w:ilvl="0">
      <w:lvlJc w:val="left"/>
      <w:lvlText w:val="%1."/>
      <w:numFmt w:val="decimal"/>
      <w:start w:val="1"/>
    </w:lvl>
  </w:abstractNum>
  <w:abstractNum w:abstractNumId="342">
    <w:nsid w:val="773BFBDD"/>
    <w:multiLevelType w:val="hybridMultilevel"/>
    <w:lvl w:ilvl="0">
      <w:lvlJc w:val="left"/>
      <w:lvlText w:val="%1."/>
      <w:numFmt w:val="decimal"/>
      <w:start w:val="4"/>
    </w:lvl>
  </w:abstractNum>
  <w:abstractNum w:abstractNumId="343">
    <w:nsid w:val="2C7C62C2"/>
    <w:multiLevelType w:val="hybridMultilevel"/>
    <w:lvl w:ilvl="0">
      <w:lvlJc w:val="left"/>
      <w:lvlText w:val="%1."/>
      <w:numFmt w:val="decimal"/>
      <w:start w:val="1"/>
    </w:lvl>
  </w:abstractNum>
  <w:abstractNum w:abstractNumId="344">
    <w:nsid w:val="1A54D7BC"/>
    <w:multiLevelType w:val="hybridMultilevel"/>
    <w:lvl w:ilvl="0">
      <w:lvlJc w:val="left"/>
      <w:lvlText w:val="%1."/>
      <w:numFmt w:val="decimal"/>
      <w:start w:val="4"/>
    </w:lvl>
  </w:abstractNum>
  <w:abstractNum w:abstractNumId="345">
    <w:nsid w:val="42E57EF7"/>
    <w:multiLevelType w:val="hybridMultilevel"/>
    <w:lvl w:ilvl="0">
      <w:lvlJc w:val="left"/>
      <w:lvlText w:val="%1."/>
      <w:numFmt w:val="decimal"/>
      <w:start w:val="8"/>
    </w:lvl>
  </w:abstractNum>
  <w:abstractNum w:abstractNumId="346">
    <w:nsid w:val="33537CED"/>
    <w:multiLevelType w:val="hybridMultilevel"/>
    <w:lvl w:ilvl="0">
      <w:lvlJc w:val="left"/>
      <w:lvlText w:val="%1."/>
      <w:numFmt w:val="decimal"/>
      <w:start w:val="11"/>
    </w:lvl>
  </w:abstractNum>
  <w:abstractNum w:abstractNumId="347">
    <w:nsid w:val="27514ADE"/>
    <w:multiLevelType w:val="hybridMultilevel"/>
    <w:lvl w:ilvl="0">
      <w:lvlJc w:val="left"/>
      <w:lvlText w:val="☐"/>
      <w:numFmt w:val="bullet"/>
      <w:start w:val="1"/>
    </w:lvl>
  </w:abstractNum>
  <w:abstractNum w:abstractNumId="348">
    <w:nsid w:val="57071613"/>
    <w:multiLevelType w:val="hybridMultilevel"/>
    <w:lvl w:ilvl="0">
      <w:lvlJc w:val="left"/>
      <w:lvlText w:val="☐"/>
      <w:numFmt w:val="bullet"/>
      <w:start w:val="1"/>
    </w:lvl>
  </w:abstractNum>
  <w:abstractNum w:abstractNumId="349">
    <w:nsid w:val="5293BFEF"/>
    <w:multiLevelType w:val="hybridMultilevel"/>
    <w:lvl w:ilvl="0">
      <w:lvlJc w:val="left"/>
      <w:lvlText w:val="☐"/>
      <w:numFmt w:val="bullet"/>
      <w:start w:val="1"/>
    </w:lvl>
  </w:abstractNum>
  <w:abstractNum w:abstractNumId="350">
    <w:nsid w:val="38BF53E5"/>
    <w:multiLevelType w:val="hybridMultilevel"/>
    <w:lvl w:ilvl="0">
      <w:lvlJc w:val="left"/>
      <w:lvlText w:val="%1."/>
      <w:numFmt w:val="decimal"/>
      <w:start w:val="1"/>
    </w:lvl>
  </w:abstractNum>
  <w:abstractNum w:abstractNumId="351">
    <w:nsid w:val="226F5320"/>
    <w:multiLevelType w:val="hybridMultilevel"/>
    <w:lvl w:ilvl="0">
      <w:lvlJc w:val="left"/>
      <w:lvlText w:val="%1."/>
      <w:numFmt w:val="decimal"/>
      <w:start w:val="1"/>
    </w:lvl>
  </w:abstractNum>
  <w:abstractNum w:abstractNumId="352">
    <w:nsid w:val="5A0201C7"/>
    <w:multiLevelType w:val="hybridMultilevel"/>
    <w:lvl w:ilvl="0">
      <w:lvlJc w:val="left"/>
      <w:lvlText w:val="%1."/>
      <w:numFmt w:val="decimal"/>
      <w:start w:val="5"/>
    </w:lvl>
  </w:abstractNum>
  <w:abstractNum w:abstractNumId="353">
    <w:nsid w:val="2A9C34E2"/>
    <w:multiLevelType w:val="hybridMultilevel"/>
    <w:lvl w:ilvl="0">
      <w:lvlJc w:val="left"/>
      <w:lvlText w:val="%1."/>
      <w:numFmt w:val="decimal"/>
      <w:start w:val="1"/>
    </w:lvl>
  </w:abstractNum>
  <w:abstractNum w:abstractNumId="354">
    <w:nsid w:val="1B7585AB"/>
    <w:multiLevelType w:val="hybridMultilevel"/>
    <w:lvl w:ilvl="0">
      <w:lvlJc w:val="left"/>
      <w:lvlText w:val="(%1)"/>
      <w:numFmt w:val="decimal"/>
      <w:start w:val="60"/>
    </w:lvl>
  </w:abstractNum>
  <w:abstractNum w:abstractNumId="355">
    <w:nsid w:val="612DBDDD"/>
    <w:multiLevelType w:val="hybridMultilevel"/>
    <w:lvl w:ilvl="0">
      <w:lvlJc w:val="left"/>
      <w:lvlText w:val="%1."/>
      <w:numFmt w:val="decimal"/>
      <w:start w:val="1"/>
    </w:lvl>
  </w:abstractNum>
  <w:abstractNum w:abstractNumId="356">
    <w:nsid w:val="2109CDA4"/>
    <w:multiLevelType w:val="hybridMultilevel"/>
    <w:lvl w:ilvl="0">
      <w:lvlJc w:val="left"/>
      <w:lvlText w:val="A"/>
      <w:numFmt w:val="bullet"/>
      <w:start w:val="1"/>
    </w:lvl>
  </w:abstractNum>
  <w:abstractNum w:abstractNumId="357">
    <w:nsid w:val="577F5A4D"/>
    <w:multiLevelType w:val="hybridMultilevel"/>
    <w:lvl w:ilvl="0">
      <w:lvlJc w:val="left"/>
      <w:lvlText w:val="%1."/>
      <w:numFmt w:val="decimal"/>
      <w:start w:val="1"/>
    </w:lvl>
  </w:abstractNum>
  <w:abstractNum w:abstractNumId="358">
    <w:nsid w:val="2121A81"/>
    <w:multiLevelType w:val="hybridMultilevel"/>
    <w:lvl w:ilvl="0">
      <w:lvlJc w:val="left"/>
      <w:lvlText w:val="(%1)"/>
      <w:numFmt w:val="lowerLetter"/>
      <w:start w:val="1"/>
    </w:lvl>
  </w:abstractNum>
  <w:abstractNum w:abstractNumId="359">
    <w:nsid w:val="6C2CFC88"/>
    <w:multiLevelType w:val="hybridMultilevel"/>
    <w:lvl w:ilvl="0">
      <w:lvlJc w:val="left"/>
      <w:lvlText w:val="(%1)"/>
      <w:numFmt w:val="lowerLetter"/>
      <w:start w:val="1"/>
    </w:lvl>
  </w:abstractNum>
  <w:abstractNum w:abstractNumId="360">
    <w:nsid w:val="6D1BCF1C"/>
    <w:multiLevelType w:val="hybridMultilevel"/>
    <w:lvl w:ilvl="0">
      <w:lvlJc w:val="left"/>
      <w:lvlText w:val="%1"/>
      <w:numFmt w:val="decimal"/>
      <w:start w:val="1"/>
    </w:lvl>
    <w:lvl w:ilvl="1">
      <w:lvlJc w:val="left"/>
      <w:lvlText w:val="(%2)"/>
      <w:numFmt w:val="lowerLetter"/>
      <w:start w:val="3"/>
    </w:lvl>
  </w:abstractNum>
  <w:abstractNum w:abstractNumId="361">
    <w:nsid w:val="4CE5CA53"/>
    <w:multiLevelType w:val="hybridMultilevel"/>
    <w:lvl w:ilvl="0">
      <w:lvlJc w:val="left"/>
      <w:lvlText w:val="%1."/>
      <w:numFmt w:val="decimal"/>
      <w:start w:val="3"/>
    </w:lvl>
    <w:lvl w:ilvl="1">
      <w:lvlJc w:val="left"/>
      <w:lvlText w:val="%2"/>
      <w:numFmt w:val="lowerLetter"/>
      <w:start w:val="1"/>
    </w:lvl>
  </w:abstractNum>
  <w:abstractNum w:abstractNumId="362">
    <w:nsid w:val="29262D1A"/>
    <w:multiLevelType w:val="hybridMultilevel"/>
    <w:lvl w:ilvl="0">
      <w:lvlJc w:val="left"/>
      <w:lvlText w:val="(%1)"/>
      <w:numFmt w:val="lowerLetter"/>
      <w:start w:val="1"/>
    </w:lvl>
    <w:lvl w:ilvl="1">
      <w:lvlJc w:val="left"/>
      <w:lvlText w:val="(%2)"/>
      <w:numFmt w:val="lowerRoman"/>
      <w:start w:val="1"/>
    </w:lvl>
  </w:abstractNum>
  <w:abstractNum w:abstractNumId="363">
    <w:nsid w:val="557FB7EE"/>
    <w:multiLevelType w:val="hybridMultilevel"/>
    <w:lvl w:ilvl="0">
      <w:lvlJc w:val="left"/>
      <w:lvlText w:val="(%1)"/>
      <w:numFmt w:val="lowerLetter"/>
      <w:start w:val="9"/>
    </w:lvl>
    <w:lvl w:ilvl="1">
      <w:lvlJc w:val="left"/>
      <w:lvlText w:val="(%2)"/>
      <w:numFmt w:val="lowerLetter"/>
      <w:start w:val="2"/>
    </w:lvl>
  </w:abstractNum>
  <w:abstractNum w:abstractNumId="364">
    <w:nsid w:val="436F2BEB"/>
    <w:multiLevelType w:val="hybridMultilevel"/>
    <w:lvl w:ilvl="0">
      <w:lvlJc w:val="left"/>
      <w:lvlText w:val="%1."/>
      <w:numFmt w:val="decimal"/>
      <w:start w:val="5"/>
    </w:lvl>
  </w:abstractNum>
  <w:abstractNum w:abstractNumId="365">
    <w:nsid w:val="6C8B4466"/>
    <w:multiLevelType w:val="hybridMultilevel"/>
    <w:lvl w:ilvl="0">
      <w:lvlJc w:val="left"/>
      <w:lvlText w:val="(%1)"/>
      <w:numFmt w:val="lowerLetter"/>
      <w:start w:val="1"/>
    </w:lvl>
  </w:abstractNum>
  <w:abstractNum w:abstractNumId="366">
    <w:nsid w:val="2006E424"/>
    <w:multiLevelType w:val="hybridMultilevel"/>
    <w:lvl w:ilvl="0">
      <w:lvlJc w:val="left"/>
      <w:lvlText w:val="(%1)"/>
      <w:numFmt w:val="lowerLetter"/>
      <w:start w:val="35"/>
    </w:lvl>
    <w:lvl w:ilvl="1">
      <w:lvlJc w:val="left"/>
      <w:lvlText w:val="(%2)"/>
      <w:numFmt w:val="lowerLetter"/>
      <w:start w:val="2"/>
    </w:lvl>
  </w:abstractNum>
  <w:abstractNum w:abstractNumId="367">
    <w:nsid w:val="20CC134C"/>
    <w:multiLevelType w:val="hybridMultilevel"/>
    <w:lvl w:ilvl="0">
      <w:lvlJc w:val="left"/>
      <w:lvlText w:val="(%1)"/>
      <w:numFmt w:val="lowerLetter"/>
      <w:start w:val="1"/>
    </w:lvl>
    <w:lvl w:ilvl="1">
      <w:lvlJc w:val="left"/>
      <w:lvlText w:val="(%2)"/>
      <w:numFmt w:val="lowerRoman"/>
      <w:start w:val="1"/>
    </w:lvl>
  </w:abstractNum>
  <w:abstractNum w:abstractNumId="368">
    <w:nsid w:val="95FC93B"/>
    <w:multiLevelType w:val="hybridMultilevel"/>
    <w:lvl w:ilvl="0">
      <w:lvlJc w:val="left"/>
      <w:lvlText w:val="(%1)"/>
      <w:numFmt w:val="lowerLetter"/>
      <w:start w:val="1"/>
    </w:lvl>
  </w:abstractNum>
  <w:abstractNum w:abstractNumId="369">
    <w:nsid w:val="41D74679"/>
    <w:multiLevelType w:val="hybridMultilevel"/>
    <w:lvl w:ilvl="0">
      <w:lvlJc w:val="left"/>
      <w:lvlText w:val="(%1)"/>
      <w:numFmt w:val="lowerRoman"/>
      <w:start w:val="1"/>
    </w:lvl>
  </w:abstractNum>
  <w:abstractNum w:abstractNumId="370">
    <w:nsid w:val="71E5621E"/>
    <w:multiLevelType w:val="hybridMultilevel"/>
    <w:lvl w:ilvl="0">
      <w:lvlJc w:val="left"/>
      <w:lvlText w:val="(%1)"/>
      <w:numFmt w:val="lowerLetter"/>
      <w:start w:val="3"/>
    </w:lvl>
  </w:abstractNum>
  <w:abstractNum w:abstractNumId="371">
    <w:nsid w:val="4E42B6A8"/>
    <w:multiLevelType w:val="hybridMultilevel"/>
    <w:lvl w:ilvl="0">
      <w:lvlJc w:val="left"/>
      <w:lvlText w:val="%1."/>
      <w:numFmt w:val="decimal"/>
      <w:start w:val="11"/>
    </w:lvl>
  </w:abstractNum>
  <w:abstractNum w:abstractNumId="372">
    <w:nsid w:val="43F8E1AC"/>
    <w:multiLevelType w:val="hybridMultilevel"/>
    <w:lvl w:ilvl="0">
      <w:lvlJc w:val="left"/>
      <w:lvlText w:val="%1"/>
      <w:numFmt w:val="decimal"/>
      <w:start w:val="1"/>
    </w:lvl>
    <w:lvl w:ilvl="1">
      <w:lvlJc w:val="left"/>
      <w:lvlText w:val="(%2)"/>
      <w:numFmt w:val="lowerLetter"/>
      <w:start w:val="1"/>
    </w:lvl>
  </w:abstractNum>
  <w:abstractNum w:abstractNumId="373">
    <w:nsid w:val="69215DFB"/>
    <w:multiLevelType w:val="hybridMultilevel"/>
    <w:lvl w:ilvl="0">
      <w:lvlJc w:val="left"/>
      <w:lvlText w:val="%1."/>
      <w:numFmt w:val="decimal"/>
      <w:start w:val="13"/>
    </w:lvl>
    <w:lvl w:ilvl="1">
      <w:lvlJc w:val="left"/>
      <w:lvlText w:val="%2"/>
      <w:numFmt w:val="lowerLetter"/>
      <w:start w:val="1"/>
    </w:lvl>
  </w:abstractNum>
  <w:abstractNum w:abstractNumId="374">
    <w:nsid w:val="7ABF196A"/>
    <w:multiLevelType w:val="hybridMultilevel"/>
    <w:lvl w:ilvl="0">
      <w:lvlJc w:val="left"/>
      <w:lvlText w:val="(%1)"/>
      <w:numFmt w:val="lowerLetter"/>
      <w:start w:val="1"/>
    </w:lvl>
  </w:abstractNum>
  <w:abstractNum w:abstractNumId="375">
    <w:nsid w:val="5E4DB968"/>
    <w:multiLevelType w:val="hybridMultilevel"/>
    <w:lvl w:ilvl="0">
      <w:lvlJc w:val="left"/>
      <w:lvlText w:val="%1."/>
      <w:numFmt w:val="decimal"/>
      <w:start w:val="14"/>
    </w:lvl>
  </w:abstractNum>
  <w:abstractNum w:abstractNumId="376">
    <w:nsid w:val="2C06DCF3"/>
    <w:multiLevelType w:val="hybridMultilevel"/>
    <w:lvl w:ilvl="0">
      <w:lvlJc w:val="left"/>
      <w:lvlText w:val="(%1)"/>
      <w:numFmt w:val="lowerLetter"/>
      <w:start w:val="1"/>
    </w:lvl>
  </w:abstractNum>
  <w:abstractNum w:abstractNumId="377">
    <w:nsid w:val="2E129658"/>
    <w:multiLevelType w:val="hybridMultilevel"/>
    <w:lvl w:ilvl="0">
      <w:lvlJc w:val="left"/>
      <w:lvlText w:val="(%1)"/>
      <w:numFmt w:val="lowerLetter"/>
      <w:start w:val="1"/>
    </w:lvl>
  </w:abstractNum>
  <w:abstractNum w:abstractNumId="378">
    <w:nsid w:val="59F044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79">
    <w:nsid w:val="30DF306"/>
    <w:multiLevelType w:val="hybridMultilevel"/>
    <w:lvl w:ilvl="0">
      <w:lvlJc w:val="left"/>
      <w:lvlText w:val="(%1)"/>
      <w:numFmt w:val="lowerLetter"/>
      <w:start w:val="61"/>
    </w:lvl>
    <w:lvl w:ilvl="1">
      <w:lvlJc w:val="left"/>
      <w:lvlText w:val="(%2)"/>
      <w:numFmt w:val="lowerLetter"/>
      <w:start w:val="4"/>
    </w:lvl>
    <w:lvl w:ilvl="2">
      <w:lvlJc w:val="left"/>
      <w:lvlText w:val="%3"/>
      <w:numFmt w:val="lowerRoman"/>
      <w:start w:val="1"/>
    </w:lvl>
  </w:abstractNum>
  <w:abstractNum w:abstractNumId="380">
    <w:nsid w:val="A65647"/>
    <w:multiLevelType w:val="hybridMultilevel"/>
    <w:lvl w:ilvl="0">
      <w:lvlJc w:val="left"/>
      <w:lvlText w:val="(%1)"/>
      <w:numFmt w:val="lowerLetter"/>
      <w:start w:val="1"/>
    </w:lvl>
    <w:lvl w:ilvl="1">
      <w:lvlJc w:val="left"/>
      <w:lvlText w:val="(%2)"/>
      <w:numFmt w:val="decimal"/>
      <w:start w:val="1"/>
    </w:lvl>
  </w:abstractNum>
  <w:abstractNum w:abstractNumId="381">
    <w:nsid w:val="3E5E582B"/>
    <w:multiLevelType w:val="hybridMultilevel"/>
    <w:lvl w:ilvl="0">
      <w:lvlJc w:val="left"/>
      <w:lvlText w:val="%1"/>
      <w:numFmt w:val="decimal"/>
      <w:start w:val="1"/>
    </w:lvl>
    <w:lvl w:ilvl="1">
      <w:lvlJc w:val="left"/>
      <w:lvlText w:val="(%2)"/>
      <w:numFmt w:val="lowerLetter"/>
      <w:start w:val="6"/>
    </w:lvl>
  </w:abstractNum>
  <w:abstractNum w:abstractNumId="382">
    <w:nsid w:val="257D4626"/>
    <w:multiLevelType w:val="hybridMultilevel"/>
    <w:lvl w:ilvl="0">
      <w:lvlJc w:val="left"/>
      <w:lvlText w:val="(%1)"/>
      <w:numFmt w:val="decimal"/>
      <w:start w:val="12"/>
    </w:lvl>
    <w:lvl w:ilvl="1">
      <w:lvlJc w:val="left"/>
      <w:lvlText w:val="(%2)"/>
      <w:numFmt w:val="lowerLetter"/>
      <w:start w:val="7"/>
    </w:lvl>
  </w:abstractNum>
  <w:abstractNum w:abstractNumId="383">
    <w:nsid w:val="5AA8580E"/>
    <w:multiLevelType w:val="hybridMultilevel"/>
    <w:lvl w:ilvl="0">
      <w:lvlJc w:val="left"/>
      <w:lvlText w:val="(%1)"/>
      <w:numFmt w:val="decimal"/>
      <w:start w:val="30"/>
    </w:lvl>
  </w:abstractNum>
  <w:abstractNum w:abstractNumId="384">
    <w:nsid w:val="68FA8D0D"/>
    <w:multiLevelType w:val="hybridMultilevel"/>
    <w:lvl w:ilvl="0">
      <w:lvlJc w:val="left"/>
      <w:lvlText w:val="%1)"/>
      <w:numFmt w:val="lowerLetter"/>
      <w:start w:val="1"/>
    </w:lvl>
  </w:abstractNum>
  <w:abstractNum w:abstractNumId="385">
    <w:nsid w:val="40F2CBD2"/>
    <w:multiLevelType w:val="hybridMultilevel"/>
    <w:lvl w:ilvl="0">
      <w:lvlJc w:val="left"/>
      <w:lvlText w:val="(%1)"/>
      <w:numFmt w:val="decimal"/>
      <w:start w:val="1"/>
    </w:lvl>
  </w:abstractNum>
  <w:abstractNum w:abstractNumId="386">
    <w:nsid w:val="3BD615EB"/>
    <w:multiLevelType w:val="hybridMultilevel"/>
    <w:lvl w:ilvl="0">
      <w:lvlJc w:val="left"/>
      <w:lvlText w:val="%1)"/>
      <w:numFmt w:val="lowerLetter"/>
      <w:start w:val="2"/>
    </w:lvl>
    <w:lvl w:ilvl="1">
      <w:lvlJc w:val="left"/>
      <w:lvlText w:val="%2)"/>
      <w:numFmt w:val="lowerRoman"/>
      <w:start w:val="1"/>
    </w:lvl>
  </w:abstractNum>
  <w:abstractNum w:abstractNumId="387">
    <w:nsid w:val="A045AB2"/>
    <w:multiLevelType w:val="hybridMultilevel"/>
    <w:lvl w:ilvl="0">
      <w:lvlJc w:val="left"/>
      <w:lvlText w:val="%1."/>
      <w:numFmt w:val="decimal"/>
      <w:start w:val="1"/>
    </w:lvl>
  </w:abstractNum>
  <w:abstractNum w:abstractNumId="388">
    <w:nsid w:val="1872261F"/>
    <w:multiLevelType w:val="hybridMultilevel"/>
    <w:lvl w:ilvl="0">
      <w:lvlJc w:val="left"/>
      <w:lvlText w:val="☐"/>
      <w:numFmt w:val="bullet"/>
      <w:start w:val="1"/>
    </w:lvl>
  </w:abstractNum>
  <w:abstractNum w:abstractNumId="389">
    <w:nsid w:val="3DE8306C"/>
    <w:multiLevelType w:val="hybridMultilevel"/>
    <w:lvl w:ilvl="0">
      <w:lvlJc w:val="left"/>
      <w:lvlText w:val="☒"/>
      <w:numFmt w:val="bullet"/>
      <w:start w:val="1"/>
    </w:lvl>
  </w:abstractNum>
  <w:abstractNum w:abstractNumId="390">
    <w:nsid w:val="7631573A"/>
    <w:multiLevelType w:val="hybridMultilevel"/>
    <w:lvl w:ilvl="0">
      <w:lvlJc w:val="left"/>
      <w:lvlText w:val="%1."/>
      <w:numFmt w:val="decimal"/>
      <w:start w:val="1"/>
    </w:lvl>
  </w:abstractNum>
  <w:abstractNum w:abstractNumId="391">
    <w:nsid w:val="58DF53B"/>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jpeg"/><Relationship Id="rId589" Type="http://schemas.openxmlformats.org/officeDocument/2006/relationships/image" Target="media/image582.pn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jpe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jpe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2021-07-12T23:25:38Z</dcterms:created>
  <dcterms:modified xsi:type="dcterms:W3CDTF">2021-07-12T23:25:38Z</dcterms:modified>
</cp:coreProperties>
</file>