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b w:val="1"/>
          <w:bCs w:val="1"/>
          <w:u w:val="single" w:color="auto"/>
          <w:color w:val="0000EE"/>
        </w:rPr>
        <w:t>Table of Contents</w:t>
      </w:r>
    </w:p>
    <w:p>
      <w:pPr>
        <w:spacing w:after="0" w:line="26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March 21, 2025</w:t>
      </w:r>
    </w:p>
    <w:p>
      <w:pPr>
        <w:spacing w:after="0" w:line="3"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3"/>
          <w:szCs w:val="13"/>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622935</wp:posOffset>
            </wp:positionH>
            <wp:positionV relativeFrom="paragraph">
              <wp:posOffset>50165</wp:posOffset>
            </wp:positionV>
            <wp:extent cx="589661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96610" cy="698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86360</wp:posOffset>
            </wp:positionV>
            <wp:extent cx="58966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96610" cy="6985"/>
                    </a:xfrm>
                    <a:prstGeom prst="rect">
                      <a:avLst/>
                    </a:prstGeom>
                    <a:noFill/>
                  </pic:spPr>
                </pic:pic>
              </a:graphicData>
            </a:graphic>
          </wp:anchor>
        </w:drawing>
      </w:r>
    </w:p>
    <w:p>
      <w:pPr>
        <w:spacing w:after="0" w:line="145"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24"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ind w:left="484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2949575</wp:posOffset>
            </wp:positionH>
            <wp:positionV relativeFrom="paragraph">
              <wp:posOffset>106680</wp:posOffset>
            </wp:positionV>
            <wp:extent cx="12426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2695" cy="6985"/>
                    </a:xfrm>
                    <a:prstGeom prst="rect">
                      <a:avLst/>
                    </a:prstGeom>
                    <a:noFill/>
                  </pic:spPr>
                </pic:pic>
              </a:graphicData>
            </a:graphic>
          </wp:anchor>
        </w:drawing>
      </w:r>
    </w:p>
    <w:p>
      <w:pPr>
        <w:spacing w:after="0" w:line="188"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3"/>
          <w:szCs w:val="23"/>
          <w:b w:val="1"/>
          <w:bCs w:val="1"/>
          <w:color w:val="auto"/>
        </w:rPr>
        <w:t>FORM S-3</w:t>
      </w:r>
    </w:p>
    <w:p>
      <w:pPr>
        <w:spacing w:after="0" w:line="24"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3"/>
          <w:szCs w:val="23"/>
          <w:b w:val="1"/>
          <w:bCs w:val="1"/>
          <w:color w:val="auto"/>
        </w:rPr>
        <w:t>REGISTRATION STATEMENT</w:t>
      </w:r>
    </w:p>
    <w:p>
      <w:pPr>
        <w:jc w:val="center"/>
        <w:ind w:right="-999"/>
        <w:spacing w:after="0"/>
        <w:rPr>
          <w:sz w:val="20"/>
          <w:szCs w:val="20"/>
          <w:color w:val="auto"/>
        </w:rPr>
      </w:pPr>
      <w:r>
        <w:rPr>
          <w:rFonts w:ascii="Times New Roman" w:cs="Times New Roman" w:eastAsia="Times New Roman" w:hAnsi="Times New Roman"/>
          <w:sz w:val="15"/>
          <w:szCs w:val="15"/>
          <w:b w:val="1"/>
          <w:bCs w:val="1"/>
          <w:i w:val="1"/>
          <w:iCs w:val="1"/>
          <w:color w:val="auto"/>
        </w:rPr>
        <w:t>UNDER</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2949575</wp:posOffset>
            </wp:positionH>
            <wp:positionV relativeFrom="paragraph">
              <wp:posOffset>114300</wp:posOffset>
            </wp:positionV>
            <wp:extent cx="12426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2695" cy="6985"/>
                    </a:xfrm>
                    <a:prstGeom prst="rect">
                      <a:avLst/>
                    </a:prstGeom>
                    <a:noFill/>
                  </pic:spPr>
                </pic:pic>
              </a:graphicData>
            </a:graphic>
          </wp:anchor>
        </w:drawing>
      </w:r>
    </w:p>
    <w:p>
      <w:pPr>
        <w:spacing w:after="0" w:line="196"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4"/>
          <w:szCs w:val="24"/>
          <w:b w:val="1"/>
          <w:bCs w:val="1"/>
          <w:color w:val="auto"/>
        </w:rPr>
        <w:t>Tenaya Therapeutics, Inc.</w:t>
      </w:r>
    </w:p>
    <w:p>
      <w:pPr>
        <w:spacing w:after="0" w:line="3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2949575</wp:posOffset>
            </wp:positionH>
            <wp:positionV relativeFrom="paragraph">
              <wp:posOffset>93345</wp:posOffset>
            </wp:positionV>
            <wp:extent cx="12426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2695" cy="6985"/>
                    </a:xfrm>
                    <a:prstGeom prst="rect">
                      <a:avLst/>
                    </a:prstGeom>
                    <a:noFill/>
                  </pic:spPr>
                </pic:pic>
              </a:graphicData>
            </a:graphic>
          </wp:anchor>
        </w:drawing>
      </w:r>
    </w:p>
    <w:p>
      <w:pPr>
        <w:spacing w:after="0" w:line="227" w:lineRule="exact"/>
        <w:rPr>
          <w:sz w:val="24"/>
          <w:szCs w:val="24"/>
          <w:color w:val="auto"/>
        </w:rPr>
      </w:pPr>
    </w:p>
    <w:tbl>
      <w:tblPr>
        <w:tblLayout w:type="fixed"/>
        <w:tblInd w:w="2640" w:type="dxa"/>
        <w:tblCellMar>
          <w:top w:w="0" w:type="dxa"/>
          <w:left w:w="0" w:type="dxa"/>
          <w:bottom w:w="0" w:type="dxa"/>
          <w:right w:w="0" w:type="dxa"/>
        </w:tblCellMar>
      </w:tblPr>
      <w:tr>
        <w:trPr>
          <w:trHeight w:val="168"/>
        </w:trPr>
        <w:tc>
          <w:tcPr>
            <w:tcW w:w="3120" w:type="dxa"/>
            <w:vAlign w:val="bottom"/>
          </w:tcPr>
          <w:p>
            <w:pPr>
              <w:jc w:val="center"/>
              <w:ind w:right="1702"/>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2780" w:type="dxa"/>
            <w:vAlign w:val="bottom"/>
          </w:tcPr>
          <w:p>
            <w:pPr>
              <w:jc w:val="center"/>
              <w:ind w:left="1662"/>
              <w:spacing w:after="0"/>
              <w:rPr>
                <w:sz w:val="20"/>
                <w:szCs w:val="20"/>
                <w:color w:val="auto"/>
              </w:rPr>
            </w:pPr>
            <w:r>
              <w:rPr>
                <w:rFonts w:ascii="Times New Roman" w:cs="Times New Roman" w:eastAsia="Times New Roman" w:hAnsi="Times New Roman"/>
                <w:sz w:val="14"/>
                <w:szCs w:val="14"/>
                <w:b w:val="1"/>
                <w:bCs w:val="1"/>
                <w:color w:val="auto"/>
                <w:w w:val="97"/>
              </w:rPr>
              <w:t>81-3789973</w:t>
            </w:r>
          </w:p>
        </w:tc>
      </w:tr>
      <w:tr>
        <w:trPr>
          <w:trHeight w:val="114"/>
        </w:trPr>
        <w:tc>
          <w:tcPr>
            <w:tcW w:w="3120" w:type="dxa"/>
            <w:vAlign w:val="bottom"/>
          </w:tcPr>
          <w:p>
            <w:pPr>
              <w:jc w:val="center"/>
              <w:ind w:right="1702"/>
              <w:spacing w:after="0" w:line="114" w:lineRule="exact"/>
              <w:rPr>
                <w:sz w:val="20"/>
                <w:szCs w:val="20"/>
                <w:color w:val="auto"/>
              </w:rPr>
            </w:pPr>
            <w:r>
              <w:rPr>
                <w:rFonts w:ascii="Times New Roman" w:cs="Times New Roman" w:eastAsia="Times New Roman" w:hAnsi="Times New Roman"/>
                <w:sz w:val="11"/>
                <w:szCs w:val="11"/>
                <w:b w:val="1"/>
                <w:bCs w:val="1"/>
                <w:color w:val="auto"/>
                <w:w w:val="95"/>
              </w:rPr>
              <w:t>(State or other jurisdiction of</w:t>
            </w:r>
          </w:p>
        </w:tc>
        <w:tc>
          <w:tcPr>
            <w:tcW w:w="2780" w:type="dxa"/>
            <w:vAlign w:val="bottom"/>
          </w:tcPr>
          <w:p>
            <w:pPr>
              <w:jc w:val="center"/>
              <w:ind w:left="1682"/>
              <w:spacing w:after="0" w:line="114" w:lineRule="exact"/>
              <w:rPr>
                <w:sz w:val="20"/>
                <w:szCs w:val="20"/>
                <w:color w:val="auto"/>
              </w:rPr>
            </w:pPr>
            <w:r>
              <w:rPr>
                <w:rFonts w:ascii="Times New Roman" w:cs="Times New Roman" w:eastAsia="Times New Roman" w:hAnsi="Times New Roman"/>
                <w:sz w:val="11"/>
                <w:szCs w:val="11"/>
                <w:b w:val="1"/>
                <w:bCs w:val="1"/>
                <w:color w:val="auto"/>
                <w:w w:val="95"/>
              </w:rPr>
              <w:t>(I.R.S. Employer</w:t>
            </w:r>
          </w:p>
        </w:tc>
      </w:tr>
      <w:tr>
        <w:trPr>
          <w:trHeight w:val="141"/>
        </w:trPr>
        <w:tc>
          <w:tcPr>
            <w:tcW w:w="3120" w:type="dxa"/>
            <w:vAlign w:val="bottom"/>
          </w:tcPr>
          <w:p>
            <w:pPr>
              <w:jc w:val="center"/>
              <w:ind w:right="1682"/>
              <w:spacing w:after="0"/>
              <w:rPr>
                <w:sz w:val="20"/>
                <w:szCs w:val="20"/>
                <w:color w:val="auto"/>
              </w:rPr>
            </w:pPr>
            <w:r>
              <w:rPr>
                <w:rFonts w:ascii="Times New Roman" w:cs="Times New Roman" w:eastAsia="Times New Roman" w:hAnsi="Times New Roman"/>
                <w:sz w:val="11"/>
                <w:szCs w:val="11"/>
                <w:b w:val="1"/>
                <w:bCs w:val="1"/>
                <w:color w:val="auto"/>
                <w:w w:val="96"/>
              </w:rPr>
              <w:t>incorporation or organization)</w:t>
            </w:r>
          </w:p>
        </w:tc>
        <w:tc>
          <w:tcPr>
            <w:tcW w:w="2780" w:type="dxa"/>
            <w:vAlign w:val="bottom"/>
          </w:tcPr>
          <w:p>
            <w:pPr>
              <w:jc w:val="center"/>
              <w:ind w:left="1662"/>
              <w:spacing w:after="0"/>
              <w:rPr>
                <w:sz w:val="20"/>
                <w:szCs w:val="20"/>
                <w:color w:val="auto"/>
              </w:rPr>
            </w:pPr>
            <w:r>
              <w:rPr>
                <w:rFonts w:ascii="Times New Roman" w:cs="Times New Roman" w:eastAsia="Times New Roman" w:hAnsi="Times New Roman"/>
                <w:sz w:val="11"/>
                <w:szCs w:val="11"/>
                <w:b w:val="1"/>
                <w:bCs w:val="1"/>
                <w:color w:val="auto"/>
                <w:w w:val="97"/>
              </w:rPr>
              <w:t>Identification Number)</w:t>
            </w:r>
          </w:p>
        </w:tc>
      </w:tr>
    </w:tbl>
    <w:p>
      <w:pPr>
        <w:spacing w:after="0" w:line="42"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3"/>
          <w:szCs w:val="13"/>
          <w:b w:val="1"/>
          <w:bCs w:val="1"/>
          <w:color w:val="auto"/>
        </w:rPr>
        <w:t>171 Oyster Point Boulevard, Suite 500</w:t>
      </w:r>
    </w:p>
    <w:p>
      <w:pPr>
        <w:jc w:val="center"/>
        <w:ind w:right="-999"/>
        <w:spacing w:after="0" w:line="224" w:lineRule="auto"/>
        <w:rPr>
          <w:sz w:val="20"/>
          <w:szCs w:val="20"/>
          <w:color w:val="auto"/>
        </w:rPr>
      </w:pPr>
      <w:r>
        <w:rPr>
          <w:rFonts w:ascii="Times New Roman" w:cs="Times New Roman" w:eastAsia="Times New Roman" w:hAnsi="Times New Roman"/>
          <w:sz w:val="13"/>
          <w:szCs w:val="13"/>
          <w:b w:val="1"/>
          <w:bCs w:val="1"/>
          <w:color w:val="auto"/>
        </w:rPr>
        <w:t>South San Francisco, California 94080</w:t>
      </w:r>
    </w:p>
    <w:p>
      <w:pPr>
        <w:jc w:val="center"/>
        <w:ind w:right="-999"/>
        <w:spacing w:after="0" w:line="215" w:lineRule="auto"/>
        <w:rPr>
          <w:sz w:val="20"/>
          <w:szCs w:val="20"/>
          <w:color w:val="auto"/>
        </w:rPr>
      </w:pPr>
      <w:r>
        <w:rPr>
          <w:rFonts w:ascii="Times New Roman" w:cs="Times New Roman" w:eastAsia="Times New Roman" w:hAnsi="Times New Roman"/>
          <w:sz w:val="13"/>
          <w:szCs w:val="13"/>
          <w:b w:val="1"/>
          <w:bCs w:val="1"/>
          <w:color w:val="auto"/>
        </w:rPr>
        <w:t>(650) 825-6990</w:t>
      </w:r>
    </w:p>
    <w:p>
      <w:pPr>
        <w:ind w:left="302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2949575</wp:posOffset>
            </wp:positionH>
            <wp:positionV relativeFrom="paragraph">
              <wp:posOffset>102870</wp:posOffset>
            </wp:positionV>
            <wp:extent cx="12426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2695" cy="6985"/>
                    </a:xfrm>
                    <a:prstGeom prst="rect">
                      <a:avLst/>
                    </a:prstGeom>
                    <a:noFill/>
                  </pic:spPr>
                </pic:pic>
              </a:graphicData>
            </a:graphic>
          </wp:anchor>
        </w:drawing>
      </w:r>
    </w:p>
    <w:p>
      <w:pPr>
        <w:spacing w:after="0" w:line="193"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3"/>
          <w:szCs w:val="13"/>
          <w:b w:val="1"/>
          <w:bCs w:val="1"/>
          <w:color w:val="auto"/>
        </w:rPr>
        <w:t>Faraz Ali, M.B.A.</w:t>
      </w:r>
    </w:p>
    <w:p>
      <w:pPr>
        <w:jc w:val="center"/>
        <w:ind w:right="-999"/>
        <w:spacing w:after="0" w:line="224" w:lineRule="auto"/>
        <w:rPr>
          <w:sz w:val="20"/>
          <w:szCs w:val="20"/>
          <w:color w:val="auto"/>
        </w:rPr>
      </w:pPr>
      <w:r>
        <w:rPr>
          <w:rFonts w:ascii="Times New Roman" w:cs="Times New Roman" w:eastAsia="Times New Roman" w:hAnsi="Times New Roman"/>
          <w:sz w:val="13"/>
          <w:szCs w:val="13"/>
          <w:b w:val="1"/>
          <w:bCs w:val="1"/>
          <w:color w:val="auto"/>
        </w:rPr>
        <w:t>Chief Executive Officer</w:t>
      </w:r>
    </w:p>
    <w:p>
      <w:pPr>
        <w:jc w:val="center"/>
        <w:ind w:right="-999"/>
        <w:spacing w:after="0" w:line="219" w:lineRule="auto"/>
        <w:rPr>
          <w:sz w:val="20"/>
          <w:szCs w:val="20"/>
          <w:color w:val="auto"/>
        </w:rPr>
      </w:pPr>
      <w:r>
        <w:rPr>
          <w:rFonts w:ascii="Times New Roman" w:cs="Times New Roman" w:eastAsia="Times New Roman" w:hAnsi="Times New Roman"/>
          <w:sz w:val="13"/>
          <w:szCs w:val="13"/>
          <w:b w:val="1"/>
          <w:bCs w:val="1"/>
          <w:color w:val="auto"/>
        </w:rPr>
        <w:t>171 Oyster Point Boulevard, Suite 500</w:t>
      </w:r>
    </w:p>
    <w:p>
      <w:pPr>
        <w:jc w:val="center"/>
        <w:ind w:right="-999"/>
        <w:spacing w:after="0" w:line="219" w:lineRule="auto"/>
        <w:rPr>
          <w:sz w:val="20"/>
          <w:szCs w:val="20"/>
          <w:color w:val="auto"/>
        </w:rPr>
      </w:pPr>
      <w:r>
        <w:rPr>
          <w:rFonts w:ascii="Times New Roman" w:cs="Times New Roman" w:eastAsia="Times New Roman" w:hAnsi="Times New Roman"/>
          <w:sz w:val="13"/>
          <w:szCs w:val="13"/>
          <w:b w:val="1"/>
          <w:bCs w:val="1"/>
          <w:color w:val="auto"/>
        </w:rPr>
        <w:t>South San Francisco, California 94080</w:t>
      </w:r>
    </w:p>
    <w:p>
      <w:pPr>
        <w:jc w:val="center"/>
        <w:ind w:right="-999"/>
        <w:spacing w:after="0" w:line="215" w:lineRule="auto"/>
        <w:rPr>
          <w:sz w:val="20"/>
          <w:szCs w:val="20"/>
          <w:color w:val="auto"/>
        </w:rPr>
      </w:pPr>
      <w:r>
        <w:rPr>
          <w:rFonts w:ascii="Times New Roman" w:cs="Times New Roman" w:eastAsia="Times New Roman" w:hAnsi="Times New Roman"/>
          <w:sz w:val="13"/>
          <w:szCs w:val="13"/>
          <w:b w:val="1"/>
          <w:bCs w:val="1"/>
          <w:color w:val="auto"/>
        </w:rPr>
        <w:t>(650) 825-6990</w:t>
      </w:r>
    </w:p>
    <w:p>
      <w:pPr>
        <w:spacing w:after="0" w:line="1"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2949575</wp:posOffset>
            </wp:positionH>
            <wp:positionV relativeFrom="paragraph">
              <wp:posOffset>95250</wp:posOffset>
            </wp:positionV>
            <wp:extent cx="12426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2695" cy="6985"/>
                    </a:xfrm>
                    <a:prstGeom prst="rect">
                      <a:avLst/>
                    </a:prstGeom>
                    <a:noFill/>
                  </pic:spPr>
                </pic:pic>
              </a:graphicData>
            </a:graphic>
          </wp:anchor>
        </w:drawing>
      </w:r>
    </w:p>
    <w:p>
      <w:pPr>
        <w:spacing w:after="0" w:line="191" w:lineRule="exact"/>
        <w:rPr>
          <w:sz w:val="24"/>
          <w:szCs w:val="24"/>
          <w:color w:val="auto"/>
        </w:rPr>
      </w:pPr>
    </w:p>
    <w:tbl>
      <w:tblPr>
        <w:tblLayout w:type="fixed"/>
        <w:tblInd w:w="236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tc>
      </w:tr>
      <w:tr>
        <w:trPr>
          <w:trHeight w:val="138"/>
        </w:trPr>
        <w:tc>
          <w:tcPr>
            <w:tcW w:w="2460" w:type="dxa"/>
            <w:vAlign w:val="bottom"/>
          </w:tcPr>
          <w:p>
            <w:pPr>
              <w:jc w:val="center"/>
              <w:ind w:right="456"/>
              <w:spacing w:after="0" w:line="139" w:lineRule="exact"/>
              <w:rPr>
                <w:sz w:val="20"/>
                <w:szCs w:val="20"/>
                <w:color w:val="auto"/>
              </w:rPr>
            </w:pPr>
            <w:r>
              <w:rPr>
                <w:rFonts w:ascii="Times New Roman" w:cs="Times New Roman" w:eastAsia="Times New Roman" w:hAnsi="Times New Roman"/>
                <w:sz w:val="13"/>
                <w:szCs w:val="13"/>
                <w:b w:val="1"/>
                <w:bCs w:val="1"/>
                <w:color w:val="auto"/>
                <w:w w:val="97"/>
              </w:rPr>
              <w:t>Jennifer Knapp</w:t>
            </w:r>
          </w:p>
        </w:tc>
        <w:tc>
          <w:tcPr>
            <w:tcW w:w="4260" w:type="dxa"/>
            <w:vAlign w:val="bottom"/>
          </w:tcPr>
          <w:p>
            <w:pPr>
              <w:jc w:val="center"/>
              <w:ind w:left="2076"/>
              <w:spacing w:after="0" w:line="139" w:lineRule="exact"/>
              <w:rPr>
                <w:sz w:val="20"/>
                <w:szCs w:val="20"/>
                <w:color w:val="auto"/>
              </w:rPr>
            </w:pPr>
            <w:r>
              <w:rPr>
                <w:rFonts w:ascii="Times New Roman" w:cs="Times New Roman" w:eastAsia="Times New Roman" w:hAnsi="Times New Roman"/>
                <w:sz w:val="13"/>
                <w:szCs w:val="13"/>
                <w:b w:val="1"/>
                <w:bCs w:val="1"/>
                <w:color w:val="auto"/>
                <w:w w:val="99"/>
              </w:rPr>
              <w:t>Jennifer Drimmer Rokovich</w:t>
            </w:r>
          </w:p>
        </w:tc>
      </w:tr>
      <w:tr>
        <w:trPr>
          <w:trHeight w:val="137"/>
        </w:trPr>
        <w:tc>
          <w:tcPr>
            <w:tcW w:w="2460" w:type="dxa"/>
            <w:vAlign w:val="bottom"/>
          </w:tcPr>
          <w:p>
            <w:pPr>
              <w:jc w:val="center"/>
              <w:ind w:right="476"/>
              <w:spacing w:after="0" w:line="137" w:lineRule="exact"/>
              <w:rPr>
                <w:sz w:val="20"/>
                <w:szCs w:val="20"/>
                <w:color w:val="auto"/>
              </w:rPr>
            </w:pPr>
            <w:r>
              <w:rPr>
                <w:rFonts w:ascii="Times New Roman" w:cs="Times New Roman" w:eastAsia="Times New Roman" w:hAnsi="Times New Roman"/>
                <w:sz w:val="13"/>
                <w:szCs w:val="13"/>
                <w:b w:val="1"/>
                <w:bCs w:val="1"/>
                <w:color w:val="auto"/>
                <w:w w:val="99"/>
              </w:rPr>
              <w:t>Emily A. Coskey</w:t>
            </w:r>
          </w:p>
        </w:tc>
        <w:tc>
          <w:tcPr>
            <w:tcW w:w="4260" w:type="dxa"/>
            <w:vAlign w:val="bottom"/>
          </w:tcPr>
          <w:p>
            <w:pPr>
              <w:jc w:val="center"/>
              <w:ind w:left="2076"/>
              <w:spacing w:after="0" w:line="137" w:lineRule="exact"/>
              <w:rPr>
                <w:sz w:val="20"/>
                <w:szCs w:val="20"/>
                <w:color w:val="auto"/>
              </w:rPr>
            </w:pPr>
            <w:r>
              <w:rPr>
                <w:rFonts w:ascii="Times New Roman" w:cs="Times New Roman" w:eastAsia="Times New Roman" w:hAnsi="Times New Roman"/>
                <w:sz w:val="13"/>
                <w:szCs w:val="13"/>
                <w:b w:val="1"/>
                <w:bCs w:val="1"/>
                <w:color w:val="auto"/>
                <w:w w:val="99"/>
              </w:rPr>
              <w:t>General Counsel</w:t>
            </w:r>
          </w:p>
        </w:tc>
      </w:tr>
      <w:tr>
        <w:trPr>
          <w:trHeight w:val="137"/>
        </w:trPr>
        <w:tc>
          <w:tcPr>
            <w:tcW w:w="2460" w:type="dxa"/>
            <w:vAlign w:val="bottom"/>
          </w:tcPr>
          <w:p>
            <w:pPr>
              <w:jc w:val="center"/>
              <w:ind w:right="476"/>
              <w:spacing w:after="0" w:line="137" w:lineRule="exact"/>
              <w:rPr>
                <w:sz w:val="20"/>
                <w:szCs w:val="20"/>
                <w:color w:val="auto"/>
              </w:rPr>
            </w:pPr>
            <w:r>
              <w:rPr>
                <w:rFonts w:ascii="Times New Roman" w:cs="Times New Roman" w:eastAsia="Times New Roman" w:hAnsi="Times New Roman"/>
                <w:sz w:val="13"/>
                <w:szCs w:val="13"/>
                <w:b w:val="1"/>
                <w:bCs w:val="1"/>
                <w:color w:val="auto"/>
                <w:w w:val="98"/>
              </w:rPr>
              <w:t>Wilson Sonsini Goodrich &amp; Rosati,</w:t>
            </w:r>
          </w:p>
        </w:tc>
        <w:tc>
          <w:tcPr>
            <w:tcW w:w="4260" w:type="dxa"/>
            <w:vAlign w:val="bottom"/>
          </w:tcPr>
          <w:p>
            <w:pPr>
              <w:jc w:val="center"/>
              <w:ind w:left="2056"/>
              <w:spacing w:after="0" w:line="137" w:lineRule="exact"/>
              <w:rPr>
                <w:sz w:val="20"/>
                <w:szCs w:val="20"/>
                <w:color w:val="auto"/>
              </w:rPr>
            </w:pPr>
            <w:r>
              <w:rPr>
                <w:rFonts w:ascii="Times New Roman" w:cs="Times New Roman" w:eastAsia="Times New Roman" w:hAnsi="Times New Roman"/>
                <w:sz w:val="13"/>
                <w:szCs w:val="13"/>
                <w:b w:val="1"/>
                <w:bCs w:val="1"/>
                <w:color w:val="auto"/>
                <w:w w:val="97"/>
              </w:rPr>
              <w:t>Tenaya Therapeutics, Inc.</w:t>
            </w:r>
          </w:p>
        </w:tc>
      </w:tr>
      <w:tr>
        <w:trPr>
          <w:trHeight w:val="137"/>
        </w:trPr>
        <w:tc>
          <w:tcPr>
            <w:tcW w:w="2460" w:type="dxa"/>
            <w:vAlign w:val="bottom"/>
          </w:tcPr>
          <w:p>
            <w:pPr>
              <w:jc w:val="center"/>
              <w:ind w:right="456"/>
              <w:spacing w:after="0" w:line="137" w:lineRule="exact"/>
              <w:rPr>
                <w:sz w:val="20"/>
                <w:szCs w:val="20"/>
                <w:color w:val="auto"/>
              </w:rPr>
            </w:pPr>
            <w:r>
              <w:rPr>
                <w:rFonts w:ascii="Times New Roman" w:cs="Times New Roman" w:eastAsia="Times New Roman" w:hAnsi="Times New Roman"/>
                <w:sz w:val="13"/>
                <w:szCs w:val="13"/>
                <w:b w:val="1"/>
                <w:bCs w:val="1"/>
                <w:color w:val="auto"/>
                <w:w w:val="98"/>
              </w:rPr>
              <w:t>Professional Corporation</w:t>
            </w:r>
          </w:p>
        </w:tc>
        <w:tc>
          <w:tcPr>
            <w:tcW w:w="4260" w:type="dxa"/>
            <w:vAlign w:val="bottom"/>
          </w:tcPr>
          <w:p>
            <w:pPr>
              <w:jc w:val="center"/>
              <w:ind w:left="2056"/>
              <w:spacing w:after="0" w:line="137" w:lineRule="exact"/>
              <w:rPr>
                <w:sz w:val="20"/>
                <w:szCs w:val="20"/>
                <w:color w:val="auto"/>
              </w:rPr>
            </w:pPr>
            <w:r>
              <w:rPr>
                <w:rFonts w:ascii="Times New Roman" w:cs="Times New Roman" w:eastAsia="Times New Roman" w:hAnsi="Times New Roman"/>
                <w:sz w:val="13"/>
                <w:szCs w:val="13"/>
                <w:b w:val="1"/>
                <w:bCs w:val="1"/>
                <w:color w:val="auto"/>
                <w:w w:val="99"/>
              </w:rPr>
              <w:t>171 Oyster Point Boulevard, Suite 500</w:t>
            </w:r>
          </w:p>
        </w:tc>
      </w:tr>
      <w:tr>
        <w:trPr>
          <w:trHeight w:val="137"/>
        </w:trPr>
        <w:tc>
          <w:tcPr>
            <w:tcW w:w="2460" w:type="dxa"/>
            <w:vAlign w:val="bottom"/>
          </w:tcPr>
          <w:p>
            <w:pPr>
              <w:jc w:val="center"/>
              <w:ind w:right="476"/>
              <w:spacing w:after="0" w:line="137" w:lineRule="exact"/>
              <w:rPr>
                <w:sz w:val="20"/>
                <w:szCs w:val="20"/>
                <w:color w:val="auto"/>
              </w:rPr>
            </w:pPr>
            <w:r>
              <w:rPr>
                <w:rFonts w:ascii="Times New Roman" w:cs="Times New Roman" w:eastAsia="Times New Roman" w:hAnsi="Times New Roman"/>
                <w:sz w:val="13"/>
                <w:szCs w:val="13"/>
                <w:b w:val="1"/>
                <w:bCs w:val="1"/>
                <w:color w:val="auto"/>
                <w:w w:val="99"/>
              </w:rPr>
              <w:t>650 Page Mill Road</w:t>
            </w:r>
          </w:p>
        </w:tc>
        <w:tc>
          <w:tcPr>
            <w:tcW w:w="4260" w:type="dxa"/>
            <w:vAlign w:val="bottom"/>
          </w:tcPr>
          <w:p>
            <w:pPr>
              <w:jc w:val="center"/>
              <w:ind w:left="2076"/>
              <w:spacing w:after="0" w:line="137" w:lineRule="exact"/>
              <w:rPr>
                <w:sz w:val="20"/>
                <w:szCs w:val="20"/>
                <w:color w:val="auto"/>
              </w:rPr>
            </w:pPr>
            <w:r>
              <w:rPr>
                <w:rFonts w:ascii="Times New Roman" w:cs="Times New Roman" w:eastAsia="Times New Roman" w:hAnsi="Times New Roman"/>
                <w:sz w:val="13"/>
                <w:szCs w:val="13"/>
                <w:b w:val="1"/>
                <w:bCs w:val="1"/>
                <w:color w:val="auto"/>
                <w:w w:val="99"/>
              </w:rPr>
              <w:t>South San Francisco, California 94080</w:t>
            </w:r>
          </w:p>
        </w:tc>
      </w:tr>
      <w:tr>
        <w:trPr>
          <w:trHeight w:val="137"/>
        </w:trPr>
        <w:tc>
          <w:tcPr>
            <w:tcW w:w="2460" w:type="dxa"/>
            <w:vAlign w:val="bottom"/>
          </w:tcPr>
          <w:p>
            <w:pPr>
              <w:jc w:val="center"/>
              <w:ind w:right="456"/>
              <w:spacing w:after="0" w:line="137" w:lineRule="exact"/>
              <w:rPr>
                <w:sz w:val="20"/>
                <w:szCs w:val="20"/>
                <w:color w:val="auto"/>
              </w:rPr>
            </w:pPr>
            <w:r>
              <w:rPr>
                <w:rFonts w:ascii="Times New Roman" w:cs="Times New Roman" w:eastAsia="Times New Roman" w:hAnsi="Times New Roman"/>
                <w:sz w:val="13"/>
                <w:szCs w:val="13"/>
                <w:b w:val="1"/>
                <w:bCs w:val="1"/>
                <w:color w:val="auto"/>
                <w:w w:val="97"/>
              </w:rPr>
              <w:t>Palo Alto, CA 94304</w:t>
            </w:r>
          </w:p>
        </w:tc>
        <w:tc>
          <w:tcPr>
            <w:tcW w:w="4260" w:type="dxa"/>
            <w:vAlign w:val="bottom"/>
          </w:tcPr>
          <w:p>
            <w:pPr>
              <w:jc w:val="center"/>
              <w:ind w:left="2076"/>
              <w:spacing w:after="0" w:line="137" w:lineRule="exact"/>
              <w:rPr>
                <w:sz w:val="20"/>
                <w:szCs w:val="20"/>
                <w:color w:val="auto"/>
              </w:rPr>
            </w:pPr>
            <w:r>
              <w:rPr>
                <w:rFonts w:ascii="Times New Roman" w:cs="Times New Roman" w:eastAsia="Times New Roman" w:hAnsi="Times New Roman"/>
                <w:sz w:val="13"/>
                <w:szCs w:val="13"/>
                <w:b w:val="1"/>
                <w:bCs w:val="1"/>
                <w:color w:val="auto"/>
                <w:w w:val="98"/>
              </w:rPr>
              <w:t>(650) 825-6990</w:t>
            </w:r>
          </w:p>
        </w:tc>
      </w:tr>
      <w:tr>
        <w:trPr>
          <w:trHeight w:val="169"/>
        </w:trPr>
        <w:tc>
          <w:tcPr>
            <w:tcW w:w="2460" w:type="dxa"/>
            <w:vAlign w:val="bottom"/>
          </w:tcPr>
          <w:p>
            <w:pPr>
              <w:jc w:val="center"/>
              <w:ind w:right="476"/>
              <w:spacing w:after="0"/>
              <w:rPr>
                <w:sz w:val="20"/>
                <w:szCs w:val="20"/>
                <w:color w:val="auto"/>
              </w:rPr>
            </w:pPr>
            <w:r>
              <w:rPr>
                <w:rFonts w:ascii="Times New Roman" w:cs="Times New Roman" w:eastAsia="Times New Roman" w:hAnsi="Times New Roman"/>
                <w:sz w:val="13"/>
                <w:szCs w:val="13"/>
                <w:b w:val="1"/>
                <w:bCs w:val="1"/>
                <w:color w:val="auto"/>
                <w:w w:val="98"/>
              </w:rPr>
              <w:t>(650) 493-9300</w:t>
            </w:r>
          </w:p>
        </w:tc>
        <w:tc>
          <w:tcPr>
            <w:tcW w:w="42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2949575</wp:posOffset>
            </wp:positionH>
            <wp:positionV relativeFrom="paragraph">
              <wp:posOffset>98425</wp:posOffset>
            </wp:positionV>
            <wp:extent cx="12426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2695" cy="6985"/>
                    </a:xfrm>
                    <a:prstGeom prst="rect">
                      <a:avLst/>
                    </a:prstGeom>
                    <a:noFill/>
                  </pic:spPr>
                </pic:pic>
              </a:graphicData>
            </a:graphic>
          </wp:anchor>
        </w:drawing>
      </w:r>
    </w:p>
    <w:p>
      <w:pPr>
        <w:spacing w:after="0" w:line="187"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w:t>
      </w:r>
      <w:r>
        <w:rPr>
          <w:rFonts w:ascii="Times New Roman" w:cs="Times New Roman" w:eastAsia="Times New Roman" w:hAnsi="Times New Roman"/>
          <w:sz w:val="13"/>
          <w:szCs w:val="13"/>
          <w:color w:val="auto"/>
        </w:rPr>
        <w:t>: From time to time after the effective date of the registration statement.</w:t>
      </w:r>
    </w:p>
    <w:p>
      <w:pPr>
        <w:spacing w:after="0" w:line="40" w:lineRule="exact"/>
        <w:rPr>
          <w:sz w:val="24"/>
          <w:szCs w:val="24"/>
          <w:color w:val="auto"/>
        </w:rPr>
      </w:pPr>
    </w:p>
    <w:p>
      <w:pPr>
        <w:ind w:left="980"/>
        <w:spacing w:after="0" w:line="150"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84" w:lineRule="exact"/>
        <w:rPr>
          <w:sz w:val="24"/>
          <w:szCs w:val="24"/>
          <w:color w:val="auto"/>
        </w:rPr>
      </w:pPr>
    </w:p>
    <w:p>
      <w:pPr>
        <w:ind w:left="980" w:right="60"/>
        <w:spacing w:after="0" w:line="167"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19" w:lineRule="exact"/>
        <w:rPr>
          <w:sz w:val="24"/>
          <w:szCs w:val="24"/>
          <w:color w:val="auto"/>
        </w:rPr>
      </w:pPr>
    </w:p>
    <w:p>
      <w:pPr>
        <w:ind w:left="980" w:right="300"/>
        <w:spacing w:after="0" w:line="167"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0" w:lineRule="exact"/>
        <w:rPr>
          <w:sz w:val="24"/>
          <w:szCs w:val="24"/>
          <w:color w:val="auto"/>
        </w:rPr>
      </w:pPr>
    </w:p>
    <w:p>
      <w:pPr>
        <w:ind w:left="980" w:right="20"/>
        <w:spacing w:after="0" w:line="16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9" w:lineRule="exact"/>
        <w:rPr>
          <w:sz w:val="24"/>
          <w:szCs w:val="24"/>
          <w:color w:val="auto"/>
        </w:rPr>
      </w:pPr>
    </w:p>
    <w:p>
      <w:pPr>
        <w:ind w:left="980" w:right="280"/>
        <w:spacing w:after="0" w:line="167"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9" w:lineRule="exact"/>
        <w:rPr>
          <w:sz w:val="24"/>
          <w:szCs w:val="24"/>
          <w:color w:val="auto"/>
        </w:rPr>
      </w:pPr>
    </w:p>
    <w:p>
      <w:pPr>
        <w:ind w:left="980" w:right="460"/>
        <w:spacing w:after="0" w:line="16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1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w:t>
      </w:r>
    </w:p>
    <w:p>
      <w:pPr>
        <w:spacing w:after="0" w:line="13"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3"/>
          <w:szCs w:val="13"/>
          <w:color w:val="auto"/>
        </w:rPr>
        <w:t>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980" w:type="dxa"/>
        <w:tblCellMar>
          <w:top w:w="0" w:type="dxa"/>
          <w:left w:w="0" w:type="dxa"/>
          <w:bottom w:w="0" w:type="dxa"/>
          <w:right w:w="0" w:type="dxa"/>
        </w:tblCellMar>
      </w:tblPr>
      <w:tr>
        <w:trPr>
          <w:trHeight w:val="182"/>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20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4500" w:type="dxa"/>
            <w:vAlign w:val="bottom"/>
          </w:tcPr>
          <w:p>
            <w:pPr>
              <w:ind w:left="2960"/>
              <w:spacing w:after="0"/>
              <w:rPr>
                <w:sz w:val="20"/>
                <w:szCs w:val="20"/>
                <w:color w:val="auto"/>
              </w:rPr>
            </w:pPr>
            <w:r>
              <w:rPr>
                <w:rFonts w:ascii="Times New Roman" w:cs="Times New Roman" w:eastAsia="Times New Roman" w:hAnsi="Times New Roman"/>
                <w:sz w:val="13"/>
                <w:szCs w:val="13"/>
                <w:color w:val="auto"/>
              </w:rPr>
              <w:t>Accelerated filer</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2"/>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20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4500" w:type="dxa"/>
            <w:vAlign w:val="bottom"/>
          </w:tcPr>
          <w:p>
            <w:pPr>
              <w:ind w:left="29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500" w:type="dxa"/>
            <w:vAlign w:val="bottom"/>
          </w:tcPr>
          <w:p>
            <w:pPr>
              <w:ind w:left="2960"/>
              <w:spacing w:after="0"/>
              <w:rPr>
                <w:sz w:val="20"/>
                <w:szCs w:val="20"/>
                <w:color w:val="auto"/>
              </w:rPr>
            </w:pPr>
            <w:r>
              <w:rPr>
                <w:rFonts w:ascii="Times New Roman" w:cs="Times New Roman" w:eastAsia="Times New Roman" w:hAnsi="Times New Roman"/>
                <w:sz w:val="13"/>
                <w:szCs w:val="13"/>
                <w:color w:val="auto"/>
              </w:rPr>
              <w:t>Emerging growth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9" w:lineRule="exact"/>
        <w:rPr>
          <w:sz w:val="24"/>
          <w:szCs w:val="24"/>
          <w:color w:val="auto"/>
        </w:rPr>
      </w:pPr>
    </w:p>
    <w:p>
      <w:pPr>
        <w:ind w:left="980"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2949575</wp:posOffset>
            </wp:positionH>
            <wp:positionV relativeFrom="paragraph">
              <wp:posOffset>86360</wp:posOffset>
            </wp:positionV>
            <wp:extent cx="124269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42695" cy="6985"/>
                    </a:xfrm>
                    <a:prstGeom prst="rect">
                      <a:avLst/>
                    </a:prstGeom>
                    <a:noFill/>
                  </pic:spPr>
                </pic:pic>
              </a:graphicData>
            </a:graphic>
          </wp:anchor>
        </w:drawing>
      </w:r>
    </w:p>
    <w:p>
      <w:pPr>
        <w:spacing w:after="0" w:line="168" w:lineRule="exact"/>
        <w:rPr>
          <w:sz w:val="24"/>
          <w:szCs w:val="24"/>
          <w:color w:val="auto"/>
        </w:rPr>
      </w:pPr>
    </w:p>
    <w:p>
      <w:pPr>
        <w:jc w:val="both"/>
        <w:ind w:left="980" w:right="260"/>
        <w:spacing w:after="0" w:line="236"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28" w:lineRule="exact"/>
        <w:rPr>
          <w:sz w:val="24"/>
          <w:szCs w:val="24"/>
          <w:color w:val="auto"/>
        </w:rPr>
      </w:pPr>
    </w:p>
    <w:p>
      <w:pPr>
        <w:ind w:left="980" w:right="60"/>
        <w:spacing w:after="0" w:line="225" w:lineRule="auto"/>
        <w:rPr>
          <w:sz w:val="20"/>
          <w:szCs w:val="20"/>
          <w:color w:val="auto"/>
        </w:rPr>
      </w:pPr>
      <w:r>
        <w:rPr>
          <w:rFonts w:ascii="Times New Roman" w:cs="Times New Roman" w:eastAsia="Times New Roman" w:hAnsi="Times New Roman"/>
          <w:sz w:val="13"/>
          <w:szCs w:val="13"/>
          <w:b w:val="1"/>
          <w:bCs w:val="1"/>
          <w:color w:val="auto"/>
        </w:rPr>
        <w:t>Pursuant to Rule 415(a)(6), the securities being registered hereunder include $23,737,820 of unsold securities which remain unsold as of the date hereof (the Unsold Securities) previously registered by the registrant’s registration on Form S-3 (File No. 333-266741) which was initially filed with the Securities and Exchange Commission on August 10, 2022 and declared effective on August 17, 2022 (the Prior Registration Statement). The aggregate filing fee paid in connection with such Unsold Securities was $2,200. Pursuant to Rule 415(a)(6) under the Securities Act, (i) the registration fee applicable to the Unsold Securities is being carried forward to this registration statement and will continue to be applied to the Unsold Securities and (ii) the offering of the Unsold Securities registered on the Prior Registration Statement will be deemed terminated as of the date of effectiveness of this registration statement. If,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and the updated amount of new securities to be registered on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622935</wp:posOffset>
            </wp:positionH>
            <wp:positionV relativeFrom="paragraph">
              <wp:posOffset>62865</wp:posOffset>
            </wp:positionV>
            <wp:extent cx="589661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96610" cy="698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98425</wp:posOffset>
            </wp:positionV>
            <wp:extent cx="589661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96610" cy="6985"/>
                    </a:xfrm>
                    <a:prstGeom prst="rect">
                      <a:avLst/>
                    </a:prstGeom>
                    <a:noFill/>
                  </pic:spPr>
                </pic:pic>
              </a:graphicData>
            </a:graphic>
          </wp:anchor>
        </w:drawing>
      </w:r>
    </w:p>
    <w:p>
      <w:pPr>
        <w:sectPr>
          <w:pgSz w:w="11900" w:h="16838" w:orient="portrait"/>
          <w:cols w:equalWidth="0" w:num="1">
            <w:col w:w="10240"/>
          </w:cols>
          <w:pgMar w:left="320" w:top="212" w:right="1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5"/>
          <w:szCs w:val="15"/>
          <w:b w:val="1"/>
          <w:bCs w:val="1"/>
          <w:color w:val="auto"/>
        </w:rPr>
        <w:t>EXPLANATORY NOTE</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This registration statement contains two prospectuses:</w:t>
      </w:r>
    </w:p>
    <w:p>
      <w:pPr>
        <w:spacing w:after="0" w:line="112" w:lineRule="exact"/>
        <w:rPr>
          <w:sz w:val="20"/>
          <w:szCs w:val="20"/>
          <w:color w:val="auto"/>
        </w:rPr>
      </w:pPr>
    </w:p>
    <w:p>
      <w:pPr>
        <w:ind w:left="1800" w:right="80" w:hanging="364"/>
        <w:spacing w:after="0" w:line="270" w:lineRule="auto"/>
        <w:tabs>
          <w:tab w:leader="none" w:pos="180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base prospectus, which covers the offering, issuance and sale by us of up to a maximum aggregate offering price of $300,000,000 of our common stock, preferred stock, debt securities, depositary shares, warrants, subscription rights, purchase contracts and/or units representing two or more of the foregoing securities; and</w:t>
      </w:r>
    </w:p>
    <w:p>
      <w:pPr>
        <w:spacing w:after="0" w:line="66" w:lineRule="exact"/>
        <w:rPr>
          <w:rFonts w:ascii="Times New Roman" w:cs="Times New Roman" w:eastAsia="Times New Roman" w:hAnsi="Times New Roman"/>
          <w:sz w:val="15"/>
          <w:szCs w:val="15"/>
          <w:color w:val="auto"/>
        </w:rPr>
      </w:pPr>
    </w:p>
    <w:p>
      <w:pPr>
        <w:ind w:left="1800" w:hanging="364"/>
        <w:spacing w:after="0" w:line="257" w:lineRule="auto"/>
        <w:tabs>
          <w:tab w:leader="none" w:pos="180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prospectus supplement covering the offering, issuance and sale by us of up to a maximum aggregate offering price of $69,820,000 of our common stock that may be issued and sold under a sales agreement (Sales Agreement) dated August 10, 2022 with Leerink Partners LLC. On August 10, 2022, we filed a sales agreement prospectus supplement (the Prior Sales Agreement Prospectus Supplement) covering the offering, issuance, and sale of up to a maximum aggregate offering price of $75.0 million of our common stock that could be issued and sold from time to time under the Sales Agreement. As of immediately prior to the filing of this registration statement, we have sold an aggregate of 1,358,333 shares of our common stock under the Sales Agreement for aggregate gross proceeds of $5.2 million, resulting in $69.8 million of shares of our common stock remaining for future sale under the Sales Agreement. On March 3, 2025, we suspended and terminated the Prior Sales Agreement Prospectus Supplement. As a result, we will not make any sales of our common stock pursuant to the Sales Agreement under the Prior Sales Agreement Prospectus Supplement and any such remaining shares may be offered, issued and sold under the prospectus supplement that immediately follows the base prospectus filed herewith.</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The base prospectus immediately follows this explanatory note. The Sales Agreement prospectus supplement immediately follows the base prospectus.</w:t>
      </w:r>
    </w:p>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The $69,820,000 of common stock that may be offered, issued and sold under the Sales Agreement prospectus supplement is included in the</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$300,000,000 of securities that may be offered, issued and sold by us under the base prospectus. Any portion of the $69,820,000 included in the Sales</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Agreement prospectus supplement that is not sold pursuant to the Sales Agreement will be available for sale in other offerings pursuant to the base</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prospectus and a corresponding prospectus supplement, and if no shares are sold under the Sales Agreement, the full $69,820,000 of securities may be</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sold in other offerings pursuant to the base prospectus and a corresponding prospectus supplement.</w:t>
      </w:r>
    </w:p>
    <w:p>
      <w:pPr>
        <w:sectPr>
          <w:pgSz w:w="11900" w:h="16838" w:orient="portrait"/>
          <w:cols w:equalWidth="0" w:num="1">
            <w:col w:w="10260"/>
          </w:cols>
          <w:pgMar w:left="320" w:top="405" w:right="1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11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b w:val="1"/>
                <w:bCs w:val="1"/>
                <w:color w:val="0000EE"/>
                <w:w w:val="98"/>
              </w:rPr>
              <w:t>Table of Contents</w:t>
            </w:r>
          </w:p>
        </w:tc>
        <w:tc>
          <w:tcPr>
            <w:tcW w:w="340" w:type="dxa"/>
            <w:vAlign w:val="bottom"/>
          </w:tcPr>
          <w:p>
            <w:pPr>
              <w:spacing w:after="0"/>
              <w:rPr>
                <w:sz w:val="15"/>
                <w:szCs w:val="15"/>
                <w:color w:val="auto"/>
              </w:rPr>
            </w:pPr>
          </w:p>
        </w:tc>
      </w:tr>
      <w:tr>
        <w:trPr>
          <w:trHeight w:val="1109"/>
        </w:trPr>
        <w:tc>
          <w:tcPr>
            <w:tcW w:w="1140" w:type="dxa"/>
            <w:vAlign w:val="bottom"/>
            <w:textDirection w:val="btLr"/>
          </w:tcPr>
          <w:p>
            <w:pPr>
              <w:ind w:left="968"/>
              <w:spacing w:after="0"/>
              <w:rPr>
                <w:sz w:val="20"/>
                <w:szCs w:val="20"/>
                <w:color w:val="auto"/>
              </w:rPr>
            </w:pPr>
            <w:r>
              <w:rPr>
                <w:rFonts w:ascii="Times New Roman" w:cs="Times New Roman" w:eastAsia="Times New Roman" w:hAnsi="Times New Roman"/>
                <w:sz w:val="15"/>
                <w:szCs w:val="15"/>
                <w:b w:val="1"/>
                <w:bCs w:val="1"/>
                <w:color w:val="FF4338"/>
                <w:w w:val="99"/>
              </w:rPr>
              <w:t>with the</w:t>
            </w:r>
          </w:p>
        </w:tc>
        <w:tc>
          <w:tcPr>
            <w:tcW w:w="340" w:type="dxa"/>
            <w:vAlign w:val="bottom"/>
            <w:textDirection w:val="btLr"/>
          </w:tcPr>
          <w:p>
            <w:pPr>
              <w:ind w:left="33"/>
              <w:spacing w:after="0"/>
              <w:rPr>
                <w:sz w:val="20"/>
                <w:szCs w:val="20"/>
                <w:color w:val="auto"/>
              </w:rPr>
            </w:pPr>
            <w:r>
              <w:rPr>
                <w:rFonts w:ascii="Times New Roman" w:cs="Times New Roman" w:eastAsia="Times New Roman" w:hAnsi="Times New Roman"/>
                <w:sz w:val="15"/>
                <w:szCs w:val="15"/>
                <w:b w:val="1"/>
                <w:bCs w:val="1"/>
                <w:color w:val="FF4338"/>
                <w:w w:val="98"/>
              </w:rPr>
              <w:t>these</w:t>
            </w:r>
          </w:p>
        </w:tc>
      </w:tr>
      <w:tr>
        <w:trPr>
          <w:trHeight w:val="994"/>
        </w:trPr>
        <w:tc>
          <w:tcPr>
            <w:tcW w:w="1140" w:type="dxa"/>
            <w:vAlign w:val="bottom"/>
            <w:textDirection w:val="btLr"/>
          </w:tcPr>
          <w:p>
            <w:pPr>
              <w:ind w:left="968"/>
              <w:spacing w:after="0"/>
              <w:rPr>
                <w:sz w:val="20"/>
                <w:szCs w:val="20"/>
                <w:color w:val="auto"/>
              </w:rPr>
            </w:pPr>
            <w:r>
              <w:rPr>
                <w:rFonts w:ascii="Times New Roman" w:cs="Times New Roman" w:eastAsia="Times New Roman" w:hAnsi="Times New Roman"/>
                <w:sz w:val="15"/>
                <w:szCs w:val="15"/>
                <w:b w:val="1"/>
                <w:bCs w:val="1"/>
                <w:color w:val="FF4338"/>
              </w:rPr>
              <w:t>statement filed</w:t>
            </w:r>
          </w:p>
        </w:tc>
        <w:tc>
          <w:tcPr>
            <w:tcW w:w="340" w:type="dxa"/>
            <w:vAlign w:val="bottom"/>
            <w:textDirection w:val="btLr"/>
          </w:tcPr>
          <w:p>
            <w:pPr>
              <w:ind w:left="33"/>
              <w:spacing w:after="0"/>
              <w:rPr>
                <w:sz w:val="20"/>
                <w:szCs w:val="20"/>
                <w:color w:val="auto"/>
              </w:rPr>
            </w:pPr>
            <w:r>
              <w:rPr>
                <w:rFonts w:ascii="Times New Roman" w:cs="Times New Roman" w:eastAsia="Times New Roman" w:hAnsi="Times New Roman"/>
                <w:sz w:val="15"/>
                <w:szCs w:val="15"/>
                <w:b w:val="1"/>
                <w:bCs w:val="1"/>
                <w:color w:val="FF4338"/>
              </w:rPr>
              <w:t>an offer to buy</w:t>
            </w:r>
          </w:p>
        </w:tc>
      </w:tr>
      <w:tr>
        <w:trPr>
          <w:trHeight w:val="1033"/>
        </w:trPr>
        <w:tc>
          <w:tcPr>
            <w:tcW w:w="1140" w:type="dxa"/>
            <w:vAlign w:val="bottom"/>
            <w:textDirection w:val="btLr"/>
          </w:tcPr>
          <w:p>
            <w:pPr>
              <w:ind w:left="968"/>
              <w:spacing w:after="0"/>
              <w:rPr>
                <w:sz w:val="20"/>
                <w:szCs w:val="20"/>
                <w:color w:val="auto"/>
              </w:rPr>
            </w:pPr>
            <w:r>
              <w:rPr>
                <w:rFonts w:ascii="Times New Roman" w:cs="Times New Roman" w:eastAsia="Times New Roman" w:hAnsi="Times New Roman"/>
                <w:sz w:val="15"/>
                <w:szCs w:val="15"/>
                <w:b w:val="1"/>
                <w:bCs w:val="1"/>
                <w:color w:val="FF4338"/>
              </w:rPr>
              <w:t>the registration</w:t>
            </w:r>
          </w:p>
        </w:tc>
        <w:tc>
          <w:tcPr>
            <w:tcW w:w="340" w:type="dxa"/>
            <w:vAlign w:val="bottom"/>
            <w:textDirection w:val="btLr"/>
          </w:tcPr>
          <w:p>
            <w:pPr>
              <w:ind w:left="33"/>
              <w:spacing w:after="0"/>
              <w:rPr>
                <w:sz w:val="20"/>
                <w:szCs w:val="20"/>
                <w:color w:val="auto"/>
              </w:rPr>
            </w:pPr>
            <w:r>
              <w:rPr>
                <w:rFonts w:ascii="Times New Roman" w:cs="Times New Roman" w:eastAsia="Times New Roman" w:hAnsi="Times New Roman"/>
                <w:sz w:val="15"/>
                <w:szCs w:val="15"/>
                <w:b w:val="1"/>
                <w:bCs w:val="1"/>
                <w:color w:val="FF4338"/>
              </w:rPr>
              <w:t>is not soliciting</w:t>
            </w:r>
          </w:p>
        </w:tc>
      </w:tr>
      <w:tr>
        <w:trPr>
          <w:trHeight w:val="1395"/>
        </w:trPr>
        <w:tc>
          <w:tcPr>
            <w:tcW w:w="1140" w:type="dxa"/>
            <w:vAlign w:val="bottom"/>
            <w:textDirection w:val="btLr"/>
          </w:tcPr>
          <w:p>
            <w:pPr>
              <w:ind w:left="968"/>
              <w:spacing w:after="0"/>
              <w:rPr>
                <w:sz w:val="20"/>
                <w:szCs w:val="20"/>
                <w:color w:val="auto"/>
              </w:rPr>
            </w:pPr>
            <w:r>
              <w:rPr>
                <w:rFonts w:ascii="Times New Roman" w:cs="Times New Roman" w:eastAsia="Times New Roman" w:hAnsi="Times New Roman"/>
                <w:sz w:val="15"/>
                <w:szCs w:val="15"/>
                <w:b w:val="1"/>
                <w:bCs w:val="1"/>
                <w:color w:val="FF4338"/>
              </w:rPr>
              <w:t>may not be sold until</w:t>
            </w:r>
          </w:p>
        </w:tc>
        <w:tc>
          <w:tcPr>
            <w:tcW w:w="340" w:type="dxa"/>
            <w:vAlign w:val="bottom"/>
            <w:textDirection w:val="btLr"/>
          </w:tcPr>
          <w:p>
            <w:pPr>
              <w:ind w:left="33"/>
              <w:spacing w:after="0"/>
              <w:rPr>
                <w:sz w:val="20"/>
                <w:szCs w:val="20"/>
                <w:color w:val="auto"/>
              </w:rPr>
            </w:pPr>
            <w:r>
              <w:rPr>
                <w:rFonts w:ascii="Times New Roman" w:cs="Times New Roman" w:eastAsia="Times New Roman" w:hAnsi="Times New Roman"/>
                <w:sz w:val="15"/>
                <w:szCs w:val="15"/>
                <w:b w:val="1"/>
                <w:bCs w:val="1"/>
                <w:color w:val="FF4338"/>
              </w:rPr>
              <w:t>these securities and it</w:t>
            </w:r>
          </w:p>
        </w:tc>
      </w:tr>
      <w:tr>
        <w:trPr>
          <w:trHeight w:val="960"/>
        </w:trPr>
        <w:tc>
          <w:tcPr>
            <w:tcW w:w="1140" w:type="dxa"/>
            <w:vAlign w:val="bottom"/>
            <w:textDirection w:val="btLr"/>
          </w:tcPr>
          <w:p>
            <w:pPr>
              <w:ind w:left="968"/>
              <w:spacing w:after="0"/>
              <w:rPr>
                <w:sz w:val="20"/>
                <w:szCs w:val="20"/>
                <w:color w:val="auto"/>
              </w:rPr>
            </w:pPr>
            <w:r>
              <w:rPr>
                <w:rFonts w:ascii="Times New Roman" w:cs="Times New Roman" w:eastAsia="Times New Roman" w:hAnsi="Times New Roman"/>
                <w:sz w:val="15"/>
                <w:szCs w:val="15"/>
                <w:b w:val="1"/>
                <w:bCs w:val="1"/>
                <w:color w:val="FF4338"/>
              </w:rPr>
              <w:t>The securities</w:t>
            </w:r>
          </w:p>
        </w:tc>
        <w:tc>
          <w:tcPr>
            <w:tcW w:w="340" w:type="dxa"/>
            <w:vAlign w:val="bottom"/>
            <w:textDirection w:val="btLr"/>
          </w:tcPr>
          <w:p>
            <w:pPr>
              <w:ind w:left="33"/>
              <w:spacing w:after="0"/>
              <w:rPr>
                <w:sz w:val="20"/>
                <w:szCs w:val="20"/>
                <w:color w:val="auto"/>
              </w:rPr>
            </w:pPr>
            <w:r>
              <w:rPr>
                <w:rFonts w:ascii="Times New Roman" w:cs="Times New Roman" w:eastAsia="Times New Roman" w:hAnsi="Times New Roman"/>
                <w:sz w:val="15"/>
                <w:szCs w:val="15"/>
                <w:b w:val="1"/>
                <w:bCs w:val="1"/>
                <w:color w:val="FF4338"/>
              </w:rPr>
              <w:t>an offer to sell</w:t>
            </w:r>
          </w:p>
        </w:tc>
      </w:tr>
      <w:tr>
        <w:trPr>
          <w:trHeight w:val="4661"/>
        </w:trPr>
        <w:tc>
          <w:tcPr>
            <w:tcW w:w="1140" w:type="dxa"/>
            <w:vAlign w:val="bottom"/>
            <w:textDirection w:val="btLr"/>
          </w:tcPr>
          <w:p>
            <w:pPr>
              <w:ind w:left="968"/>
              <w:spacing w:after="0"/>
              <w:rPr>
                <w:sz w:val="20"/>
                <w:szCs w:val="20"/>
                <w:color w:val="auto"/>
              </w:rPr>
            </w:pPr>
            <w:r>
              <w:rPr>
                <w:rFonts w:ascii="Times New Roman" w:cs="Times New Roman" w:eastAsia="Times New Roman" w:hAnsi="Times New Roman"/>
                <w:sz w:val="15"/>
                <w:szCs w:val="15"/>
                <w:b w:val="1"/>
                <w:bCs w:val="1"/>
                <w:color w:val="FF4338"/>
              </w:rPr>
              <w:t>The information in this prospectus is not complete and may be changed.</w:t>
            </w:r>
          </w:p>
        </w:tc>
        <w:tc>
          <w:tcPr>
            <w:tcW w:w="340" w:type="dxa"/>
            <w:vAlign w:val="bottom"/>
            <w:textDirection w:val="btLr"/>
          </w:tcPr>
          <w:p>
            <w:pPr>
              <w:ind w:left="202"/>
              <w:spacing w:after="0"/>
              <w:rPr>
                <w:sz w:val="20"/>
                <w:szCs w:val="20"/>
                <w:color w:val="auto"/>
              </w:rPr>
            </w:pPr>
            <w:r>
              <w:rPr>
                <w:rFonts w:ascii="Times New Roman" w:cs="Times New Roman" w:eastAsia="Times New Roman" w:hAnsi="Times New Roman"/>
                <w:sz w:val="12"/>
                <w:szCs w:val="12"/>
                <w:b w:val="1"/>
                <w:bCs w:val="1"/>
                <w:color w:val="FF4338"/>
                <w:w w:val="71"/>
              </w:rPr>
              <w:t>Securities and Exchange Commission is effective. This prospectus is notsecuritiesinanystatewheretheofferorsaleisnotpermitted.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5"/>
          <w:szCs w:val="15"/>
          <w:b w:val="1"/>
          <w:bCs w:val="1"/>
          <w:color w:val="FF4338"/>
        </w:rPr>
        <w:t>Subject to Completion, dated March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-1097280</wp:posOffset>
            </wp:positionH>
            <wp:positionV relativeFrom="paragraph">
              <wp:posOffset>-638810</wp:posOffset>
            </wp:positionV>
            <wp:extent cx="719391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83185</wp:posOffset>
            </wp:positionV>
            <wp:extent cx="1069340" cy="390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69340"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36"/>
          <w:szCs w:val="36"/>
          <w:b w:val="1"/>
          <w:bCs w:val="1"/>
          <w:color w:val="auto"/>
        </w:rPr>
        <w:t>Tenaya Therapeutics, Inc.</w:t>
      </w:r>
    </w:p>
    <w:p>
      <w:pPr>
        <w:spacing w:after="0" w:line="1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7"/>
          <w:szCs w:val="27"/>
          <w:b w:val="1"/>
          <w:bCs w:val="1"/>
          <w:color w:val="auto"/>
        </w:rPr>
        <w:t>$300,000,000</w:t>
      </w:r>
    </w:p>
    <w:p>
      <w:pPr>
        <w:spacing w:after="0" w:line="195"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37"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1"/>
          <w:szCs w:val="21"/>
          <w:b w:val="1"/>
          <w:bCs w:val="1"/>
          <w:color w:val="auto"/>
        </w:rPr>
        <w:t>Preferred Stock</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1"/>
          <w:szCs w:val="21"/>
          <w:b w:val="1"/>
          <w:bCs w:val="1"/>
          <w:color w:val="auto"/>
        </w:rPr>
        <w:t>Debt Securities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1"/>
          <w:szCs w:val="21"/>
          <w:b w:val="1"/>
          <w:bCs w:val="1"/>
          <w:color w:val="auto"/>
        </w:rPr>
        <w:t>Depositary Shares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1"/>
          <w:szCs w:val="21"/>
          <w:b w:val="1"/>
          <w:bCs w:val="1"/>
          <w:color w:val="auto"/>
        </w:rPr>
        <w:t>Warrants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1"/>
          <w:szCs w:val="21"/>
          <w:b w:val="1"/>
          <w:bCs w:val="1"/>
          <w:color w:val="auto"/>
        </w:rPr>
        <w:t>Subscription Rights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1"/>
          <w:szCs w:val="21"/>
          <w:b w:val="1"/>
          <w:bCs w:val="1"/>
          <w:color w:val="auto"/>
        </w:rPr>
        <w:t>Purchase Contracts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1"/>
          <w:szCs w:val="21"/>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1971675</wp:posOffset>
            </wp:positionH>
            <wp:positionV relativeFrom="paragraph">
              <wp:posOffset>190500</wp:posOffset>
            </wp:positionV>
            <wp:extent cx="104076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40765" cy="698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right="659" w:firstLine="313"/>
        <w:spacing w:after="0" w:line="260" w:lineRule="auto"/>
        <w:rPr>
          <w:sz w:val="20"/>
          <w:szCs w:val="20"/>
          <w:color w:val="auto"/>
        </w:rPr>
      </w:pPr>
      <w:r>
        <w:rPr>
          <w:rFonts w:ascii="Times New Roman" w:cs="Times New Roman" w:eastAsia="Times New Roman" w:hAnsi="Times New Roman"/>
          <w:sz w:val="15"/>
          <w:szCs w:val="15"/>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$300,000,000.</w:t>
      </w:r>
    </w:p>
    <w:p>
      <w:pPr>
        <w:spacing w:after="0" w:line="153" w:lineRule="exact"/>
        <w:rPr>
          <w:sz w:val="20"/>
          <w:szCs w:val="20"/>
          <w:color w:val="auto"/>
        </w:rPr>
      </w:pPr>
    </w:p>
    <w:p>
      <w:pPr>
        <w:ind w:right="659" w:firstLine="313"/>
        <w:spacing w:after="0" w:line="264" w:lineRule="auto"/>
        <w:rPr>
          <w:sz w:val="20"/>
          <w:szCs w:val="20"/>
          <w:color w:val="auto"/>
        </w:rPr>
      </w:pPr>
      <w:r>
        <w:rPr>
          <w:rFonts w:ascii="Times New Roman" w:cs="Times New Roman" w:eastAsia="Times New Roman" w:hAnsi="Times New Roman"/>
          <w:sz w:val="15"/>
          <w:szCs w:val="15"/>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51" w:lineRule="exact"/>
        <w:rPr>
          <w:sz w:val="20"/>
          <w:szCs w:val="20"/>
          <w:color w:val="auto"/>
        </w:rPr>
      </w:pPr>
    </w:p>
    <w:p>
      <w:pPr>
        <w:ind w:right="739" w:firstLine="313"/>
        <w:spacing w:after="0" w:line="287" w:lineRule="auto"/>
        <w:rPr>
          <w:sz w:val="20"/>
          <w:szCs w:val="20"/>
          <w:color w:val="auto"/>
        </w:rPr>
      </w:pPr>
      <w:r>
        <w:rPr>
          <w:rFonts w:ascii="Times New Roman" w:cs="Times New Roman" w:eastAsia="Times New Roman" w:hAnsi="Times New Roman"/>
          <w:sz w:val="15"/>
          <w:szCs w:val="15"/>
          <w:color w:val="auto"/>
        </w:rPr>
        <w:t>Our common stock is listed on the Nasdaq Global Select Market under the symbol “TNYA.” Each prospectus supplement will indicate whether the securities offered thereby will be listed on any securities exchange.</w:t>
      </w:r>
    </w:p>
    <w:p>
      <w:pPr>
        <w:spacing w:after="0" w:line="134" w:lineRule="exact"/>
        <w:rPr>
          <w:sz w:val="20"/>
          <w:szCs w:val="20"/>
          <w:color w:val="auto"/>
        </w:rPr>
      </w:pPr>
    </w:p>
    <w:p>
      <w:pPr>
        <w:jc w:val="both"/>
        <w:ind w:right="839" w:firstLine="313"/>
        <w:spacing w:after="0" w:line="264" w:lineRule="auto"/>
        <w:rPr>
          <w:sz w:val="20"/>
          <w:szCs w:val="20"/>
          <w:color w:val="auto"/>
        </w:rPr>
      </w:pPr>
      <w:r>
        <w:rPr>
          <w:rFonts w:ascii="Times New Roman" w:cs="Times New Roman" w:eastAsia="Times New Roman" w:hAnsi="Times New Roman"/>
          <w:sz w:val="15"/>
          <w:szCs w:val="15"/>
          <w:color w:val="auto"/>
        </w:rPr>
        <w:t>We are an “emerging growth company” and a “smaller reporting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common stock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1971675</wp:posOffset>
            </wp:positionH>
            <wp:positionV relativeFrom="paragraph">
              <wp:posOffset>177800</wp:posOffset>
            </wp:positionV>
            <wp:extent cx="104076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40765" cy="698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right="639" w:firstLine="313"/>
        <w:spacing w:after="0" w:line="250"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Please carefully read the information under the headings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6 of this prospectus and “Item 1A – Risk Factors” of our most recent report on Form 10-K or 10-Q that is incorporated by reference in this prospectus before you invest in our securities.</w:t>
      </w:r>
    </w:p>
    <w:p>
      <w:pPr>
        <w:spacing w:after="0" w:line="147" w:lineRule="exact"/>
        <w:rPr>
          <w:sz w:val="20"/>
          <w:szCs w:val="20"/>
          <w:color w:val="auto"/>
        </w:rPr>
      </w:pPr>
    </w:p>
    <w:p>
      <w:pPr>
        <w:ind w:right="679" w:firstLine="313"/>
        <w:spacing w:after="0" w:line="273"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1971675</wp:posOffset>
            </wp:positionH>
            <wp:positionV relativeFrom="paragraph">
              <wp:posOffset>179705</wp:posOffset>
            </wp:positionV>
            <wp:extent cx="104076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40765" cy="698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5"/>
          <w:szCs w:val="15"/>
          <w:b w:val="1"/>
          <w:bCs w:val="1"/>
          <w:color w:val="auto"/>
        </w:rPr>
        <w:t>The date of this prospectus is             , 2025.</w:t>
      </w:r>
    </w:p>
    <w:p>
      <w:pPr>
        <w:sectPr>
          <w:pgSz w:w="11900" w:h="16838" w:orient="portrait"/>
          <w:cols w:equalWidth="0" w:num="2">
            <w:col w:w="1480" w:space="220"/>
            <w:col w:w="8439"/>
          </w:cols>
          <w:pgMar w:left="320" w:top="399"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tbl>
      <w:tblPr>
        <w:tblLayout w:type="fixed"/>
        <w:tblInd w:w="980" w:type="dxa"/>
        <w:tblCellMar>
          <w:top w:w="0" w:type="dxa"/>
          <w:left w:w="0" w:type="dxa"/>
          <w:bottom w:w="0" w:type="dxa"/>
          <w:right w:w="0" w:type="dxa"/>
        </w:tblCellMar>
      </w:tblPr>
      <w:tr>
        <w:trPr>
          <w:trHeight w:val="201"/>
        </w:trPr>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20" w:type="dxa"/>
            <w:vAlign w:val="bottom"/>
            <w:gridSpan w:val="2"/>
          </w:tcPr>
          <w:p>
            <w:pPr>
              <w:jc w:val="right"/>
              <w:ind w:right="3712"/>
              <w:spacing w:after="0"/>
              <w:rPr>
                <w:sz w:val="20"/>
                <w:szCs w:val="20"/>
                <w:color w:val="auto"/>
              </w:rPr>
            </w:pPr>
            <w:r>
              <w:rPr>
                <w:rFonts w:ascii="Times New Roman" w:cs="Times New Roman" w:eastAsia="Times New Roman" w:hAnsi="Times New Roman"/>
                <w:sz w:val="15"/>
                <w:szCs w:val="15"/>
                <w:b w:val="1"/>
                <w:bCs w:val="1"/>
                <w:color w:val="auto"/>
              </w:rPr>
              <w:t>TABLE OF CONTENTS</w:t>
            </w:r>
          </w:p>
        </w:tc>
      </w:tr>
      <w:tr>
        <w:trPr>
          <w:trHeight w:val="330"/>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89"/>
              </w:rPr>
              <w:t>Page</w:t>
            </w:r>
          </w:p>
        </w:tc>
      </w:tr>
      <w:tr>
        <w:trPr>
          <w:trHeight w:val="219"/>
        </w:trPr>
        <w:tc>
          <w:tcPr>
            <w:tcW w:w="13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5"/>
                <w:szCs w:val="15"/>
                <w:color w:val="0000EE"/>
              </w:rPr>
              <w:t>About this Prospectus</w:t>
            </w:r>
          </w:p>
        </w:tc>
        <w:tc>
          <w:tcPr>
            <w:tcW w:w="1080" w:type="dxa"/>
            <w:vAlign w:val="bottom"/>
            <w:gridSpan w:val="9"/>
          </w:tcPr>
          <w:p>
            <w:pPr>
              <w:spacing w:after="0"/>
              <w:rPr>
                <w:sz w:val="19"/>
                <w:szCs w:val="19"/>
                <w:color w:val="auto"/>
              </w:rPr>
            </w:pPr>
          </w:p>
        </w:tc>
        <w:tc>
          <w:tcPr>
            <w:tcW w:w="6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ii</w:t>
            </w:r>
          </w:p>
        </w:tc>
      </w:tr>
      <w:tr>
        <w:trPr>
          <w:trHeight w:val="162"/>
        </w:trPr>
        <w:tc>
          <w:tcPr>
            <w:tcW w:w="2420" w:type="dxa"/>
            <w:vAlign w:val="bottom"/>
            <w:gridSpan w:val="17"/>
          </w:tcPr>
          <w:p>
            <w:pPr>
              <w:spacing w:after="0" w:line="162" w:lineRule="exact"/>
              <w:rPr>
                <w:sz w:val="20"/>
                <w:szCs w:val="20"/>
                <w:color w:val="auto"/>
              </w:rPr>
            </w:pPr>
            <w:r>
              <w:rPr>
                <w:rFonts w:ascii="Times New Roman" w:cs="Times New Roman" w:eastAsia="Times New Roman" w:hAnsi="Times New Roman"/>
                <w:sz w:val="15"/>
                <w:szCs w:val="15"/>
                <w:color w:val="0000EE"/>
              </w:rPr>
              <w:t>Prospectus Summary</w:t>
            </w:r>
          </w:p>
        </w:tc>
        <w:tc>
          <w:tcPr>
            <w:tcW w:w="68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r>
      <w:tr>
        <w:trPr>
          <w:trHeight w:val="162"/>
        </w:trPr>
        <w:tc>
          <w:tcPr>
            <w:tcW w:w="1280" w:type="dxa"/>
            <w:vAlign w:val="bottom"/>
            <w:tcBorders>
              <w:top w:val="single" w:sz="8" w:color="0000EE"/>
            </w:tcBorders>
            <w:gridSpan w:val="7"/>
          </w:tcPr>
          <w:p>
            <w:pPr>
              <w:spacing w:after="0" w:line="162" w:lineRule="exact"/>
              <w:rPr>
                <w:sz w:val="20"/>
                <w:szCs w:val="20"/>
                <w:color w:val="auto"/>
              </w:rPr>
            </w:pPr>
            <w:r>
              <w:rPr>
                <w:rFonts w:ascii="Times New Roman" w:cs="Times New Roman" w:eastAsia="Times New Roman" w:hAnsi="Times New Roman"/>
                <w:sz w:val="15"/>
                <w:szCs w:val="15"/>
                <w:color w:val="0000EE"/>
              </w:rPr>
              <w:t>Risk Factors</w:t>
            </w:r>
          </w:p>
        </w:tc>
        <w:tc>
          <w:tcPr>
            <w:tcW w:w="1140" w:type="dxa"/>
            <w:vAlign w:val="bottom"/>
            <w:gridSpan w:val="10"/>
          </w:tcPr>
          <w:p>
            <w:pPr>
              <w:spacing w:after="0"/>
              <w:rPr>
                <w:sz w:val="14"/>
                <w:szCs w:val="14"/>
                <w:color w:val="auto"/>
              </w:rPr>
            </w:pPr>
          </w:p>
        </w:tc>
        <w:tc>
          <w:tcPr>
            <w:tcW w:w="68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6</w:t>
            </w:r>
          </w:p>
        </w:tc>
      </w:tr>
      <w:tr>
        <w:trPr>
          <w:trHeight w:val="20"/>
        </w:trPr>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r>
      <w:tr>
        <w:trPr>
          <w:trHeight w:val="162"/>
        </w:trPr>
        <w:tc>
          <w:tcPr>
            <w:tcW w:w="2420" w:type="dxa"/>
            <w:vAlign w:val="bottom"/>
            <w:gridSpan w:val="17"/>
          </w:tcPr>
          <w:p>
            <w:pPr>
              <w:spacing w:after="0" w:line="162" w:lineRule="exact"/>
              <w:rPr>
                <w:sz w:val="20"/>
                <w:szCs w:val="20"/>
                <w:color w:val="auto"/>
              </w:rPr>
            </w:pPr>
            <w:r>
              <w:rPr>
                <w:rFonts w:ascii="Times New Roman" w:cs="Times New Roman" w:eastAsia="Times New Roman" w:hAnsi="Times New Roman"/>
                <w:sz w:val="15"/>
                <w:szCs w:val="15"/>
                <w:color w:val="0000EE"/>
              </w:rPr>
              <w:t>Forward-Looking Statements</w:t>
            </w:r>
          </w:p>
        </w:tc>
        <w:tc>
          <w:tcPr>
            <w:tcW w:w="68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7</w:t>
            </w:r>
          </w:p>
        </w:tc>
      </w:tr>
      <w:tr>
        <w:trPr>
          <w:trHeight w:val="162"/>
        </w:trPr>
        <w:tc>
          <w:tcPr>
            <w:tcW w:w="1780" w:type="dxa"/>
            <w:vAlign w:val="bottom"/>
            <w:tcBorders>
              <w:top w:val="single" w:sz="8" w:color="0000EE"/>
            </w:tcBorders>
            <w:gridSpan w:val="12"/>
          </w:tcPr>
          <w:p>
            <w:pPr>
              <w:spacing w:after="0" w:line="162" w:lineRule="exact"/>
              <w:rPr>
                <w:sz w:val="20"/>
                <w:szCs w:val="20"/>
                <w:color w:val="auto"/>
              </w:rPr>
            </w:pPr>
            <w:r>
              <w:rPr>
                <w:rFonts w:ascii="Times New Roman" w:cs="Times New Roman" w:eastAsia="Times New Roman" w:hAnsi="Times New Roman"/>
                <w:sz w:val="15"/>
                <w:szCs w:val="15"/>
                <w:color w:val="0000EE"/>
              </w:rPr>
              <w:t>Use of Proceeds</w:t>
            </w:r>
          </w:p>
        </w:tc>
        <w:tc>
          <w:tcPr>
            <w:tcW w:w="640" w:type="dxa"/>
            <w:vAlign w:val="bottom"/>
            <w:gridSpan w:val="5"/>
          </w:tcPr>
          <w:p>
            <w:pPr>
              <w:spacing w:after="0"/>
              <w:rPr>
                <w:sz w:val="14"/>
                <w:szCs w:val="14"/>
                <w:color w:val="auto"/>
              </w:rPr>
            </w:pPr>
          </w:p>
        </w:tc>
        <w:tc>
          <w:tcPr>
            <w:tcW w:w="68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8</w:t>
            </w:r>
          </w:p>
        </w:tc>
      </w:tr>
      <w:tr>
        <w:trPr>
          <w:trHeight w:val="20"/>
        </w:trPr>
        <w:tc>
          <w:tcPr>
            <w:tcW w:w="4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r>
      <w:tr>
        <w:trPr>
          <w:trHeight w:val="162"/>
        </w:trPr>
        <w:tc>
          <w:tcPr>
            <w:tcW w:w="1740" w:type="dxa"/>
            <w:vAlign w:val="bottom"/>
            <w:tcBorders>
              <w:bottom w:val="single" w:sz="8" w:color="0000EE"/>
            </w:tcBorders>
            <w:gridSpan w:val="11"/>
          </w:tcPr>
          <w:p>
            <w:pPr>
              <w:spacing w:after="0" w:line="162" w:lineRule="exact"/>
              <w:rPr>
                <w:sz w:val="20"/>
                <w:szCs w:val="20"/>
                <w:color w:val="auto"/>
              </w:rPr>
            </w:pPr>
            <w:r>
              <w:rPr>
                <w:rFonts w:ascii="Times New Roman" w:cs="Times New Roman" w:eastAsia="Times New Roman" w:hAnsi="Times New Roman"/>
                <w:sz w:val="15"/>
                <w:szCs w:val="15"/>
                <w:color w:val="0000EE"/>
              </w:rPr>
              <w:t>Description of Capital Stock</w:t>
            </w:r>
          </w:p>
        </w:tc>
        <w:tc>
          <w:tcPr>
            <w:tcW w:w="680" w:type="dxa"/>
            <w:vAlign w:val="bottom"/>
            <w:gridSpan w:val="6"/>
          </w:tcPr>
          <w:p>
            <w:pPr>
              <w:spacing w:after="0"/>
              <w:rPr>
                <w:sz w:val="14"/>
                <w:szCs w:val="14"/>
                <w:color w:val="auto"/>
              </w:rPr>
            </w:pPr>
          </w:p>
        </w:tc>
        <w:tc>
          <w:tcPr>
            <w:tcW w:w="68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9</w:t>
            </w:r>
          </w:p>
        </w:tc>
      </w:tr>
      <w:tr>
        <w:trPr>
          <w:trHeight w:val="162"/>
        </w:trPr>
        <w:tc>
          <w:tcPr>
            <w:tcW w:w="2420" w:type="dxa"/>
            <w:vAlign w:val="bottom"/>
            <w:gridSpan w:val="17"/>
          </w:tcPr>
          <w:p>
            <w:pPr>
              <w:spacing w:after="0" w:line="162" w:lineRule="exact"/>
              <w:rPr>
                <w:sz w:val="20"/>
                <w:szCs w:val="20"/>
                <w:color w:val="auto"/>
              </w:rPr>
            </w:pPr>
            <w:r>
              <w:rPr>
                <w:rFonts w:ascii="Times New Roman" w:cs="Times New Roman" w:eastAsia="Times New Roman" w:hAnsi="Times New Roman"/>
                <w:sz w:val="15"/>
                <w:szCs w:val="15"/>
                <w:color w:val="0000EE"/>
              </w:rPr>
              <w:t>Description of Debt Securities</w:t>
            </w:r>
          </w:p>
        </w:tc>
        <w:tc>
          <w:tcPr>
            <w:tcW w:w="68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10</w:t>
            </w:r>
          </w:p>
        </w:tc>
      </w:tr>
      <w:tr>
        <w:trPr>
          <w:trHeight w:val="20"/>
        </w:trPr>
        <w:tc>
          <w:tcPr>
            <w:tcW w:w="4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r>
      <w:tr>
        <w:trPr>
          <w:trHeight w:val="162"/>
        </w:trPr>
        <w:tc>
          <w:tcPr>
            <w:tcW w:w="2020" w:type="dxa"/>
            <w:vAlign w:val="bottom"/>
            <w:tcBorders>
              <w:bottom w:val="single" w:sz="8" w:color="0000EE"/>
            </w:tcBorders>
            <w:gridSpan w:val="14"/>
          </w:tcPr>
          <w:p>
            <w:pPr>
              <w:spacing w:after="0" w:line="162" w:lineRule="exact"/>
              <w:rPr>
                <w:sz w:val="20"/>
                <w:szCs w:val="20"/>
                <w:color w:val="auto"/>
              </w:rPr>
            </w:pPr>
            <w:r>
              <w:rPr>
                <w:rFonts w:ascii="Times New Roman" w:cs="Times New Roman" w:eastAsia="Times New Roman" w:hAnsi="Times New Roman"/>
                <w:sz w:val="15"/>
                <w:szCs w:val="15"/>
                <w:color w:val="0000EE"/>
              </w:rPr>
              <w:t>Description of Depositary Shares</w:t>
            </w:r>
          </w:p>
        </w:tc>
        <w:tc>
          <w:tcPr>
            <w:tcW w:w="400" w:type="dxa"/>
            <w:vAlign w:val="bottom"/>
            <w:gridSpan w:val="3"/>
          </w:tcPr>
          <w:p>
            <w:pPr>
              <w:spacing w:after="0"/>
              <w:rPr>
                <w:sz w:val="14"/>
                <w:szCs w:val="14"/>
                <w:color w:val="auto"/>
              </w:rPr>
            </w:pPr>
          </w:p>
        </w:tc>
        <w:tc>
          <w:tcPr>
            <w:tcW w:w="68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18</w:t>
            </w:r>
          </w:p>
        </w:tc>
      </w:tr>
      <w:tr>
        <w:trPr>
          <w:trHeight w:val="162"/>
        </w:trPr>
        <w:tc>
          <w:tcPr>
            <w:tcW w:w="1460" w:type="dxa"/>
            <w:vAlign w:val="bottom"/>
            <w:tcBorders>
              <w:bottom w:val="single" w:sz="8" w:color="0000EE"/>
            </w:tcBorders>
            <w:gridSpan w:val="9"/>
          </w:tcPr>
          <w:p>
            <w:pPr>
              <w:spacing w:after="0" w:line="162" w:lineRule="exact"/>
              <w:rPr>
                <w:sz w:val="20"/>
                <w:szCs w:val="20"/>
                <w:color w:val="auto"/>
              </w:rPr>
            </w:pPr>
            <w:r>
              <w:rPr>
                <w:rFonts w:ascii="Times New Roman" w:cs="Times New Roman" w:eastAsia="Times New Roman" w:hAnsi="Times New Roman"/>
                <w:sz w:val="15"/>
                <w:szCs w:val="15"/>
                <w:color w:val="0000EE"/>
                <w:w w:val="99"/>
              </w:rPr>
              <w:t>Description of Warrants</w:t>
            </w:r>
          </w:p>
        </w:tc>
        <w:tc>
          <w:tcPr>
            <w:tcW w:w="960" w:type="dxa"/>
            <w:vAlign w:val="bottom"/>
            <w:gridSpan w:val="8"/>
          </w:tcPr>
          <w:p>
            <w:pPr>
              <w:spacing w:after="0"/>
              <w:rPr>
                <w:sz w:val="14"/>
                <w:szCs w:val="14"/>
                <w:color w:val="auto"/>
              </w:rPr>
            </w:pPr>
          </w:p>
        </w:tc>
        <w:tc>
          <w:tcPr>
            <w:tcW w:w="68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21</w:t>
            </w:r>
          </w:p>
        </w:tc>
      </w:tr>
      <w:tr>
        <w:trPr>
          <w:trHeight w:val="162"/>
        </w:trPr>
        <w:tc>
          <w:tcPr>
            <w:tcW w:w="2120" w:type="dxa"/>
            <w:vAlign w:val="bottom"/>
            <w:tcBorders>
              <w:bottom w:val="single" w:sz="8" w:color="0000EE"/>
            </w:tcBorders>
            <w:gridSpan w:val="16"/>
          </w:tcPr>
          <w:p>
            <w:pPr>
              <w:spacing w:after="0" w:line="162" w:lineRule="exact"/>
              <w:rPr>
                <w:sz w:val="20"/>
                <w:szCs w:val="20"/>
                <w:color w:val="auto"/>
              </w:rPr>
            </w:pPr>
            <w:r>
              <w:rPr>
                <w:rFonts w:ascii="Times New Roman" w:cs="Times New Roman" w:eastAsia="Times New Roman" w:hAnsi="Times New Roman"/>
                <w:sz w:val="15"/>
                <w:szCs w:val="15"/>
                <w:color w:val="0000EE"/>
              </w:rPr>
              <w:t>Description of Subscription Rights</w:t>
            </w:r>
          </w:p>
        </w:tc>
        <w:tc>
          <w:tcPr>
            <w:tcW w:w="300" w:type="dxa"/>
            <w:vAlign w:val="bottom"/>
          </w:tcPr>
          <w:p>
            <w:pPr>
              <w:spacing w:after="0"/>
              <w:rPr>
                <w:sz w:val="14"/>
                <w:szCs w:val="14"/>
                <w:color w:val="auto"/>
              </w:rPr>
            </w:pPr>
          </w:p>
        </w:tc>
        <w:tc>
          <w:tcPr>
            <w:tcW w:w="68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22</w:t>
            </w:r>
          </w:p>
        </w:tc>
      </w:tr>
      <w:tr>
        <w:trPr>
          <w:trHeight w:val="162"/>
        </w:trPr>
        <w:tc>
          <w:tcPr>
            <w:tcW w:w="2080" w:type="dxa"/>
            <w:vAlign w:val="bottom"/>
            <w:tcBorders>
              <w:bottom w:val="single" w:sz="8" w:color="0000EE"/>
            </w:tcBorders>
            <w:gridSpan w:val="15"/>
          </w:tcPr>
          <w:p>
            <w:pPr>
              <w:spacing w:after="0" w:line="162" w:lineRule="exact"/>
              <w:rPr>
                <w:sz w:val="20"/>
                <w:szCs w:val="20"/>
                <w:color w:val="auto"/>
              </w:rPr>
            </w:pPr>
            <w:r>
              <w:rPr>
                <w:rFonts w:ascii="Times New Roman" w:cs="Times New Roman" w:eastAsia="Times New Roman" w:hAnsi="Times New Roman"/>
                <w:sz w:val="15"/>
                <w:szCs w:val="15"/>
                <w:color w:val="0000EE"/>
              </w:rPr>
              <w:t>Description of Purchase Contracts</w:t>
            </w:r>
          </w:p>
        </w:tc>
        <w:tc>
          <w:tcPr>
            <w:tcW w:w="340" w:type="dxa"/>
            <w:vAlign w:val="bottom"/>
            <w:gridSpan w:val="2"/>
          </w:tcPr>
          <w:p>
            <w:pPr>
              <w:spacing w:after="0"/>
              <w:rPr>
                <w:sz w:val="14"/>
                <w:szCs w:val="14"/>
                <w:color w:val="auto"/>
              </w:rPr>
            </w:pPr>
          </w:p>
        </w:tc>
        <w:tc>
          <w:tcPr>
            <w:tcW w:w="68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23</w:t>
            </w:r>
          </w:p>
        </w:tc>
      </w:tr>
      <w:tr>
        <w:trPr>
          <w:trHeight w:val="162"/>
        </w:trPr>
        <w:tc>
          <w:tcPr>
            <w:tcW w:w="1240" w:type="dxa"/>
            <w:vAlign w:val="bottom"/>
            <w:tcBorders>
              <w:bottom w:val="single" w:sz="8" w:color="0000EE"/>
            </w:tcBorders>
            <w:gridSpan w:val="6"/>
          </w:tcPr>
          <w:p>
            <w:pPr>
              <w:spacing w:after="0" w:line="162" w:lineRule="exact"/>
              <w:rPr>
                <w:sz w:val="20"/>
                <w:szCs w:val="20"/>
                <w:color w:val="auto"/>
              </w:rPr>
            </w:pPr>
            <w:r>
              <w:rPr>
                <w:rFonts w:ascii="Times New Roman" w:cs="Times New Roman" w:eastAsia="Times New Roman" w:hAnsi="Times New Roman"/>
                <w:sz w:val="15"/>
                <w:szCs w:val="15"/>
                <w:color w:val="0000EE"/>
                <w:w w:val="99"/>
              </w:rPr>
              <w:t>Description of Units</w:t>
            </w:r>
          </w:p>
        </w:tc>
        <w:tc>
          <w:tcPr>
            <w:tcW w:w="1180" w:type="dxa"/>
            <w:vAlign w:val="bottom"/>
            <w:gridSpan w:val="11"/>
          </w:tcPr>
          <w:p>
            <w:pPr>
              <w:spacing w:after="0"/>
              <w:rPr>
                <w:sz w:val="14"/>
                <w:szCs w:val="14"/>
                <w:color w:val="auto"/>
              </w:rPr>
            </w:pPr>
          </w:p>
        </w:tc>
        <w:tc>
          <w:tcPr>
            <w:tcW w:w="68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24</w:t>
            </w:r>
          </w:p>
        </w:tc>
      </w:tr>
      <w:tr>
        <w:trPr>
          <w:trHeight w:val="162"/>
        </w:trPr>
        <w:tc>
          <w:tcPr>
            <w:tcW w:w="2420" w:type="dxa"/>
            <w:vAlign w:val="bottom"/>
            <w:gridSpan w:val="17"/>
          </w:tcPr>
          <w:p>
            <w:pPr>
              <w:spacing w:after="0" w:line="162" w:lineRule="exact"/>
              <w:rPr>
                <w:sz w:val="20"/>
                <w:szCs w:val="20"/>
                <w:color w:val="auto"/>
              </w:rPr>
            </w:pPr>
            <w:r>
              <w:rPr>
                <w:rFonts w:ascii="Times New Roman" w:cs="Times New Roman" w:eastAsia="Times New Roman" w:hAnsi="Times New Roman"/>
                <w:sz w:val="15"/>
                <w:szCs w:val="15"/>
                <w:color w:val="0000EE"/>
              </w:rPr>
              <w:t>Plan of Distribution</w:t>
            </w:r>
          </w:p>
        </w:tc>
        <w:tc>
          <w:tcPr>
            <w:tcW w:w="68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25</w:t>
            </w:r>
          </w:p>
        </w:tc>
      </w:tr>
      <w:tr>
        <w:trPr>
          <w:trHeight w:val="162"/>
        </w:trPr>
        <w:tc>
          <w:tcPr>
            <w:tcW w:w="1200" w:type="dxa"/>
            <w:vAlign w:val="bottom"/>
            <w:tcBorders>
              <w:top w:val="single" w:sz="8" w:color="0000EE"/>
            </w:tcBorders>
            <w:gridSpan w:val="5"/>
          </w:tcPr>
          <w:p>
            <w:pPr>
              <w:spacing w:after="0" w:line="162" w:lineRule="exact"/>
              <w:rPr>
                <w:sz w:val="20"/>
                <w:szCs w:val="20"/>
                <w:color w:val="auto"/>
              </w:rPr>
            </w:pPr>
            <w:r>
              <w:rPr>
                <w:rFonts w:ascii="Times New Roman" w:cs="Times New Roman" w:eastAsia="Times New Roman" w:hAnsi="Times New Roman"/>
                <w:sz w:val="15"/>
                <w:szCs w:val="15"/>
                <w:color w:val="0000EE"/>
              </w:rPr>
              <w:t>Legal Matters</w:t>
            </w:r>
          </w:p>
        </w:tc>
        <w:tc>
          <w:tcPr>
            <w:tcW w:w="1220" w:type="dxa"/>
            <w:vAlign w:val="bottom"/>
            <w:gridSpan w:val="12"/>
          </w:tcPr>
          <w:p>
            <w:pPr>
              <w:spacing w:after="0"/>
              <w:rPr>
                <w:sz w:val="14"/>
                <w:szCs w:val="14"/>
                <w:color w:val="auto"/>
              </w:rPr>
            </w:pPr>
          </w:p>
        </w:tc>
        <w:tc>
          <w:tcPr>
            <w:tcW w:w="68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27</w:t>
            </w:r>
          </w:p>
        </w:tc>
      </w:tr>
      <w:tr>
        <w:trPr>
          <w:trHeight w:val="162"/>
        </w:trPr>
        <w:tc>
          <w:tcPr>
            <w:tcW w:w="840" w:type="dxa"/>
            <w:vAlign w:val="bottom"/>
            <w:tcBorders>
              <w:top w:val="single" w:sz="8" w:color="0000EE"/>
            </w:tcBorders>
            <w:gridSpan w:val="3"/>
          </w:tcPr>
          <w:p>
            <w:pPr>
              <w:spacing w:after="0" w:line="162" w:lineRule="exact"/>
              <w:rPr>
                <w:sz w:val="20"/>
                <w:szCs w:val="20"/>
                <w:color w:val="auto"/>
              </w:rPr>
            </w:pPr>
            <w:r>
              <w:rPr>
                <w:rFonts w:ascii="Times New Roman" w:cs="Times New Roman" w:eastAsia="Times New Roman" w:hAnsi="Times New Roman"/>
                <w:sz w:val="15"/>
                <w:szCs w:val="15"/>
                <w:color w:val="0000EE"/>
              </w:rPr>
              <w:t>Experts</w:t>
            </w:r>
          </w:p>
        </w:tc>
        <w:tc>
          <w:tcPr>
            <w:tcW w:w="1580" w:type="dxa"/>
            <w:vAlign w:val="bottom"/>
            <w:gridSpan w:val="14"/>
          </w:tcPr>
          <w:p>
            <w:pPr>
              <w:spacing w:after="0"/>
              <w:rPr>
                <w:sz w:val="14"/>
                <w:szCs w:val="14"/>
                <w:color w:val="auto"/>
              </w:rPr>
            </w:pPr>
          </w:p>
        </w:tc>
        <w:tc>
          <w:tcPr>
            <w:tcW w:w="68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27</w:t>
            </w:r>
          </w:p>
        </w:tc>
      </w:tr>
      <w:tr>
        <w:trPr>
          <w:trHeight w:val="20"/>
        </w:trPr>
        <w:tc>
          <w:tcPr>
            <w:tcW w:w="460" w:type="dxa"/>
            <w:vAlign w:val="bottom"/>
            <w:shd w:val="clear" w:color="auto" w:fill="0000EE"/>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r>
      <w:tr>
        <w:trPr>
          <w:trHeight w:val="162"/>
        </w:trPr>
        <w:tc>
          <w:tcPr>
            <w:tcW w:w="2420" w:type="dxa"/>
            <w:vAlign w:val="bottom"/>
            <w:tcBorders>
              <w:bottom w:val="single" w:sz="8" w:color="0000EE"/>
            </w:tcBorders>
            <w:gridSpan w:val="17"/>
          </w:tcPr>
          <w:p>
            <w:pPr>
              <w:spacing w:after="0" w:line="162" w:lineRule="exact"/>
              <w:rPr>
                <w:sz w:val="20"/>
                <w:szCs w:val="20"/>
                <w:color w:val="auto"/>
              </w:rPr>
            </w:pPr>
            <w:r>
              <w:rPr>
                <w:rFonts w:ascii="Times New Roman" w:cs="Times New Roman" w:eastAsia="Times New Roman" w:hAnsi="Times New Roman"/>
                <w:sz w:val="15"/>
                <w:szCs w:val="15"/>
                <w:color w:val="0000EE"/>
                <w:w w:val="99"/>
              </w:rPr>
              <w:t>Where You Can Find More Information</w:t>
            </w:r>
          </w:p>
        </w:tc>
        <w:tc>
          <w:tcPr>
            <w:tcW w:w="68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27</w:t>
            </w:r>
          </w:p>
        </w:tc>
      </w:tr>
      <w:tr>
        <w:trPr>
          <w:trHeight w:val="162"/>
        </w:trPr>
        <w:tc>
          <w:tcPr>
            <w:tcW w:w="2420" w:type="dxa"/>
            <w:vAlign w:val="bottom"/>
            <w:gridSpan w:val="17"/>
          </w:tcPr>
          <w:p>
            <w:pPr>
              <w:spacing w:after="0" w:line="162" w:lineRule="exact"/>
              <w:rPr>
                <w:sz w:val="20"/>
                <w:szCs w:val="20"/>
                <w:color w:val="auto"/>
              </w:rPr>
            </w:pPr>
            <w:r>
              <w:rPr>
                <w:rFonts w:ascii="Times New Roman" w:cs="Times New Roman" w:eastAsia="Times New Roman" w:hAnsi="Times New Roman"/>
                <w:sz w:val="15"/>
                <w:szCs w:val="15"/>
                <w:color w:val="0000EE"/>
              </w:rPr>
              <w:t>Incorporation by Reference</w:t>
            </w:r>
          </w:p>
        </w:tc>
        <w:tc>
          <w:tcPr>
            <w:tcW w:w="68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28</w:t>
            </w:r>
          </w:p>
        </w:tc>
      </w:tr>
      <w:tr>
        <w:trPr>
          <w:trHeight w:val="20"/>
        </w:trPr>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3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i</w:t>
      </w:r>
    </w:p>
    <w:p>
      <w:pPr>
        <w:sectPr>
          <w:pgSz w:w="11900" w:h="16838" w:orient="portrait"/>
          <w:cols w:equalWidth="0" w:num="1">
            <w:col w:w="10220"/>
          </w:cols>
          <w:pgMar w:left="320" w:top="405" w:right="1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ABOUT THIS PROSPECTUS</w:t>
      </w:r>
    </w:p>
    <w:p>
      <w:pPr>
        <w:spacing w:after="0" w:line="196" w:lineRule="exact"/>
        <w:rPr>
          <w:sz w:val="20"/>
          <w:szCs w:val="20"/>
          <w:color w:val="auto"/>
        </w:rPr>
      </w:pPr>
    </w:p>
    <w:p>
      <w:pPr>
        <w:ind w:left="980" w:right="180" w:firstLine="371"/>
        <w:spacing w:after="0" w:line="270" w:lineRule="auto"/>
        <w:rPr>
          <w:sz w:val="20"/>
          <w:szCs w:val="20"/>
          <w:color w:val="auto"/>
        </w:rPr>
      </w:pPr>
      <w:r>
        <w:rPr>
          <w:rFonts w:ascii="Times New Roman" w:cs="Times New Roman" w:eastAsia="Times New Roman" w:hAnsi="Times New Roman"/>
          <w:sz w:val="15"/>
          <w:szCs w:val="15"/>
          <w:color w:val="auto"/>
        </w:rPr>
        <w:t>This prospectus is part of a registration statement that we filed with the Securities and Exchange Commission (SEC) using a “shelf” registration process. Under this shelf registration process, we may from time to time sell any combination of the securities described in this prospectus in one or more offerings for an aggregate offering price of up to $300,000,000.</w:t>
      </w:r>
    </w:p>
    <w:p>
      <w:pPr>
        <w:spacing w:after="0" w:line="146" w:lineRule="exact"/>
        <w:rPr>
          <w:sz w:val="20"/>
          <w:szCs w:val="20"/>
          <w:color w:val="auto"/>
        </w:rPr>
      </w:pPr>
    </w:p>
    <w:p>
      <w:pPr>
        <w:ind w:left="980" w:right="60" w:firstLine="371"/>
        <w:spacing w:after="0" w:line="261" w:lineRule="auto"/>
        <w:rPr>
          <w:sz w:val="20"/>
          <w:szCs w:val="20"/>
          <w:color w:val="auto"/>
        </w:rPr>
      </w:pPr>
      <w:r>
        <w:rPr>
          <w:rFonts w:ascii="Times New Roman" w:cs="Times New Roman" w:eastAsia="Times New Roman" w:hAnsi="Times New Roman"/>
          <w:sz w:val="15"/>
          <w:szCs w:val="15"/>
          <w:color w:val="auto"/>
        </w:rPr>
        <w:t>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Before you invest in our securities, you should read both this prospectus and any applicable prospectus supplement together with the additional information described in the sections titled “Where You Can Find More Information” and “Incorporation by Reference.”</w:t>
      </w:r>
    </w:p>
    <w:p>
      <w:pPr>
        <w:spacing w:after="0" w:line="155" w:lineRule="exact"/>
        <w:rPr>
          <w:sz w:val="20"/>
          <w:szCs w:val="20"/>
          <w:color w:val="auto"/>
        </w:rPr>
      </w:pPr>
    </w:p>
    <w:p>
      <w:pPr>
        <w:ind w:left="980" w:firstLine="371"/>
        <w:spacing w:after="0" w:line="258" w:lineRule="auto"/>
        <w:rPr>
          <w:sz w:val="20"/>
          <w:szCs w:val="20"/>
          <w:color w:val="auto"/>
        </w:rPr>
      </w:pPr>
      <w:r>
        <w:rPr>
          <w:rFonts w:ascii="Times New Roman" w:cs="Times New Roman" w:eastAsia="Times New Roman" w:hAnsi="Times New Roman"/>
          <w:sz w:val="15"/>
          <w:szCs w:val="15"/>
          <w:color w:val="auto"/>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3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ii</w:t>
      </w:r>
    </w:p>
    <w:p>
      <w:pPr>
        <w:sectPr>
          <w:pgSz w:w="11900" w:h="16838" w:orient="portrait"/>
          <w:cols w:equalWidth="0" w:num="1">
            <w:col w:w="10260"/>
          </w:cols>
          <w:pgMar w:left="320" w:top="405" w:right="1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181610</wp:posOffset>
            </wp:positionV>
            <wp:extent cx="5901690" cy="52876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01690" cy="5287645"/>
                    </a:xfrm>
                    <a:prstGeom prst="rect">
                      <a:avLst/>
                    </a:prstGeom>
                    <a:noFill/>
                  </pic:spPr>
                </pic:pic>
              </a:graphicData>
            </a:graphic>
          </wp:anchor>
        </w:drawing>
      </w:r>
    </w:p>
    <w:p>
      <w:pPr>
        <w:spacing w:after="0" w:line="3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PROSPECTUS SUMMARY</w:t>
      </w:r>
    </w:p>
    <w:p>
      <w:pPr>
        <w:spacing w:after="0" w:line="192" w:lineRule="exact"/>
        <w:rPr>
          <w:sz w:val="20"/>
          <w:szCs w:val="20"/>
          <w:color w:val="auto"/>
        </w:rPr>
      </w:pPr>
    </w:p>
    <w:p>
      <w:pPr>
        <w:ind w:left="1140" w:right="39" w:firstLine="359"/>
        <w:spacing w:after="0" w:line="261" w:lineRule="auto"/>
        <w:rPr>
          <w:sz w:val="20"/>
          <w:szCs w:val="20"/>
          <w:color w:val="auto"/>
        </w:rPr>
      </w:pPr>
      <w:r>
        <w:rPr>
          <w:rFonts w:ascii="Times New Roman" w:cs="Times New Roman" w:eastAsia="Times New Roman" w:hAnsi="Times New Roman"/>
          <w:sz w:val="15"/>
          <w:szCs w:val="15"/>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in the section titled “Risk Factors” and the financial statements and related notes and other information that we incorporate by reference herein, including our Annual Report on Form 10-K and our Quarterly Reports on Form 10-Q. Unless the context indicates otherwise, references in this prospectus to “Tenaya Therapeutics, Inc.,” “we,” “our” and “us” refer, collectively, to Tenaya Therapeutics, Inc., a Delaware corporation.</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Company Overview</w:t>
      </w:r>
    </w:p>
    <w:p>
      <w:pPr>
        <w:spacing w:after="0" w:line="105" w:lineRule="exact"/>
        <w:rPr>
          <w:sz w:val="20"/>
          <w:szCs w:val="20"/>
          <w:color w:val="auto"/>
        </w:rPr>
      </w:pPr>
    </w:p>
    <w:p>
      <w:pPr>
        <w:ind w:left="1140" w:right="159"/>
        <w:spacing w:after="0" w:line="270" w:lineRule="auto"/>
        <w:rPr>
          <w:sz w:val="20"/>
          <w:szCs w:val="20"/>
          <w:color w:val="auto"/>
        </w:rPr>
      </w:pPr>
      <w:r>
        <w:rPr>
          <w:rFonts w:ascii="Times New Roman" w:cs="Times New Roman" w:eastAsia="Times New Roman" w:hAnsi="Times New Roman"/>
          <w:sz w:val="15"/>
          <w:szCs w:val="15"/>
          <w:color w:val="auto"/>
        </w:rPr>
        <w:t>We are a clinical-stage biotechnology company focused on discovering, developing and delivering potentially curative therapies that address the underlying drivers of heart disease. Our vision is to change the treatment paradigm for heart disease, and in doing so improve and extend the lives of millions of patients.</w:t>
      </w:r>
    </w:p>
    <w:p>
      <w:pPr>
        <w:spacing w:after="0" w:line="146" w:lineRule="exact"/>
        <w:rPr>
          <w:sz w:val="20"/>
          <w:szCs w:val="20"/>
          <w:color w:val="auto"/>
        </w:rPr>
      </w:pPr>
    </w:p>
    <w:p>
      <w:pPr>
        <w:ind w:left="1140" w:right="199"/>
        <w:spacing w:after="0" w:line="264" w:lineRule="auto"/>
        <w:rPr>
          <w:sz w:val="20"/>
          <w:szCs w:val="20"/>
          <w:color w:val="auto"/>
        </w:rPr>
      </w:pPr>
      <w:r>
        <w:rPr>
          <w:rFonts w:ascii="Times New Roman" w:cs="Times New Roman" w:eastAsia="Times New Roman" w:hAnsi="Times New Roman"/>
          <w:sz w:val="15"/>
          <w:szCs w:val="15"/>
          <w:color w:val="auto"/>
        </w:rPr>
        <w:t>We are advancing a deep and diverse pipeline of disease-modifying targeted therapies that includes both gene therapies and small molecules discovered internally and developed using our extensive core capabilities to address rare or highly prevalent forms of heart disease. All of our programs are currently being assessed in clinical trials or are in the preclinical stage; we do not have any products approved for sale and have not generated any revenue to date.</w:t>
      </w:r>
    </w:p>
    <w:p>
      <w:pPr>
        <w:spacing w:after="0" w:line="147" w:lineRule="exact"/>
        <w:rPr>
          <w:sz w:val="20"/>
          <w:szCs w:val="20"/>
          <w:color w:val="auto"/>
        </w:rPr>
      </w:pPr>
    </w:p>
    <w:p>
      <w:pPr>
        <w:ind w:left="1140" w:right="159"/>
        <w:spacing w:after="0" w:line="261" w:lineRule="auto"/>
        <w:rPr>
          <w:sz w:val="20"/>
          <w:szCs w:val="20"/>
          <w:color w:val="auto"/>
        </w:rPr>
      </w:pPr>
      <w:r>
        <w:rPr>
          <w:rFonts w:ascii="Times New Roman" w:cs="Times New Roman" w:eastAsia="Times New Roman" w:hAnsi="Times New Roman"/>
          <w:sz w:val="15"/>
          <w:szCs w:val="15"/>
          <w:color w:val="auto"/>
        </w:rPr>
        <w:t xml:space="preserve">We are primarily focused on advancing our lead investigational product candidates, TN-201, a gene therapy for </w:t>
      </w:r>
      <w:r>
        <w:rPr>
          <w:rFonts w:ascii="Times New Roman" w:cs="Times New Roman" w:eastAsia="Times New Roman" w:hAnsi="Times New Roman"/>
          <w:sz w:val="15"/>
          <w:szCs w:val="15"/>
          <w:i w:val="1"/>
          <w:iCs w:val="1"/>
          <w:color w:val="auto"/>
        </w:rPr>
        <w:t>MYBPC3</w:t>
      </w:r>
      <w:r>
        <w:rPr>
          <w:rFonts w:ascii="Times New Roman" w:cs="Times New Roman" w:eastAsia="Times New Roman" w:hAnsi="Times New Roman"/>
          <w:sz w:val="15"/>
          <w:szCs w:val="15"/>
          <w:color w:val="auto"/>
        </w:rPr>
        <w:t xml:space="preserve">-associated hypertrophic cardiomyopathy (HCM) and TN-401, a gene therapy for </w:t>
      </w:r>
      <w:r>
        <w:rPr>
          <w:rFonts w:ascii="Times New Roman" w:cs="Times New Roman" w:eastAsia="Times New Roman" w:hAnsi="Times New Roman"/>
          <w:sz w:val="15"/>
          <w:szCs w:val="15"/>
          <w:i w:val="1"/>
          <w:iCs w:val="1"/>
          <w:color w:val="auto"/>
        </w:rPr>
        <w:t>PKP2</w:t>
      </w:r>
      <w:r>
        <w:rPr>
          <w:rFonts w:ascii="Times New Roman" w:cs="Times New Roman" w:eastAsia="Times New Roman" w:hAnsi="Times New Roman"/>
          <w:sz w:val="15"/>
          <w:szCs w:val="15"/>
          <w:color w:val="auto"/>
        </w:rPr>
        <w:t>-associated arrhythmogenic right ventricular cardiomyopathy (ARVC). Each candidate is currently in clinical testing to establish the safety profile of two different doses in adults with disease due to pathogenic/likely pathogenic mutations. We anticipate that data generated in the next year will inform late-stage development by characterizing each product candidates’ safety and tolerability profile, ability to transduce target heart cells, and produce the lacking protein underlying disease to slow – or even halt – disease progression.</w:t>
      </w:r>
    </w:p>
    <w:p>
      <w:pPr>
        <w:spacing w:after="0" w:line="149" w:lineRule="exact"/>
        <w:rPr>
          <w:sz w:val="20"/>
          <w:szCs w:val="20"/>
          <w:color w:val="auto"/>
        </w:rPr>
      </w:pPr>
    </w:p>
    <w:p>
      <w:pPr>
        <w:ind w:left="1140" w:right="239"/>
        <w:spacing w:after="0" w:line="259" w:lineRule="auto"/>
        <w:rPr>
          <w:sz w:val="20"/>
          <w:szCs w:val="20"/>
          <w:color w:val="auto"/>
        </w:rPr>
      </w:pPr>
      <w:r>
        <w:rPr>
          <w:rFonts w:ascii="Times New Roman" w:cs="Times New Roman" w:eastAsia="Times New Roman" w:hAnsi="Times New Roman"/>
          <w:sz w:val="15"/>
          <w:szCs w:val="15"/>
          <w:color w:val="auto"/>
        </w:rPr>
        <w:t xml:space="preserve">TN-201 is our potential first-in-class and best-in-class gene therapy for adults and children with HCM due to </w:t>
      </w:r>
      <w:r>
        <w:rPr>
          <w:rFonts w:ascii="Times New Roman" w:cs="Times New Roman" w:eastAsia="Times New Roman" w:hAnsi="Times New Roman"/>
          <w:sz w:val="15"/>
          <w:szCs w:val="15"/>
          <w:i w:val="1"/>
          <w:iCs w:val="1"/>
          <w:color w:val="auto"/>
        </w:rPr>
        <w:t>MYBPC3</w:t>
      </w:r>
      <w:r>
        <w:rPr>
          <w:rFonts w:ascii="Times New Roman" w:cs="Times New Roman" w:eastAsia="Times New Roman" w:hAnsi="Times New Roman"/>
          <w:sz w:val="15"/>
          <w:szCs w:val="15"/>
          <w:color w:val="auto"/>
        </w:rPr>
        <w:t xml:space="preserve"> gene mutations. These mutations result in a deficiency of myosin binding protein (MyBP-C), which in turn can cause the heart walls of affected individuals to become significantly thickened, leading to fibrosis, abnormal heart rhythms, cardiac dysfunction, heart failure and death. HCM is a chronic, progressive condition and those diagnosed with the disease often experience significant impairment in overall quality of life and may be at higher risk for serious complications and co-morbidities. TN-201 utilizes a recombinant adeno-associated virus serotype 9 (AAV9) capsid and is designed to deliver a working </w:t>
      </w:r>
      <w:r>
        <w:rPr>
          <w:rFonts w:ascii="Times New Roman" w:cs="Times New Roman" w:eastAsia="Times New Roman" w:hAnsi="Times New Roman"/>
          <w:sz w:val="15"/>
          <w:szCs w:val="15"/>
          <w:i w:val="1"/>
          <w:iCs w:val="1"/>
          <w:color w:val="auto"/>
        </w:rPr>
        <w:t>MYBPC3</w:t>
      </w:r>
      <w:r>
        <w:rPr>
          <w:rFonts w:ascii="Times New Roman" w:cs="Times New Roman" w:eastAsia="Times New Roman" w:hAnsi="Times New Roman"/>
          <w:sz w:val="15"/>
          <w:szCs w:val="15"/>
          <w:color w:val="auto"/>
        </w:rPr>
        <w:t xml:space="preserve"> gene to specific cells of the heart in order to produce cardiac myosin binding protein and thereby potentially slow or even reverse the course of </w:t>
      </w:r>
      <w:r>
        <w:rPr>
          <w:rFonts w:ascii="Times New Roman" w:cs="Times New Roman" w:eastAsia="Times New Roman" w:hAnsi="Times New Roman"/>
          <w:sz w:val="15"/>
          <w:szCs w:val="15"/>
          <w:i w:val="1"/>
          <w:iCs w:val="1"/>
          <w:color w:val="auto"/>
        </w:rPr>
        <w:t>MYBPC3</w:t>
      </w:r>
      <w:r>
        <w:rPr>
          <w:rFonts w:ascii="Times New Roman" w:cs="Times New Roman" w:eastAsia="Times New Roman" w:hAnsi="Times New Roman"/>
          <w:sz w:val="15"/>
          <w:szCs w:val="15"/>
          <w:color w:val="auto"/>
        </w:rPr>
        <w:t>-associated HCM following a single infusion.</w:t>
      </w:r>
    </w:p>
    <w:p>
      <w:pPr>
        <w:spacing w:after="0" w:line="158" w:lineRule="exact"/>
        <w:rPr>
          <w:sz w:val="20"/>
          <w:szCs w:val="20"/>
          <w:color w:val="auto"/>
        </w:rPr>
      </w:pPr>
    </w:p>
    <w:p>
      <w:pPr>
        <w:ind w:left="1140" w:right="139"/>
        <w:spacing w:after="0" w:line="238" w:lineRule="auto"/>
        <w:rPr>
          <w:sz w:val="20"/>
          <w:szCs w:val="20"/>
          <w:color w:val="auto"/>
        </w:rPr>
      </w:pPr>
      <w:r>
        <w:rPr>
          <w:rFonts w:ascii="Times New Roman" w:cs="Times New Roman" w:eastAsia="Times New Roman" w:hAnsi="Times New Roman"/>
          <w:sz w:val="15"/>
          <w:szCs w:val="15"/>
          <w:color w:val="auto"/>
        </w:rPr>
        <w:t>MyPEAK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-1 is our Phase 1b/2 multi-center, open-label clinical trial, designed to assess the safety, tolerability and efficacy of a one-time intravenous infusion of TN-201. We have completed Cohort 1 dosing at the 3×1013 vg/kg dose in the MyPEAK-1 trial with no unexpected events or toxicities associated with TN-201 observed. Following review of safety data from the first three MyPEAK-1 patients by an independent Data and Safety Monitoring Board (DSMB), the DSMB recommended that we proceed with the planned escalation to the 6×1013 vg/kg dose, per protocol. MyPEAK-1 is now actively enrolling patients in this higher dose cohort at several U.S. clinical sites, and we anticipate completing enrollment of Cohort 2 in the first half of 2025.</w:t>
      </w:r>
    </w:p>
    <w:p>
      <w:pPr>
        <w:spacing w:after="0" w:line="168" w:lineRule="exact"/>
        <w:rPr>
          <w:sz w:val="20"/>
          <w:szCs w:val="20"/>
          <w:color w:val="auto"/>
        </w:rPr>
      </w:pPr>
    </w:p>
    <w:p>
      <w:pPr>
        <w:ind w:left="1140" w:right="79"/>
        <w:spacing w:after="0" w:line="287" w:lineRule="auto"/>
        <w:rPr>
          <w:sz w:val="20"/>
          <w:szCs w:val="20"/>
          <w:color w:val="auto"/>
        </w:rPr>
      </w:pPr>
      <w:r>
        <w:rPr>
          <w:rFonts w:ascii="Times New Roman" w:cs="Times New Roman" w:eastAsia="Times New Roman" w:hAnsi="Times New Roman"/>
          <w:sz w:val="15"/>
          <w:szCs w:val="15"/>
          <w:color w:val="auto"/>
        </w:rPr>
        <w:t>In December 2024, we announced initial safety and biopsy data from Cohort 1 of MyPEAK-1. TN-201 administered at the starting dose of 3×1013 vg/kg was generally well-tolerated among the first three patients</w:t>
      </w: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0139"/>
          </w:cols>
          <w:pgMar w:left="320" w:top="405"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181610</wp:posOffset>
            </wp:positionV>
            <wp:extent cx="5901690" cy="4940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01690" cy="494093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140" w:right="39"/>
        <w:spacing w:after="0" w:line="260" w:lineRule="auto"/>
        <w:rPr>
          <w:sz w:val="20"/>
          <w:szCs w:val="20"/>
          <w:color w:val="auto"/>
        </w:rPr>
      </w:pPr>
      <w:r>
        <w:rPr>
          <w:rFonts w:ascii="Times New Roman" w:cs="Times New Roman" w:eastAsia="Times New Roman" w:hAnsi="Times New Roman"/>
          <w:sz w:val="15"/>
          <w:szCs w:val="15"/>
          <w:color w:val="auto"/>
        </w:rPr>
        <w:t>enrolled in the clinical trial. Among the first two patients for whom Week 8 biopsy results were available, TN-201 achieved readily detectable vector DNA in the heart and evidence of transgene RNA expression. Serial biopsies at Week 8 and Week 52 for Patient 1 demonstrated increasing TN-201 mRNA and MyBP-C protein levels over time. Circulating biomarkers of cardiac muscle strain and injury remained largely stable, and certain clinical markers of disease showed stability or directional improvement in the first two individuals dosed, while other measures were not yet available, interpretable or were mixed. We plan to present additional follow-up data from Cohort 1 during the first half of 2025 and initial Cohort 2 data, along with an update on Cohort 1 patients, in the second half of 2025.</w:t>
      </w:r>
    </w:p>
    <w:p>
      <w:pPr>
        <w:spacing w:after="0" w:line="153" w:lineRule="exact"/>
        <w:rPr>
          <w:sz w:val="20"/>
          <w:szCs w:val="20"/>
          <w:color w:val="auto"/>
        </w:rPr>
      </w:pPr>
    </w:p>
    <w:p>
      <w:pPr>
        <w:ind w:left="1140" w:right="139"/>
        <w:spacing w:after="0" w:line="257" w:lineRule="auto"/>
        <w:rPr>
          <w:sz w:val="20"/>
          <w:szCs w:val="20"/>
          <w:color w:val="auto"/>
        </w:rPr>
      </w:pPr>
      <w:r>
        <w:rPr>
          <w:rFonts w:ascii="Times New Roman" w:cs="Times New Roman" w:eastAsia="Times New Roman" w:hAnsi="Times New Roman"/>
          <w:sz w:val="15"/>
          <w:szCs w:val="15"/>
          <w:color w:val="auto"/>
        </w:rPr>
        <w:t xml:space="preserve">To support our development efforts for TN-201 we are conducting two noninterventional studies: a study evaluating seroprevalence to AAV9 antibodies among adults with </w:t>
      </w:r>
      <w:r>
        <w:rPr>
          <w:rFonts w:ascii="Times New Roman" w:cs="Times New Roman" w:eastAsia="Times New Roman" w:hAnsi="Times New Roman"/>
          <w:sz w:val="15"/>
          <w:szCs w:val="15"/>
          <w:i w:val="1"/>
          <w:iCs w:val="1"/>
          <w:color w:val="auto"/>
        </w:rPr>
        <w:t>MYBPC3</w:t>
      </w:r>
      <w:r>
        <w:rPr>
          <w:rFonts w:ascii="Times New Roman" w:cs="Times New Roman" w:eastAsia="Times New Roman" w:hAnsi="Times New Roman"/>
          <w:sz w:val="15"/>
          <w:szCs w:val="15"/>
          <w:color w:val="auto"/>
        </w:rPr>
        <w:t xml:space="preserve">-associated HCM, and MyClimb, a prospective and retrospective global natural history study focused on pediatric patients with </w:t>
      </w:r>
      <w:r>
        <w:rPr>
          <w:rFonts w:ascii="Times New Roman" w:cs="Times New Roman" w:eastAsia="Times New Roman" w:hAnsi="Times New Roman"/>
          <w:sz w:val="15"/>
          <w:szCs w:val="15"/>
          <w:i w:val="1"/>
          <w:iCs w:val="1"/>
          <w:color w:val="auto"/>
        </w:rPr>
        <w:t>MYBPC3</w:t>
      </w:r>
      <w:r>
        <w:rPr>
          <w:rFonts w:ascii="Times New Roman" w:cs="Times New Roman" w:eastAsia="Times New Roman" w:hAnsi="Times New Roman"/>
          <w:sz w:val="15"/>
          <w:szCs w:val="15"/>
          <w:color w:val="auto"/>
        </w:rPr>
        <w:t xml:space="preserve"> mutation-associated cardiomyopathy. The seroprevalence study has completed enrollment. Initial data indicated that antibodies to AAV9 in the majority of participants were below the eligibility threshold that would allow for participation in MyPEAK-1. The MyClimb natural history study is following patient medical history to characterize the outcomes, burden of illness, risk factors, quality of life, and biomarkers associated with disease progression in pediatric patients. MyClimb complements existing disease registries focused primarily on adult patient HCM populations and may support and expedite the development of TN-201 in the pediatric patient population. We plan to present data from MyClimb in the second half of 2025. In July 2024, we received rare pediatric disease designation from the FDA for TN-201 in </w:t>
      </w:r>
      <w:r>
        <w:rPr>
          <w:rFonts w:ascii="Times New Roman" w:cs="Times New Roman" w:eastAsia="Times New Roman" w:hAnsi="Times New Roman"/>
          <w:sz w:val="15"/>
          <w:szCs w:val="15"/>
          <w:i w:val="1"/>
          <w:iCs w:val="1"/>
          <w:color w:val="auto"/>
        </w:rPr>
        <w:t>MYBPC3</w:t>
      </w:r>
      <w:r>
        <w:rPr>
          <w:rFonts w:ascii="Times New Roman" w:cs="Times New Roman" w:eastAsia="Times New Roman" w:hAnsi="Times New Roman"/>
          <w:sz w:val="15"/>
          <w:szCs w:val="15"/>
          <w:color w:val="auto"/>
        </w:rPr>
        <w:t>-associated HCM. TN-201 has also been granted orphan drug designation from the FDA, orphan medicinal product designation from the European Commission (EC) and Fast Track Designation from the FDA.</w:t>
      </w:r>
    </w:p>
    <w:p>
      <w:pPr>
        <w:spacing w:after="0" w:line="152" w:lineRule="exact"/>
        <w:rPr>
          <w:sz w:val="20"/>
          <w:szCs w:val="20"/>
          <w:color w:val="auto"/>
        </w:rPr>
      </w:pPr>
    </w:p>
    <w:p>
      <w:pPr>
        <w:ind w:left="1140" w:right="59"/>
        <w:spacing w:after="0" w:line="259" w:lineRule="auto"/>
        <w:rPr>
          <w:sz w:val="20"/>
          <w:szCs w:val="20"/>
          <w:color w:val="auto"/>
        </w:rPr>
      </w:pPr>
      <w:r>
        <w:rPr>
          <w:rFonts w:ascii="Times New Roman" w:cs="Times New Roman" w:eastAsia="Times New Roman" w:hAnsi="Times New Roman"/>
          <w:sz w:val="15"/>
          <w:szCs w:val="15"/>
          <w:color w:val="auto"/>
        </w:rPr>
        <w:t xml:space="preserve">TN-401 is our AAV9-based gene therapy for the treatment of ARVC due to disease-causing variants in the </w:t>
      </w:r>
      <w:r>
        <w:rPr>
          <w:rFonts w:ascii="Times New Roman" w:cs="Times New Roman" w:eastAsia="Times New Roman" w:hAnsi="Times New Roman"/>
          <w:sz w:val="15"/>
          <w:szCs w:val="15"/>
          <w:i w:val="1"/>
          <w:iCs w:val="1"/>
          <w:color w:val="auto"/>
        </w:rPr>
        <w:t>PKP2</w:t>
      </w:r>
      <w:r>
        <w:rPr>
          <w:rFonts w:ascii="Times New Roman" w:cs="Times New Roman" w:eastAsia="Times New Roman" w:hAnsi="Times New Roman"/>
          <w:sz w:val="15"/>
          <w:szCs w:val="15"/>
          <w:color w:val="auto"/>
        </w:rPr>
        <w:t xml:space="preserve"> gene. ARVC, also known as arrhythmogenic cardiomyopathy, or ACM, is a chronic, progressive disease characterized by frequent, severe, and potentially life-threatening ventricular arrhythmias. The disease is associated with adverse heart remodeling, fibrosis, cardiac dysfunction, significant impairment to patients’ overall quality of life, as well as an elevated risk of sudden cardiac death. </w:t>
      </w:r>
      <w:r>
        <w:rPr>
          <w:rFonts w:ascii="Times New Roman" w:cs="Times New Roman" w:eastAsia="Times New Roman" w:hAnsi="Times New Roman"/>
          <w:sz w:val="15"/>
          <w:szCs w:val="15"/>
          <w:i w:val="1"/>
          <w:iCs w:val="1"/>
          <w:color w:val="auto"/>
        </w:rPr>
        <w:t>PKP2</w:t>
      </w:r>
      <w:r>
        <w:rPr>
          <w:rFonts w:ascii="Times New Roman" w:cs="Times New Roman" w:eastAsia="Times New Roman" w:hAnsi="Times New Roman"/>
          <w:sz w:val="15"/>
          <w:szCs w:val="15"/>
          <w:color w:val="auto"/>
        </w:rPr>
        <w:t xml:space="preserve"> mutations are the most common genetic cause of ARVC and result in insufficient expression of a protein needed for proper functioning of the desmosomal complex that maintains physical connections and electrical signaling between heart muscle cells. TN-401 utilizes a recombinant AAV9 capsid and is designed to deliver a working </w:t>
      </w:r>
      <w:r>
        <w:rPr>
          <w:rFonts w:ascii="Times New Roman" w:cs="Times New Roman" w:eastAsia="Times New Roman" w:hAnsi="Times New Roman"/>
          <w:sz w:val="15"/>
          <w:szCs w:val="15"/>
          <w:i w:val="1"/>
          <w:iCs w:val="1"/>
          <w:color w:val="auto"/>
        </w:rPr>
        <w:t>PKP2</w:t>
      </w:r>
      <w:r>
        <w:rPr>
          <w:rFonts w:ascii="Times New Roman" w:cs="Times New Roman" w:eastAsia="Times New Roman" w:hAnsi="Times New Roman"/>
          <w:sz w:val="15"/>
          <w:szCs w:val="15"/>
          <w:color w:val="auto"/>
        </w:rPr>
        <w:t xml:space="preserve"> gene to specific cells of the heart in order to produce plakophilin protein and thereby potentially slow or even reverse the course of </w:t>
      </w:r>
      <w:r>
        <w:rPr>
          <w:rFonts w:ascii="Times New Roman" w:cs="Times New Roman" w:eastAsia="Times New Roman" w:hAnsi="Times New Roman"/>
          <w:sz w:val="15"/>
          <w:szCs w:val="15"/>
          <w:i w:val="1"/>
          <w:iCs w:val="1"/>
          <w:color w:val="auto"/>
        </w:rPr>
        <w:t>PKP2</w:t>
      </w:r>
      <w:r>
        <w:rPr>
          <w:rFonts w:ascii="Times New Roman" w:cs="Times New Roman" w:eastAsia="Times New Roman" w:hAnsi="Times New Roman"/>
          <w:sz w:val="15"/>
          <w:szCs w:val="15"/>
          <w:color w:val="auto"/>
        </w:rPr>
        <w:t>-associated ARVC following a single infusion.</w:t>
      </w:r>
    </w:p>
    <w:p>
      <w:pPr>
        <w:spacing w:after="0" w:line="154" w:lineRule="exact"/>
        <w:rPr>
          <w:sz w:val="20"/>
          <w:szCs w:val="20"/>
          <w:color w:val="auto"/>
        </w:rPr>
      </w:pPr>
    </w:p>
    <w:p>
      <w:pPr>
        <w:ind w:left="1140" w:right="159"/>
        <w:spacing w:after="0" w:line="243" w:lineRule="auto"/>
        <w:rPr>
          <w:sz w:val="20"/>
          <w:szCs w:val="20"/>
          <w:color w:val="auto"/>
        </w:rPr>
      </w:pPr>
      <w:r>
        <w:rPr>
          <w:rFonts w:ascii="Times New Roman" w:cs="Times New Roman" w:eastAsia="Times New Roman" w:hAnsi="Times New Roman"/>
          <w:sz w:val="15"/>
          <w:szCs w:val="15"/>
          <w:color w:val="auto"/>
        </w:rPr>
        <w:t>In November 2024, we dosed the first patient in RIDGE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-1, our Phase 1b multi-center, open-label clinical trial, designed to assess the safety, tolerability and efficacy of a one-time intravenous infusion of TN-401. We have activated multiple clinical trial sites at leading cardiology centers in the U.S. with ARVC expertise and intend to expand enrollment of RIDGE-1 to the United Kingdom. We expect to complete enrollment of the first cohort of patients at the 3×1013vg/kg in the first half of 2025. An independent DSMB will review all available safety data for the first three patients dosed and then inform plans for dose escalation to 6×1013vg/kg, as needed, and/or enrollment of additional patients in the first cohort. Initial clinical data from the first cohort of patients to receive TN-401 is expected in the second half of 2025. In January 2025, we were awarded a Clinical Grant (Clin2) of $8.0 million from the California Institute for Regenerative Medicine (CIRM), a state of California Agency that funds regenerative medicine, stem cell, and gene therapy research. Proceeds from the grant will help fund clinical trial costs for our ongoing Phase 1b RIDGE-1 clinical trial of TN-401 gene therapy.</w:t>
      </w:r>
    </w:p>
    <w:p>
      <w:pPr>
        <w:spacing w:after="0" w:line="167" w:lineRule="exact"/>
        <w:rPr>
          <w:sz w:val="20"/>
          <w:szCs w:val="20"/>
          <w:color w:val="auto"/>
        </w:rPr>
      </w:pPr>
    </w:p>
    <w:p>
      <w:pPr>
        <w:ind w:left="1140" w:right="139"/>
        <w:spacing w:after="0" w:line="264" w:lineRule="auto"/>
        <w:rPr>
          <w:sz w:val="20"/>
          <w:szCs w:val="20"/>
          <w:color w:val="auto"/>
        </w:rPr>
      </w:pPr>
      <w:r>
        <w:rPr>
          <w:rFonts w:ascii="Times New Roman" w:cs="Times New Roman" w:eastAsia="Times New Roman" w:hAnsi="Times New Roman"/>
          <w:sz w:val="15"/>
          <w:szCs w:val="15"/>
          <w:color w:val="auto"/>
        </w:rPr>
        <w:t xml:space="preserve">In support of our development efforts for TN-401, we initiated RIDGE, a global noninterventional study to collect natural history and seroprevalence to AAV9 antibodies data among ARVC patients who carry pathogenic or likely pathogenic </w:t>
      </w:r>
      <w:r>
        <w:rPr>
          <w:rFonts w:ascii="Times New Roman" w:cs="Times New Roman" w:eastAsia="Times New Roman" w:hAnsi="Times New Roman"/>
          <w:sz w:val="15"/>
          <w:szCs w:val="15"/>
          <w:i w:val="1"/>
          <w:iCs w:val="1"/>
          <w:color w:val="auto"/>
        </w:rPr>
        <w:t>PKP2</w:t>
      </w:r>
      <w:r>
        <w:rPr>
          <w:rFonts w:ascii="Times New Roman" w:cs="Times New Roman" w:eastAsia="Times New Roman" w:hAnsi="Times New Roman"/>
          <w:sz w:val="15"/>
          <w:szCs w:val="15"/>
          <w:color w:val="auto"/>
        </w:rPr>
        <w:t xml:space="preserve"> gene mutations. Initial data from RIDGE indicated that antibodies to AAV9 in a majority of participants were below the eligibility threshold that would allow for participation in RIDGE-1. We</w:t>
      </w:r>
    </w:p>
    <w:p>
      <w:pPr>
        <w:spacing w:after="0" w:line="2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0139"/>
          </w:cols>
          <w:pgMar w:left="320" w:top="405"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181610</wp:posOffset>
            </wp:positionV>
            <wp:extent cx="5901690" cy="49409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01690" cy="494093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140" w:right="419"/>
        <w:spacing w:after="0" w:line="287" w:lineRule="auto"/>
        <w:rPr>
          <w:sz w:val="20"/>
          <w:szCs w:val="20"/>
          <w:color w:val="auto"/>
        </w:rPr>
      </w:pPr>
      <w:r>
        <w:rPr>
          <w:rFonts w:ascii="Times New Roman" w:cs="Times New Roman" w:eastAsia="Times New Roman" w:hAnsi="Times New Roman"/>
          <w:sz w:val="15"/>
          <w:szCs w:val="15"/>
          <w:color w:val="auto"/>
        </w:rPr>
        <w:t>plan to present additional data from RIDGE in the first half of 2025. TN-401 has received orphan drug designation from the FDA and orphan medicinal product designation from the EC, as well as Fast Track Designation from the FDA.</w:t>
      </w:r>
    </w:p>
    <w:p>
      <w:pPr>
        <w:spacing w:after="0" w:line="134" w:lineRule="exact"/>
        <w:rPr>
          <w:sz w:val="20"/>
          <w:szCs w:val="20"/>
          <w:color w:val="auto"/>
        </w:rPr>
      </w:pPr>
    </w:p>
    <w:p>
      <w:pPr>
        <w:ind w:left="1140" w:right="179"/>
        <w:spacing w:after="0" w:line="259" w:lineRule="auto"/>
        <w:rPr>
          <w:sz w:val="20"/>
          <w:szCs w:val="20"/>
          <w:color w:val="auto"/>
        </w:rPr>
      </w:pPr>
      <w:r>
        <w:rPr>
          <w:rFonts w:ascii="Times New Roman" w:cs="Times New Roman" w:eastAsia="Times New Roman" w:hAnsi="Times New Roman"/>
          <w:sz w:val="15"/>
          <w:szCs w:val="15"/>
          <w:color w:val="auto"/>
        </w:rPr>
        <w:t xml:space="preserve">We previously completed a Phase 1 clinical trial of TN-301, a highly selective small molecule inhibitor of histone deacetylase-6 (HDAC6). HDAC6 is a cytoplasmic enzyme known to regulate diverse cellular processes. TN-301’s multi-modal mechanism addresses diverse pathological processes and has shown direct and systemic benefits in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xml:space="preserve"> studies of HFpEF. HFpEF is characterized by a stiffening of the heart muscle resulting in an inability for the left ventricle to relax and fill with oxygenated blood sufficient to meet the body’s needs. The pathophysiology of HFpEF is complex and is driven by metabolic dysfunction or oxidative stress and inflammation, with diverse conditions serving as risk factors for disease, including obesity, diabetes, aging, kidney disease and hypertension. Although HFpEF accounts for approximately half of all heart failures, there are few proven treatment options.</w:t>
      </w:r>
    </w:p>
    <w:p>
      <w:pPr>
        <w:spacing w:after="0" w:line="154" w:lineRule="exact"/>
        <w:rPr>
          <w:sz w:val="20"/>
          <w:szCs w:val="20"/>
          <w:color w:val="auto"/>
        </w:rPr>
      </w:pPr>
    </w:p>
    <w:p>
      <w:pPr>
        <w:ind w:left="1140" w:right="19"/>
        <w:spacing w:after="0" w:line="257" w:lineRule="auto"/>
        <w:rPr>
          <w:sz w:val="20"/>
          <w:szCs w:val="20"/>
          <w:color w:val="auto"/>
        </w:rPr>
      </w:pPr>
      <w:r>
        <w:rPr>
          <w:rFonts w:ascii="Times New Roman" w:cs="Times New Roman" w:eastAsia="Times New Roman" w:hAnsi="Times New Roman"/>
          <w:sz w:val="15"/>
          <w:szCs w:val="15"/>
          <w:color w:val="auto"/>
        </w:rPr>
        <w:t>We shared positive data from our Phase 1 clinical trial of TN-301 in healthy participants at the 2023 Heart Failure Society of America Annual Scientific Meeting. TN-301 was generally well tolerated across the broad range of doses studied. Pharmacokinetic results showed overall dose proportionality with a half-life supportive of once-daily dosing. Increasing doses and exposures with TN-301 correlated with increased pharmacodynamic effects. There were no changes in histone acetylation with TN-301 underscoring the selectivity of TN-301 for HDAC6 and potentially reducing the risk of off target effects. In comparative preclinical studies, selective HDAC6 inhibition as a single agent has been shown to have similar efficacy to empagliflozin, a sodium-glucose cotransporter-2 (SGLT2) inhibitor which is approved for the treatment of HFpEF and co-administration of our HDAC6 inhibition with a SGLT2 inhibitor in a HFpEF mouse model demonstrated additive benefit. Taken together, these data support continued development of TN-301 as a potential treatment for patients with HFpEF and other severe diseases – including those outside of cardiology – in which inflammation, fibrosis and metabolic dysregulation may be implicated. We believe late-stage clinical development of TN-301 is best suited for development by or with a well-resourced partner.</w:t>
      </w:r>
    </w:p>
    <w:p>
      <w:pPr>
        <w:spacing w:after="0" w:line="156" w:lineRule="exact"/>
        <w:rPr>
          <w:sz w:val="20"/>
          <w:szCs w:val="20"/>
          <w:color w:val="auto"/>
        </w:rPr>
      </w:pPr>
    </w:p>
    <w:p>
      <w:pPr>
        <w:ind w:left="1140" w:right="219"/>
        <w:spacing w:after="0" w:line="287" w:lineRule="auto"/>
        <w:rPr>
          <w:sz w:val="20"/>
          <w:szCs w:val="20"/>
          <w:color w:val="auto"/>
        </w:rPr>
      </w:pPr>
      <w:r>
        <w:rPr>
          <w:rFonts w:ascii="Times New Roman" w:cs="Times New Roman" w:eastAsia="Times New Roman" w:hAnsi="Times New Roman"/>
          <w:sz w:val="15"/>
          <w:szCs w:val="15"/>
          <w:color w:val="auto"/>
        </w:rPr>
        <w:t>In addition to our lead product candidates, we have multiple early-stage programs using various therapeutic approaches, including gene addition, gene editing, gene silencing, and cellular regeneration to address other forms of rare and/or prevalent heart disease.</w:t>
      </w:r>
    </w:p>
    <w:p>
      <w:pPr>
        <w:spacing w:after="0" w:line="134" w:lineRule="exact"/>
        <w:rPr>
          <w:sz w:val="20"/>
          <w:szCs w:val="20"/>
          <w:color w:val="auto"/>
        </w:rPr>
      </w:pPr>
    </w:p>
    <w:p>
      <w:pPr>
        <w:ind w:left="1140" w:right="39"/>
        <w:spacing w:after="0" w:line="261" w:lineRule="auto"/>
        <w:rPr>
          <w:sz w:val="20"/>
          <w:szCs w:val="20"/>
          <w:color w:val="auto"/>
        </w:rPr>
      </w:pPr>
      <w:r>
        <w:rPr>
          <w:rFonts w:ascii="Times New Roman" w:cs="Times New Roman" w:eastAsia="Times New Roman" w:hAnsi="Times New Roman"/>
          <w:sz w:val="15"/>
          <w:szCs w:val="15"/>
          <w:color w:val="auto"/>
        </w:rPr>
        <w:t>Early on in our company history, we invested in differentiated capabilities to enable modality agnostic target identification and validation, anchored in human genetics and the use of human disease models. That proprietary expertise has directly informed the design, optimization and production of our pipeline. To support our initial focus on gene therapy candidates, we internalized expertise in capsid engineering, novel promoter constructs and manufacturing anchored on the use of AAVs as the method of delivery to the heart with the aim of increasing the safety and efficacy of our product candidates and accelerating early-stage discovery and preclinical optimization across modalities.</w:t>
      </w:r>
    </w:p>
    <w:p>
      <w:pPr>
        <w:spacing w:after="0" w:line="155" w:lineRule="exact"/>
        <w:rPr>
          <w:sz w:val="20"/>
          <w:szCs w:val="20"/>
          <w:color w:val="auto"/>
        </w:rPr>
      </w:pPr>
    </w:p>
    <w:p>
      <w:pPr>
        <w:ind w:left="1140" w:right="99"/>
        <w:spacing w:after="0" w:line="270" w:lineRule="auto"/>
        <w:rPr>
          <w:sz w:val="20"/>
          <w:szCs w:val="20"/>
          <w:color w:val="auto"/>
        </w:rPr>
      </w:pPr>
      <w:r>
        <w:rPr>
          <w:rFonts w:ascii="Times New Roman" w:cs="Times New Roman" w:eastAsia="Times New Roman" w:hAnsi="Times New Roman"/>
          <w:sz w:val="15"/>
          <w:szCs w:val="15"/>
          <w:color w:val="auto"/>
        </w:rPr>
        <w:t>For the production of our lead gene therapy candidates, TN-201 and TN-401, we maintained complete ownership of process development, analytical development, and quality control and have already produced all necessary clinical trial material needed for our ongoing MyPEAK-1 and RIDGE-1 clinical trials at our Good Manufacturing Practice (cGMP)-certified Genetic Medicines Manufacturing Center in Union City, California.</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105" w:lineRule="exact"/>
        <w:rPr>
          <w:sz w:val="20"/>
          <w:szCs w:val="20"/>
          <w:color w:val="auto"/>
        </w:rPr>
      </w:pPr>
    </w:p>
    <w:p>
      <w:pPr>
        <w:ind w:left="1140" w:right="59" w:firstLine="359"/>
        <w:spacing w:after="0" w:line="264" w:lineRule="auto"/>
        <w:rPr>
          <w:sz w:val="20"/>
          <w:szCs w:val="20"/>
          <w:color w:val="auto"/>
        </w:rPr>
      </w:pPr>
      <w:r>
        <w:rPr>
          <w:rFonts w:ascii="Times New Roman" w:cs="Times New Roman" w:eastAsia="Times New Roman" w:hAnsi="Times New Roman"/>
          <w:sz w:val="15"/>
          <w:szCs w:val="15"/>
          <w:color w:val="auto"/>
        </w:rPr>
        <w:t>We were incorporated in Delaware in August 2016. Our principal executive offices are located at 171 Oyster Point Boulevard, Suite 500, South San Francisco, CA 94080. Our telephone number is (650) 825-6990. Our website address is www.tenayatherapeutics.com. Information contained on, or accessible through, our website is not incorporated by reference into this prospectus and should not be considered to be part of this prospectus. The inclusion of our website address in this prospectus is an inactive textual reference only.</w:t>
      </w:r>
    </w:p>
    <w:p>
      <w:pPr>
        <w:spacing w:after="0" w:line="2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0139"/>
          </w:cols>
          <w:pgMar w:left="320" w:top="405"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181610</wp:posOffset>
            </wp:positionV>
            <wp:extent cx="5901690" cy="47097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01690" cy="47097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140" w:right="59" w:firstLine="359"/>
        <w:spacing w:after="0" w:line="261" w:lineRule="auto"/>
        <w:rPr>
          <w:sz w:val="20"/>
          <w:szCs w:val="20"/>
          <w:color w:val="auto"/>
        </w:rPr>
      </w:pPr>
      <w:r>
        <w:rPr>
          <w:rFonts w:ascii="Times New Roman" w:cs="Times New Roman" w:eastAsia="Times New Roman" w:hAnsi="Times New Roman"/>
          <w:sz w:val="15"/>
          <w:szCs w:val="15"/>
          <w:color w:val="auto"/>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The SEC maintains a website that contains reports, proxy and information statements and other information regarding our filings at www.sec.gov.</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The Securities That May Be Offered</w:t>
      </w:r>
    </w:p>
    <w:p>
      <w:pPr>
        <w:spacing w:after="0" w:line="105" w:lineRule="exact"/>
        <w:rPr>
          <w:sz w:val="20"/>
          <w:szCs w:val="20"/>
          <w:color w:val="auto"/>
        </w:rPr>
      </w:pPr>
    </w:p>
    <w:p>
      <w:pPr>
        <w:ind w:left="1140" w:right="99" w:firstLine="359"/>
        <w:spacing w:after="0" w:line="264" w:lineRule="auto"/>
        <w:rPr>
          <w:sz w:val="20"/>
          <w:szCs w:val="20"/>
          <w:color w:val="auto"/>
        </w:rPr>
      </w:pPr>
      <w:r>
        <w:rPr>
          <w:rFonts w:ascii="Times New Roman" w:cs="Times New Roman" w:eastAsia="Times New Roman" w:hAnsi="Times New Roman"/>
          <w:sz w:val="15"/>
          <w:szCs w:val="15"/>
          <w:color w:val="auto"/>
        </w:rPr>
        <w:t>We may offer or sell common stock, preferred stock, depositary shares, debt securities, warrants, subscription rights, purchase contracts and units in one or more offerings and in any combination. The aggregate offering price of the securities we sell pursuant to this prospectus will not exceed $300,000,000.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51" w:lineRule="exact"/>
        <w:rPr>
          <w:sz w:val="20"/>
          <w:szCs w:val="20"/>
          <w:color w:val="auto"/>
        </w:rPr>
      </w:pPr>
    </w:p>
    <w:p>
      <w:pPr>
        <w:ind w:left="1140" w:right="99" w:firstLine="359"/>
        <w:spacing w:after="0" w:line="270" w:lineRule="auto"/>
        <w:rPr>
          <w:sz w:val="20"/>
          <w:szCs w:val="20"/>
          <w:color w:val="auto"/>
        </w:rPr>
      </w:pPr>
      <w:r>
        <w:rPr>
          <w:rFonts w:ascii="Times New Roman" w:cs="Times New Roman" w:eastAsia="Times New Roman" w:hAnsi="Times New Roman"/>
          <w:sz w:val="15"/>
          <w:szCs w:val="15"/>
          <w:color w:val="auto"/>
        </w:rPr>
        <w:t>The securities may be sold to or through underwriters, dealers or agents or directly to purchasers or as otherwise set forth in the section titled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b w:val="1"/>
          <w:bCs w:val="1"/>
          <w:i w:val="1"/>
          <w:iCs w:val="1"/>
          <w:color w:val="auto"/>
        </w:rPr>
        <w:t>Common Stock</w:t>
      </w:r>
    </w:p>
    <w:p>
      <w:pPr>
        <w:spacing w:after="0" w:line="105" w:lineRule="exact"/>
        <w:rPr>
          <w:sz w:val="20"/>
          <w:szCs w:val="20"/>
          <w:color w:val="auto"/>
        </w:rPr>
      </w:pPr>
    </w:p>
    <w:p>
      <w:pPr>
        <w:ind w:left="1140" w:right="79" w:firstLine="359"/>
        <w:spacing w:after="0" w:line="264" w:lineRule="auto"/>
        <w:rPr>
          <w:sz w:val="20"/>
          <w:szCs w:val="20"/>
          <w:color w:val="auto"/>
        </w:rPr>
      </w:pPr>
      <w:r>
        <w:rPr>
          <w:rFonts w:ascii="Times New Roman" w:cs="Times New Roman" w:eastAsia="Times New Roman" w:hAnsi="Times New Roman"/>
          <w:sz w:val="15"/>
          <w:szCs w:val="15"/>
          <w:color w:val="auto"/>
        </w:rPr>
        <w:t>We may offer shares of our common stock, par value $0.0001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spacing w:after="0" w:line="23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b w:val="1"/>
          <w:bCs w:val="1"/>
          <w:i w:val="1"/>
          <w:iCs w:val="1"/>
          <w:color w:val="auto"/>
        </w:rPr>
        <w:t>Preferred Stock</w:t>
      </w:r>
    </w:p>
    <w:p>
      <w:pPr>
        <w:spacing w:after="0" w:line="105" w:lineRule="exact"/>
        <w:rPr>
          <w:sz w:val="20"/>
          <w:szCs w:val="20"/>
          <w:color w:val="auto"/>
        </w:rPr>
      </w:pPr>
    </w:p>
    <w:p>
      <w:pPr>
        <w:ind w:left="1140" w:right="159" w:firstLine="359"/>
        <w:spacing w:after="0" w:line="260" w:lineRule="auto"/>
        <w:rPr>
          <w:sz w:val="20"/>
          <w:szCs w:val="20"/>
          <w:color w:val="auto"/>
        </w:rPr>
      </w:pPr>
      <w:r>
        <w:rPr>
          <w:rFonts w:ascii="Times New Roman" w:cs="Times New Roman" w:eastAsia="Times New Roman" w:hAnsi="Times New Roman"/>
          <w:sz w:val="15"/>
          <w:szCs w:val="15"/>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4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b w:val="1"/>
          <w:bCs w:val="1"/>
          <w:i w:val="1"/>
          <w:iCs w:val="1"/>
          <w:color w:val="auto"/>
        </w:rPr>
        <w:t>Depositary Shares</w:t>
      </w:r>
    </w:p>
    <w:p>
      <w:pPr>
        <w:spacing w:after="0" w:line="105" w:lineRule="exact"/>
        <w:rPr>
          <w:sz w:val="20"/>
          <w:szCs w:val="20"/>
          <w:color w:val="auto"/>
        </w:rPr>
      </w:pPr>
    </w:p>
    <w:p>
      <w:pPr>
        <w:ind w:left="1140" w:right="139" w:firstLine="359"/>
        <w:spacing w:after="0" w:line="264" w:lineRule="auto"/>
        <w:rPr>
          <w:sz w:val="20"/>
          <w:szCs w:val="20"/>
          <w:color w:val="auto"/>
        </w:rPr>
      </w:pPr>
      <w:r>
        <w:rPr>
          <w:rFonts w:ascii="Times New Roman" w:cs="Times New Roman" w:eastAsia="Times New Roman" w:hAnsi="Times New Roman"/>
          <w:sz w:val="15"/>
          <w:szCs w:val="15"/>
          <w:color w:val="auto"/>
        </w:rPr>
        <w:t>We may offer depositary shares evidenced by depositary receipts, with each depositary share representing a fractional interest in a share of a particular series of preferred stock issued and deposited with a depositary to be designated by us. 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0139"/>
          </w:cols>
          <w:pgMar w:left="320" w:top="405"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181610</wp:posOffset>
            </wp:positionV>
            <wp:extent cx="5901690" cy="3957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01690" cy="3957955"/>
                    </a:xfrm>
                    <a:prstGeom prst="rect">
                      <a:avLst/>
                    </a:prstGeom>
                    <a:noFill/>
                  </pic:spPr>
                </pic:pic>
              </a:graphicData>
            </a:graphic>
          </wp:anchor>
        </w:drawing>
      </w:r>
    </w:p>
    <w:p>
      <w:pPr>
        <w:spacing w:after="0" w:line="39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b w:val="1"/>
          <w:bCs w:val="1"/>
          <w:i w:val="1"/>
          <w:iCs w:val="1"/>
          <w:color w:val="auto"/>
        </w:rPr>
        <w:t>Debt Securities</w:t>
      </w:r>
    </w:p>
    <w:p>
      <w:pPr>
        <w:spacing w:after="0" w:line="105" w:lineRule="exact"/>
        <w:rPr>
          <w:sz w:val="20"/>
          <w:szCs w:val="20"/>
          <w:color w:val="auto"/>
        </w:rPr>
      </w:pPr>
    </w:p>
    <w:p>
      <w:pPr>
        <w:ind w:left="1140" w:right="219" w:firstLine="359"/>
        <w:spacing w:after="0" w:line="260" w:lineRule="auto"/>
        <w:rPr>
          <w:sz w:val="20"/>
          <w:szCs w:val="20"/>
          <w:color w:val="auto"/>
        </w:rPr>
      </w:pPr>
      <w:r>
        <w:rPr>
          <w:rFonts w:ascii="Times New Roman" w:cs="Times New Roman" w:eastAsia="Times New Roman" w:hAnsi="Times New Roman"/>
          <w:sz w:val="15"/>
          <w:szCs w:val="15"/>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offer debt securities that are convertible into shares of our common stock or other securities.</w:t>
      </w:r>
    </w:p>
    <w:p>
      <w:pPr>
        <w:spacing w:after="0" w:line="153" w:lineRule="exact"/>
        <w:rPr>
          <w:sz w:val="20"/>
          <w:szCs w:val="20"/>
          <w:color w:val="auto"/>
        </w:rPr>
      </w:pPr>
    </w:p>
    <w:p>
      <w:pPr>
        <w:jc w:val="both"/>
        <w:ind w:left="1140" w:right="259" w:firstLine="359"/>
        <w:spacing w:after="0" w:line="270" w:lineRule="auto"/>
        <w:rPr>
          <w:sz w:val="20"/>
          <w:szCs w:val="20"/>
          <w:color w:val="auto"/>
        </w:rPr>
      </w:pPr>
      <w:r>
        <w:rPr>
          <w:rFonts w:ascii="Times New Roman" w:cs="Times New Roman" w:eastAsia="Times New Roman" w:hAnsi="Times New Roman"/>
          <w:sz w:val="15"/>
          <w:szCs w:val="15"/>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b w:val="1"/>
          <w:bCs w:val="1"/>
          <w:i w:val="1"/>
          <w:iCs w:val="1"/>
          <w:color w:val="auto"/>
        </w:rPr>
        <w:t>Warrants</w:t>
      </w:r>
    </w:p>
    <w:p>
      <w:pPr>
        <w:spacing w:after="0" w:line="105" w:lineRule="exact"/>
        <w:rPr>
          <w:sz w:val="20"/>
          <w:szCs w:val="20"/>
          <w:color w:val="auto"/>
        </w:rPr>
      </w:pPr>
    </w:p>
    <w:p>
      <w:pPr>
        <w:ind w:left="1140" w:right="499" w:firstLine="359"/>
        <w:spacing w:after="0" w:line="287" w:lineRule="auto"/>
        <w:rPr>
          <w:sz w:val="20"/>
          <w:szCs w:val="20"/>
          <w:color w:val="auto"/>
        </w:rPr>
      </w:pPr>
      <w:r>
        <w:rPr>
          <w:rFonts w:ascii="Times New Roman" w:cs="Times New Roman" w:eastAsia="Times New Roman" w:hAnsi="Times New Roman"/>
          <w:sz w:val="15"/>
          <w:szCs w:val="15"/>
          <w:color w:val="auto"/>
        </w:rPr>
        <w:t>We may offer warrants for the purchase of common stock, preferred stock, debt securities or depositary shares. We may offer warrants independently or together with other securities.</w:t>
      </w:r>
    </w:p>
    <w:p>
      <w:pPr>
        <w:spacing w:after="0" w:line="2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b w:val="1"/>
          <w:bCs w:val="1"/>
          <w:i w:val="1"/>
          <w:iCs w:val="1"/>
          <w:color w:val="auto"/>
        </w:rPr>
        <w:t>Subscription Rights</w:t>
      </w:r>
    </w:p>
    <w:p>
      <w:pPr>
        <w:spacing w:after="0" w:line="105" w:lineRule="exact"/>
        <w:rPr>
          <w:sz w:val="20"/>
          <w:szCs w:val="20"/>
          <w:color w:val="auto"/>
        </w:rPr>
      </w:pPr>
    </w:p>
    <w:p>
      <w:pPr>
        <w:ind w:left="1140" w:right="339" w:firstLine="359"/>
        <w:spacing w:after="0" w:line="270" w:lineRule="auto"/>
        <w:rPr>
          <w:sz w:val="20"/>
          <w:szCs w:val="20"/>
          <w:color w:val="auto"/>
        </w:rPr>
      </w:pPr>
      <w:r>
        <w:rPr>
          <w:rFonts w:ascii="Times New Roman" w:cs="Times New Roman" w:eastAsia="Times New Roman" w:hAnsi="Times New Roman"/>
          <w:sz w:val="15"/>
          <w:szCs w:val="15"/>
          <w:color w:val="auto"/>
        </w:rPr>
        <w:t>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spacing w:after="0" w:line="2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b w:val="1"/>
          <w:bCs w:val="1"/>
          <w:i w:val="1"/>
          <w:iCs w:val="1"/>
          <w:color w:val="auto"/>
        </w:rPr>
        <w:t>Purchase Contracts</w:t>
      </w:r>
    </w:p>
    <w:p>
      <w:pPr>
        <w:spacing w:after="0" w:line="105" w:lineRule="exact"/>
        <w:rPr>
          <w:sz w:val="20"/>
          <w:szCs w:val="20"/>
          <w:color w:val="auto"/>
        </w:rPr>
      </w:pPr>
    </w:p>
    <w:p>
      <w:pPr>
        <w:ind w:left="1140" w:right="339" w:firstLine="359"/>
        <w:spacing w:after="0" w:line="287" w:lineRule="auto"/>
        <w:rPr>
          <w:sz w:val="20"/>
          <w:szCs w:val="20"/>
          <w:color w:val="auto"/>
        </w:rPr>
      </w:pPr>
      <w:r>
        <w:rPr>
          <w:rFonts w:ascii="Times New Roman" w:cs="Times New Roman" w:eastAsia="Times New Roman" w:hAnsi="Times New Roman"/>
          <w:sz w:val="15"/>
          <w:szCs w:val="15"/>
          <w:color w:val="auto"/>
        </w:rPr>
        <w:t>We may offer purchase contracts, including contracts obligating holders or us to purchase from the other a specific or variable number of securities at a future date or dates.</w:t>
      </w:r>
    </w:p>
    <w:p>
      <w:pPr>
        <w:spacing w:after="0" w:line="2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b w:val="1"/>
          <w:bCs w:val="1"/>
          <w:i w:val="1"/>
          <w:iCs w:val="1"/>
          <w:color w:val="auto"/>
        </w:rPr>
        <w:t>Units</w:t>
      </w:r>
    </w:p>
    <w:p>
      <w:pPr>
        <w:spacing w:after="0" w:line="105" w:lineRule="exact"/>
        <w:rPr>
          <w:sz w:val="20"/>
          <w:szCs w:val="20"/>
          <w:color w:val="auto"/>
        </w:rPr>
      </w:pPr>
    </w:p>
    <w:p>
      <w:pPr>
        <w:ind w:left="1140" w:right="59" w:firstLine="359"/>
        <w:spacing w:after="0" w:line="287" w:lineRule="auto"/>
        <w:rPr>
          <w:sz w:val="20"/>
          <w:szCs w:val="20"/>
          <w:color w:val="auto"/>
        </w:rPr>
      </w:pPr>
      <w:r>
        <w:rPr>
          <w:rFonts w:ascii="Times New Roman" w:cs="Times New Roman" w:eastAsia="Times New Roman" w:hAnsi="Times New Roman"/>
          <w:sz w:val="15"/>
          <w:szCs w:val="15"/>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0139"/>
          </w:cols>
          <w:pgMar w:left="320" w:top="405"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96" w:lineRule="exact"/>
        <w:rPr>
          <w:sz w:val="20"/>
          <w:szCs w:val="20"/>
          <w:color w:val="auto"/>
        </w:rPr>
      </w:pPr>
    </w:p>
    <w:p>
      <w:pPr>
        <w:ind w:left="980" w:firstLine="371"/>
        <w:spacing w:after="0" w:line="257" w:lineRule="auto"/>
        <w:rPr>
          <w:sz w:val="20"/>
          <w:szCs w:val="20"/>
          <w:color w:val="auto"/>
        </w:rPr>
      </w:pPr>
      <w:r>
        <w:rPr>
          <w:rFonts w:ascii="Times New Roman" w:cs="Times New Roman" w:eastAsia="Times New Roman" w:hAnsi="Times New Roman"/>
          <w:sz w:val="15"/>
          <w:szCs w:val="15"/>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risk factors discussed in the section of the applicable prospectus supplement titled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in our most recent Quarterly Report on Form 10-Q filed subsequent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See “Where You Can Find More Information” and “Incorporation by Reference.”</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0240"/>
          </w:cols>
          <w:pgMar w:left="320" w:top="405" w:right="1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96" w:lineRule="exact"/>
        <w:rPr>
          <w:sz w:val="20"/>
          <w:szCs w:val="20"/>
          <w:color w:val="auto"/>
        </w:rPr>
      </w:pPr>
    </w:p>
    <w:p>
      <w:pPr>
        <w:ind w:left="980" w:right="20" w:firstLine="371"/>
        <w:spacing w:after="0" w:line="257" w:lineRule="auto"/>
        <w:rPr>
          <w:sz w:val="20"/>
          <w:szCs w:val="20"/>
          <w:color w:val="auto"/>
        </w:rPr>
      </w:pPr>
      <w:r>
        <w:rPr>
          <w:rFonts w:ascii="Times New Roman" w:cs="Times New Roman" w:eastAsia="Times New Roman" w:hAnsi="Times New Roman"/>
          <w:sz w:val="15"/>
          <w:szCs w:val="15"/>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(the Securities Act) and Section 21E of the Securities Exchange Act of 1934, as amended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56" w:lineRule="exact"/>
        <w:rPr>
          <w:sz w:val="20"/>
          <w:szCs w:val="20"/>
          <w:color w:val="auto"/>
        </w:rPr>
      </w:pPr>
    </w:p>
    <w:p>
      <w:pPr>
        <w:ind w:left="980" w:firstLine="371"/>
        <w:spacing w:after="0" w:line="261" w:lineRule="auto"/>
        <w:rPr>
          <w:sz w:val="20"/>
          <w:szCs w:val="20"/>
          <w:color w:val="auto"/>
        </w:rPr>
      </w:pPr>
      <w:r>
        <w:rPr>
          <w:rFonts w:ascii="Times New Roman" w:cs="Times New Roman" w:eastAsia="Times New Roman" w:hAnsi="Times New Roman"/>
          <w:sz w:val="15"/>
          <w:szCs w:val="15"/>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337" w:lineRule="exact"/>
        <w:rPr>
          <w:sz w:val="20"/>
          <w:szCs w:val="20"/>
          <w:color w:val="auto"/>
        </w:rPr>
      </w:pPr>
    </w:p>
    <w:p>
      <w:pPr>
        <w:ind w:left="980" w:firstLine="371"/>
        <w:spacing w:after="0" w:line="261" w:lineRule="auto"/>
        <w:rPr>
          <w:sz w:val="20"/>
          <w:szCs w:val="20"/>
          <w:color w:val="auto"/>
        </w:rPr>
      </w:pPr>
      <w:r>
        <w:rPr>
          <w:rFonts w:ascii="Times New Roman" w:cs="Times New Roman" w:eastAsia="Times New Roman" w:hAnsi="Times New Roman"/>
          <w:sz w:val="15"/>
          <w:szCs w:val="15"/>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55" w:lineRule="exact"/>
        <w:rPr>
          <w:sz w:val="20"/>
          <w:szCs w:val="20"/>
          <w:color w:val="auto"/>
        </w:rPr>
      </w:pPr>
    </w:p>
    <w:p>
      <w:pPr>
        <w:ind w:left="980" w:right="60" w:firstLine="371"/>
        <w:spacing w:after="0" w:line="264" w:lineRule="auto"/>
        <w:rPr>
          <w:sz w:val="20"/>
          <w:szCs w:val="20"/>
          <w:color w:val="auto"/>
        </w:rPr>
      </w:pPr>
      <w:r>
        <w:rPr>
          <w:rFonts w:ascii="Times New Roman" w:cs="Times New Roman" w:eastAsia="Times New Roman" w:hAnsi="Times New Roman"/>
          <w:sz w:val="15"/>
          <w:szCs w:val="15"/>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0220"/>
          </w:cols>
          <w:pgMar w:left="320" w:top="405" w:right="1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96" w:lineRule="exact"/>
        <w:rPr>
          <w:sz w:val="20"/>
          <w:szCs w:val="20"/>
          <w:color w:val="auto"/>
        </w:rPr>
      </w:pPr>
    </w:p>
    <w:p>
      <w:pPr>
        <w:ind w:left="980" w:firstLine="371"/>
        <w:spacing w:after="0" w:line="287" w:lineRule="auto"/>
        <w:rPr>
          <w:sz w:val="20"/>
          <w:szCs w:val="20"/>
          <w:color w:val="auto"/>
        </w:rPr>
      </w:pPr>
      <w:r>
        <w:rPr>
          <w:rFonts w:ascii="Times New Roman" w:cs="Times New Roman" w:eastAsia="Times New Roman" w:hAnsi="Times New Roman"/>
          <w:sz w:val="15"/>
          <w:szCs w:val="15"/>
          <w:color w:val="auto"/>
        </w:rPr>
        <w:t>We will set forth in the prospectus supplement our intended use for the net proceeds received from the sale of any securities. We will retain broad discretion over the use of the net proceeds to us from the sale of our securities under this prospectus.</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0180"/>
          </w:cols>
          <w:pgMar w:left="320" w:top="405" w:right="1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DESCRIPTION OF CAPITAL STOCK</w:t>
      </w:r>
    </w:p>
    <w:p>
      <w:pPr>
        <w:spacing w:after="0" w:line="196" w:lineRule="exact"/>
        <w:rPr>
          <w:sz w:val="20"/>
          <w:szCs w:val="20"/>
          <w:color w:val="auto"/>
        </w:rPr>
      </w:pPr>
    </w:p>
    <w:p>
      <w:pPr>
        <w:ind w:left="980" w:right="299" w:firstLine="371"/>
        <w:spacing w:after="0" w:line="287" w:lineRule="auto"/>
        <w:rPr>
          <w:sz w:val="20"/>
          <w:szCs w:val="20"/>
          <w:color w:val="auto"/>
        </w:rPr>
      </w:pPr>
      <w:r>
        <w:rPr>
          <w:rFonts w:ascii="Times New Roman" w:cs="Times New Roman" w:eastAsia="Times New Roman" w:hAnsi="Times New Roman"/>
          <w:sz w:val="15"/>
          <w:szCs w:val="15"/>
          <w:color w:val="auto"/>
        </w:rPr>
        <w:t>The description of our capital stock is incorporated by reference to Exhibit 4.3 to our Annual Report on Form 10-K for the fiscal year ended December 31, 2024, filed with the SEC on March 10, 2025.</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0139"/>
          </w:cols>
          <w:pgMar w:left="320" w:top="405"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DESCRIPTION OF DEBT SECURITIES</w:t>
      </w:r>
    </w:p>
    <w:p>
      <w:pPr>
        <w:spacing w:after="0" w:line="196" w:lineRule="exact"/>
        <w:rPr>
          <w:sz w:val="20"/>
          <w:szCs w:val="20"/>
          <w:color w:val="auto"/>
        </w:rPr>
      </w:pPr>
    </w:p>
    <w:p>
      <w:pPr>
        <w:ind w:left="980" w:right="200" w:firstLine="371"/>
        <w:spacing w:after="0" w:line="264" w:lineRule="auto"/>
        <w:rPr>
          <w:sz w:val="20"/>
          <w:szCs w:val="20"/>
          <w:color w:val="auto"/>
        </w:rPr>
      </w:pPr>
      <w:r>
        <w:rPr>
          <w:rFonts w:ascii="Times New Roman" w:cs="Times New Roman" w:eastAsia="Times New Roman" w:hAnsi="Times New Roman"/>
          <w:sz w:val="15"/>
          <w:szCs w:val="15"/>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51" w:lineRule="exact"/>
        <w:rPr>
          <w:sz w:val="20"/>
          <w:szCs w:val="20"/>
          <w:color w:val="auto"/>
        </w:rPr>
      </w:pPr>
    </w:p>
    <w:p>
      <w:pPr>
        <w:jc w:val="both"/>
        <w:ind w:left="980" w:right="40" w:firstLine="371"/>
        <w:spacing w:after="0" w:line="270" w:lineRule="auto"/>
        <w:rPr>
          <w:sz w:val="20"/>
          <w:szCs w:val="20"/>
          <w:color w:val="auto"/>
        </w:rPr>
      </w:pPr>
      <w:r>
        <w:rPr>
          <w:rFonts w:ascii="Times New Roman" w:cs="Times New Roman" w:eastAsia="Times New Roman" w:hAnsi="Times New Roman"/>
          <w:sz w:val="15"/>
          <w:szCs w:val="15"/>
          <w:color w:val="auto"/>
        </w:rPr>
        <w:t>We may offer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46" w:lineRule="exact"/>
        <w:rPr>
          <w:sz w:val="20"/>
          <w:szCs w:val="20"/>
          <w:color w:val="auto"/>
        </w:rPr>
      </w:pPr>
    </w:p>
    <w:p>
      <w:pPr>
        <w:ind w:left="980" w:firstLine="371"/>
        <w:spacing w:after="0" w:line="257" w:lineRule="auto"/>
        <w:rPr>
          <w:sz w:val="20"/>
          <w:szCs w:val="20"/>
          <w:color w:val="auto"/>
        </w:rPr>
      </w:pPr>
      <w:r>
        <w:rPr>
          <w:rFonts w:ascii="Times New Roman" w:cs="Times New Roman" w:eastAsia="Times New Roman" w:hAnsi="Times New Roman"/>
          <w:sz w:val="15"/>
          <w:szCs w:val="15"/>
          <w:color w:val="auto"/>
        </w:rPr>
        <w:t>The debt securities will be issued under an indenture between us and a trustee to be identified in an accompanying prospectus supplement. We have summarized material provisions of the debt securities and select portions of the indenture below. The indenture will be qualified under the Trust Indenture Act of 1939, as amended, or the Trust Indenture Act. The summary is not complete and is subject to, and qualified in its entirety by reference to, all of the provisions of the indenture applicable to a particular series of debt securities. The form of the indenture has been filed as an exhibit to the registration statement of which this prospectus forms a part and you should read the indenture for provisions that may be important to you. Supplemental indentures and forms of debt securities containing the terms of the debt securities being offered will be filed as exhibits to the registration statement of which this prospectus is a part or will be incorporated by reference from reports that we file with the SEC, as applicable. Capitalized terms used in the summary and not defined herein have the meanings specified in the indenture. Unless the context requires otherwise, whenever we refer to an indenture, we also are referring to any supplemental indentures or forms of debt securities that specify the terms of a particular series of debt securities.</w:t>
      </w:r>
    </w:p>
    <w:p>
      <w:pPr>
        <w:spacing w:after="0" w:line="2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05" w:lineRule="exact"/>
        <w:rPr>
          <w:sz w:val="20"/>
          <w:szCs w:val="20"/>
          <w:color w:val="auto"/>
        </w:rPr>
      </w:pPr>
    </w:p>
    <w:p>
      <w:pPr>
        <w:ind w:left="980" w:right="20" w:firstLine="371"/>
        <w:spacing w:after="0" w:line="270" w:lineRule="auto"/>
        <w:rPr>
          <w:sz w:val="20"/>
          <w:szCs w:val="20"/>
          <w:color w:val="auto"/>
        </w:rPr>
      </w:pPr>
      <w:r>
        <w:rPr>
          <w:rFonts w:ascii="Times New Roman" w:cs="Times New Roman" w:eastAsia="Times New Roman" w:hAnsi="Times New Roman"/>
          <w:sz w:val="15"/>
          <w:szCs w:val="15"/>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46" w:lineRule="exact"/>
        <w:rPr>
          <w:sz w:val="20"/>
          <w:szCs w:val="20"/>
          <w:color w:val="auto"/>
        </w:rPr>
      </w:pPr>
    </w:p>
    <w:p>
      <w:pPr>
        <w:jc w:val="both"/>
        <w:ind w:left="980" w:right="120" w:firstLine="371"/>
        <w:spacing w:after="0" w:line="270" w:lineRule="auto"/>
        <w:rPr>
          <w:sz w:val="20"/>
          <w:szCs w:val="20"/>
          <w:color w:val="auto"/>
        </w:rPr>
      </w:pPr>
      <w:r>
        <w:rPr>
          <w:rFonts w:ascii="Times New Roman" w:cs="Times New Roman" w:eastAsia="Times New Roman" w:hAnsi="Times New Roman"/>
          <w:sz w:val="15"/>
          <w:szCs w:val="15"/>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terms of the debt securities, including, if applicable:</w:t>
      </w:r>
    </w:p>
    <w:p>
      <w:pPr>
        <w:spacing w:after="0" w:line="66" w:lineRule="exact"/>
        <w:rPr>
          <w:sz w:val="20"/>
          <w:szCs w:val="20"/>
          <w:color w:val="auto"/>
        </w:rPr>
      </w:pPr>
    </w:p>
    <w:p>
      <w:pPr>
        <w:ind w:left="1800" w:hanging="364"/>
        <w:spacing w:after="0"/>
        <w:tabs>
          <w:tab w:leader="none" w:pos="18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and ranking of the debt securities (including the terms of any subordination provisions);</w:t>
      </w:r>
    </w:p>
    <w:p>
      <w:pPr>
        <w:spacing w:after="0" w:line="112" w:lineRule="exact"/>
        <w:rPr>
          <w:rFonts w:ascii="Times New Roman" w:cs="Times New Roman" w:eastAsia="Times New Roman" w:hAnsi="Times New Roman"/>
          <w:sz w:val="15"/>
          <w:szCs w:val="15"/>
          <w:color w:val="auto"/>
        </w:rPr>
      </w:pPr>
    </w:p>
    <w:p>
      <w:pPr>
        <w:ind w:left="1800" w:right="320" w:hanging="364"/>
        <w:spacing w:after="0" w:line="287" w:lineRule="auto"/>
        <w:tabs>
          <w:tab w:leader="none" w:pos="18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or prices (expressed as a percentage of the principal amount) at which we will sell the debt securities, which may be sold at a discount below their stated principal amount;</w:t>
      </w:r>
    </w:p>
    <w:p>
      <w:pPr>
        <w:spacing w:after="0" w:line="54"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limit upon the aggregate principal amount of the debt securities;</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or dates on which the principal of the securities of the series is payable;</w:t>
      </w:r>
    </w:p>
    <w:p>
      <w:pPr>
        <w:spacing w:after="0" w:line="112" w:lineRule="exact"/>
        <w:rPr>
          <w:rFonts w:ascii="Times New Roman" w:cs="Times New Roman" w:eastAsia="Times New Roman" w:hAnsi="Times New Roman"/>
          <w:sz w:val="15"/>
          <w:szCs w:val="15"/>
          <w:color w:val="auto"/>
        </w:rPr>
      </w:pPr>
    </w:p>
    <w:p>
      <w:pPr>
        <w:ind w:left="1800" w:right="120" w:hanging="364"/>
        <w:spacing w:after="0" w:line="264" w:lineRule="auto"/>
        <w:tabs>
          <w:tab w:leader="none" w:pos="18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1"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 if any, to defer payment of interest and the maximum length of any such deferral period;</w:t>
      </w:r>
    </w:p>
    <w:p>
      <w:pPr>
        <w:spacing w:after="0" w:line="1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0260"/>
          </w:cols>
          <w:pgMar w:left="320" w:top="405" w:right="1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5" w:lineRule="exact"/>
        <w:rPr>
          <w:sz w:val="20"/>
          <w:szCs w:val="20"/>
          <w:color w:val="auto"/>
        </w:rPr>
      </w:pPr>
    </w:p>
    <w:p>
      <w:pPr>
        <w:jc w:val="both"/>
        <w:ind w:left="1800" w:right="60" w:hanging="364"/>
        <w:spacing w:after="0" w:line="270" w:lineRule="auto"/>
        <w:tabs>
          <w:tab w:leader="none" w:pos="18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66" w:lineRule="exact"/>
        <w:rPr>
          <w:rFonts w:ascii="Times New Roman" w:cs="Times New Roman" w:eastAsia="Times New Roman" w:hAnsi="Times New Roman"/>
          <w:sz w:val="15"/>
          <w:szCs w:val="15"/>
          <w:color w:val="auto"/>
        </w:rPr>
      </w:pPr>
    </w:p>
    <w:p>
      <w:pPr>
        <w:ind w:left="1800" w:right="520" w:hanging="364"/>
        <w:spacing w:after="0" w:line="287" w:lineRule="auto"/>
        <w:tabs>
          <w:tab w:leader="none" w:pos="18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period or periods within which, the price or prices at which, and the terms and conditions upon which, we may redeem the debt securities;</w:t>
      </w:r>
    </w:p>
    <w:p>
      <w:pPr>
        <w:spacing w:after="0" w:line="54" w:lineRule="exact"/>
        <w:rPr>
          <w:rFonts w:ascii="Times New Roman" w:cs="Times New Roman" w:eastAsia="Times New Roman" w:hAnsi="Times New Roman"/>
          <w:sz w:val="15"/>
          <w:szCs w:val="15"/>
          <w:color w:val="auto"/>
        </w:rPr>
      </w:pPr>
    </w:p>
    <w:p>
      <w:pPr>
        <w:ind w:left="1800" w:hanging="364"/>
        <w:spacing w:after="0" w:line="270" w:lineRule="auto"/>
        <w:tabs>
          <w:tab w:leader="none" w:pos="18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obligation we have to repurchase the debt securities pursuant to any sinking fund or analogous provisions or at the option of a holder of debt securities and the period or periods within which, the price or prices at which and the terms and conditions upon which securities of the series shall be repurchased, in whole or in part, pursuant to such obligation;</w:t>
      </w:r>
    </w:p>
    <w:p>
      <w:pPr>
        <w:spacing w:after="0" w:line="66" w:lineRule="exact"/>
        <w:rPr>
          <w:rFonts w:ascii="Times New Roman" w:cs="Times New Roman" w:eastAsia="Times New Roman" w:hAnsi="Times New Roman"/>
          <w:sz w:val="15"/>
          <w:szCs w:val="15"/>
          <w:color w:val="auto"/>
        </w:rPr>
      </w:pPr>
    </w:p>
    <w:p>
      <w:pPr>
        <w:ind w:left="1800" w:right="20" w:hanging="364"/>
        <w:spacing w:after="0" w:line="264" w:lineRule="auto"/>
        <w:tabs>
          <w:tab w:leader="none" w:pos="18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provisions relating to conversion or exchange of any debt securities of the series into our common stock or other securities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71"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denominations in which the debt securities will be issued, if other than denominations of $1,000, and any integral multiple thereof;</w:t>
      </w:r>
    </w:p>
    <w:p>
      <w:pPr>
        <w:spacing w:after="0" w:line="112" w:lineRule="exact"/>
        <w:rPr>
          <w:rFonts w:ascii="Times New Roman" w:cs="Times New Roman" w:eastAsia="Times New Roman" w:hAnsi="Times New Roman"/>
          <w:sz w:val="15"/>
          <w:szCs w:val="15"/>
          <w:color w:val="auto"/>
        </w:rPr>
      </w:pPr>
    </w:p>
    <w:p>
      <w:pPr>
        <w:ind w:left="1800" w:right="460" w:hanging="364"/>
        <w:spacing w:after="0" w:line="287" w:lineRule="auto"/>
        <w:tabs>
          <w:tab w:leader="none" w:pos="18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form of the debt securities and whether the debt securities will be issued in the form of certificated debt securities or global debt securities;</w:t>
      </w:r>
    </w:p>
    <w:p>
      <w:pPr>
        <w:spacing w:after="0" w:line="54" w:lineRule="exact"/>
        <w:rPr>
          <w:rFonts w:ascii="Times New Roman" w:cs="Times New Roman" w:eastAsia="Times New Roman" w:hAnsi="Times New Roman"/>
          <w:sz w:val="15"/>
          <w:szCs w:val="15"/>
          <w:color w:val="auto"/>
        </w:rPr>
      </w:pPr>
    </w:p>
    <w:p>
      <w:pPr>
        <w:ind w:left="1800" w:right="500" w:hanging="364"/>
        <w:spacing w:after="0" w:line="287" w:lineRule="auto"/>
        <w:tabs>
          <w:tab w:leader="none" w:pos="18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portion of principal amount of the debt securities payable upon declaration of acceleration of the maturity date, if other than the principal amount;</w:t>
      </w:r>
    </w:p>
    <w:p>
      <w:pPr>
        <w:spacing w:after="0" w:line="54" w:lineRule="exact"/>
        <w:rPr>
          <w:rFonts w:ascii="Times New Roman" w:cs="Times New Roman" w:eastAsia="Times New Roman" w:hAnsi="Times New Roman"/>
          <w:sz w:val="15"/>
          <w:szCs w:val="15"/>
          <w:color w:val="auto"/>
        </w:rPr>
      </w:pPr>
    </w:p>
    <w:p>
      <w:pPr>
        <w:ind w:left="1800" w:right="100" w:hanging="364"/>
        <w:spacing w:after="0" w:line="270" w:lineRule="auto"/>
        <w:tabs>
          <w:tab w:leader="none" w:pos="18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of the currency, currencies or currency units in which payment of principal of, premium and interest on the debt securities will be made and, if other than that or those in which the debt securities are denominated, the manner in which the exchange rate with respect to these payments will be determined;</w:t>
      </w:r>
    </w:p>
    <w:p>
      <w:pPr>
        <w:spacing w:after="0" w:line="66" w:lineRule="exact"/>
        <w:rPr>
          <w:rFonts w:ascii="Times New Roman" w:cs="Times New Roman" w:eastAsia="Times New Roman" w:hAnsi="Times New Roman"/>
          <w:sz w:val="15"/>
          <w:szCs w:val="15"/>
          <w:color w:val="auto"/>
        </w:rPr>
      </w:pPr>
    </w:p>
    <w:p>
      <w:pPr>
        <w:ind w:left="1800" w:right="60" w:hanging="364"/>
        <w:spacing w:after="0" w:line="270" w:lineRule="auto"/>
        <w:tabs>
          <w:tab w:leader="none" w:pos="18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manner in which the amounts of payment of principal or premium or interest, if any, on the debt securities will be determined, if these amounts may be determined by reference to an index based on a currency or currencies or by reference to a commodity, commodity index, stock exchange index or financial index;</w:t>
      </w:r>
    </w:p>
    <w:p>
      <w:pPr>
        <w:spacing w:after="0" w:line="66"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relating to any security provided for the debt securities;</w:t>
      </w:r>
    </w:p>
    <w:p>
      <w:pPr>
        <w:spacing w:after="0" w:line="112" w:lineRule="exact"/>
        <w:rPr>
          <w:rFonts w:ascii="Times New Roman" w:cs="Times New Roman" w:eastAsia="Times New Roman" w:hAnsi="Times New Roman"/>
          <w:sz w:val="15"/>
          <w:szCs w:val="15"/>
          <w:color w:val="auto"/>
        </w:rPr>
      </w:pPr>
    </w:p>
    <w:p>
      <w:pPr>
        <w:ind w:left="1800" w:right="60" w:hanging="364"/>
        <w:spacing w:after="0" w:line="270" w:lineRule="auto"/>
        <w:tabs>
          <w:tab w:leader="none" w:pos="18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addition to, deletion of, or change in the covenants or Events of Default described in this prospectus or in the indenture with respect to the debt securities and any change in the acceleration provisions described in this prospectus or in the indenture with respect to the debt securities;</w:t>
      </w:r>
    </w:p>
    <w:p>
      <w:pPr>
        <w:spacing w:after="0" w:line="66"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depositaries, interest rate calculation agents, exchange rate calculation agents or other agents with respect to the debt securities;</w:t>
      </w:r>
    </w:p>
    <w:p>
      <w:pPr>
        <w:spacing w:after="0" w:line="112" w:lineRule="exact"/>
        <w:rPr>
          <w:rFonts w:ascii="Times New Roman" w:cs="Times New Roman" w:eastAsia="Times New Roman" w:hAnsi="Times New Roman"/>
          <w:sz w:val="15"/>
          <w:szCs w:val="15"/>
          <w:color w:val="auto"/>
        </w:rPr>
      </w:pPr>
    </w:p>
    <w:p>
      <w:pPr>
        <w:ind w:left="1800" w:right="20" w:hanging="364"/>
        <w:spacing w:after="0" w:line="287" w:lineRule="auto"/>
        <w:tabs>
          <w:tab w:leader="none" w:pos="18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there is more than one trustee or a different trustee, the identity of the trustee and, if not the trustee, the identity of each security registrar, paying agent or authenticating agent with respect to such debt securities;</w:t>
      </w:r>
    </w:p>
    <w:p>
      <w:pPr>
        <w:spacing w:after="0" w:line="54" w:lineRule="exact"/>
        <w:rPr>
          <w:rFonts w:ascii="Times New Roman" w:cs="Times New Roman" w:eastAsia="Times New Roman" w:hAnsi="Times New Roman"/>
          <w:sz w:val="15"/>
          <w:szCs w:val="15"/>
          <w:color w:val="auto"/>
        </w:rPr>
      </w:pPr>
    </w:p>
    <w:p>
      <w:pPr>
        <w:ind w:left="1800" w:right="200" w:hanging="364"/>
        <w:spacing w:after="0" w:line="270" w:lineRule="auto"/>
        <w:tabs>
          <w:tab w:leader="none" w:pos="18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66" w:lineRule="exact"/>
        <w:rPr>
          <w:rFonts w:ascii="Times New Roman" w:cs="Times New Roman" w:eastAsia="Times New Roman" w:hAnsi="Times New Roman"/>
          <w:sz w:val="15"/>
          <w:szCs w:val="15"/>
          <w:color w:val="auto"/>
        </w:rPr>
      </w:pPr>
    </w:p>
    <w:p>
      <w:pPr>
        <w:ind w:left="1800" w:right="200" w:hanging="364"/>
        <w:spacing w:after="0" w:line="287" w:lineRule="auto"/>
        <w:tabs>
          <w:tab w:leader="none" w:pos="18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any of our direct or indirect subsidiaries will guarantee the debt securities of that series, including the terms of subordination, if any, of such guarantees.</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0260"/>
          </w:cols>
          <w:pgMar w:left="320" w:top="405" w:right="1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5" w:lineRule="exact"/>
        <w:rPr>
          <w:sz w:val="20"/>
          <w:szCs w:val="20"/>
          <w:color w:val="auto"/>
        </w:rPr>
      </w:pPr>
    </w:p>
    <w:p>
      <w:pPr>
        <w:ind w:left="980" w:right="60" w:firstLine="371"/>
        <w:spacing w:after="0" w:line="270" w:lineRule="auto"/>
        <w:rPr>
          <w:sz w:val="20"/>
          <w:szCs w:val="20"/>
          <w:color w:val="auto"/>
        </w:rPr>
      </w:pPr>
      <w:r>
        <w:rPr>
          <w:rFonts w:ascii="Times New Roman" w:cs="Times New Roman" w:eastAsia="Times New Roman" w:hAnsi="Times New Roman"/>
          <w:sz w:val="15"/>
          <w:szCs w:val="15"/>
          <w:color w:val="auto"/>
        </w:rPr>
        <w:t>We may offer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46" w:lineRule="exact"/>
        <w:rPr>
          <w:sz w:val="20"/>
          <w:szCs w:val="20"/>
          <w:color w:val="auto"/>
        </w:rPr>
      </w:pPr>
    </w:p>
    <w:p>
      <w:pPr>
        <w:ind w:left="980" w:firstLine="371"/>
        <w:spacing w:after="0" w:line="264" w:lineRule="auto"/>
        <w:rPr>
          <w:sz w:val="20"/>
          <w:szCs w:val="20"/>
          <w:color w:val="auto"/>
        </w:rPr>
      </w:pPr>
      <w:r>
        <w:rPr>
          <w:rFonts w:ascii="Times New Roman" w:cs="Times New Roman" w:eastAsia="Times New Roman" w:hAnsi="Times New Roman"/>
          <w:sz w:val="15"/>
          <w:szCs w:val="15"/>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3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Transfer and Exchange</w:t>
      </w:r>
    </w:p>
    <w:p>
      <w:pPr>
        <w:spacing w:after="0" w:line="105" w:lineRule="exact"/>
        <w:rPr>
          <w:sz w:val="20"/>
          <w:szCs w:val="20"/>
          <w:color w:val="auto"/>
        </w:rPr>
      </w:pPr>
    </w:p>
    <w:p>
      <w:pPr>
        <w:ind w:left="980" w:right="220" w:firstLine="371"/>
        <w:spacing w:after="0" w:line="261" w:lineRule="auto"/>
        <w:rPr>
          <w:sz w:val="20"/>
          <w:szCs w:val="20"/>
          <w:color w:val="auto"/>
        </w:rPr>
      </w:pPr>
      <w:r>
        <w:rPr>
          <w:rFonts w:ascii="Times New Roman" w:cs="Times New Roman" w:eastAsia="Times New Roman" w:hAnsi="Times New Roman"/>
          <w:sz w:val="15"/>
          <w:szCs w:val="15"/>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titled “—Global Debt Securities and Book-Entry System,” below, book-entry debt securities will not be issuable in certificated form.</w:t>
      </w:r>
    </w:p>
    <w:p>
      <w:pPr>
        <w:spacing w:after="0" w:line="24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b w:val="1"/>
          <w:bCs w:val="1"/>
          <w:i w:val="1"/>
          <w:iCs w:val="1"/>
          <w:color w:val="auto"/>
        </w:rPr>
        <w:t>Certificated Debt Securities</w:t>
      </w:r>
    </w:p>
    <w:p>
      <w:pPr>
        <w:spacing w:after="0" w:line="105" w:lineRule="exact"/>
        <w:rPr>
          <w:sz w:val="20"/>
          <w:szCs w:val="20"/>
          <w:color w:val="auto"/>
        </w:rPr>
      </w:pPr>
    </w:p>
    <w:p>
      <w:pPr>
        <w:jc w:val="both"/>
        <w:ind w:left="980" w:right="40" w:firstLine="371"/>
        <w:spacing w:after="0" w:line="270" w:lineRule="auto"/>
        <w:rPr>
          <w:sz w:val="20"/>
          <w:szCs w:val="20"/>
          <w:color w:val="auto"/>
        </w:rPr>
      </w:pPr>
      <w:r>
        <w:rPr>
          <w:rFonts w:ascii="Times New Roman" w:cs="Times New Roman" w:eastAsia="Times New Roman" w:hAnsi="Times New Roman"/>
          <w:sz w:val="15"/>
          <w:szCs w:val="15"/>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46" w:lineRule="exact"/>
        <w:rPr>
          <w:sz w:val="20"/>
          <w:szCs w:val="20"/>
          <w:color w:val="auto"/>
        </w:rPr>
      </w:pPr>
    </w:p>
    <w:p>
      <w:pPr>
        <w:ind w:left="980" w:right="60" w:firstLine="371"/>
        <w:spacing w:after="0" w:line="270" w:lineRule="auto"/>
        <w:rPr>
          <w:sz w:val="20"/>
          <w:szCs w:val="20"/>
          <w:color w:val="auto"/>
        </w:rPr>
      </w:pPr>
      <w:r>
        <w:rPr>
          <w:rFonts w:ascii="Times New Roman" w:cs="Times New Roman" w:eastAsia="Times New Roman" w:hAnsi="Times New Roman"/>
          <w:sz w:val="15"/>
          <w:szCs w:val="15"/>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b w:val="1"/>
          <w:bCs w:val="1"/>
          <w:i w:val="1"/>
          <w:iCs w:val="1"/>
          <w:color w:val="auto"/>
        </w:rPr>
        <w:t>Global Debt Securities and Book-Entry System</w:t>
      </w:r>
    </w:p>
    <w:p>
      <w:pPr>
        <w:spacing w:after="0" w:line="105" w:lineRule="exact"/>
        <w:rPr>
          <w:sz w:val="20"/>
          <w:szCs w:val="20"/>
          <w:color w:val="auto"/>
        </w:rPr>
      </w:pPr>
    </w:p>
    <w:p>
      <w:pPr>
        <w:ind w:left="980" w:firstLine="371"/>
        <w:spacing w:after="0" w:line="287" w:lineRule="auto"/>
        <w:rPr>
          <w:sz w:val="20"/>
          <w:szCs w:val="20"/>
          <w:color w:val="auto"/>
        </w:rPr>
      </w:pPr>
      <w:r>
        <w:rPr>
          <w:rFonts w:ascii="Times New Roman" w:cs="Times New Roman" w:eastAsia="Times New Roman" w:hAnsi="Times New Roman"/>
          <w:sz w:val="15"/>
          <w:szCs w:val="15"/>
          <w:color w:val="auto"/>
        </w:rPr>
        <w:t>Each global debt security representing book-entry debt securities will be deposited with, or on behalf of, the depositary, and registered in the name of the depositary or a nominee of the depositary.</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Covenants</w:t>
      </w:r>
    </w:p>
    <w:p>
      <w:pPr>
        <w:spacing w:after="0" w:line="10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color w:val="auto"/>
        </w:rPr>
        <w:t>We will set forth in the applicable prospectus supplement any restrictive covenants applicable to any issue or series of debt securities.</w:t>
      </w:r>
    </w:p>
    <w:p>
      <w:pPr>
        <w:spacing w:after="0" w:line="2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No Protection in the Event of a Change of Control</w:t>
      </w:r>
    </w:p>
    <w:p>
      <w:pPr>
        <w:spacing w:after="0" w:line="105" w:lineRule="exact"/>
        <w:rPr>
          <w:sz w:val="20"/>
          <w:szCs w:val="20"/>
          <w:color w:val="auto"/>
        </w:rPr>
      </w:pPr>
    </w:p>
    <w:p>
      <w:pPr>
        <w:ind w:left="980" w:right="80" w:firstLine="371"/>
        <w:spacing w:after="0" w:line="270" w:lineRule="auto"/>
        <w:rPr>
          <w:sz w:val="20"/>
          <w:szCs w:val="20"/>
          <w:color w:val="auto"/>
        </w:rPr>
      </w:pPr>
      <w:r>
        <w:rPr>
          <w:rFonts w:ascii="Times New Roman" w:cs="Times New Roman" w:eastAsia="Times New Roman" w:hAnsi="Times New Roman"/>
          <w:sz w:val="15"/>
          <w:szCs w:val="15"/>
          <w:color w:val="auto"/>
        </w:rPr>
        <w:t>Unless we state otherwise in the applicable prospectus supplement, the debt securities will not contain any provisions which may provide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0240"/>
          </w:cols>
          <w:pgMar w:left="320" w:top="405" w:right="1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Consolidation, Merger and Sale of Assets</w:t>
      </w:r>
    </w:p>
    <w:p>
      <w:pPr>
        <w:spacing w:after="0" w:line="105" w:lineRule="exact"/>
        <w:rPr>
          <w:sz w:val="20"/>
          <w:szCs w:val="20"/>
          <w:color w:val="auto"/>
        </w:rPr>
      </w:pPr>
    </w:p>
    <w:p>
      <w:pPr>
        <w:ind w:left="980" w:right="160" w:firstLine="371"/>
        <w:spacing w:after="0" w:line="287" w:lineRule="auto"/>
        <w:rPr>
          <w:sz w:val="20"/>
          <w:szCs w:val="20"/>
          <w:color w:val="auto"/>
        </w:rPr>
      </w:pPr>
      <w:r>
        <w:rPr>
          <w:rFonts w:ascii="Times New Roman" w:cs="Times New Roman" w:eastAsia="Times New Roman" w:hAnsi="Times New Roman"/>
          <w:sz w:val="15"/>
          <w:szCs w:val="15"/>
          <w:color w:val="auto"/>
        </w:rPr>
        <w:t>We may not consolidate with or merge with or into, or convey, transfer or lease all or substantially all of our properties and assets to any person, which we refer to as a successor person, unless:</w:t>
      </w:r>
    </w:p>
    <w:p>
      <w:pPr>
        <w:spacing w:after="0" w:line="54" w:lineRule="exact"/>
        <w:rPr>
          <w:sz w:val="20"/>
          <w:szCs w:val="20"/>
          <w:color w:val="auto"/>
        </w:rPr>
      </w:pPr>
    </w:p>
    <w:p>
      <w:pPr>
        <w:ind w:left="1800" w:right="60" w:hanging="364"/>
        <w:spacing w:after="0" w:line="287" w:lineRule="auto"/>
        <w:tabs>
          <w:tab w:leader="none" w:pos="18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54" w:lineRule="exact"/>
        <w:rPr>
          <w:rFonts w:ascii="Times New Roman" w:cs="Times New Roman" w:eastAsia="Times New Roman" w:hAnsi="Times New Roman"/>
          <w:sz w:val="15"/>
          <w:szCs w:val="15"/>
          <w:color w:val="auto"/>
        </w:rPr>
      </w:pPr>
    </w:p>
    <w:p>
      <w:pPr>
        <w:ind w:left="1800" w:right="700" w:hanging="364"/>
        <w:spacing w:after="0" w:line="287" w:lineRule="auto"/>
        <w:tabs>
          <w:tab w:leader="none" w:pos="18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after giving effect to the transaction, no Default or Event of Default (as defined below), shall have occurred and be continuing.</w:t>
      </w:r>
    </w:p>
    <w:p>
      <w:pPr>
        <w:spacing w:after="0" w:line="13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color w:val="auto"/>
        </w:rPr>
        <w:t>Notwithstanding the above, any of our subsidiaries may consolidate with, merge into or transfer all or part of its properties to us.</w:t>
      </w:r>
    </w:p>
    <w:p>
      <w:pPr>
        <w:spacing w:after="0" w:line="2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Events of Default</w:t>
      </w:r>
    </w:p>
    <w:p>
      <w:pPr>
        <w:spacing w:after="0" w:line="10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color w:val="auto"/>
        </w:rPr>
        <w:t>“Event of Default” means with respect to any series of debt securities, any of the following:</w:t>
      </w:r>
    </w:p>
    <w:p>
      <w:pPr>
        <w:spacing w:after="0" w:line="112" w:lineRule="exact"/>
        <w:rPr>
          <w:sz w:val="20"/>
          <w:szCs w:val="20"/>
          <w:color w:val="auto"/>
        </w:rPr>
      </w:pPr>
    </w:p>
    <w:p>
      <w:pPr>
        <w:ind w:left="1800" w:right="140" w:hanging="364"/>
        <w:spacing w:after="0" w:line="270" w:lineRule="auto"/>
        <w:tabs>
          <w:tab w:leader="none" w:pos="1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66"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principal of any security of that series at its maturity;</w:t>
      </w:r>
    </w:p>
    <w:p>
      <w:pPr>
        <w:spacing w:after="0" w:line="112" w:lineRule="exact"/>
        <w:rPr>
          <w:rFonts w:ascii="Times New Roman" w:cs="Times New Roman" w:eastAsia="Times New Roman" w:hAnsi="Times New Roman"/>
          <w:sz w:val="15"/>
          <w:szCs w:val="15"/>
          <w:color w:val="auto"/>
        </w:rPr>
      </w:pPr>
    </w:p>
    <w:p>
      <w:pPr>
        <w:ind w:left="1800" w:right="80" w:hanging="364"/>
        <w:spacing w:after="0" w:line="264" w:lineRule="auto"/>
        <w:tabs>
          <w:tab w:leader="none" w:pos="1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71"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voluntary or involuntary events of bankruptcy, insolvency or reorganization of us; and</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Event of Default provided with respect to debt securities of that series that is described in the applicable prospectus supplement.</w:t>
      </w:r>
    </w:p>
    <w:p>
      <w:pPr>
        <w:spacing w:after="0" w:line="192" w:lineRule="exact"/>
        <w:rPr>
          <w:sz w:val="20"/>
          <w:szCs w:val="20"/>
          <w:color w:val="auto"/>
        </w:rPr>
      </w:pPr>
    </w:p>
    <w:p>
      <w:pPr>
        <w:ind w:left="980" w:right="60" w:firstLine="371"/>
        <w:spacing w:after="0" w:line="270" w:lineRule="auto"/>
        <w:rPr>
          <w:sz w:val="20"/>
          <w:szCs w:val="20"/>
          <w:color w:val="auto"/>
        </w:rPr>
      </w:pPr>
      <w:r>
        <w:rPr>
          <w:rFonts w:ascii="Times New Roman" w:cs="Times New Roman" w:eastAsia="Times New Roman" w:hAnsi="Times New Roman"/>
          <w:sz w:val="15"/>
          <w:szCs w:val="15"/>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46" w:lineRule="exact"/>
        <w:rPr>
          <w:sz w:val="20"/>
          <w:szCs w:val="20"/>
          <w:color w:val="auto"/>
        </w:rPr>
      </w:pPr>
    </w:p>
    <w:p>
      <w:pPr>
        <w:ind w:left="980" w:right="80" w:firstLine="371"/>
        <w:spacing w:after="0" w:line="270" w:lineRule="auto"/>
        <w:rPr>
          <w:sz w:val="20"/>
          <w:szCs w:val="20"/>
          <w:color w:val="auto"/>
        </w:rPr>
      </w:pPr>
      <w:r>
        <w:rPr>
          <w:rFonts w:ascii="Times New Roman" w:cs="Times New Roman" w:eastAsia="Times New Roman" w:hAnsi="Times New Roman"/>
          <w:sz w:val="15"/>
          <w:szCs w:val="15"/>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46" w:lineRule="exact"/>
        <w:rPr>
          <w:sz w:val="20"/>
          <w:szCs w:val="20"/>
          <w:color w:val="auto"/>
        </w:rPr>
      </w:pPr>
    </w:p>
    <w:p>
      <w:pPr>
        <w:ind w:left="980" w:firstLine="371"/>
        <w:spacing w:after="0" w:line="260" w:lineRule="auto"/>
        <w:rPr>
          <w:sz w:val="20"/>
          <w:szCs w:val="20"/>
          <w:color w:val="auto"/>
        </w:rPr>
      </w:pPr>
      <w:r>
        <w:rPr>
          <w:rFonts w:ascii="Times New Roman" w:cs="Times New Roman" w:eastAsia="Times New Roman" w:hAnsi="Times New Roman"/>
          <w:sz w:val="15"/>
          <w:szCs w:val="15"/>
          <w:color w:val="auto"/>
        </w:rPr>
        <w:t>If an Event of Default with respect to debt securities of any series at the time outstanding occurs and is continuing (except an Event of Default resulting from certain events of bankruptcy, insolvency, or reorganization as described below),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0260"/>
          </w:cols>
          <w:pgMar w:left="320" w:top="405" w:right="1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5" w:lineRule="exact"/>
        <w:rPr>
          <w:sz w:val="20"/>
          <w:szCs w:val="20"/>
          <w:color w:val="auto"/>
        </w:rPr>
      </w:pPr>
    </w:p>
    <w:p>
      <w:pPr>
        <w:ind w:left="980" w:right="20"/>
        <w:spacing w:after="0" w:line="259" w:lineRule="auto"/>
        <w:rPr>
          <w:sz w:val="20"/>
          <w:szCs w:val="20"/>
          <w:color w:val="auto"/>
        </w:rPr>
      </w:pPr>
      <w:r>
        <w:rPr>
          <w:rFonts w:ascii="Times New Roman" w:cs="Times New Roman" w:eastAsia="Times New Roman" w:hAnsi="Times New Roman"/>
          <w:sz w:val="15"/>
          <w:szCs w:val="15"/>
          <w:color w:val="auto"/>
        </w:rPr>
        <w:t>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54" w:lineRule="exact"/>
        <w:rPr>
          <w:sz w:val="20"/>
          <w:szCs w:val="20"/>
          <w:color w:val="auto"/>
        </w:rPr>
      </w:pPr>
    </w:p>
    <w:p>
      <w:pPr>
        <w:ind w:left="980" w:right="100" w:firstLine="371"/>
        <w:spacing w:after="0" w:line="261" w:lineRule="auto"/>
        <w:rPr>
          <w:sz w:val="20"/>
          <w:szCs w:val="20"/>
          <w:color w:val="auto"/>
        </w:rPr>
      </w:pPr>
      <w:r>
        <w:rPr>
          <w:rFonts w:ascii="Times New Roman" w:cs="Times New Roman" w:eastAsia="Times New Roman" w:hAnsi="Times New Roman"/>
          <w:sz w:val="15"/>
          <w:szCs w:val="15"/>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55" w:lineRule="exact"/>
        <w:rPr>
          <w:sz w:val="20"/>
          <w:szCs w:val="20"/>
          <w:color w:val="auto"/>
        </w:rPr>
      </w:pPr>
    </w:p>
    <w:p>
      <w:pPr>
        <w:ind w:left="980" w:right="120" w:firstLine="371"/>
        <w:spacing w:after="0" w:line="287" w:lineRule="auto"/>
        <w:rPr>
          <w:sz w:val="20"/>
          <w:szCs w:val="20"/>
          <w:color w:val="auto"/>
        </w:rPr>
      </w:pPr>
      <w:r>
        <w:rPr>
          <w:rFonts w:ascii="Times New Roman" w:cs="Times New Roman" w:eastAsia="Times New Roman" w:hAnsi="Times New Roman"/>
          <w:sz w:val="15"/>
          <w:szCs w:val="15"/>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54" w:lineRule="exact"/>
        <w:rPr>
          <w:sz w:val="20"/>
          <w:szCs w:val="20"/>
          <w:color w:val="auto"/>
        </w:rPr>
      </w:pPr>
    </w:p>
    <w:p>
      <w:pPr>
        <w:ind w:left="1800" w:right="100" w:hanging="364"/>
        <w:spacing w:after="0" w:line="287" w:lineRule="auto"/>
        <w:tabs>
          <w:tab w:leader="none" w:pos="18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holder has previously given to the trustee written notice of a continuing Event of Default with respect to debt securities of that series; and</w:t>
      </w:r>
    </w:p>
    <w:p>
      <w:pPr>
        <w:spacing w:after="0" w:line="54" w:lineRule="exact"/>
        <w:rPr>
          <w:rFonts w:ascii="Times New Roman" w:cs="Times New Roman" w:eastAsia="Times New Roman" w:hAnsi="Times New Roman"/>
          <w:sz w:val="15"/>
          <w:szCs w:val="15"/>
          <w:color w:val="auto"/>
        </w:rPr>
      </w:pPr>
    </w:p>
    <w:p>
      <w:pPr>
        <w:ind w:left="1800" w:right="20" w:hanging="364"/>
        <w:spacing w:after="0" w:line="264" w:lineRule="auto"/>
        <w:tabs>
          <w:tab w:leader="none" w:pos="18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51" w:lineRule="exact"/>
        <w:rPr>
          <w:sz w:val="20"/>
          <w:szCs w:val="20"/>
          <w:color w:val="auto"/>
        </w:rPr>
      </w:pPr>
    </w:p>
    <w:p>
      <w:pPr>
        <w:ind w:left="980" w:right="140" w:firstLine="371"/>
        <w:spacing w:after="0" w:line="270" w:lineRule="auto"/>
        <w:rPr>
          <w:sz w:val="20"/>
          <w:szCs w:val="20"/>
          <w:color w:val="auto"/>
        </w:rPr>
      </w:pPr>
      <w:r>
        <w:rPr>
          <w:rFonts w:ascii="Times New Roman" w:cs="Times New Roman" w:eastAsia="Times New Roman" w:hAnsi="Times New Roman"/>
          <w:sz w:val="15"/>
          <w:szCs w:val="15"/>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46" w:lineRule="exact"/>
        <w:rPr>
          <w:sz w:val="20"/>
          <w:szCs w:val="20"/>
          <w:color w:val="auto"/>
        </w:rPr>
      </w:pPr>
    </w:p>
    <w:p>
      <w:pPr>
        <w:ind w:left="980" w:firstLine="371"/>
        <w:spacing w:after="0" w:line="259" w:lineRule="auto"/>
        <w:rPr>
          <w:sz w:val="20"/>
          <w:szCs w:val="20"/>
          <w:color w:val="auto"/>
        </w:rPr>
      </w:pPr>
      <w:r>
        <w:rPr>
          <w:rFonts w:ascii="Times New Roman" w:cs="Times New Roman" w:eastAsia="Times New Roman" w:hAnsi="Times New Roman"/>
          <w:sz w:val="15"/>
          <w:szCs w:val="15"/>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Modification and Waiver</w:t>
      </w:r>
    </w:p>
    <w:p>
      <w:pPr>
        <w:spacing w:after="0" w:line="105" w:lineRule="exact"/>
        <w:rPr>
          <w:sz w:val="20"/>
          <w:szCs w:val="20"/>
          <w:color w:val="auto"/>
        </w:rPr>
      </w:pPr>
    </w:p>
    <w:p>
      <w:pPr>
        <w:ind w:left="980" w:right="200" w:firstLine="371"/>
        <w:spacing w:after="0" w:line="287" w:lineRule="auto"/>
        <w:rPr>
          <w:sz w:val="20"/>
          <w:szCs w:val="20"/>
          <w:color w:val="auto"/>
        </w:rPr>
      </w:pPr>
      <w:r>
        <w:rPr>
          <w:rFonts w:ascii="Times New Roman" w:cs="Times New Roman" w:eastAsia="Times New Roman" w:hAnsi="Times New Roman"/>
          <w:sz w:val="15"/>
          <w:szCs w:val="15"/>
          <w:color w:val="auto"/>
        </w:rPr>
        <w:t>We and the trustee may modify, amend or supplement the indenture or the debt securities of any series without the consent of any holder of any debt security:</w:t>
      </w:r>
    </w:p>
    <w:p>
      <w:pPr>
        <w:spacing w:after="0" w:line="54" w:lineRule="exact"/>
        <w:rPr>
          <w:sz w:val="20"/>
          <w:szCs w:val="20"/>
          <w:color w:val="auto"/>
        </w:rPr>
      </w:pPr>
    </w:p>
    <w:p>
      <w:pPr>
        <w:ind w:left="1800" w:hanging="364"/>
        <w:spacing w:after="0"/>
        <w:tabs>
          <w:tab w:leader="none" w:pos="18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cure any ambiguity, defect or inconsistency;</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covenants in the indenture described above under the heading “—Consolidation, Merger and Sale of Assets”;</w:t>
      </w:r>
    </w:p>
    <w:p>
      <w:pPr>
        <w:spacing w:after="0" w:line="134" w:lineRule="exact"/>
        <w:rPr>
          <w:rFonts w:ascii="Times New Roman" w:cs="Times New Roman" w:eastAsia="Times New Roman" w:hAnsi="Times New Roman"/>
          <w:sz w:val="15"/>
          <w:szCs w:val="15"/>
          <w:color w:val="auto"/>
        </w:rPr>
      </w:pPr>
    </w:p>
    <w:p>
      <w:pPr>
        <w:ind w:left="5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14</w:t>
      </w:r>
    </w:p>
    <w:p>
      <w:pPr>
        <w:sectPr>
          <w:pgSz w:w="11900" w:h="16838" w:orient="portrait"/>
          <w:cols w:equalWidth="0" w:num="1">
            <w:col w:w="10240"/>
          </w:cols>
          <w:pgMar w:left="320" w:top="405" w:right="1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5" w:lineRule="exact"/>
        <w:rPr>
          <w:sz w:val="20"/>
          <w:szCs w:val="20"/>
          <w:color w:val="auto"/>
        </w:rPr>
      </w:pPr>
    </w:p>
    <w:p>
      <w:pPr>
        <w:ind w:left="1800" w:hanging="364"/>
        <w:spacing w:after="0"/>
        <w:tabs>
          <w:tab w:leader="none" w:pos="18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uncertificated securities in addition to or in place of certificated securities;</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guarantees with respect to debt securities of any series or secure debt securities of any series;</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surrender any of our rights or powers under the indenture;</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covenants or events of default for the benefit of the holders of debt securities of any series;</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the applicable procedures of the applicable depositary;</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any change that does not adversely affect the rights of any holder of debt securities;</w:t>
      </w:r>
    </w:p>
    <w:p>
      <w:pPr>
        <w:spacing w:after="0" w:line="112" w:lineRule="exact"/>
        <w:rPr>
          <w:rFonts w:ascii="Times New Roman" w:cs="Times New Roman" w:eastAsia="Times New Roman" w:hAnsi="Times New Roman"/>
          <w:sz w:val="15"/>
          <w:szCs w:val="15"/>
          <w:color w:val="auto"/>
        </w:rPr>
      </w:pPr>
    </w:p>
    <w:p>
      <w:pPr>
        <w:ind w:left="1800" w:right="600" w:hanging="364"/>
        <w:spacing w:after="0" w:line="287" w:lineRule="auto"/>
        <w:tabs>
          <w:tab w:leader="none" w:pos="18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the issuance of, and establish the form and terms and conditions of debt securities of, any series as permitted by the indenture;</w:t>
      </w:r>
    </w:p>
    <w:p>
      <w:pPr>
        <w:spacing w:after="0" w:line="54" w:lineRule="exact"/>
        <w:rPr>
          <w:rFonts w:ascii="Times New Roman" w:cs="Times New Roman" w:eastAsia="Times New Roman" w:hAnsi="Times New Roman"/>
          <w:sz w:val="15"/>
          <w:szCs w:val="15"/>
          <w:color w:val="auto"/>
        </w:rPr>
      </w:pPr>
    </w:p>
    <w:p>
      <w:pPr>
        <w:ind w:left="1800" w:right="640" w:hanging="364"/>
        <w:spacing w:after="0" w:line="287" w:lineRule="auto"/>
        <w:tabs>
          <w:tab w:leader="none" w:pos="18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54"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requirements of the SEC in order to effect or maintain the qualification of the indenture under the Trust Indenture Act.</w:t>
      </w:r>
    </w:p>
    <w:p>
      <w:pPr>
        <w:spacing w:after="0" w:line="192" w:lineRule="exact"/>
        <w:rPr>
          <w:sz w:val="20"/>
          <w:szCs w:val="20"/>
          <w:color w:val="auto"/>
        </w:rPr>
      </w:pPr>
    </w:p>
    <w:p>
      <w:pPr>
        <w:jc w:val="both"/>
        <w:ind w:left="980" w:right="280" w:firstLine="371"/>
        <w:spacing w:after="0" w:line="270" w:lineRule="auto"/>
        <w:rPr>
          <w:sz w:val="20"/>
          <w:szCs w:val="20"/>
          <w:color w:val="auto"/>
        </w:rPr>
      </w:pPr>
      <w:r>
        <w:rPr>
          <w:rFonts w:ascii="Times New Roman" w:cs="Times New Roman" w:eastAsia="Times New Roman" w:hAnsi="Times New Roman"/>
          <w:sz w:val="15"/>
          <w:szCs w:val="15"/>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66" w:lineRule="exact"/>
        <w:rPr>
          <w:sz w:val="20"/>
          <w:szCs w:val="20"/>
          <w:color w:val="auto"/>
        </w:rPr>
      </w:pPr>
    </w:p>
    <w:p>
      <w:pPr>
        <w:ind w:left="1800" w:hanging="364"/>
        <w:spacing w:after="0"/>
        <w:tabs>
          <w:tab w:leader="none" w:pos="18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amount of debt securities whose holders must consent to an amendment, supplement or waiver;</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rate of or extend the time for payment of interest (including default interest) on any debt security;</w:t>
      </w:r>
    </w:p>
    <w:p>
      <w:pPr>
        <w:spacing w:after="0" w:line="112" w:lineRule="exact"/>
        <w:rPr>
          <w:rFonts w:ascii="Times New Roman" w:cs="Times New Roman" w:eastAsia="Times New Roman" w:hAnsi="Times New Roman"/>
          <w:sz w:val="15"/>
          <w:szCs w:val="15"/>
          <w:color w:val="auto"/>
        </w:rPr>
      </w:pPr>
    </w:p>
    <w:p>
      <w:pPr>
        <w:ind w:left="1800" w:right="260" w:hanging="364"/>
        <w:spacing w:after="0" w:line="287" w:lineRule="auto"/>
        <w:tabs>
          <w:tab w:leader="none" w:pos="18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54"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amount of discount securities payable upon acceleration of maturity;</w:t>
      </w:r>
    </w:p>
    <w:p>
      <w:pPr>
        <w:spacing w:after="0" w:line="112" w:lineRule="exact"/>
        <w:rPr>
          <w:rFonts w:ascii="Times New Roman" w:cs="Times New Roman" w:eastAsia="Times New Roman" w:hAnsi="Times New Roman"/>
          <w:sz w:val="15"/>
          <w:szCs w:val="15"/>
          <w:color w:val="auto"/>
        </w:rPr>
      </w:pPr>
    </w:p>
    <w:p>
      <w:pPr>
        <w:ind w:left="1800" w:right="80" w:hanging="364"/>
        <w:spacing w:after="0" w:line="270" w:lineRule="auto"/>
        <w:tabs>
          <w:tab w:leader="none" w:pos="18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66"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the principal of or premium or interest on any debt security payable in currency other than that stated in the debt security;</w:t>
      </w:r>
    </w:p>
    <w:p>
      <w:pPr>
        <w:spacing w:after="0" w:line="112" w:lineRule="exact"/>
        <w:rPr>
          <w:rFonts w:ascii="Times New Roman" w:cs="Times New Roman" w:eastAsia="Times New Roman" w:hAnsi="Times New Roman"/>
          <w:sz w:val="15"/>
          <w:szCs w:val="15"/>
          <w:color w:val="auto"/>
        </w:rPr>
      </w:pPr>
    </w:p>
    <w:p>
      <w:pPr>
        <w:ind w:left="1800" w:hanging="364"/>
        <w:spacing w:after="0" w:line="270" w:lineRule="auto"/>
        <w:tabs>
          <w:tab w:leader="none" w:pos="18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66"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a redemption payment with respect to any debt security.</w:t>
      </w:r>
    </w:p>
    <w:p>
      <w:pPr>
        <w:spacing w:after="0" w:line="192" w:lineRule="exact"/>
        <w:rPr>
          <w:sz w:val="20"/>
          <w:szCs w:val="20"/>
          <w:color w:val="auto"/>
        </w:rPr>
      </w:pPr>
    </w:p>
    <w:p>
      <w:pPr>
        <w:ind w:left="980" w:right="60" w:firstLine="371"/>
        <w:spacing w:after="0" w:line="260" w:lineRule="auto"/>
        <w:rPr>
          <w:sz w:val="20"/>
          <w:szCs w:val="20"/>
          <w:color w:val="auto"/>
        </w:rPr>
      </w:pPr>
      <w:r>
        <w:rPr>
          <w:rFonts w:ascii="Times New Roman" w:cs="Times New Roman" w:eastAsia="Times New Roman" w:hAnsi="Times New Roman"/>
          <w:sz w:val="15"/>
          <w:szCs w:val="15"/>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0260"/>
          </w:cols>
          <w:pgMar w:left="320" w:top="405" w:right="1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Defeasance of Debt Securities and Certain Covenants in Certain Circumstances</w:t>
      </w:r>
    </w:p>
    <w:p>
      <w:pPr>
        <w:spacing w:after="0" w:line="10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b w:val="1"/>
          <w:bCs w:val="1"/>
          <w:i w:val="1"/>
          <w:iCs w:val="1"/>
          <w:color w:val="auto"/>
        </w:rPr>
        <w:t>Legal Defeasance</w:t>
      </w:r>
    </w:p>
    <w:p>
      <w:pPr>
        <w:spacing w:after="0" w:line="105" w:lineRule="exact"/>
        <w:rPr>
          <w:sz w:val="20"/>
          <w:szCs w:val="20"/>
          <w:color w:val="auto"/>
        </w:rPr>
      </w:pPr>
    </w:p>
    <w:p>
      <w:pPr>
        <w:ind w:left="980" w:firstLine="371"/>
        <w:spacing w:after="0" w:line="258" w:lineRule="auto"/>
        <w:rPr>
          <w:sz w:val="20"/>
          <w:szCs w:val="20"/>
          <w:color w:val="auto"/>
        </w:rPr>
      </w:pPr>
      <w:r>
        <w:rPr>
          <w:rFonts w:ascii="Times New Roman" w:cs="Times New Roman" w:eastAsia="Times New Roman" w:hAnsi="Times New Roman"/>
          <w:sz w:val="15"/>
          <w:szCs w:val="15"/>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55" w:lineRule="exact"/>
        <w:rPr>
          <w:sz w:val="20"/>
          <w:szCs w:val="20"/>
          <w:color w:val="auto"/>
        </w:rPr>
      </w:pPr>
    </w:p>
    <w:p>
      <w:pPr>
        <w:ind w:left="980" w:right="100" w:firstLine="371"/>
        <w:spacing w:after="0" w:line="260" w:lineRule="auto"/>
        <w:rPr>
          <w:sz w:val="20"/>
          <w:szCs w:val="20"/>
          <w:color w:val="auto"/>
        </w:rPr>
      </w:pPr>
      <w:r>
        <w:rPr>
          <w:rFonts w:ascii="Times New Roman" w:cs="Times New Roman" w:eastAsia="Times New Roman" w:hAnsi="Times New Roman"/>
          <w:sz w:val="15"/>
          <w:szCs w:val="15"/>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b w:val="1"/>
          <w:bCs w:val="1"/>
          <w:i w:val="1"/>
          <w:iCs w:val="1"/>
          <w:color w:val="auto"/>
        </w:rPr>
        <w:t>Defeasance of Certain Covenants</w:t>
      </w:r>
    </w:p>
    <w:p>
      <w:pPr>
        <w:spacing w:after="0" w:line="196" w:lineRule="exact"/>
        <w:rPr>
          <w:sz w:val="20"/>
          <w:szCs w:val="20"/>
          <w:color w:val="auto"/>
        </w:rPr>
      </w:pPr>
    </w:p>
    <w:p>
      <w:pPr>
        <w:ind w:left="980" w:right="400" w:firstLine="371"/>
        <w:spacing w:after="0" w:line="287" w:lineRule="auto"/>
        <w:rPr>
          <w:sz w:val="20"/>
          <w:szCs w:val="20"/>
          <w:color w:val="auto"/>
        </w:rPr>
      </w:pPr>
      <w:r>
        <w:rPr>
          <w:rFonts w:ascii="Times New Roman" w:cs="Times New Roman" w:eastAsia="Times New Roman" w:hAnsi="Times New Roman"/>
          <w:sz w:val="15"/>
          <w:szCs w:val="15"/>
          <w:color w:val="auto"/>
        </w:rPr>
        <w:t>The indenture provides that, unless otherwise provided by the terms of the applicable series of debt securities, upon compliance with certain conditions:</w:t>
      </w:r>
    </w:p>
    <w:p>
      <w:pPr>
        <w:spacing w:after="0" w:line="54" w:lineRule="exact"/>
        <w:rPr>
          <w:sz w:val="20"/>
          <w:szCs w:val="20"/>
          <w:color w:val="auto"/>
        </w:rPr>
      </w:pPr>
    </w:p>
    <w:p>
      <w:pPr>
        <w:ind w:left="1800" w:right="180" w:hanging="364"/>
        <w:spacing w:after="0" w:line="270" w:lineRule="auto"/>
        <w:tabs>
          <w:tab w:leader="none" w:pos="180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66" w:lineRule="exact"/>
        <w:rPr>
          <w:rFonts w:ascii="Times New Roman" w:cs="Times New Roman" w:eastAsia="Times New Roman" w:hAnsi="Times New Roman"/>
          <w:sz w:val="15"/>
          <w:szCs w:val="15"/>
          <w:color w:val="auto"/>
        </w:rPr>
      </w:pPr>
    </w:p>
    <w:p>
      <w:pPr>
        <w:ind w:left="1800" w:right="80" w:hanging="364"/>
        <w:spacing w:after="0" w:line="287" w:lineRule="auto"/>
        <w:tabs>
          <w:tab w:leader="none" w:pos="180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omission to comply with those covenants will not constitute a Default or an Event of Default with respect to the debt securities of that series.</w:t>
      </w:r>
    </w:p>
    <w:p>
      <w:pPr>
        <w:spacing w:after="0" w:line="13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color w:val="auto"/>
        </w:rPr>
        <w:t>We refer to this as covenant defeasance. The conditions include:</w:t>
      </w:r>
    </w:p>
    <w:p>
      <w:pPr>
        <w:spacing w:after="0" w:line="112" w:lineRule="exact"/>
        <w:rPr>
          <w:sz w:val="20"/>
          <w:szCs w:val="20"/>
          <w:color w:val="auto"/>
        </w:rPr>
      </w:pPr>
    </w:p>
    <w:p>
      <w:pPr>
        <w:ind w:left="1800" w:right="80" w:hanging="364"/>
        <w:spacing w:after="0" w:line="260" w:lineRule="auto"/>
        <w:tabs>
          <w:tab w:leader="none" w:pos="180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73" w:lineRule="exact"/>
        <w:rPr>
          <w:rFonts w:ascii="Times New Roman" w:cs="Times New Roman" w:eastAsia="Times New Roman" w:hAnsi="Times New Roman"/>
          <w:sz w:val="15"/>
          <w:szCs w:val="15"/>
          <w:color w:val="auto"/>
        </w:rPr>
      </w:pPr>
    </w:p>
    <w:p>
      <w:pPr>
        <w:ind w:left="1800" w:right="60" w:hanging="364"/>
        <w:spacing w:after="0" w:line="287" w:lineRule="auto"/>
        <w:tabs>
          <w:tab w:leader="none" w:pos="180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deposit will not result in a breach or violation of, or constitute a default under the indenture or any other agreement to which we are a party;</w:t>
      </w:r>
    </w:p>
    <w:p>
      <w:pPr>
        <w:spacing w:after="0" w:line="54" w:lineRule="exact"/>
        <w:rPr>
          <w:rFonts w:ascii="Times New Roman" w:cs="Times New Roman" w:eastAsia="Times New Roman" w:hAnsi="Times New Roman"/>
          <w:sz w:val="15"/>
          <w:szCs w:val="15"/>
          <w:color w:val="auto"/>
        </w:rPr>
      </w:pPr>
    </w:p>
    <w:p>
      <w:pPr>
        <w:ind w:left="1800" w:right="260" w:hanging="364"/>
        <w:spacing w:after="0" w:line="287" w:lineRule="auto"/>
        <w:tabs>
          <w:tab w:leader="none" w:pos="180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Default or Event of Default with respect to the applicable series of debt securities shall have occurred or is continuing on the date of such deposit; and</w:t>
      </w:r>
    </w:p>
    <w:p>
      <w:pPr>
        <w:spacing w:after="0" w:line="54" w:lineRule="exact"/>
        <w:rPr>
          <w:rFonts w:ascii="Times New Roman" w:cs="Times New Roman" w:eastAsia="Times New Roman" w:hAnsi="Times New Roman"/>
          <w:sz w:val="15"/>
          <w:szCs w:val="15"/>
          <w:color w:val="auto"/>
        </w:rPr>
      </w:pPr>
    </w:p>
    <w:p>
      <w:pPr>
        <w:ind w:left="1800" w:right="200" w:hanging="364"/>
        <w:spacing w:after="0" w:line="287" w:lineRule="auto"/>
        <w:tabs>
          <w:tab w:leader="none" w:pos="180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delivering to the trustee an opinion of counsel to the effect that we have received from, or there has been published by, the United States Internal Revenue Service a ruling or, since the date of execution</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0260"/>
          </w:cols>
          <w:pgMar w:left="320" w:top="405" w:right="1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5" w:lineRule="exact"/>
        <w:rPr>
          <w:sz w:val="20"/>
          <w:szCs w:val="20"/>
          <w:color w:val="auto"/>
        </w:rPr>
      </w:pPr>
    </w:p>
    <w:p>
      <w:pPr>
        <w:ind w:left="1820" w:right="20"/>
        <w:spacing w:after="0" w:line="261" w:lineRule="auto"/>
        <w:rPr>
          <w:sz w:val="20"/>
          <w:szCs w:val="20"/>
          <w:color w:val="auto"/>
        </w:rPr>
      </w:pPr>
      <w:r>
        <w:rPr>
          <w:rFonts w:ascii="Times New Roman" w:cs="Times New Roman" w:eastAsia="Times New Roman" w:hAnsi="Times New Roman"/>
          <w:sz w:val="15"/>
          <w:szCs w:val="15"/>
          <w:color w:val="auto"/>
        </w:rPr>
        <w:t>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No Personal Liability of Directors, Officers, Employees or Stockholders</w:t>
      </w:r>
    </w:p>
    <w:p>
      <w:pPr>
        <w:spacing w:after="0" w:line="105" w:lineRule="exact"/>
        <w:rPr>
          <w:sz w:val="20"/>
          <w:szCs w:val="20"/>
          <w:color w:val="auto"/>
        </w:rPr>
      </w:pPr>
    </w:p>
    <w:p>
      <w:pPr>
        <w:ind w:left="980" w:right="60" w:firstLine="371"/>
        <w:spacing w:after="0" w:line="261" w:lineRule="auto"/>
        <w:rPr>
          <w:sz w:val="20"/>
          <w:szCs w:val="20"/>
          <w:color w:val="auto"/>
        </w:rPr>
      </w:pPr>
      <w:r>
        <w:rPr>
          <w:rFonts w:ascii="Times New Roman" w:cs="Times New Roman" w:eastAsia="Times New Roman" w:hAnsi="Times New Roman"/>
          <w:sz w:val="15"/>
          <w:szCs w:val="15"/>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Governing Law</w:t>
      </w:r>
    </w:p>
    <w:p>
      <w:pPr>
        <w:spacing w:after="0" w:line="105" w:lineRule="exact"/>
        <w:rPr>
          <w:sz w:val="20"/>
          <w:szCs w:val="20"/>
          <w:color w:val="auto"/>
        </w:rPr>
      </w:pPr>
    </w:p>
    <w:p>
      <w:pPr>
        <w:ind w:left="980" w:right="420" w:firstLine="371"/>
        <w:spacing w:after="0" w:line="287" w:lineRule="auto"/>
        <w:rPr>
          <w:sz w:val="20"/>
          <w:szCs w:val="20"/>
          <w:color w:val="auto"/>
        </w:rPr>
      </w:pPr>
      <w:r>
        <w:rPr>
          <w:rFonts w:ascii="Times New Roman" w:cs="Times New Roman" w:eastAsia="Times New Roman" w:hAnsi="Times New Roman"/>
          <w:sz w:val="15"/>
          <w:szCs w:val="15"/>
          <w:color w:val="auto"/>
        </w:rPr>
        <w:t>The indenture and the debt securities, including any claim or controversy arising out of or relating to the indenture or the securities, will be governed by the laws of the State of New York.</w:t>
      </w:r>
    </w:p>
    <w:p>
      <w:pPr>
        <w:spacing w:after="0" w:line="134" w:lineRule="exact"/>
        <w:rPr>
          <w:sz w:val="20"/>
          <w:szCs w:val="20"/>
          <w:color w:val="auto"/>
        </w:rPr>
      </w:pPr>
    </w:p>
    <w:p>
      <w:pPr>
        <w:ind w:left="980" w:firstLine="371"/>
        <w:spacing w:after="0" w:line="270" w:lineRule="auto"/>
        <w:rPr>
          <w:sz w:val="20"/>
          <w:szCs w:val="20"/>
          <w:color w:val="auto"/>
        </w:rPr>
      </w:pPr>
      <w:r>
        <w:rPr>
          <w:rFonts w:ascii="Times New Roman" w:cs="Times New Roman" w:eastAsia="Times New Roman" w:hAnsi="Times New Roman"/>
          <w:sz w:val="15"/>
          <w:szCs w:val="15"/>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46" w:lineRule="exact"/>
        <w:rPr>
          <w:sz w:val="20"/>
          <w:szCs w:val="20"/>
          <w:color w:val="auto"/>
        </w:rPr>
      </w:pPr>
    </w:p>
    <w:p>
      <w:pPr>
        <w:ind w:left="980" w:firstLine="371"/>
        <w:spacing w:after="0" w:line="257" w:lineRule="auto"/>
        <w:rPr>
          <w:sz w:val="20"/>
          <w:szCs w:val="20"/>
          <w:color w:val="auto"/>
        </w:rPr>
      </w:pPr>
      <w:r>
        <w:rPr>
          <w:rFonts w:ascii="Times New Roman" w:cs="Times New Roman" w:eastAsia="Times New Roman" w:hAnsi="Times New Roman"/>
          <w:sz w:val="15"/>
          <w:szCs w:val="15"/>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0200"/>
          </w:cols>
          <w:pgMar w:left="320" w:top="405" w:right="1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5"/>
          <w:szCs w:val="15"/>
          <w:b w:val="1"/>
          <w:bCs w:val="1"/>
          <w:color w:val="auto"/>
        </w:rPr>
        <w:t>DESCRIPTION OF DEPOSITARY SHARES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05" w:lineRule="exact"/>
        <w:rPr>
          <w:sz w:val="20"/>
          <w:szCs w:val="20"/>
          <w:color w:val="auto"/>
        </w:rPr>
      </w:pPr>
    </w:p>
    <w:p>
      <w:pPr>
        <w:ind w:left="980" w:right="140" w:firstLine="371"/>
        <w:spacing w:after="0" w:line="264" w:lineRule="auto"/>
        <w:rPr>
          <w:sz w:val="20"/>
          <w:szCs w:val="20"/>
          <w:color w:val="auto"/>
        </w:rPr>
      </w:pPr>
      <w:r>
        <w:rPr>
          <w:rFonts w:ascii="Times New Roman" w:cs="Times New Roman" w:eastAsia="Times New Roman" w:hAnsi="Times New Roman"/>
          <w:sz w:val="15"/>
          <w:szCs w:val="15"/>
          <w:color w:val="auto"/>
        </w:rPr>
        <w:t>We may offer depositary shares representing a fractional interest in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51" w:lineRule="exact"/>
        <w:rPr>
          <w:sz w:val="20"/>
          <w:szCs w:val="20"/>
          <w:color w:val="auto"/>
        </w:rPr>
      </w:pPr>
    </w:p>
    <w:p>
      <w:pPr>
        <w:jc w:val="both"/>
        <w:ind w:left="980" w:right="140" w:firstLine="371"/>
        <w:spacing w:after="0" w:line="270" w:lineRule="auto"/>
        <w:rPr>
          <w:sz w:val="20"/>
          <w:szCs w:val="20"/>
          <w:color w:val="auto"/>
        </w:rPr>
      </w:pPr>
      <w:r>
        <w:rPr>
          <w:rFonts w:ascii="Times New Roman" w:cs="Times New Roman" w:eastAsia="Times New Roman" w:hAnsi="Times New Roman"/>
          <w:sz w:val="15"/>
          <w:szCs w:val="15"/>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46" w:lineRule="exact"/>
        <w:rPr>
          <w:sz w:val="20"/>
          <w:szCs w:val="20"/>
          <w:color w:val="auto"/>
        </w:rPr>
      </w:pPr>
    </w:p>
    <w:p>
      <w:pPr>
        <w:ind w:left="980" w:firstLine="371"/>
        <w:spacing w:after="0" w:line="287" w:lineRule="auto"/>
        <w:rPr>
          <w:sz w:val="20"/>
          <w:szCs w:val="20"/>
          <w:color w:val="auto"/>
        </w:rPr>
      </w:pPr>
      <w:r>
        <w:rPr>
          <w:rFonts w:ascii="Times New Roman" w:cs="Times New Roman" w:eastAsia="Times New Roman" w:hAnsi="Times New Roman"/>
          <w:sz w:val="15"/>
          <w:szCs w:val="15"/>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34" w:lineRule="exact"/>
        <w:rPr>
          <w:sz w:val="20"/>
          <w:szCs w:val="20"/>
          <w:color w:val="auto"/>
        </w:rPr>
      </w:pPr>
    </w:p>
    <w:p>
      <w:pPr>
        <w:ind w:left="980" w:firstLine="371"/>
        <w:spacing w:after="0" w:line="287" w:lineRule="auto"/>
        <w:rPr>
          <w:sz w:val="20"/>
          <w:szCs w:val="20"/>
          <w:color w:val="auto"/>
        </w:rPr>
      </w:pPr>
      <w:r>
        <w:rPr>
          <w:rFonts w:ascii="Times New Roman" w:cs="Times New Roman" w:eastAsia="Times New Roman" w:hAnsi="Times New Roman"/>
          <w:sz w:val="15"/>
          <w:szCs w:val="15"/>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Dividends and Other Distributions</w:t>
      </w:r>
    </w:p>
    <w:p>
      <w:pPr>
        <w:spacing w:after="0" w:line="105" w:lineRule="exact"/>
        <w:rPr>
          <w:sz w:val="20"/>
          <w:szCs w:val="20"/>
          <w:color w:val="auto"/>
        </w:rPr>
      </w:pPr>
    </w:p>
    <w:p>
      <w:pPr>
        <w:ind w:left="980" w:right="260" w:firstLine="371"/>
        <w:spacing w:after="0" w:line="270" w:lineRule="auto"/>
        <w:rPr>
          <w:sz w:val="20"/>
          <w:szCs w:val="20"/>
          <w:color w:val="auto"/>
        </w:rPr>
      </w:pPr>
      <w:r>
        <w:rPr>
          <w:rFonts w:ascii="Times New Roman" w:cs="Times New Roman" w:eastAsia="Times New Roman" w:hAnsi="Times New Roman"/>
          <w:sz w:val="15"/>
          <w:szCs w:val="15"/>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46" w:lineRule="exact"/>
        <w:rPr>
          <w:sz w:val="20"/>
          <w:szCs w:val="20"/>
          <w:color w:val="auto"/>
        </w:rPr>
      </w:pPr>
    </w:p>
    <w:p>
      <w:pPr>
        <w:ind w:left="980" w:right="140" w:firstLine="371"/>
        <w:spacing w:after="0" w:line="270" w:lineRule="auto"/>
        <w:rPr>
          <w:sz w:val="20"/>
          <w:szCs w:val="20"/>
          <w:color w:val="auto"/>
        </w:rPr>
      </w:pPr>
      <w:r>
        <w:rPr>
          <w:rFonts w:ascii="Times New Roman" w:cs="Times New Roman" w:eastAsia="Times New Roman" w:hAnsi="Times New Roman"/>
          <w:sz w:val="15"/>
          <w:szCs w:val="15"/>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Liquidation Preference</w:t>
      </w:r>
    </w:p>
    <w:p>
      <w:pPr>
        <w:spacing w:after="0" w:line="105" w:lineRule="exact"/>
        <w:rPr>
          <w:sz w:val="20"/>
          <w:szCs w:val="20"/>
          <w:color w:val="auto"/>
        </w:rPr>
      </w:pPr>
    </w:p>
    <w:p>
      <w:pPr>
        <w:jc w:val="both"/>
        <w:ind w:left="980" w:right="60" w:firstLine="371"/>
        <w:spacing w:after="0" w:line="270" w:lineRule="auto"/>
        <w:rPr>
          <w:sz w:val="20"/>
          <w:szCs w:val="20"/>
          <w:color w:val="auto"/>
        </w:rPr>
      </w:pPr>
      <w:r>
        <w:rPr>
          <w:rFonts w:ascii="Times New Roman" w:cs="Times New Roman" w:eastAsia="Times New Roman" w:hAnsi="Times New Roman"/>
          <w:sz w:val="15"/>
          <w:szCs w:val="15"/>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Withdrawal of Stock</w:t>
      </w:r>
    </w:p>
    <w:p>
      <w:pPr>
        <w:spacing w:after="0" w:line="105" w:lineRule="exact"/>
        <w:rPr>
          <w:sz w:val="20"/>
          <w:szCs w:val="20"/>
          <w:color w:val="auto"/>
        </w:rPr>
      </w:pPr>
    </w:p>
    <w:p>
      <w:pPr>
        <w:ind w:left="980" w:right="120" w:firstLine="371"/>
        <w:spacing w:after="0" w:line="259" w:lineRule="auto"/>
        <w:rPr>
          <w:sz w:val="20"/>
          <w:szCs w:val="20"/>
          <w:color w:val="auto"/>
        </w:rPr>
      </w:pPr>
      <w:r>
        <w:rPr>
          <w:rFonts w:ascii="Times New Roman" w:cs="Times New Roman" w:eastAsia="Times New Roman" w:hAnsi="Times New Roman"/>
          <w:sz w:val="15"/>
          <w:szCs w:val="15"/>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0260"/>
          </w:cols>
          <w:pgMar w:left="320" w:top="405" w:right="1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Redemption of Depositary Shares</w:t>
      </w:r>
    </w:p>
    <w:p>
      <w:pPr>
        <w:spacing w:after="0" w:line="105" w:lineRule="exact"/>
        <w:rPr>
          <w:sz w:val="20"/>
          <w:szCs w:val="20"/>
          <w:color w:val="auto"/>
        </w:rPr>
      </w:pPr>
    </w:p>
    <w:p>
      <w:pPr>
        <w:ind w:left="980" w:right="80" w:firstLine="371"/>
        <w:spacing w:after="0" w:line="260" w:lineRule="auto"/>
        <w:rPr>
          <w:sz w:val="20"/>
          <w:szCs w:val="20"/>
          <w:color w:val="auto"/>
        </w:rPr>
      </w:pPr>
      <w:r>
        <w:rPr>
          <w:rFonts w:ascii="Times New Roman" w:cs="Times New Roman" w:eastAsia="Times New Roman" w:hAnsi="Times New Roman"/>
          <w:sz w:val="15"/>
          <w:szCs w:val="15"/>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53" w:lineRule="exact"/>
        <w:rPr>
          <w:sz w:val="20"/>
          <w:szCs w:val="20"/>
          <w:color w:val="auto"/>
        </w:rPr>
      </w:pPr>
    </w:p>
    <w:p>
      <w:pPr>
        <w:ind w:left="980" w:right="200" w:firstLine="371"/>
        <w:spacing w:after="0" w:line="264" w:lineRule="auto"/>
        <w:rPr>
          <w:sz w:val="20"/>
          <w:szCs w:val="20"/>
          <w:color w:val="auto"/>
        </w:rPr>
      </w:pPr>
      <w:r>
        <w:rPr>
          <w:rFonts w:ascii="Times New Roman" w:cs="Times New Roman" w:eastAsia="Times New Roman" w:hAnsi="Times New Roman"/>
          <w:sz w:val="15"/>
          <w:szCs w:val="15"/>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3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Voting the Preferred Stock</w:t>
      </w:r>
    </w:p>
    <w:p>
      <w:pPr>
        <w:spacing w:after="0" w:line="105" w:lineRule="exact"/>
        <w:rPr>
          <w:sz w:val="20"/>
          <w:szCs w:val="20"/>
          <w:color w:val="auto"/>
        </w:rPr>
      </w:pPr>
    </w:p>
    <w:p>
      <w:pPr>
        <w:ind w:left="980" w:right="40" w:firstLine="371"/>
        <w:spacing w:after="0" w:line="258" w:lineRule="auto"/>
        <w:rPr>
          <w:sz w:val="20"/>
          <w:szCs w:val="20"/>
          <w:color w:val="auto"/>
        </w:rPr>
      </w:pPr>
      <w:r>
        <w:rPr>
          <w:rFonts w:ascii="Times New Roman" w:cs="Times New Roman" w:eastAsia="Times New Roman" w:hAnsi="Times New Roman"/>
          <w:sz w:val="15"/>
          <w:szCs w:val="15"/>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spacing w:after="0" w:line="2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Charges of the Depositary</w:t>
      </w:r>
    </w:p>
    <w:p>
      <w:pPr>
        <w:spacing w:after="0" w:line="105" w:lineRule="exact"/>
        <w:rPr>
          <w:sz w:val="20"/>
          <w:szCs w:val="20"/>
          <w:color w:val="auto"/>
        </w:rPr>
      </w:pPr>
    </w:p>
    <w:p>
      <w:pPr>
        <w:ind w:left="980" w:right="140" w:firstLine="371"/>
        <w:spacing w:after="0" w:line="259" w:lineRule="auto"/>
        <w:rPr>
          <w:sz w:val="20"/>
          <w:szCs w:val="20"/>
          <w:color w:val="auto"/>
        </w:rPr>
      </w:pPr>
      <w:r>
        <w:rPr>
          <w:rFonts w:ascii="Times New Roman" w:cs="Times New Roman" w:eastAsia="Times New Roman" w:hAnsi="Times New Roman"/>
          <w:sz w:val="15"/>
          <w:szCs w:val="15"/>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Amendment and Termination of the Deposit Agreement</w:t>
      </w:r>
    </w:p>
    <w:p>
      <w:pPr>
        <w:spacing w:after="0" w:line="105" w:lineRule="exact"/>
        <w:rPr>
          <w:sz w:val="20"/>
          <w:szCs w:val="20"/>
          <w:color w:val="auto"/>
        </w:rPr>
      </w:pPr>
    </w:p>
    <w:p>
      <w:pPr>
        <w:ind w:left="980" w:firstLine="371"/>
        <w:spacing w:after="0" w:line="264" w:lineRule="auto"/>
        <w:rPr>
          <w:sz w:val="20"/>
          <w:szCs w:val="20"/>
          <w:color w:val="auto"/>
        </w:rPr>
      </w:pPr>
      <w:r>
        <w:rPr>
          <w:rFonts w:ascii="Times New Roman" w:cs="Times New Roman" w:eastAsia="Times New Roman" w:hAnsi="Times New Roman"/>
          <w:sz w:val="15"/>
          <w:szCs w:val="15"/>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72" w:lineRule="exact"/>
        <w:rPr>
          <w:sz w:val="20"/>
          <w:szCs w:val="20"/>
          <w:color w:val="auto"/>
        </w:rPr>
      </w:pPr>
    </w:p>
    <w:p>
      <w:pPr>
        <w:ind w:left="1800" w:hanging="364"/>
        <w:spacing w:after="0"/>
        <w:tabs>
          <w:tab w:leader="none" w:pos="180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outstanding depositary shares have been redeemed; or</w:t>
      </w:r>
    </w:p>
    <w:p>
      <w:pPr>
        <w:spacing w:after="0" w:line="1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0260"/>
          </w:cols>
          <w:pgMar w:left="320" w:top="405" w:right="1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5" w:lineRule="exact"/>
        <w:rPr>
          <w:sz w:val="20"/>
          <w:szCs w:val="20"/>
          <w:color w:val="auto"/>
        </w:rPr>
      </w:pPr>
    </w:p>
    <w:p>
      <w:pPr>
        <w:ind w:left="1800" w:right="180" w:hanging="364"/>
        <w:spacing w:after="0" w:line="287" w:lineRule="auto"/>
        <w:tabs>
          <w:tab w:leader="none" w:pos="180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has been a final distribution of the preferred stock in connection with our dissolution and such distribution has been made to all the holders of depositary shares.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Resignation and Removal of Depositary</w:t>
      </w:r>
    </w:p>
    <w:p>
      <w:pPr>
        <w:spacing w:after="0" w:line="105" w:lineRule="exact"/>
        <w:rPr>
          <w:sz w:val="20"/>
          <w:szCs w:val="20"/>
          <w:color w:val="auto"/>
        </w:rPr>
      </w:pPr>
    </w:p>
    <w:p>
      <w:pPr>
        <w:ind w:left="980" w:firstLine="371"/>
        <w:spacing w:after="0" w:line="264" w:lineRule="auto"/>
        <w:rPr>
          <w:sz w:val="20"/>
          <w:szCs w:val="20"/>
          <w:color w:val="auto"/>
        </w:rPr>
      </w:pPr>
      <w:r>
        <w:rPr>
          <w:rFonts w:ascii="Times New Roman" w:cs="Times New Roman" w:eastAsia="Times New Roman" w:hAnsi="Times New Roman"/>
          <w:sz w:val="15"/>
          <w:szCs w:val="15"/>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3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Notices</w:t>
      </w:r>
    </w:p>
    <w:p>
      <w:pPr>
        <w:spacing w:after="0" w:line="105" w:lineRule="exact"/>
        <w:rPr>
          <w:sz w:val="20"/>
          <w:szCs w:val="20"/>
          <w:color w:val="auto"/>
        </w:rPr>
      </w:pPr>
    </w:p>
    <w:p>
      <w:pPr>
        <w:jc w:val="both"/>
        <w:ind w:left="980" w:right="60" w:firstLine="371"/>
        <w:spacing w:after="0" w:line="264" w:lineRule="auto"/>
        <w:rPr>
          <w:sz w:val="20"/>
          <w:szCs w:val="20"/>
          <w:color w:val="auto"/>
        </w:rPr>
      </w:pPr>
      <w:r>
        <w:rPr>
          <w:rFonts w:ascii="Times New Roman" w:cs="Times New Roman" w:eastAsia="Times New Roman" w:hAnsi="Times New Roman"/>
          <w:sz w:val="15"/>
          <w:szCs w:val="15"/>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3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Limitation of Liability</w:t>
      </w:r>
    </w:p>
    <w:p>
      <w:pPr>
        <w:spacing w:after="0" w:line="105" w:lineRule="exact"/>
        <w:rPr>
          <w:sz w:val="20"/>
          <w:szCs w:val="20"/>
          <w:color w:val="auto"/>
        </w:rPr>
      </w:pPr>
    </w:p>
    <w:p>
      <w:pPr>
        <w:ind w:left="980" w:right="20" w:firstLine="371"/>
        <w:spacing w:after="0" w:line="260" w:lineRule="auto"/>
        <w:rPr>
          <w:sz w:val="20"/>
          <w:szCs w:val="20"/>
          <w:color w:val="auto"/>
        </w:rPr>
      </w:pPr>
      <w:r>
        <w:rPr>
          <w:rFonts w:ascii="Times New Roman" w:cs="Times New Roman" w:eastAsia="Times New Roman" w:hAnsi="Times New Roman"/>
          <w:sz w:val="15"/>
          <w:szCs w:val="15"/>
          <w:color w:val="auto"/>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0260"/>
          </w:cols>
          <w:pgMar w:left="320" w:top="405" w:right="1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5"/>
          <w:szCs w:val="15"/>
          <w:b w:val="1"/>
          <w:bCs w:val="1"/>
          <w:color w:val="auto"/>
        </w:rPr>
        <w:t>DESCRIPTION OF WARRANTS</w:t>
      </w:r>
    </w:p>
    <w:p>
      <w:pPr>
        <w:spacing w:after="0" w:line="196" w:lineRule="exact"/>
        <w:rPr>
          <w:sz w:val="20"/>
          <w:szCs w:val="20"/>
          <w:color w:val="auto"/>
        </w:rPr>
      </w:pPr>
    </w:p>
    <w:p>
      <w:pPr>
        <w:ind w:left="980" w:right="140" w:firstLine="371"/>
        <w:spacing w:after="0" w:line="261" w:lineRule="auto"/>
        <w:rPr>
          <w:sz w:val="20"/>
          <w:szCs w:val="20"/>
          <w:color w:val="auto"/>
        </w:rPr>
      </w:pPr>
      <w:r>
        <w:rPr>
          <w:rFonts w:ascii="Times New Roman" w:cs="Times New Roman" w:eastAsia="Times New Roman" w:hAnsi="Times New Roman"/>
          <w:sz w:val="15"/>
          <w:szCs w:val="15"/>
          <w:color w:val="auto"/>
        </w:rPr>
        <w:t>We may offer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75" w:lineRule="exact"/>
        <w:rPr>
          <w:sz w:val="20"/>
          <w:szCs w:val="20"/>
          <w:color w:val="auto"/>
        </w:rPr>
      </w:pPr>
    </w:p>
    <w:p>
      <w:pPr>
        <w:ind w:left="1800" w:hanging="364"/>
        <w:spacing w:after="0"/>
        <w:tabs>
          <w:tab w:leader="none" w:pos="1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specific designation and aggregate number of, and the offering price at which we will issue, the warrants;</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or currency units in which the offering price, if any, and the exercise price are payable;</w:t>
      </w:r>
    </w:p>
    <w:p>
      <w:pPr>
        <w:spacing w:after="0" w:line="112" w:lineRule="exact"/>
        <w:rPr>
          <w:rFonts w:ascii="Times New Roman" w:cs="Times New Roman" w:eastAsia="Times New Roman" w:hAnsi="Times New Roman"/>
          <w:sz w:val="15"/>
          <w:szCs w:val="15"/>
          <w:color w:val="auto"/>
        </w:rPr>
      </w:pPr>
    </w:p>
    <w:p>
      <w:pPr>
        <w:ind w:left="1800" w:right="40" w:hanging="364"/>
        <w:spacing w:after="0" w:line="287" w:lineRule="auto"/>
        <w:tabs>
          <w:tab w:leader="none" w:pos="1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4"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warrants are to be sold separately or with other securities as parts of units;</w:t>
      </w:r>
    </w:p>
    <w:p>
      <w:pPr>
        <w:spacing w:after="0" w:line="112" w:lineRule="exact"/>
        <w:rPr>
          <w:rFonts w:ascii="Times New Roman" w:cs="Times New Roman" w:eastAsia="Times New Roman" w:hAnsi="Times New Roman"/>
          <w:sz w:val="15"/>
          <w:szCs w:val="15"/>
          <w:color w:val="auto"/>
        </w:rPr>
      </w:pPr>
    </w:p>
    <w:p>
      <w:pPr>
        <w:ind w:left="1800" w:right="40" w:hanging="364"/>
        <w:spacing w:after="0" w:line="287" w:lineRule="auto"/>
        <w:tabs>
          <w:tab w:leader="none" w:pos="1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54"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applicable material U.S. federal income tax consequences;</w:t>
      </w:r>
    </w:p>
    <w:p>
      <w:pPr>
        <w:spacing w:after="0" w:line="112" w:lineRule="exact"/>
        <w:rPr>
          <w:rFonts w:ascii="Times New Roman" w:cs="Times New Roman" w:eastAsia="Times New Roman" w:hAnsi="Times New Roman"/>
          <w:sz w:val="15"/>
          <w:szCs w:val="15"/>
          <w:color w:val="auto"/>
        </w:rPr>
      </w:pPr>
    </w:p>
    <w:p>
      <w:pPr>
        <w:ind w:left="1800" w:right="180" w:hanging="364"/>
        <w:spacing w:after="0" w:line="287" w:lineRule="auto"/>
        <w:tabs>
          <w:tab w:leader="none" w:pos="1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identity of the warrant agent for the warrants and of any other depositaries, execution or paying agents, transfer agents, registrars or other agents;</w:t>
      </w:r>
    </w:p>
    <w:p>
      <w:pPr>
        <w:spacing w:after="0" w:line="54"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proposed listing, if any, of the warrants or any securities purchasable upon exercise of the warrants on any securities exchange;</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and terms of any equity securities purchasable upon exercise of the warrants;</w:t>
      </w:r>
    </w:p>
    <w:p>
      <w:pPr>
        <w:spacing w:after="0" w:line="112" w:lineRule="exact"/>
        <w:rPr>
          <w:rFonts w:ascii="Times New Roman" w:cs="Times New Roman" w:eastAsia="Times New Roman" w:hAnsi="Times New Roman"/>
          <w:sz w:val="15"/>
          <w:szCs w:val="15"/>
          <w:color w:val="auto"/>
        </w:rPr>
      </w:pPr>
    </w:p>
    <w:p>
      <w:pPr>
        <w:ind w:left="1800" w:right="500" w:hanging="364"/>
        <w:spacing w:after="0" w:line="287" w:lineRule="auto"/>
        <w:tabs>
          <w:tab w:leader="none" w:pos="1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aggregate principal amount, currency and terms of any debt securities that may be purchased upon exercise of the warrants;</w:t>
      </w:r>
    </w:p>
    <w:p>
      <w:pPr>
        <w:spacing w:after="0" w:line="54" w:lineRule="exact"/>
        <w:rPr>
          <w:rFonts w:ascii="Times New Roman" w:cs="Times New Roman" w:eastAsia="Times New Roman" w:hAnsi="Times New Roman"/>
          <w:sz w:val="15"/>
          <w:szCs w:val="15"/>
          <w:color w:val="auto"/>
        </w:rPr>
      </w:pPr>
    </w:p>
    <w:p>
      <w:pPr>
        <w:ind w:left="1800" w:hanging="364"/>
        <w:spacing w:after="0" w:line="287" w:lineRule="auto"/>
        <w:tabs>
          <w:tab w:leader="none" w:pos="1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designation and terms of the debt securities, preferred stock, depositary shares or common stock with which the warrants are issued and the number of warrants issued with each security;</w:t>
      </w:r>
    </w:p>
    <w:p>
      <w:pPr>
        <w:spacing w:after="0" w:line="54" w:lineRule="exact"/>
        <w:rPr>
          <w:rFonts w:ascii="Times New Roman" w:cs="Times New Roman" w:eastAsia="Times New Roman" w:hAnsi="Times New Roman"/>
          <w:sz w:val="15"/>
          <w:szCs w:val="15"/>
          <w:color w:val="auto"/>
        </w:rPr>
      </w:pPr>
    </w:p>
    <w:p>
      <w:pPr>
        <w:ind w:left="1800" w:hanging="364"/>
        <w:spacing w:after="0" w:line="287" w:lineRule="auto"/>
        <w:tabs>
          <w:tab w:leader="none" w:pos="1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date from and after which any warrants issued as part of a unit and the related debt securities, preferred stock, depositary shares or common stock will be separately transferable;</w:t>
      </w:r>
    </w:p>
    <w:p>
      <w:pPr>
        <w:spacing w:after="0" w:line="54" w:lineRule="exact"/>
        <w:rPr>
          <w:rFonts w:ascii="Times New Roman" w:cs="Times New Roman" w:eastAsia="Times New Roman" w:hAnsi="Times New Roman"/>
          <w:sz w:val="15"/>
          <w:szCs w:val="15"/>
          <w:color w:val="auto"/>
        </w:rPr>
      </w:pPr>
    </w:p>
    <w:p>
      <w:pPr>
        <w:ind w:left="1800" w:right="320" w:hanging="364"/>
        <w:spacing w:after="0" w:line="287" w:lineRule="auto"/>
        <w:tabs>
          <w:tab w:leader="none" w:pos="1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of preferred stock, the number of depositary shares or the number of shares of common stock purchasable upon exercise of a warrant and the price at which those shares may be purchased;</w:t>
      </w:r>
    </w:p>
    <w:p>
      <w:pPr>
        <w:spacing w:after="0" w:line="54"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minimum or maximum amount of the warrants that may be exercised at any one time;</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with respect to book-entry procedures, if any;</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antidilution provisions, and other provisions for changes to or adjustment in the exercise price, of the warrants, if any;</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redemption or call provisions; and</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additional terms of the warrants, including terms, procedures and limitations relating to the exchange or exercise of the warrants.</w:t>
      </w:r>
    </w:p>
    <w:p>
      <w:pPr>
        <w:spacing w:after="0" w:line="1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0180"/>
          </w:cols>
          <w:pgMar w:left="320" w:top="405" w:right="1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5"/>
          <w:szCs w:val="15"/>
          <w:b w:val="1"/>
          <w:bCs w:val="1"/>
          <w:color w:val="auto"/>
        </w:rPr>
        <w:t>DESCRIPTION OF SUBSCRIPTION RIGHTS</w:t>
      </w:r>
    </w:p>
    <w:p>
      <w:pPr>
        <w:spacing w:after="0" w:line="196" w:lineRule="exact"/>
        <w:rPr>
          <w:sz w:val="20"/>
          <w:szCs w:val="20"/>
          <w:color w:val="auto"/>
        </w:rPr>
      </w:pPr>
    </w:p>
    <w:p>
      <w:pPr>
        <w:ind w:left="980" w:right="20" w:firstLine="371"/>
        <w:spacing w:after="0" w:line="261" w:lineRule="auto"/>
        <w:rPr>
          <w:sz w:val="20"/>
          <w:szCs w:val="20"/>
          <w:color w:val="auto"/>
        </w:rPr>
      </w:pPr>
      <w:r>
        <w:rPr>
          <w:rFonts w:ascii="Times New Roman" w:cs="Times New Roman" w:eastAsia="Times New Roman" w:hAnsi="Times New Roman"/>
          <w:sz w:val="15"/>
          <w:szCs w:val="15"/>
          <w:color w:val="auto"/>
        </w:rPr>
        <w:t>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55" w:lineRule="exact"/>
        <w:rPr>
          <w:sz w:val="20"/>
          <w:szCs w:val="20"/>
          <w:color w:val="auto"/>
        </w:rPr>
      </w:pPr>
    </w:p>
    <w:p>
      <w:pPr>
        <w:ind w:left="980" w:right="120" w:firstLine="371"/>
        <w:spacing w:after="0" w:line="287" w:lineRule="auto"/>
        <w:rPr>
          <w:sz w:val="20"/>
          <w:szCs w:val="20"/>
          <w:color w:val="auto"/>
        </w:rPr>
      </w:pPr>
      <w:r>
        <w:rPr>
          <w:rFonts w:ascii="Times New Roman" w:cs="Times New Roman" w:eastAsia="Times New Roman" w:hAnsi="Times New Roman"/>
          <w:sz w:val="15"/>
          <w:szCs w:val="15"/>
          <w:color w:val="auto"/>
        </w:rPr>
        <w:t>The prospectus supplement relating to any subscription rights we offer, if any, will, to the extent applicable, include specific terms relating to the offering, including some or all of the following:</w:t>
      </w:r>
    </w:p>
    <w:p>
      <w:pPr>
        <w:spacing w:after="0" w:line="54" w:lineRule="exact"/>
        <w:rPr>
          <w:sz w:val="20"/>
          <w:szCs w:val="20"/>
          <w:color w:val="auto"/>
        </w:rPr>
      </w:pPr>
    </w:p>
    <w:p>
      <w:pPr>
        <w:ind w:left="1800" w:hanging="364"/>
        <w:spacing w:after="0"/>
        <w:tabs>
          <w:tab w:leader="none" w:pos="18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if any, for the subscription rights;</w:t>
      </w:r>
    </w:p>
    <w:p>
      <w:pPr>
        <w:spacing w:after="0" w:line="112" w:lineRule="exact"/>
        <w:rPr>
          <w:rFonts w:ascii="Times New Roman" w:cs="Times New Roman" w:eastAsia="Times New Roman" w:hAnsi="Times New Roman"/>
          <w:sz w:val="15"/>
          <w:szCs w:val="15"/>
          <w:color w:val="auto"/>
        </w:rPr>
      </w:pPr>
    </w:p>
    <w:p>
      <w:pPr>
        <w:ind w:left="1800" w:hanging="364"/>
        <w:spacing w:after="0" w:line="287" w:lineRule="auto"/>
        <w:tabs>
          <w:tab w:leader="none" w:pos="18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exercise price payable for our common stock, preferred stock, debt securities, depositary shares, warrants or units consisting of some or all of these securities upon the exercise of the subscription rights;</w:t>
      </w:r>
    </w:p>
    <w:p>
      <w:pPr>
        <w:spacing w:after="0" w:line="54"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subscription rights to be issued to each stockholder;</w:t>
      </w:r>
    </w:p>
    <w:p>
      <w:pPr>
        <w:spacing w:after="0" w:line="112" w:lineRule="exact"/>
        <w:rPr>
          <w:rFonts w:ascii="Times New Roman" w:cs="Times New Roman" w:eastAsia="Times New Roman" w:hAnsi="Times New Roman"/>
          <w:sz w:val="15"/>
          <w:szCs w:val="15"/>
          <w:color w:val="auto"/>
        </w:rPr>
      </w:pPr>
    </w:p>
    <w:p>
      <w:pPr>
        <w:ind w:left="1800" w:right="100" w:hanging="364"/>
        <w:spacing w:after="0" w:line="287" w:lineRule="auto"/>
        <w:tabs>
          <w:tab w:leader="none" w:pos="18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and terms of our common stock, preferred stock, debt securities, depositary shares, warrants or units consisting of some or all of these securities which may be purchased per each subscription right;</w:t>
      </w:r>
    </w:p>
    <w:p>
      <w:pPr>
        <w:spacing w:after="0" w:line="54"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the subscription rights are transferable;</w:t>
      </w:r>
    </w:p>
    <w:p>
      <w:pPr>
        <w:spacing w:after="0" w:line="112" w:lineRule="exact"/>
        <w:rPr>
          <w:rFonts w:ascii="Times New Roman" w:cs="Times New Roman" w:eastAsia="Times New Roman" w:hAnsi="Times New Roman"/>
          <w:sz w:val="15"/>
          <w:szCs w:val="15"/>
          <w:color w:val="auto"/>
        </w:rPr>
      </w:pPr>
    </w:p>
    <w:p>
      <w:pPr>
        <w:ind w:left="1800" w:right="340" w:hanging="364"/>
        <w:spacing w:after="0" w:line="287" w:lineRule="auto"/>
        <w:tabs>
          <w:tab w:leader="none" w:pos="18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 of the subscription rights, including the terms, procedures and limitations relating to the exchange and exercise of the subscription rights;</w:t>
      </w:r>
    </w:p>
    <w:p>
      <w:pPr>
        <w:spacing w:after="0" w:line="54"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the right to exercise the subscription rights shall commence, and the date on which the subscription rights shall expire;</w:t>
      </w:r>
    </w:p>
    <w:p>
      <w:pPr>
        <w:spacing w:after="0" w:line="112" w:lineRule="exact"/>
        <w:rPr>
          <w:rFonts w:ascii="Times New Roman" w:cs="Times New Roman" w:eastAsia="Times New Roman" w:hAnsi="Times New Roman"/>
          <w:sz w:val="15"/>
          <w:szCs w:val="15"/>
          <w:color w:val="auto"/>
        </w:rPr>
      </w:pPr>
    </w:p>
    <w:p>
      <w:pPr>
        <w:ind w:left="1800" w:right="180" w:hanging="364"/>
        <w:spacing w:after="0" w:line="287" w:lineRule="auto"/>
        <w:tabs>
          <w:tab w:leader="none" w:pos="18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the subscription rights may include an over-subscription privilege with respect to unsubscribed securities or an over-allotment privilege to the extent the securities are fully subscribed; and</w:t>
      </w:r>
    </w:p>
    <w:p>
      <w:pPr>
        <w:spacing w:after="0" w:line="54" w:lineRule="exact"/>
        <w:rPr>
          <w:rFonts w:ascii="Times New Roman" w:cs="Times New Roman" w:eastAsia="Times New Roman" w:hAnsi="Times New Roman"/>
          <w:sz w:val="15"/>
          <w:szCs w:val="15"/>
          <w:color w:val="auto"/>
        </w:rPr>
      </w:pPr>
    </w:p>
    <w:p>
      <w:pPr>
        <w:ind w:left="1800" w:right="40" w:hanging="364"/>
        <w:spacing w:after="0" w:line="287" w:lineRule="auto"/>
        <w:tabs>
          <w:tab w:leader="none" w:pos="18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material terms of any standby underwriting or purchase arrangement which may be entered into by us in connection with the offering of subscription rights.</w:t>
      </w:r>
    </w:p>
    <w:p>
      <w:pPr>
        <w:spacing w:after="0" w:line="134" w:lineRule="exact"/>
        <w:rPr>
          <w:sz w:val="20"/>
          <w:szCs w:val="20"/>
          <w:color w:val="auto"/>
        </w:rPr>
      </w:pPr>
    </w:p>
    <w:p>
      <w:pPr>
        <w:ind w:left="980" w:right="20" w:firstLine="371"/>
        <w:spacing w:after="0" w:line="260" w:lineRule="auto"/>
        <w:rPr>
          <w:sz w:val="20"/>
          <w:szCs w:val="20"/>
          <w:color w:val="auto"/>
        </w:rPr>
      </w:pPr>
      <w:r>
        <w:rPr>
          <w:rFonts w:ascii="Times New Roman" w:cs="Times New Roman" w:eastAsia="Times New Roman" w:hAnsi="Times New Roman"/>
          <w:sz w:val="15"/>
          <w:szCs w:val="15"/>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titled “Where You Can Find More Information.”</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0240"/>
          </w:cols>
          <w:pgMar w:left="320" w:top="405" w:right="1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5"/>
          <w:szCs w:val="15"/>
          <w:b w:val="1"/>
          <w:bCs w:val="1"/>
          <w:color w:val="auto"/>
        </w:rPr>
        <w:t>DESCRIPTION OF PURCHASE CONTRACTS</w:t>
      </w:r>
    </w:p>
    <w:p>
      <w:pPr>
        <w:spacing w:after="0" w:line="196" w:lineRule="exact"/>
        <w:rPr>
          <w:sz w:val="20"/>
          <w:szCs w:val="20"/>
          <w:color w:val="auto"/>
        </w:rPr>
      </w:pPr>
    </w:p>
    <w:p>
      <w:pPr>
        <w:ind w:left="980" w:right="20" w:firstLine="371"/>
        <w:spacing w:after="0" w:line="259" w:lineRule="auto"/>
        <w:rPr>
          <w:sz w:val="20"/>
          <w:szCs w:val="20"/>
          <w:color w:val="auto"/>
        </w:rPr>
      </w:pPr>
      <w:r>
        <w:rPr>
          <w:rFonts w:ascii="Times New Roman" w:cs="Times New Roman" w:eastAsia="Times New Roman" w:hAnsi="Times New Roman"/>
          <w:sz w:val="15"/>
          <w:szCs w:val="15"/>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340" w:lineRule="exact"/>
        <w:rPr>
          <w:sz w:val="20"/>
          <w:szCs w:val="20"/>
          <w:color w:val="auto"/>
        </w:rPr>
      </w:pPr>
    </w:p>
    <w:p>
      <w:pPr>
        <w:ind w:left="980" w:firstLine="371"/>
        <w:spacing w:after="0" w:line="260" w:lineRule="auto"/>
        <w:rPr>
          <w:sz w:val="20"/>
          <w:szCs w:val="20"/>
          <w:color w:val="auto"/>
        </w:rPr>
      </w:pPr>
      <w:r>
        <w:rPr>
          <w:rFonts w:ascii="Times New Roman" w:cs="Times New Roman" w:eastAsia="Times New Roman" w:hAnsi="Times New Roman"/>
          <w:sz w:val="15"/>
          <w:szCs w:val="15"/>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53" w:lineRule="exact"/>
        <w:rPr>
          <w:sz w:val="20"/>
          <w:szCs w:val="20"/>
          <w:color w:val="auto"/>
        </w:rPr>
      </w:pPr>
    </w:p>
    <w:p>
      <w:pPr>
        <w:ind w:left="980" w:firstLine="371"/>
        <w:spacing w:after="0" w:line="270" w:lineRule="auto"/>
        <w:rPr>
          <w:sz w:val="20"/>
          <w:szCs w:val="20"/>
          <w:color w:val="auto"/>
        </w:rPr>
      </w:pPr>
      <w:r>
        <w:rPr>
          <w:rFonts w:ascii="Times New Roman" w:cs="Times New Roman" w:eastAsia="Times New Roman" w:hAnsi="Times New Roman"/>
          <w:sz w:val="15"/>
          <w:szCs w:val="15"/>
          <w:color w:val="auto"/>
        </w:rPr>
        <w:t>We may offer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46" w:lineRule="exact"/>
        <w:rPr>
          <w:sz w:val="20"/>
          <w:szCs w:val="20"/>
          <w:color w:val="auto"/>
        </w:rPr>
      </w:pPr>
    </w:p>
    <w:p>
      <w:pPr>
        <w:ind w:left="980" w:right="220" w:firstLine="371"/>
        <w:spacing w:after="0" w:line="287" w:lineRule="auto"/>
        <w:rPr>
          <w:sz w:val="20"/>
          <w:szCs w:val="20"/>
          <w:color w:val="auto"/>
        </w:rPr>
      </w:pPr>
      <w:r>
        <w:rPr>
          <w:rFonts w:ascii="Times New Roman" w:cs="Times New Roman" w:eastAsia="Times New Roman" w:hAnsi="Times New Roman"/>
          <w:sz w:val="15"/>
          <w:szCs w:val="15"/>
          <w:color w:val="auto"/>
        </w:rPr>
        <w:t>If we offer any purchase contracts, certain terms of that series of purchase contracts will be described in the applicable prospectus supplement, including, without limitation, the following:</w:t>
      </w:r>
    </w:p>
    <w:p>
      <w:pPr>
        <w:spacing w:after="0" w:line="54" w:lineRule="exact"/>
        <w:rPr>
          <w:sz w:val="20"/>
          <w:szCs w:val="20"/>
          <w:color w:val="auto"/>
        </w:rPr>
      </w:pPr>
    </w:p>
    <w:p>
      <w:pPr>
        <w:ind w:left="1800" w:right="80" w:hanging="364"/>
        <w:spacing w:after="0" w:line="287" w:lineRule="auto"/>
        <w:tabs>
          <w:tab w:leader="none" w:pos="18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of the securities or other property subject to the purchase contracts (which may be determined by reference to a specific formula described in the purchase contracts);</w:t>
      </w:r>
    </w:p>
    <w:p>
      <w:pPr>
        <w:spacing w:after="0" w:line="54" w:lineRule="exact"/>
        <w:rPr>
          <w:rFonts w:ascii="Times New Roman" w:cs="Times New Roman" w:eastAsia="Times New Roman" w:hAnsi="Times New Roman"/>
          <w:sz w:val="15"/>
          <w:szCs w:val="15"/>
          <w:color w:val="auto"/>
        </w:rPr>
      </w:pPr>
    </w:p>
    <w:p>
      <w:pPr>
        <w:ind w:left="1800" w:right="240" w:hanging="364"/>
        <w:spacing w:after="0" w:line="287" w:lineRule="auto"/>
        <w:tabs>
          <w:tab w:leader="none" w:pos="18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54"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requirement for us to make periodic payments to holders or vice versa, and whether the payments are unsecured or pre-funded;</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relating to any security provided for the purchase contracts;</w:t>
      </w:r>
    </w:p>
    <w:p>
      <w:pPr>
        <w:spacing w:after="0" w:line="112" w:lineRule="exact"/>
        <w:rPr>
          <w:rFonts w:ascii="Times New Roman" w:cs="Times New Roman" w:eastAsia="Times New Roman" w:hAnsi="Times New Roman"/>
          <w:sz w:val="15"/>
          <w:szCs w:val="15"/>
          <w:color w:val="auto"/>
        </w:rPr>
      </w:pPr>
    </w:p>
    <w:p>
      <w:pPr>
        <w:ind w:left="1800" w:right="220" w:hanging="364"/>
        <w:spacing w:after="0" w:line="287" w:lineRule="auto"/>
        <w:tabs>
          <w:tab w:leader="none" w:pos="18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54"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purchase contracts are to be prepaid or not;</w:t>
      </w:r>
    </w:p>
    <w:p>
      <w:pPr>
        <w:spacing w:after="0" w:line="112" w:lineRule="exact"/>
        <w:rPr>
          <w:rFonts w:ascii="Times New Roman" w:cs="Times New Roman" w:eastAsia="Times New Roman" w:hAnsi="Times New Roman"/>
          <w:sz w:val="15"/>
          <w:szCs w:val="15"/>
          <w:color w:val="auto"/>
        </w:rPr>
      </w:pPr>
    </w:p>
    <w:p>
      <w:pPr>
        <w:ind w:left="1800" w:right="120" w:hanging="364"/>
        <w:spacing w:after="0" w:line="287" w:lineRule="auto"/>
        <w:tabs>
          <w:tab w:leader="none" w:pos="18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purchase contracts are to be settled by delivery, or by reference or linkage to the value, performance or level of the securities subject to purchase under the purchase contract;</w:t>
      </w:r>
    </w:p>
    <w:p>
      <w:pPr>
        <w:spacing w:after="0" w:line="54"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acceleration, cancellation, termination or other provisions relating to the settlement of the purchase contracts;</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discussion of certain U.S. federal income tax considerations applicable to the purchase contracts;</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purchase contracts will be issued in fully registered or global form; and</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 of the purchase contracts and any securities subject to such purchase contracts.</w:t>
      </w:r>
    </w:p>
    <w:p>
      <w:pPr>
        <w:spacing w:after="0" w:line="1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0220"/>
          </w:cols>
          <w:pgMar w:left="320" w:top="405" w:right="1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DESCRIPTION OF UNITS</w:t>
      </w:r>
    </w:p>
    <w:p>
      <w:pPr>
        <w:spacing w:after="0" w:line="196" w:lineRule="exact"/>
        <w:rPr>
          <w:sz w:val="20"/>
          <w:szCs w:val="20"/>
          <w:color w:val="auto"/>
        </w:rPr>
      </w:pPr>
    </w:p>
    <w:p>
      <w:pPr>
        <w:ind w:left="980" w:right="140" w:firstLine="371"/>
        <w:spacing w:after="0" w:line="264" w:lineRule="auto"/>
        <w:rPr>
          <w:sz w:val="20"/>
          <w:szCs w:val="20"/>
          <w:color w:val="auto"/>
        </w:rPr>
      </w:pPr>
      <w:r>
        <w:rPr>
          <w:rFonts w:ascii="Times New Roman" w:cs="Times New Roman" w:eastAsia="Times New Roman" w:hAnsi="Times New Roman"/>
          <w:sz w:val="15"/>
          <w:szCs w:val="15"/>
          <w:color w:val="auto"/>
        </w:rPr>
        <w:t>We may offer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51" w:lineRule="exact"/>
        <w:rPr>
          <w:sz w:val="20"/>
          <w:szCs w:val="20"/>
          <w:color w:val="auto"/>
        </w:rPr>
      </w:pPr>
    </w:p>
    <w:p>
      <w:pPr>
        <w:ind w:left="980" w:right="60" w:firstLine="371"/>
        <w:spacing w:after="0" w:line="260" w:lineRule="auto"/>
        <w:rPr>
          <w:sz w:val="20"/>
          <w:szCs w:val="20"/>
          <w:color w:val="auto"/>
        </w:rPr>
      </w:pPr>
      <w:r>
        <w:rPr>
          <w:rFonts w:ascii="Times New Roman" w:cs="Times New Roman" w:eastAsia="Times New Roman" w:hAnsi="Times New Roman"/>
          <w:sz w:val="15"/>
          <w:szCs w:val="15"/>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titled “Where You Can Find More Information.”</w:t>
      </w:r>
    </w:p>
    <w:p>
      <w:pPr>
        <w:spacing w:after="0" w:line="153" w:lineRule="exact"/>
        <w:rPr>
          <w:sz w:val="20"/>
          <w:szCs w:val="20"/>
          <w:color w:val="auto"/>
        </w:rPr>
      </w:pPr>
    </w:p>
    <w:p>
      <w:pPr>
        <w:ind w:left="980" w:firstLine="371"/>
        <w:spacing w:after="0" w:line="287" w:lineRule="auto"/>
        <w:rPr>
          <w:sz w:val="20"/>
          <w:szCs w:val="20"/>
          <w:color w:val="auto"/>
        </w:rPr>
      </w:pPr>
      <w:r>
        <w:rPr>
          <w:rFonts w:ascii="Times New Roman" w:cs="Times New Roman" w:eastAsia="Times New Roman" w:hAnsi="Times New Roman"/>
          <w:sz w:val="15"/>
          <w:szCs w:val="15"/>
          <w:color w:val="auto"/>
        </w:rPr>
        <w:t>The prospectus supplement relating to any particular issuance of units will describe the terms of those units, including, to the extent applicable, the following:</w:t>
      </w:r>
    </w:p>
    <w:p>
      <w:pPr>
        <w:spacing w:after="0" w:line="54" w:lineRule="exact"/>
        <w:rPr>
          <w:sz w:val="20"/>
          <w:szCs w:val="20"/>
          <w:color w:val="auto"/>
        </w:rPr>
      </w:pPr>
    </w:p>
    <w:p>
      <w:pPr>
        <w:ind w:left="1800" w:right="420" w:hanging="364"/>
        <w:spacing w:after="0" w:line="287" w:lineRule="auto"/>
        <w:tabs>
          <w:tab w:leader="none" w:pos="18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and terms of the units and the securities comprising the units, including whether and under what circumstances those securities may be held or transferred separately;</w:t>
      </w:r>
    </w:p>
    <w:p>
      <w:pPr>
        <w:spacing w:after="0" w:line="54"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 for the issuance, payment, settlement, transfer or exchange of the units or of the securities comprising the units; and</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units will be issued in fully registered or global form.</w:t>
      </w:r>
    </w:p>
    <w:p>
      <w:pPr>
        <w:spacing w:after="0" w:line="1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0260"/>
          </w:cols>
          <w:pgMar w:left="320" w:top="405" w:right="1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9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color w:val="auto"/>
        </w:rPr>
        <w:t>We may sell securities:</w:t>
      </w:r>
    </w:p>
    <w:p>
      <w:pPr>
        <w:spacing w:after="0" w:line="112" w:lineRule="exact"/>
        <w:rPr>
          <w:sz w:val="20"/>
          <w:szCs w:val="20"/>
          <w:color w:val="auto"/>
        </w:rPr>
      </w:pPr>
    </w:p>
    <w:p>
      <w:pPr>
        <w:ind w:left="1800" w:hanging="364"/>
        <w:spacing w:after="0"/>
        <w:tabs>
          <w:tab w:leader="none" w:pos="18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underwriters;</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dealers;</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agents;</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to purchasers; or</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a combination of any of these methods of sale.</w:t>
      </w:r>
    </w:p>
    <w:p>
      <w:pPr>
        <w:spacing w:after="0" w:line="1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color w:val="auto"/>
        </w:rPr>
        <w:t>In addition, we may issue the securities as a dividend or distribution or in a subscription rights offering to our existing securityholders.</w:t>
      </w:r>
    </w:p>
    <w:p>
      <w:pPr>
        <w:spacing w:after="0" w:line="192" w:lineRule="exact"/>
        <w:rPr>
          <w:sz w:val="20"/>
          <w:szCs w:val="20"/>
          <w:color w:val="auto"/>
        </w:rPr>
      </w:pPr>
    </w:p>
    <w:p>
      <w:pPr>
        <w:ind w:left="980" w:right="100" w:firstLine="371"/>
        <w:spacing w:after="0" w:line="261" w:lineRule="auto"/>
        <w:rPr>
          <w:sz w:val="20"/>
          <w:szCs w:val="20"/>
          <w:color w:val="auto"/>
        </w:rPr>
      </w:pPr>
      <w:r>
        <w:rPr>
          <w:rFonts w:ascii="Times New Roman" w:cs="Times New Roman" w:eastAsia="Times New Roman" w:hAnsi="Times New Roman"/>
          <w:sz w:val="15"/>
          <w:szCs w:val="15"/>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5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color w:val="auto"/>
        </w:rPr>
        <w:t>The distribution of the securities may be effected from time to time in one or more transactions:</w:t>
      </w:r>
    </w:p>
    <w:p>
      <w:pPr>
        <w:spacing w:after="0" w:line="112" w:lineRule="exact"/>
        <w:rPr>
          <w:sz w:val="20"/>
          <w:szCs w:val="20"/>
          <w:color w:val="auto"/>
        </w:rPr>
      </w:pPr>
    </w:p>
    <w:p>
      <w:pPr>
        <w:ind w:left="1800" w:hanging="364"/>
        <w:spacing w:after="0"/>
        <w:tabs>
          <w:tab w:leader="none" w:pos="18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 fixed price or prices that may be changed from time to time;</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market prices prevailing at the time of sale;</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prices related to such prevailing market prices; or</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negotiated prices.</w:t>
      </w:r>
    </w:p>
    <w:p>
      <w:pPr>
        <w:spacing w:after="0" w:line="1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color w:val="auto"/>
        </w:rPr>
        <w:t>Each prospectus supplement will describe the method of distribution of the securities and any applicable restrictions.</w:t>
      </w:r>
    </w:p>
    <w:p>
      <w:pPr>
        <w:spacing w:after="0" w:line="192" w:lineRule="exact"/>
        <w:rPr>
          <w:sz w:val="20"/>
          <w:szCs w:val="20"/>
          <w:color w:val="auto"/>
        </w:rPr>
      </w:pPr>
    </w:p>
    <w:p>
      <w:pPr>
        <w:ind w:left="980" w:firstLine="371"/>
        <w:spacing w:after="0" w:line="287" w:lineRule="auto"/>
        <w:rPr>
          <w:sz w:val="20"/>
          <w:szCs w:val="20"/>
          <w:color w:val="auto"/>
        </w:rPr>
      </w:pPr>
      <w:r>
        <w:rPr>
          <w:rFonts w:ascii="Times New Roman" w:cs="Times New Roman" w:eastAsia="Times New Roman" w:hAnsi="Times New Roman"/>
          <w:sz w:val="15"/>
          <w:szCs w:val="15"/>
          <w:color w:val="auto"/>
        </w:rPr>
        <w:t>The prospectus supplement with respect to the securities of a particular series will describe the terms of the offering of the securities, including the following:</w:t>
      </w:r>
    </w:p>
    <w:p>
      <w:pPr>
        <w:spacing w:after="0" w:line="54" w:lineRule="exact"/>
        <w:rPr>
          <w:sz w:val="20"/>
          <w:szCs w:val="20"/>
          <w:color w:val="auto"/>
        </w:rPr>
      </w:pPr>
    </w:p>
    <w:p>
      <w:pPr>
        <w:ind w:left="1800" w:hanging="364"/>
        <w:spacing w:after="0"/>
        <w:tabs>
          <w:tab w:leader="none" w:pos="18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of the agent or any underwriters;</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public offering or purchase price;</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discounts and commissions to be allowed or paid to the agent or underwriters;</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other items constituting underwriting compensation;</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discounts and commissions to be allowed or paid to dealers; and</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exchanges on which the securities will be listed.</w:t>
      </w:r>
    </w:p>
    <w:p>
      <w:pPr>
        <w:spacing w:after="0" w:line="192" w:lineRule="exact"/>
        <w:rPr>
          <w:sz w:val="20"/>
          <w:szCs w:val="20"/>
          <w:color w:val="auto"/>
        </w:rPr>
      </w:pPr>
    </w:p>
    <w:p>
      <w:pPr>
        <w:ind w:left="980" w:right="260" w:firstLine="371"/>
        <w:spacing w:after="0" w:line="270" w:lineRule="auto"/>
        <w:rPr>
          <w:sz w:val="20"/>
          <w:szCs w:val="20"/>
          <w:color w:val="auto"/>
        </w:rPr>
      </w:pPr>
      <w:r>
        <w:rPr>
          <w:rFonts w:ascii="Times New Roman" w:cs="Times New Roman" w:eastAsia="Times New Roman" w:hAnsi="Times New Roman"/>
          <w:sz w:val="15"/>
          <w:szCs w:val="15"/>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46" w:lineRule="exact"/>
        <w:rPr>
          <w:sz w:val="20"/>
          <w:szCs w:val="20"/>
          <w:color w:val="auto"/>
        </w:rPr>
      </w:pPr>
    </w:p>
    <w:p>
      <w:pPr>
        <w:ind w:left="980" w:right="460" w:firstLine="371"/>
        <w:spacing w:after="0" w:line="287" w:lineRule="auto"/>
        <w:rPr>
          <w:sz w:val="20"/>
          <w:szCs w:val="20"/>
          <w:color w:val="auto"/>
        </w:rPr>
      </w:pPr>
      <w:r>
        <w:rPr>
          <w:rFonts w:ascii="Times New Roman" w:cs="Times New Roman" w:eastAsia="Times New Roman" w:hAnsi="Times New Roman"/>
          <w:sz w:val="15"/>
          <w:szCs w:val="15"/>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0240"/>
          </w:cols>
          <w:pgMar w:left="320" w:top="405" w:right="1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5" w:lineRule="exact"/>
        <w:rPr>
          <w:sz w:val="20"/>
          <w:szCs w:val="20"/>
          <w:color w:val="auto"/>
        </w:rPr>
      </w:pPr>
    </w:p>
    <w:p>
      <w:pPr>
        <w:ind w:left="980" w:right="40" w:firstLine="371"/>
        <w:spacing w:after="0" w:line="270" w:lineRule="auto"/>
        <w:rPr>
          <w:sz w:val="20"/>
          <w:szCs w:val="20"/>
          <w:color w:val="auto"/>
        </w:rPr>
      </w:pPr>
      <w:r>
        <w:rPr>
          <w:rFonts w:ascii="Times New Roman" w:cs="Times New Roman" w:eastAsia="Times New Roman" w:hAnsi="Times New Roman"/>
          <w:sz w:val="15"/>
          <w:szCs w:val="15"/>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6" w:lineRule="exact"/>
        <w:rPr>
          <w:sz w:val="20"/>
          <w:szCs w:val="20"/>
          <w:color w:val="auto"/>
        </w:rPr>
      </w:pPr>
    </w:p>
    <w:p>
      <w:pPr>
        <w:ind w:left="980" w:firstLine="371"/>
        <w:spacing w:after="0" w:line="287" w:lineRule="auto"/>
        <w:rPr>
          <w:sz w:val="20"/>
          <w:szCs w:val="20"/>
          <w:color w:val="auto"/>
        </w:rPr>
      </w:pPr>
      <w:r>
        <w:rPr>
          <w:rFonts w:ascii="Times New Roman" w:cs="Times New Roman" w:eastAsia="Times New Roman" w:hAnsi="Times New Roman"/>
          <w:sz w:val="15"/>
          <w:szCs w:val="15"/>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34" w:lineRule="exact"/>
        <w:rPr>
          <w:sz w:val="20"/>
          <w:szCs w:val="20"/>
          <w:color w:val="auto"/>
        </w:rPr>
      </w:pPr>
    </w:p>
    <w:p>
      <w:pPr>
        <w:ind w:left="980" w:right="200" w:firstLine="371"/>
        <w:spacing w:after="0" w:line="260" w:lineRule="auto"/>
        <w:rPr>
          <w:sz w:val="20"/>
          <w:szCs w:val="20"/>
          <w:color w:val="auto"/>
        </w:rPr>
      </w:pPr>
      <w:r>
        <w:rPr>
          <w:rFonts w:ascii="Times New Roman" w:cs="Times New Roman" w:eastAsia="Times New Roman" w:hAnsi="Times New Roman"/>
          <w:sz w:val="15"/>
          <w:szCs w:val="15"/>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4" w:lineRule="exact"/>
        <w:rPr>
          <w:sz w:val="20"/>
          <w:szCs w:val="20"/>
          <w:color w:val="auto"/>
        </w:rPr>
      </w:pPr>
    </w:p>
    <w:p>
      <w:pPr>
        <w:ind w:left="1800" w:right="120" w:hanging="364"/>
        <w:spacing w:after="0" w:line="287" w:lineRule="auto"/>
        <w:tabs>
          <w:tab w:leader="none" w:pos="18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 by an institution of the securities covered under that contract shall not at the time of delivery be prohibited under the laws of the jurisdiction to which that institution is subject; and</w:t>
      </w:r>
    </w:p>
    <w:p>
      <w:pPr>
        <w:spacing w:after="0" w:line="54" w:lineRule="exact"/>
        <w:rPr>
          <w:rFonts w:ascii="Times New Roman" w:cs="Times New Roman" w:eastAsia="Times New Roman" w:hAnsi="Times New Roman"/>
          <w:sz w:val="15"/>
          <w:szCs w:val="15"/>
          <w:color w:val="auto"/>
        </w:rPr>
      </w:pPr>
    </w:p>
    <w:p>
      <w:pPr>
        <w:ind w:left="1800" w:right="180" w:hanging="364"/>
        <w:spacing w:after="0" w:line="287" w:lineRule="auto"/>
        <w:tabs>
          <w:tab w:leader="none" w:pos="18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securities are also being sold to underwriters acting as principals for their own account, the underwriters shall have purchased such securities not sold for delayed delivery.</w:t>
      </w:r>
    </w:p>
    <w:p>
      <w:pPr>
        <w:spacing w:after="0" w:line="134" w:lineRule="exact"/>
        <w:rPr>
          <w:sz w:val="20"/>
          <w:szCs w:val="20"/>
          <w:color w:val="auto"/>
        </w:rPr>
      </w:pPr>
    </w:p>
    <w:p>
      <w:pPr>
        <w:ind w:left="980" w:right="500"/>
        <w:spacing w:after="0" w:line="287" w:lineRule="auto"/>
        <w:rPr>
          <w:sz w:val="20"/>
          <w:szCs w:val="20"/>
          <w:color w:val="auto"/>
        </w:rPr>
      </w:pPr>
      <w:r>
        <w:rPr>
          <w:rFonts w:ascii="Times New Roman" w:cs="Times New Roman" w:eastAsia="Times New Roman" w:hAnsi="Times New Roman"/>
          <w:sz w:val="15"/>
          <w:szCs w:val="15"/>
          <w:color w:val="auto"/>
        </w:rPr>
        <w:t>The underwriters and other persons acting as agents will not have any responsibility in respect of the validity or performance of delayed delivery contracts.</w:t>
      </w:r>
    </w:p>
    <w:p>
      <w:pPr>
        <w:spacing w:after="0" w:line="134" w:lineRule="exact"/>
        <w:rPr>
          <w:sz w:val="20"/>
          <w:szCs w:val="20"/>
          <w:color w:val="auto"/>
        </w:rPr>
      </w:pPr>
    </w:p>
    <w:p>
      <w:pPr>
        <w:ind w:left="980" w:right="60" w:firstLine="371"/>
        <w:spacing w:after="0" w:line="270" w:lineRule="auto"/>
        <w:rPr>
          <w:sz w:val="20"/>
          <w:szCs w:val="20"/>
          <w:color w:val="auto"/>
        </w:rPr>
      </w:pPr>
      <w:r>
        <w:rPr>
          <w:rFonts w:ascii="Times New Roman" w:cs="Times New Roman" w:eastAsia="Times New Roman" w:hAnsi="Times New Roman"/>
          <w:sz w:val="15"/>
          <w:szCs w:val="15"/>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46" w:lineRule="exact"/>
        <w:rPr>
          <w:sz w:val="20"/>
          <w:szCs w:val="20"/>
          <w:color w:val="auto"/>
        </w:rPr>
      </w:pPr>
    </w:p>
    <w:p>
      <w:pPr>
        <w:ind w:left="980" w:firstLine="371"/>
        <w:spacing w:after="0" w:line="258" w:lineRule="auto"/>
        <w:rPr>
          <w:sz w:val="20"/>
          <w:szCs w:val="20"/>
          <w:color w:val="auto"/>
        </w:rPr>
      </w:pPr>
      <w:r>
        <w:rPr>
          <w:rFonts w:ascii="Times New Roman" w:cs="Times New Roman" w:eastAsia="Times New Roman" w:hAnsi="Times New Roman"/>
          <w:sz w:val="15"/>
          <w:szCs w:val="15"/>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55" w:lineRule="exact"/>
        <w:rPr>
          <w:sz w:val="20"/>
          <w:szCs w:val="20"/>
          <w:color w:val="auto"/>
        </w:rPr>
      </w:pPr>
    </w:p>
    <w:p>
      <w:pPr>
        <w:ind w:left="980" w:firstLine="371"/>
        <w:spacing w:after="0" w:line="260" w:lineRule="auto"/>
        <w:rPr>
          <w:sz w:val="20"/>
          <w:szCs w:val="20"/>
          <w:color w:val="auto"/>
        </w:rPr>
      </w:pPr>
      <w:r>
        <w:rPr>
          <w:rFonts w:ascii="Times New Roman" w:cs="Times New Roman" w:eastAsia="Times New Roman" w:hAnsi="Times New Roman"/>
          <w:sz w:val="15"/>
          <w:szCs w:val="15"/>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53" w:lineRule="exact"/>
        <w:rPr>
          <w:sz w:val="20"/>
          <w:szCs w:val="20"/>
          <w:color w:val="auto"/>
        </w:rPr>
      </w:pPr>
    </w:p>
    <w:p>
      <w:pPr>
        <w:ind w:left="980" w:right="120" w:firstLine="371"/>
        <w:spacing w:after="0" w:line="287" w:lineRule="auto"/>
        <w:rPr>
          <w:sz w:val="20"/>
          <w:szCs w:val="20"/>
          <w:color w:val="auto"/>
        </w:rPr>
      </w:pPr>
      <w:r>
        <w:rPr>
          <w:rFonts w:ascii="Times New Roman" w:cs="Times New Roman" w:eastAsia="Times New Roman" w:hAnsi="Times New Roman"/>
          <w:sz w:val="15"/>
          <w:szCs w:val="15"/>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0260"/>
          </w:cols>
          <w:pgMar w:left="320" w:top="405" w:right="1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96" w:lineRule="exact"/>
        <w:rPr>
          <w:sz w:val="20"/>
          <w:szCs w:val="20"/>
          <w:color w:val="auto"/>
        </w:rPr>
      </w:pPr>
    </w:p>
    <w:p>
      <w:pPr>
        <w:ind w:left="980" w:firstLine="371"/>
        <w:spacing w:after="0" w:line="270" w:lineRule="auto"/>
        <w:rPr>
          <w:sz w:val="20"/>
          <w:szCs w:val="20"/>
          <w:color w:val="auto"/>
        </w:rPr>
      </w:pPr>
      <w:r>
        <w:rPr>
          <w:rFonts w:ascii="Times New Roman" w:cs="Times New Roman" w:eastAsia="Times New Roman" w:hAnsi="Times New Roman"/>
          <w:sz w:val="15"/>
          <w:szCs w:val="15"/>
          <w:color w:val="auto"/>
        </w:rPr>
        <w:t>The validity of the securities offered hereby will be passed upon for us by Wilson Sonsini Goodrich &amp; Rosati, Professional Corporation, Palo Alto, California. Additional legal matters may be passed on for us, or any underwriters, dealers or agents, by counsel that we will name in the applicable prospectus supplement.</w:t>
      </w:r>
    </w:p>
    <w:p>
      <w:pPr>
        <w:spacing w:after="0" w:line="324"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96" w:lineRule="exact"/>
        <w:rPr>
          <w:sz w:val="20"/>
          <w:szCs w:val="20"/>
          <w:color w:val="auto"/>
        </w:rPr>
      </w:pPr>
    </w:p>
    <w:p>
      <w:pPr>
        <w:jc w:val="both"/>
        <w:ind w:left="980" w:right="120" w:firstLine="371"/>
        <w:spacing w:after="0" w:line="270" w:lineRule="auto"/>
        <w:rPr>
          <w:sz w:val="20"/>
          <w:szCs w:val="20"/>
          <w:color w:val="auto"/>
        </w:rPr>
      </w:pPr>
      <w:r>
        <w:rPr>
          <w:rFonts w:ascii="Times New Roman" w:cs="Times New Roman" w:eastAsia="Times New Roman" w:hAnsi="Times New Roman"/>
          <w:sz w:val="15"/>
          <w:szCs w:val="15"/>
          <w:color w:val="auto"/>
        </w:rPr>
        <w:t>The financial statements of Tenaya Therapeutics,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24"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96" w:lineRule="exact"/>
        <w:rPr>
          <w:sz w:val="20"/>
          <w:szCs w:val="20"/>
          <w:color w:val="auto"/>
        </w:rPr>
      </w:pPr>
    </w:p>
    <w:p>
      <w:pPr>
        <w:ind w:left="980" w:right="220" w:firstLine="371"/>
        <w:spacing w:after="0" w:line="270" w:lineRule="auto"/>
        <w:rPr>
          <w:sz w:val="20"/>
          <w:szCs w:val="20"/>
          <w:color w:val="auto"/>
        </w:rPr>
      </w:pPr>
      <w:r>
        <w:rPr>
          <w:rFonts w:ascii="Times New Roman" w:cs="Times New Roman" w:eastAsia="Times New Roman" w:hAnsi="Times New Roman"/>
          <w:sz w:val="15"/>
          <w:szCs w:val="15"/>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5"/>
          <w:szCs w:val="15"/>
          <w:i w:val="1"/>
          <w:iCs w:val="1"/>
          <w:color w:val="auto"/>
        </w:rPr>
        <w:t>www.sec.gov</w:t>
      </w:r>
      <w:r>
        <w:rPr>
          <w:rFonts w:ascii="Times New Roman" w:cs="Times New Roman" w:eastAsia="Times New Roman" w:hAnsi="Times New Roman"/>
          <w:sz w:val="15"/>
          <w:szCs w:val="15"/>
          <w:color w:val="auto"/>
        </w:rPr>
        <w:t xml:space="preserve">. Copies of certain information filed by us with the SEC are also available on our website at </w:t>
      </w:r>
      <w:r>
        <w:rPr>
          <w:rFonts w:ascii="Times New Roman" w:cs="Times New Roman" w:eastAsia="Times New Roman" w:hAnsi="Times New Roman"/>
          <w:sz w:val="15"/>
          <w:szCs w:val="15"/>
          <w:i w:val="1"/>
          <w:iCs w:val="1"/>
          <w:color w:val="auto"/>
        </w:rPr>
        <w:t>www.tenayatherapeutics.com</w:t>
      </w:r>
      <w:r>
        <w:rPr>
          <w:rFonts w:ascii="Times New Roman" w:cs="Times New Roman" w:eastAsia="Times New Roman" w:hAnsi="Times New Roman"/>
          <w:sz w:val="15"/>
          <w:szCs w:val="15"/>
          <w:color w:val="auto"/>
        </w:rPr>
        <w:t>. Information accessible on or through our website is not a part of this prospectus.</w:t>
      </w:r>
    </w:p>
    <w:p>
      <w:pPr>
        <w:spacing w:after="0" w:line="146" w:lineRule="exact"/>
        <w:rPr>
          <w:sz w:val="20"/>
          <w:szCs w:val="20"/>
          <w:color w:val="auto"/>
        </w:rPr>
      </w:pPr>
    </w:p>
    <w:p>
      <w:pPr>
        <w:ind w:left="980" w:firstLine="371"/>
        <w:spacing w:after="0" w:line="259" w:lineRule="auto"/>
        <w:rPr>
          <w:sz w:val="20"/>
          <w:szCs w:val="20"/>
          <w:color w:val="auto"/>
        </w:rPr>
      </w:pPr>
      <w:r>
        <w:rPr>
          <w:rFonts w:ascii="Times New Roman" w:cs="Times New Roman" w:eastAsia="Times New Roman" w:hAnsi="Times New Roman"/>
          <w:sz w:val="15"/>
          <w:szCs w:val="15"/>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10240"/>
          </w:cols>
          <w:pgMar w:left="320" w:top="405" w:right="1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5"/>
          <w:szCs w:val="15"/>
          <w:b w:val="1"/>
          <w:bCs w:val="1"/>
          <w:color w:val="auto"/>
        </w:rPr>
        <w:t>INCORPORATION BY REFERENCE</w:t>
      </w:r>
    </w:p>
    <w:p>
      <w:pPr>
        <w:spacing w:after="0" w:line="196" w:lineRule="exact"/>
        <w:rPr>
          <w:sz w:val="20"/>
          <w:szCs w:val="20"/>
          <w:color w:val="auto"/>
        </w:rPr>
      </w:pPr>
    </w:p>
    <w:p>
      <w:pPr>
        <w:ind w:left="980" w:firstLine="371"/>
        <w:spacing w:after="0" w:line="256" w:lineRule="auto"/>
        <w:rPr>
          <w:sz w:val="20"/>
          <w:szCs w:val="20"/>
          <w:color w:val="auto"/>
        </w:rPr>
      </w:pPr>
      <w:r>
        <w:rPr>
          <w:rFonts w:ascii="Times New Roman" w:cs="Times New Roman" w:eastAsia="Times New Roman" w:hAnsi="Times New Roman"/>
          <w:sz w:val="15"/>
          <w:szCs w:val="15"/>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after the date of the initial registration statement of which this prospectus forms a part and prior to the effectiveness of the registration statement, as well as subsequent to the effectiveness of the registration statement, until the offering of the securities under the registration statement of which this prospectus forms a part is terminated or completed:</w:t>
      </w:r>
    </w:p>
    <w:p>
      <w:pPr>
        <w:spacing w:after="0" w:line="81" w:lineRule="exact"/>
        <w:rPr>
          <w:sz w:val="20"/>
          <w:szCs w:val="20"/>
          <w:color w:val="auto"/>
        </w:rPr>
      </w:pPr>
    </w:p>
    <w:p>
      <w:pPr>
        <w:ind w:left="1800" w:hanging="364"/>
        <w:spacing w:after="0"/>
        <w:tabs>
          <w:tab w:leader="none" w:pos="18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Annual Report on </w:t>
      </w:r>
      <w:hyperlink r:id="rId60">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year ended December 31, 2024, filed with the SEC on March 10, 2025;</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Current Reports on Form 8-K filed on </w:t>
      </w:r>
      <w:hyperlink r:id="rId61">
        <w:r>
          <w:rPr>
            <w:rFonts w:ascii="Times New Roman" w:cs="Times New Roman" w:eastAsia="Times New Roman" w:hAnsi="Times New Roman"/>
            <w:sz w:val="15"/>
            <w:szCs w:val="15"/>
            <w:u w:val="single" w:color="auto"/>
            <w:color w:val="0000EE"/>
          </w:rPr>
          <w:t>January 28, 2025</w:t>
        </w:r>
      </w:hyperlink>
      <w:r>
        <w:rPr>
          <w:rFonts w:ascii="Times New Roman" w:cs="Times New Roman" w:eastAsia="Times New Roman" w:hAnsi="Times New Roman"/>
          <w:sz w:val="15"/>
          <w:szCs w:val="15"/>
          <w:color w:val="auto"/>
        </w:rPr>
        <w:t xml:space="preserve">, </w:t>
      </w:r>
      <w:hyperlink r:id="rId62">
        <w:r>
          <w:rPr>
            <w:rFonts w:ascii="Times New Roman" w:cs="Times New Roman" w:eastAsia="Times New Roman" w:hAnsi="Times New Roman"/>
            <w:sz w:val="15"/>
            <w:szCs w:val="15"/>
            <w:u w:val="single" w:color="auto"/>
            <w:color w:val="0000EE"/>
          </w:rPr>
          <w:t>February 7, 2025</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and </w:t>
      </w:r>
      <w:hyperlink r:id="rId63">
        <w:r>
          <w:rPr>
            <w:rFonts w:ascii="Times New Roman" w:cs="Times New Roman" w:eastAsia="Times New Roman" w:hAnsi="Times New Roman"/>
            <w:sz w:val="15"/>
            <w:szCs w:val="15"/>
            <w:u w:val="single" w:color="auto"/>
            <w:color w:val="0000EE"/>
          </w:rPr>
          <w:t>March 4, 2025</w:t>
        </w:r>
      </w:hyperlink>
      <w:r>
        <w:rPr>
          <w:rFonts w:ascii="Times New Roman" w:cs="Times New Roman" w:eastAsia="Times New Roman" w:hAnsi="Times New Roman"/>
          <w:sz w:val="15"/>
          <w:szCs w:val="15"/>
          <w:color w:val="auto"/>
        </w:rPr>
        <w:t>; and</w:t>
      </w:r>
    </w:p>
    <w:p>
      <w:pPr>
        <w:spacing w:after="0" w:line="112" w:lineRule="exact"/>
        <w:rPr>
          <w:rFonts w:ascii="Times New Roman" w:cs="Times New Roman" w:eastAsia="Times New Roman" w:hAnsi="Times New Roman"/>
          <w:sz w:val="15"/>
          <w:szCs w:val="15"/>
          <w:color w:val="auto"/>
        </w:rPr>
      </w:pPr>
    </w:p>
    <w:p>
      <w:pPr>
        <w:ind w:left="1800" w:right="20" w:hanging="364"/>
        <w:spacing w:after="0" w:line="287" w:lineRule="auto"/>
        <w:tabs>
          <w:tab w:leader="none" w:pos="1800" w:val="left"/>
        </w:tabs>
        <w:numPr>
          <w:ilvl w:val="0"/>
          <w:numId w:val="22"/>
        </w:numPr>
        <w:rPr>
          <w:rFonts w:ascii="Times New Roman" w:cs="Times New Roman" w:eastAsia="Times New Roman" w:hAnsi="Times New Roman"/>
          <w:sz w:val="15"/>
          <w:szCs w:val="15"/>
          <w:color w:val="0000EE"/>
        </w:rPr>
      </w:pPr>
      <w:hyperlink r:id="rId64">
        <w:r>
          <w:rPr>
            <w:rFonts w:ascii="Times New Roman" w:cs="Times New Roman" w:eastAsia="Times New Roman" w:hAnsi="Times New Roman"/>
            <w:sz w:val="15"/>
            <w:szCs w:val="15"/>
            <w:color w:val="auto"/>
          </w:rPr>
          <w:t xml:space="preserve">the description of our common stock contained in the Registration Statement on Form 8-A relating thereto, filed with the SEC on </w:t>
        </w:r>
        <w:r>
          <w:rPr>
            <w:rFonts w:ascii="Times New Roman" w:cs="Times New Roman" w:eastAsia="Times New Roman" w:hAnsi="Times New Roman"/>
            <w:sz w:val="15"/>
            <w:szCs w:val="15"/>
            <w:u w:val="single" w:color="auto"/>
            <w:color w:val="0000EE"/>
          </w:rPr>
          <w:t>July 23,</w:t>
        </w:r>
      </w:hyperlink>
      <w:r>
        <w:rPr>
          <w:rFonts w:ascii="Times New Roman" w:cs="Times New Roman" w:eastAsia="Times New Roman" w:hAnsi="Times New Roman"/>
          <w:sz w:val="15"/>
          <w:szCs w:val="15"/>
          <w:color w:val="auto"/>
        </w:rPr>
        <w:t xml:space="preserve"> </w:t>
      </w:r>
      <w:hyperlink r:id="rId64">
        <w:r>
          <w:rPr>
            <w:rFonts w:ascii="Times New Roman" w:cs="Times New Roman" w:eastAsia="Times New Roman" w:hAnsi="Times New Roman"/>
            <w:sz w:val="15"/>
            <w:szCs w:val="15"/>
            <w:u w:val="single" w:color="auto"/>
            <w:color w:val="0000EE"/>
          </w:rPr>
          <w:t>2021</w:t>
        </w:r>
        <w:r>
          <w:rPr>
            <w:rFonts w:ascii="Times New Roman" w:cs="Times New Roman" w:eastAsia="Times New Roman" w:hAnsi="Times New Roman"/>
            <w:sz w:val="15"/>
            <w:szCs w:val="15"/>
            <w:color w:val="000000"/>
          </w:rPr>
          <w:t>, including any amendment or report filed for the purpose of updating such description.</w:t>
        </w:r>
      </w:hyperlink>
    </w:p>
    <w:p>
      <w:pPr>
        <w:spacing w:after="0" w:line="134" w:lineRule="exact"/>
        <w:rPr>
          <w:rFonts w:ascii="Times New Roman" w:cs="Times New Roman" w:eastAsia="Times New Roman" w:hAnsi="Times New Roman"/>
          <w:sz w:val="15"/>
          <w:szCs w:val="15"/>
          <w:color w:val="auto"/>
        </w:rPr>
      </w:pPr>
    </w:p>
    <w:p>
      <w:pPr>
        <w:ind w:left="1360"/>
        <w:spacing w:after="0"/>
        <w:rPr>
          <w:sz w:val="20"/>
          <w:szCs w:val="20"/>
          <w:color w:val="auto"/>
        </w:rPr>
      </w:pPr>
      <w:r>
        <w:rPr>
          <w:rFonts w:ascii="Times New Roman" w:cs="Times New Roman" w:eastAsia="Times New Roman" w:hAnsi="Times New Roman"/>
          <w:sz w:val="15"/>
          <w:szCs w:val="15"/>
          <w:color w:val="auto"/>
        </w:rPr>
        <w:t>You may request a copy of these filings, at no cost, by writing or telephoning us at the following address and telephone number:</w:t>
      </w:r>
    </w:p>
    <w:p>
      <w:pPr>
        <w:spacing w:after="0" w:line="192" w:lineRule="exact"/>
        <w:rPr>
          <w:rFonts w:ascii="Times New Roman" w:cs="Times New Roman" w:eastAsia="Times New Roman" w:hAnsi="Times New Roman"/>
          <w:sz w:val="15"/>
          <w:szCs w:val="15"/>
          <w:color w:val="auto"/>
        </w:rPr>
      </w:pPr>
    </w:p>
    <w:p>
      <w:pPr>
        <w:jc w:val="center"/>
        <w:ind w:right="-1059"/>
        <w:spacing w:after="0"/>
        <w:rPr>
          <w:sz w:val="20"/>
          <w:szCs w:val="20"/>
          <w:color w:val="auto"/>
        </w:rPr>
      </w:pPr>
      <w:r>
        <w:rPr>
          <w:rFonts w:ascii="Times New Roman" w:cs="Times New Roman" w:eastAsia="Times New Roman" w:hAnsi="Times New Roman"/>
          <w:sz w:val="15"/>
          <w:szCs w:val="15"/>
          <w:color w:val="auto"/>
        </w:rPr>
        <w:t>Tenaya Therapeutics, Inc.</w:t>
      </w:r>
    </w:p>
    <w:p>
      <w:pPr>
        <w:spacing w:after="0" w:line="25" w:lineRule="exact"/>
        <w:rPr>
          <w:rFonts w:ascii="Times New Roman" w:cs="Times New Roman" w:eastAsia="Times New Roman" w:hAnsi="Times New Roman"/>
          <w:sz w:val="15"/>
          <w:szCs w:val="15"/>
          <w:color w:val="auto"/>
        </w:rPr>
      </w:pPr>
    </w:p>
    <w:p>
      <w:pPr>
        <w:jc w:val="center"/>
        <w:ind w:right="-1059"/>
        <w:spacing w:after="0"/>
        <w:rPr>
          <w:sz w:val="20"/>
          <w:szCs w:val="20"/>
          <w:color w:val="auto"/>
        </w:rPr>
      </w:pPr>
      <w:r>
        <w:rPr>
          <w:rFonts w:ascii="Times New Roman" w:cs="Times New Roman" w:eastAsia="Times New Roman" w:hAnsi="Times New Roman"/>
          <w:sz w:val="15"/>
          <w:szCs w:val="15"/>
          <w:color w:val="auto"/>
        </w:rPr>
        <w:t>171 Oyster Point Boulevard, Suite 500</w:t>
      </w:r>
    </w:p>
    <w:p>
      <w:pPr>
        <w:spacing w:after="0" w:line="10" w:lineRule="exact"/>
        <w:rPr>
          <w:rFonts w:ascii="Times New Roman" w:cs="Times New Roman" w:eastAsia="Times New Roman" w:hAnsi="Times New Roman"/>
          <w:sz w:val="15"/>
          <w:szCs w:val="15"/>
          <w:color w:val="auto"/>
        </w:rPr>
      </w:pPr>
    </w:p>
    <w:p>
      <w:pPr>
        <w:jc w:val="center"/>
        <w:ind w:right="-1059"/>
        <w:spacing w:after="0"/>
        <w:rPr>
          <w:sz w:val="20"/>
          <w:szCs w:val="20"/>
          <w:color w:val="auto"/>
        </w:rPr>
      </w:pPr>
      <w:r>
        <w:rPr>
          <w:rFonts w:ascii="Times New Roman" w:cs="Times New Roman" w:eastAsia="Times New Roman" w:hAnsi="Times New Roman"/>
          <w:sz w:val="15"/>
          <w:szCs w:val="15"/>
          <w:color w:val="auto"/>
        </w:rPr>
        <w:t>South San Francisco, California 94080</w:t>
      </w:r>
    </w:p>
    <w:p>
      <w:pPr>
        <w:spacing w:after="0" w:line="10" w:lineRule="exact"/>
        <w:rPr>
          <w:rFonts w:ascii="Times New Roman" w:cs="Times New Roman" w:eastAsia="Times New Roman" w:hAnsi="Times New Roman"/>
          <w:sz w:val="15"/>
          <w:szCs w:val="15"/>
          <w:color w:val="auto"/>
        </w:rPr>
      </w:pPr>
    </w:p>
    <w:p>
      <w:pPr>
        <w:jc w:val="center"/>
        <w:ind w:right="-1059"/>
        <w:spacing w:after="0"/>
        <w:rPr>
          <w:sz w:val="20"/>
          <w:szCs w:val="20"/>
          <w:color w:val="auto"/>
        </w:rPr>
      </w:pPr>
      <w:r>
        <w:rPr>
          <w:rFonts w:ascii="Times New Roman" w:cs="Times New Roman" w:eastAsia="Times New Roman" w:hAnsi="Times New Roman"/>
          <w:sz w:val="15"/>
          <w:szCs w:val="15"/>
          <w:color w:val="auto"/>
        </w:rPr>
        <w:t>Attn: Investor Relations</w:t>
      </w:r>
    </w:p>
    <w:p>
      <w:pPr>
        <w:spacing w:after="0" w:line="10" w:lineRule="exact"/>
        <w:rPr>
          <w:rFonts w:ascii="Times New Roman" w:cs="Times New Roman" w:eastAsia="Times New Roman" w:hAnsi="Times New Roman"/>
          <w:sz w:val="15"/>
          <w:szCs w:val="15"/>
          <w:color w:val="auto"/>
        </w:rPr>
      </w:pPr>
    </w:p>
    <w:p>
      <w:pPr>
        <w:jc w:val="center"/>
        <w:ind w:right="-1059"/>
        <w:spacing w:after="0"/>
        <w:rPr>
          <w:sz w:val="20"/>
          <w:szCs w:val="20"/>
          <w:color w:val="auto"/>
        </w:rPr>
      </w:pPr>
      <w:r>
        <w:rPr>
          <w:rFonts w:ascii="Times New Roman" w:cs="Times New Roman" w:eastAsia="Times New Roman" w:hAnsi="Times New Roman"/>
          <w:sz w:val="15"/>
          <w:szCs w:val="15"/>
          <w:color w:val="auto"/>
        </w:rPr>
        <w:t>(650) 825-6990</w:t>
      </w:r>
    </w:p>
    <w:p>
      <w:pPr>
        <w:spacing w:after="0" w:line="120" w:lineRule="exact"/>
        <w:rPr>
          <w:rFonts w:ascii="Times New Roman" w:cs="Times New Roman" w:eastAsia="Times New Roman" w:hAnsi="Times New Roman"/>
          <w:sz w:val="15"/>
          <w:szCs w:val="15"/>
          <w:color w:val="auto"/>
        </w:rPr>
      </w:pPr>
    </w:p>
    <w:p>
      <w:pPr>
        <w:ind w:left="5540"/>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10180"/>
          </w:cols>
          <w:pgMar w:left="320" w:top="405" w:right="13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2"/>
        </w:trPr>
        <w:tc>
          <w:tcPr>
            <w:tcW w:w="11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b w:val="1"/>
                <w:bCs w:val="1"/>
                <w:color w:val="0000EE"/>
                <w:w w:val="98"/>
              </w:rPr>
              <w:t>Table of Contents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96"/>
        </w:trPr>
        <w:tc>
          <w:tcPr>
            <w:tcW w:w="1140" w:type="dxa"/>
            <w:vAlign w:val="bottom"/>
            <w:textDirection w:val="btLr"/>
          </w:tcPr>
          <w:p>
            <w:pPr>
              <w:ind w:left="968"/>
              <w:spacing w:after="0"/>
              <w:rPr>
                <w:sz w:val="20"/>
                <w:szCs w:val="20"/>
                <w:color w:val="auto"/>
              </w:rPr>
            </w:pPr>
            <w:r>
              <w:rPr>
                <w:rFonts w:ascii="Times New Roman" w:cs="Times New Roman" w:eastAsia="Times New Roman" w:hAnsi="Times New Roman"/>
                <w:sz w:val="15"/>
                <w:szCs w:val="15"/>
                <w:b w:val="1"/>
                <w:bCs w:val="1"/>
                <w:color w:val="FF4338"/>
              </w:rPr>
              <w:t>until the registration</w:t>
            </w:r>
          </w:p>
        </w:tc>
        <w:tc>
          <w:tcPr>
            <w:tcW w:w="180" w:type="dxa"/>
            <w:vAlign w:val="bottom"/>
            <w:textDirection w:val="btLr"/>
          </w:tcPr>
          <w:p>
            <w:pPr>
              <w:ind w:left="8"/>
              <w:spacing w:after="0"/>
              <w:rPr>
                <w:sz w:val="20"/>
                <w:szCs w:val="20"/>
                <w:color w:val="auto"/>
              </w:rPr>
            </w:pPr>
            <w:r>
              <w:rPr>
                <w:rFonts w:ascii="Times New Roman" w:cs="Times New Roman" w:eastAsia="Times New Roman" w:hAnsi="Times New Roman"/>
                <w:sz w:val="15"/>
                <w:szCs w:val="15"/>
                <w:b w:val="1"/>
                <w:bCs w:val="1"/>
                <w:color w:val="FF4338"/>
              </w:rPr>
              <w:t>to sell these securities</w:t>
            </w:r>
          </w:p>
        </w:tc>
        <w:tc>
          <w:tcPr>
            <w:tcW w:w="160" w:type="dxa"/>
            <w:vAlign w:val="bottom"/>
          </w:tcPr>
          <w:p>
            <w:pPr>
              <w:spacing w:after="0"/>
              <w:rPr>
                <w:sz w:val="24"/>
                <w:szCs w:val="24"/>
                <w:color w:val="auto"/>
              </w:rPr>
            </w:pPr>
          </w:p>
        </w:tc>
      </w:tr>
      <w:tr>
        <w:trPr>
          <w:trHeight w:val="8357"/>
        </w:trPr>
        <w:tc>
          <w:tcPr>
            <w:tcW w:w="1140" w:type="dxa"/>
            <w:vAlign w:val="bottom"/>
            <w:textDirection w:val="btLr"/>
          </w:tcPr>
          <w:p>
            <w:pPr>
              <w:ind w:left="968"/>
              <w:spacing w:after="0"/>
              <w:rPr>
                <w:sz w:val="20"/>
                <w:szCs w:val="20"/>
                <w:color w:val="auto"/>
              </w:rPr>
            </w:pPr>
            <w:r>
              <w:rPr>
                <w:rFonts w:ascii="Times New Roman" w:cs="Times New Roman" w:eastAsia="Times New Roman" w:hAnsi="Times New Roman"/>
                <w:sz w:val="15"/>
                <w:szCs w:val="15"/>
                <w:b w:val="1"/>
                <w:bCs w:val="1"/>
                <w:color w:val="FF4338"/>
              </w:rPr>
              <w:t>The information in this preliminary prospectus supplement is not complete and may be changed. We may not sell these securities</w:t>
            </w:r>
          </w:p>
        </w:tc>
        <w:tc>
          <w:tcPr>
            <w:tcW w:w="180" w:type="dxa"/>
            <w:vAlign w:val="bottom"/>
            <w:textDirection w:val="btLr"/>
          </w:tcPr>
          <w:p>
            <w:pPr>
              <w:ind w:left="8"/>
              <w:spacing w:after="0"/>
              <w:rPr>
                <w:sz w:val="20"/>
                <w:szCs w:val="20"/>
                <w:color w:val="auto"/>
              </w:rPr>
            </w:pPr>
            <w:r>
              <w:rPr>
                <w:rFonts w:ascii="Times New Roman" w:cs="Times New Roman" w:eastAsia="Times New Roman" w:hAnsi="Times New Roman"/>
                <w:sz w:val="15"/>
                <w:szCs w:val="15"/>
                <w:b w:val="1"/>
                <w:bCs w:val="1"/>
                <w:color w:val="FF4338"/>
              </w:rPr>
              <w:t>statement filed with the Securities and Exchange Commission is effective. This preliminary prospectus supplement is not an offer</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5"/>
                <w:szCs w:val="15"/>
                <w:b w:val="1"/>
                <w:bCs w:val="1"/>
                <w:color w:val="FF4338"/>
              </w:rPr>
              <w:t>and it is not soliciting an offer to buy these securities in any jurisdiction where the offer or sale is not 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5"/>
          <w:szCs w:val="15"/>
          <w:b w:val="1"/>
          <w:bCs w:val="1"/>
          <w:color w:val="FF4338"/>
        </w:rPr>
        <w:t>SUBJECT TO COMPLETION, DATED MARCH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-1160780</wp:posOffset>
            </wp:positionH>
            <wp:positionV relativeFrom="paragraph">
              <wp:posOffset>-638810</wp:posOffset>
            </wp:positionV>
            <wp:extent cx="7193915"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93915" cy="342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PROSPECTUS SUPPLEMENT</w:t>
      </w:r>
    </w:p>
    <w:p>
      <w:pPr>
        <w:spacing w:after="0" w:line="170"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27"/>
          <w:szCs w:val="27"/>
          <w:b w:val="1"/>
          <w:bCs w:val="1"/>
          <w:color w:val="auto"/>
        </w:rPr>
        <w:t>Up to $69,820,000</w:t>
      </w:r>
    </w:p>
    <w:p>
      <w:pPr>
        <w:spacing w:after="0" w:line="19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728980</wp:posOffset>
            </wp:positionV>
            <wp:extent cx="102616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1026160" cy="6985"/>
                    </a:xfrm>
                    <a:prstGeom prst="rect">
                      <a:avLst/>
                    </a:prstGeom>
                    <a:noFill/>
                  </pic:spPr>
                </pic:pic>
              </a:graphicData>
            </a:graphic>
          </wp:anchor>
        </w:drawing>
        <w:drawing>
          <wp:anchor simplePos="0" relativeHeight="251657728" behindDoc="1" locked="0" layoutInCell="0" allowOverlap="1">
            <wp:simplePos x="0" y="0"/>
            <wp:positionH relativeFrom="column">
              <wp:posOffset>1893570</wp:posOffset>
            </wp:positionH>
            <wp:positionV relativeFrom="paragraph">
              <wp:posOffset>150495</wp:posOffset>
            </wp:positionV>
            <wp:extent cx="1069340" cy="390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1069340"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759" w:firstLine="306"/>
        <w:spacing w:after="0" w:line="261" w:lineRule="auto"/>
        <w:rPr>
          <w:sz w:val="20"/>
          <w:szCs w:val="20"/>
          <w:color w:val="auto"/>
        </w:rPr>
      </w:pPr>
      <w:r>
        <w:rPr>
          <w:rFonts w:ascii="Times New Roman" w:cs="Times New Roman" w:eastAsia="Times New Roman" w:hAnsi="Times New Roman"/>
          <w:sz w:val="15"/>
          <w:szCs w:val="15"/>
          <w:color w:val="auto"/>
        </w:rPr>
        <w:t>We have previously entered into a sales agreement with Leerink Partners LLC (Leerink Partners), relating to shares of our common stock, par value $0.0001 per share, offered by this prospectus supplement and the accompanying prospectus. In accordance with the terms of the sales agreement, under this prospectus supplement, we may offer and sell shares of our common stock having an aggregate offering price of up to $69,820,000 from time to time through Leerink Partners, acting as our sales agent.</w:t>
      </w:r>
    </w:p>
    <w:p>
      <w:pPr>
        <w:spacing w:after="0" w:line="155" w:lineRule="exact"/>
        <w:rPr>
          <w:sz w:val="20"/>
          <w:szCs w:val="20"/>
          <w:color w:val="auto"/>
        </w:rPr>
      </w:pPr>
    </w:p>
    <w:p>
      <w:pPr>
        <w:ind w:right="879" w:firstLine="306"/>
        <w:spacing w:after="0" w:line="287" w:lineRule="auto"/>
        <w:rPr>
          <w:sz w:val="20"/>
          <w:szCs w:val="20"/>
          <w:color w:val="auto"/>
        </w:rPr>
      </w:pPr>
      <w:r>
        <w:rPr>
          <w:rFonts w:ascii="Times New Roman" w:cs="Times New Roman" w:eastAsia="Times New Roman" w:hAnsi="Times New Roman"/>
          <w:sz w:val="15"/>
          <w:szCs w:val="15"/>
          <w:color w:val="auto"/>
        </w:rPr>
        <w:t>Our common stock is traded on the Nasdaq Global Select Market under the symbol “TNYA.” On March 20, 2025, the last reported sale price of our common stock was $0.6651 per share.</w:t>
      </w:r>
    </w:p>
    <w:p>
      <w:pPr>
        <w:spacing w:after="0" w:line="134" w:lineRule="exact"/>
        <w:rPr>
          <w:sz w:val="20"/>
          <w:szCs w:val="20"/>
          <w:color w:val="auto"/>
        </w:rPr>
      </w:pPr>
    </w:p>
    <w:p>
      <w:pPr>
        <w:ind w:right="739" w:firstLine="306"/>
        <w:spacing w:after="0" w:line="261" w:lineRule="auto"/>
        <w:rPr>
          <w:sz w:val="20"/>
          <w:szCs w:val="20"/>
          <w:color w:val="auto"/>
        </w:rPr>
      </w:pPr>
      <w:r>
        <w:rPr>
          <w:rFonts w:ascii="Times New Roman" w:cs="Times New Roman" w:eastAsia="Times New Roman" w:hAnsi="Times New Roman"/>
          <w:sz w:val="15"/>
          <w:szCs w:val="15"/>
          <w:color w:val="auto"/>
        </w:rPr>
        <w:t>Sales of our common stock, if any, under this prospectus supplement may be made in sales deemed to be “at the market offerings” as defined in Rule 415(a)(4) under the Securities Act of 1933, as amended (the Securities Act). Leerink Partners is not required to sell any specific number or dollar amount of securities, but will act as a sales agent using commercially reasonable efforts consistent with its normal trading and sales practices, on mutually agreed terms between Leerink Partners and us. There is no arrangement for funds to be received in any escrow, trust or similar arrangement.</w:t>
      </w:r>
    </w:p>
    <w:p>
      <w:pPr>
        <w:spacing w:after="0" w:line="155" w:lineRule="exact"/>
        <w:rPr>
          <w:sz w:val="20"/>
          <w:szCs w:val="20"/>
          <w:color w:val="auto"/>
        </w:rPr>
      </w:pPr>
    </w:p>
    <w:p>
      <w:pPr>
        <w:ind w:right="779" w:firstLine="306"/>
        <w:spacing w:after="0" w:line="259" w:lineRule="auto"/>
        <w:rPr>
          <w:sz w:val="20"/>
          <w:szCs w:val="20"/>
          <w:color w:val="auto"/>
        </w:rPr>
      </w:pPr>
      <w:r>
        <w:rPr>
          <w:rFonts w:ascii="Times New Roman" w:cs="Times New Roman" w:eastAsia="Times New Roman" w:hAnsi="Times New Roman"/>
          <w:sz w:val="15"/>
          <w:szCs w:val="15"/>
          <w:color w:val="auto"/>
        </w:rPr>
        <w:t>The compensation to Leerink Partners for sales of common stock sold pursuant to the sales agreement will be equal to 3% of the gross proceeds of any shares of common stock sold under the sales agreement. In connection with the sale of the common stock on our behalf, Leerink Partners will be deemed to be an “underwriter” within the meaning of the Securities Act and the compensation of Leerink Partners will be deemed to be underwriting commissions or discounts. We have also agreed to provide indemnification and contribution to Leerink Partners with respect to certain liabilities, including liabilities under the Securities Act or the Securities Exchange Act of 1934, as amended (the Exchange Act). See “</w:t>
      </w:r>
      <w:r>
        <w:rPr>
          <w:rFonts w:ascii="Times New Roman" w:cs="Times New Roman" w:eastAsia="Times New Roman" w:hAnsi="Times New Roman"/>
          <w:sz w:val="15"/>
          <w:szCs w:val="15"/>
          <w:u w:val="single" w:color="auto"/>
          <w:color w:val="0000EE"/>
        </w:rPr>
        <w:t>Plan of Distribution</w:t>
      </w:r>
      <w:r>
        <w:rPr>
          <w:rFonts w:ascii="Times New Roman" w:cs="Times New Roman" w:eastAsia="Times New Roman" w:hAnsi="Times New Roman"/>
          <w:sz w:val="15"/>
          <w:szCs w:val="15"/>
          <w:color w:val="auto"/>
        </w:rPr>
        <w:t>” beginning on page S-20 for additional information regarding Leerink Partners’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179070</wp:posOffset>
            </wp:positionV>
            <wp:extent cx="102616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1026160" cy="698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379" w:firstLine="306"/>
        <w:spacing w:after="0" w:line="247"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REVIEW CAREFULLY THE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ON PAGE S-12 OF THIS PROSPECTUS SUPPLEMENT, AND IN THE DOCUMENTS INCORPORATED BY REFERENCE IN THIS PROSPECTUS SUPPLEMENT AND ACCOMPANYING PROSPECTUS BEFORE INVESTING IN OUR COMMON STOCK.</w:t>
      </w:r>
    </w:p>
    <w:p>
      <w:pPr>
        <w:spacing w:after="0" w:line="149" w:lineRule="exact"/>
        <w:rPr>
          <w:sz w:val="20"/>
          <w:szCs w:val="20"/>
          <w:color w:val="auto"/>
        </w:rPr>
      </w:pPr>
    </w:p>
    <w:p>
      <w:pPr>
        <w:ind w:right="1359" w:firstLine="306"/>
        <w:spacing w:after="0" w:line="273"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12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4"/>
          <w:szCs w:val="24"/>
          <w:b w:val="1"/>
          <w:bCs w:val="1"/>
          <w:color w:val="auto"/>
        </w:rPr>
        <w:t>Leerink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220980</wp:posOffset>
            </wp:positionV>
            <wp:extent cx="102616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1026160" cy="698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940"/>
        <w:spacing w:after="0"/>
        <w:tabs>
          <w:tab w:leader="none" w:pos="5280" w:val="left"/>
        </w:tabs>
        <w:rPr>
          <w:sz w:val="20"/>
          <w:szCs w:val="20"/>
          <w:color w:val="auto"/>
        </w:rPr>
      </w:pPr>
      <w:r>
        <w:rPr>
          <w:rFonts w:ascii="Times New Roman" w:cs="Times New Roman" w:eastAsia="Times New Roman" w:hAnsi="Times New Roman"/>
          <w:sz w:val="15"/>
          <w:szCs w:val="15"/>
          <w:b w:val="1"/>
          <w:bCs w:val="1"/>
          <w:color w:val="auto"/>
        </w:rPr>
        <w:t xml:space="preserve">The date of this prospectus supplement is           </w:t>
      </w:r>
      <w:r>
        <w:rPr>
          <w:sz w:val="20"/>
          <w:szCs w:val="20"/>
          <w:color w:val="auto"/>
        </w:rPr>
        <w:tab/>
      </w:r>
      <w:r>
        <w:rPr>
          <w:rFonts w:ascii="Times New Roman" w:cs="Times New Roman" w:eastAsia="Times New Roman" w:hAnsi="Times New Roman"/>
          <w:sz w:val="14"/>
          <w:szCs w:val="14"/>
          <w:b w:val="1"/>
          <w:bCs w:val="1"/>
          <w:color w:val="auto"/>
        </w:rPr>
        <w:t>, 2025.</w:t>
      </w:r>
    </w:p>
    <w:p>
      <w:pPr>
        <w:sectPr>
          <w:pgSz w:w="11900" w:h="16838" w:orient="portrait"/>
          <w:cols w:equalWidth="0" w:num="2">
            <w:col w:w="1480" w:space="320"/>
            <w:col w:w="8339"/>
          </w:cols>
          <w:pgMar w:left="320" w:top="399"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211"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2900" w:type="dxa"/>
            <w:vAlign w:val="bottom"/>
            <w:gridSpan w:val="8"/>
            <w:vMerge w:val="restart"/>
          </w:tcPr>
          <w:p>
            <w:pPr>
              <w:spacing w:after="0"/>
              <w:rPr>
                <w:sz w:val="20"/>
                <w:szCs w:val="20"/>
                <w:color w:val="auto"/>
              </w:rPr>
            </w:pPr>
            <w:r>
              <w:rPr>
                <w:rFonts w:ascii="Times New Roman" w:cs="Times New Roman" w:eastAsia="Times New Roman" w:hAnsi="Times New Roman"/>
                <w:sz w:val="15"/>
                <w:szCs w:val="15"/>
                <w:color w:val="0000EE"/>
              </w:rPr>
              <w:t>ABOUT THIS PROSPECTUS SUPPLEMENT</w:t>
            </w:r>
          </w:p>
        </w:tc>
        <w:tc>
          <w:tcPr>
            <w:tcW w:w="6040" w:type="dxa"/>
            <w:vAlign w:val="bottom"/>
            <w:gridSpan w:val="5"/>
            <w:vMerge w:val="restart"/>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7"/>
              </w:rPr>
              <w:t>Page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Borders>
              <w:bottom w:val="single" w:sz="8" w:color="0000EE"/>
            </w:tcBorders>
            <w:gridSpan w:val="8"/>
            <w:vMerge w:val="continue"/>
          </w:tcPr>
          <w:p>
            <w:pPr>
              <w:spacing w:after="0"/>
              <w:rPr>
                <w:sz w:val="12"/>
                <w:szCs w:val="12"/>
                <w:color w:val="auto"/>
              </w:rPr>
            </w:pPr>
          </w:p>
        </w:tc>
        <w:tc>
          <w:tcPr>
            <w:tcW w:w="6040" w:type="dxa"/>
            <w:vAlign w:val="bottom"/>
            <w:gridSpan w:val="5"/>
            <w:vMerge w:val="continue"/>
          </w:tcPr>
          <w:p>
            <w:pPr>
              <w:spacing w:after="0"/>
              <w:rPr>
                <w:sz w:val="12"/>
                <w:szCs w:val="12"/>
                <w:color w:val="auto"/>
              </w:rPr>
            </w:pPr>
          </w:p>
        </w:tc>
        <w:tc>
          <w:tcPr>
            <w:tcW w:w="3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5"/>
                <w:szCs w:val="15"/>
                <w:color w:val="auto"/>
              </w:rPr>
              <w:t>S-1</w:t>
            </w:r>
          </w:p>
        </w:tc>
        <w:tc>
          <w:tcPr>
            <w:tcW w:w="0" w:type="dxa"/>
            <w:vAlign w:val="bottom"/>
          </w:tcPr>
          <w:p>
            <w:pPr>
              <w:spacing w:after="0"/>
              <w:rPr>
                <w:sz w:val="1"/>
                <w:szCs w:val="1"/>
                <w:color w:val="auto"/>
              </w:rPr>
            </w:pPr>
          </w:p>
        </w:tc>
      </w:tr>
      <w:tr>
        <w:trPr>
          <w:trHeight w:val="162"/>
        </w:trPr>
        <w:tc>
          <w:tcPr>
            <w:tcW w:w="4500" w:type="dxa"/>
            <w:vAlign w:val="bottom"/>
            <w:tcBorders>
              <w:bottom w:val="single" w:sz="8" w:color="0000EE"/>
            </w:tcBorders>
            <w:gridSpan w:val="11"/>
          </w:tcPr>
          <w:p>
            <w:pPr>
              <w:spacing w:after="0" w:line="162" w:lineRule="exact"/>
              <w:rPr>
                <w:sz w:val="20"/>
                <w:szCs w:val="20"/>
                <w:color w:val="auto"/>
              </w:rPr>
            </w:pPr>
            <w:r>
              <w:rPr>
                <w:rFonts w:ascii="Times New Roman" w:cs="Times New Roman" w:eastAsia="Times New Roman" w:hAnsi="Times New Roman"/>
                <w:sz w:val="15"/>
                <w:szCs w:val="15"/>
                <w:color w:val="0000EE"/>
                <w:w w:val="99"/>
              </w:rPr>
              <w:t>SPECIAL NOTE REGARDING FORWARD-LOOKING STATEMENTS</w:t>
            </w:r>
          </w:p>
        </w:tc>
        <w:tc>
          <w:tcPr>
            <w:tcW w:w="4440" w:type="dxa"/>
            <w:vAlign w:val="bottom"/>
            <w:gridSpan w:val="2"/>
          </w:tcPr>
          <w:p>
            <w:pPr>
              <w:spacing w:after="0"/>
              <w:rPr>
                <w:sz w:val="14"/>
                <w:szCs w:val="14"/>
                <w:color w:val="auto"/>
              </w:rPr>
            </w:pPr>
          </w:p>
        </w:tc>
        <w:tc>
          <w:tcPr>
            <w:tcW w:w="3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S-2</w:t>
            </w:r>
          </w:p>
        </w:tc>
        <w:tc>
          <w:tcPr>
            <w:tcW w:w="0" w:type="dxa"/>
            <w:vAlign w:val="bottom"/>
          </w:tcPr>
          <w:p>
            <w:pPr>
              <w:spacing w:after="0"/>
              <w:rPr>
                <w:sz w:val="1"/>
                <w:szCs w:val="1"/>
                <w:color w:val="auto"/>
              </w:rPr>
            </w:pPr>
          </w:p>
        </w:tc>
      </w:tr>
      <w:tr>
        <w:trPr>
          <w:trHeight w:val="162"/>
        </w:trPr>
        <w:tc>
          <w:tcPr>
            <w:tcW w:w="2780" w:type="dxa"/>
            <w:vAlign w:val="bottom"/>
            <w:tcBorders>
              <w:bottom w:val="single" w:sz="8" w:color="0000EE"/>
            </w:tcBorders>
            <w:gridSpan w:val="7"/>
          </w:tcPr>
          <w:p>
            <w:pPr>
              <w:spacing w:after="0" w:line="162" w:lineRule="exact"/>
              <w:rPr>
                <w:sz w:val="20"/>
                <w:szCs w:val="20"/>
                <w:color w:val="auto"/>
              </w:rPr>
            </w:pPr>
            <w:r>
              <w:rPr>
                <w:rFonts w:ascii="Times New Roman" w:cs="Times New Roman" w:eastAsia="Times New Roman" w:hAnsi="Times New Roman"/>
                <w:sz w:val="15"/>
                <w:szCs w:val="15"/>
                <w:color w:val="0000EE"/>
              </w:rPr>
              <w:t>PROSPECTUS SUPPLEMENT SUMMARY</w:t>
            </w:r>
          </w:p>
        </w:tc>
        <w:tc>
          <w:tcPr>
            <w:tcW w:w="6160" w:type="dxa"/>
            <w:vAlign w:val="bottom"/>
            <w:gridSpan w:val="6"/>
          </w:tcPr>
          <w:p>
            <w:pPr>
              <w:spacing w:after="0"/>
              <w:rPr>
                <w:sz w:val="14"/>
                <w:szCs w:val="14"/>
                <w:color w:val="auto"/>
              </w:rPr>
            </w:pPr>
          </w:p>
        </w:tc>
        <w:tc>
          <w:tcPr>
            <w:tcW w:w="3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S-4</w:t>
            </w:r>
          </w:p>
        </w:tc>
        <w:tc>
          <w:tcPr>
            <w:tcW w:w="0" w:type="dxa"/>
            <w:vAlign w:val="bottom"/>
          </w:tcPr>
          <w:p>
            <w:pPr>
              <w:spacing w:after="0"/>
              <w:rPr>
                <w:sz w:val="1"/>
                <w:szCs w:val="1"/>
                <w:color w:val="auto"/>
              </w:rPr>
            </w:pPr>
          </w:p>
        </w:tc>
      </w:tr>
      <w:tr>
        <w:trPr>
          <w:trHeight w:val="162"/>
        </w:trPr>
        <w:tc>
          <w:tcPr>
            <w:tcW w:w="1060" w:type="dxa"/>
            <w:vAlign w:val="bottom"/>
            <w:tcBorders>
              <w:bottom w:val="single" w:sz="8" w:color="0000EE"/>
            </w:tcBorders>
            <w:gridSpan w:val="2"/>
          </w:tcPr>
          <w:p>
            <w:pPr>
              <w:spacing w:after="0" w:line="162" w:lineRule="exact"/>
              <w:rPr>
                <w:sz w:val="20"/>
                <w:szCs w:val="20"/>
                <w:color w:val="auto"/>
              </w:rPr>
            </w:pPr>
            <w:r>
              <w:rPr>
                <w:rFonts w:ascii="Times New Roman" w:cs="Times New Roman" w:eastAsia="Times New Roman" w:hAnsi="Times New Roman"/>
                <w:sz w:val="15"/>
                <w:szCs w:val="15"/>
                <w:color w:val="0000EE"/>
                <w:w w:val="98"/>
              </w:rPr>
              <w:t>RISK FACTORS</w:t>
            </w:r>
          </w:p>
        </w:tc>
        <w:tc>
          <w:tcPr>
            <w:tcW w:w="7880" w:type="dxa"/>
            <w:vAlign w:val="bottom"/>
            <w:gridSpan w:val="11"/>
          </w:tcPr>
          <w:p>
            <w:pPr>
              <w:spacing w:after="0"/>
              <w:rPr>
                <w:sz w:val="14"/>
                <w:szCs w:val="14"/>
                <w:color w:val="auto"/>
              </w:rPr>
            </w:pPr>
          </w:p>
        </w:tc>
        <w:tc>
          <w:tcPr>
            <w:tcW w:w="3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w w:val="98"/>
              </w:rPr>
              <w:t>S-12</w:t>
            </w:r>
          </w:p>
        </w:tc>
        <w:tc>
          <w:tcPr>
            <w:tcW w:w="0" w:type="dxa"/>
            <w:vAlign w:val="bottom"/>
          </w:tcPr>
          <w:p>
            <w:pPr>
              <w:spacing w:after="0"/>
              <w:rPr>
                <w:sz w:val="1"/>
                <w:szCs w:val="1"/>
                <w:color w:val="auto"/>
              </w:rPr>
            </w:pPr>
          </w:p>
        </w:tc>
      </w:tr>
      <w:tr>
        <w:trPr>
          <w:trHeight w:val="162"/>
        </w:trPr>
        <w:tc>
          <w:tcPr>
            <w:tcW w:w="1340" w:type="dxa"/>
            <w:vAlign w:val="bottom"/>
            <w:tcBorders>
              <w:bottom w:val="single" w:sz="8" w:color="0000EE"/>
            </w:tcBorders>
            <w:gridSpan w:val="5"/>
          </w:tcPr>
          <w:p>
            <w:pPr>
              <w:spacing w:after="0" w:line="162" w:lineRule="exact"/>
              <w:rPr>
                <w:sz w:val="20"/>
                <w:szCs w:val="20"/>
                <w:color w:val="auto"/>
              </w:rPr>
            </w:pPr>
            <w:r>
              <w:rPr>
                <w:rFonts w:ascii="Times New Roman" w:cs="Times New Roman" w:eastAsia="Times New Roman" w:hAnsi="Times New Roman"/>
                <w:sz w:val="15"/>
                <w:szCs w:val="15"/>
                <w:color w:val="0000EE"/>
              </w:rPr>
              <w:t>USE OF PROCEEDS</w:t>
            </w:r>
          </w:p>
        </w:tc>
        <w:tc>
          <w:tcPr>
            <w:tcW w:w="7600" w:type="dxa"/>
            <w:vAlign w:val="bottom"/>
            <w:gridSpan w:val="8"/>
          </w:tcPr>
          <w:p>
            <w:pPr>
              <w:spacing w:after="0"/>
              <w:rPr>
                <w:sz w:val="14"/>
                <w:szCs w:val="14"/>
                <w:color w:val="auto"/>
              </w:rPr>
            </w:pPr>
          </w:p>
        </w:tc>
        <w:tc>
          <w:tcPr>
            <w:tcW w:w="3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w w:val="98"/>
              </w:rPr>
              <w:t>S-14</w:t>
            </w:r>
          </w:p>
        </w:tc>
        <w:tc>
          <w:tcPr>
            <w:tcW w:w="0" w:type="dxa"/>
            <w:vAlign w:val="bottom"/>
          </w:tcPr>
          <w:p>
            <w:pPr>
              <w:spacing w:after="0"/>
              <w:rPr>
                <w:sz w:val="1"/>
                <w:szCs w:val="1"/>
                <w:color w:val="auto"/>
              </w:rPr>
            </w:pPr>
          </w:p>
        </w:tc>
      </w:tr>
      <w:tr>
        <w:trPr>
          <w:trHeight w:val="162"/>
        </w:trPr>
        <w:tc>
          <w:tcPr>
            <w:tcW w:w="8940" w:type="dxa"/>
            <w:vAlign w:val="bottom"/>
            <w:gridSpan w:val="13"/>
          </w:tcPr>
          <w:p>
            <w:pPr>
              <w:spacing w:after="0" w:line="162" w:lineRule="exact"/>
              <w:rPr>
                <w:sz w:val="20"/>
                <w:szCs w:val="20"/>
                <w:color w:val="auto"/>
              </w:rPr>
            </w:pPr>
            <w:r>
              <w:rPr>
                <w:rFonts w:ascii="Times New Roman" w:cs="Times New Roman" w:eastAsia="Times New Roman" w:hAnsi="Times New Roman"/>
                <w:sz w:val="15"/>
                <w:szCs w:val="15"/>
                <w:color w:val="0000EE"/>
              </w:rPr>
              <w:t>DIVIDEND POLICY</w:t>
            </w:r>
          </w:p>
        </w:tc>
        <w:tc>
          <w:tcPr>
            <w:tcW w:w="3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w w:val="98"/>
              </w:rPr>
              <w:t>S-15</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940" w:type="dxa"/>
            <w:vAlign w:val="bottom"/>
            <w:gridSpan w:val="13"/>
          </w:tcPr>
          <w:p>
            <w:pPr>
              <w:spacing w:after="0" w:line="162" w:lineRule="exact"/>
              <w:rPr>
                <w:sz w:val="20"/>
                <w:szCs w:val="20"/>
                <w:color w:val="auto"/>
              </w:rPr>
            </w:pPr>
            <w:r>
              <w:rPr>
                <w:rFonts w:ascii="Times New Roman" w:cs="Times New Roman" w:eastAsia="Times New Roman" w:hAnsi="Times New Roman"/>
                <w:sz w:val="15"/>
                <w:szCs w:val="15"/>
                <w:color w:val="0000EE"/>
              </w:rPr>
              <w:t>MATERIAL U.S. FEDERAL INCOME TAX CONSEQUENCES FOR NON-U.S. HOLDERS OF COMMON STOCK</w:t>
            </w:r>
          </w:p>
        </w:tc>
        <w:tc>
          <w:tcPr>
            <w:tcW w:w="3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w w:val="98"/>
              </w:rPr>
              <w:t>S-16</w:t>
            </w:r>
          </w:p>
        </w:tc>
        <w:tc>
          <w:tcPr>
            <w:tcW w:w="0" w:type="dxa"/>
            <w:vAlign w:val="bottom"/>
          </w:tcPr>
          <w:p>
            <w:pPr>
              <w:spacing w:after="0"/>
              <w:rPr>
                <w:sz w:val="1"/>
                <w:szCs w:val="1"/>
                <w:color w:val="auto"/>
              </w:rPr>
            </w:pPr>
          </w:p>
        </w:tc>
      </w:tr>
      <w:tr>
        <w:trPr>
          <w:trHeight w:val="162"/>
        </w:trPr>
        <w:tc>
          <w:tcPr>
            <w:tcW w:w="7260" w:type="dxa"/>
            <w:vAlign w:val="bottom"/>
            <w:tcBorders>
              <w:top w:val="single" w:sz="8" w:color="0000EE"/>
            </w:tcBorders>
            <w:gridSpan w:val="12"/>
          </w:tcPr>
          <w:p>
            <w:pPr>
              <w:spacing w:after="0" w:line="162" w:lineRule="exact"/>
              <w:rPr>
                <w:sz w:val="20"/>
                <w:szCs w:val="20"/>
                <w:color w:val="auto"/>
              </w:rPr>
            </w:pPr>
            <w:r>
              <w:rPr>
                <w:rFonts w:ascii="Times New Roman" w:cs="Times New Roman" w:eastAsia="Times New Roman" w:hAnsi="Times New Roman"/>
                <w:sz w:val="15"/>
                <w:szCs w:val="15"/>
                <w:color w:val="0000EE"/>
              </w:rPr>
              <w:t>PLAN OF DISTRIBUTION</w:t>
            </w:r>
          </w:p>
        </w:tc>
        <w:tc>
          <w:tcPr>
            <w:tcW w:w="1680" w:type="dxa"/>
            <w:vAlign w:val="bottom"/>
          </w:tcPr>
          <w:p>
            <w:pPr>
              <w:spacing w:after="0"/>
              <w:rPr>
                <w:sz w:val="14"/>
                <w:szCs w:val="14"/>
                <w:color w:val="auto"/>
              </w:rPr>
            </w:pPr>
          </w:p>
        </w:tc>
        <w:tc>
          <w:tcPr>
            <w:tcW w:w="3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w w:val="98"/>
              </w:rPr>
              <w:t>S-20</w:t>
            </w:r>
          </w:p>
        </w:tc>
        <w:tc>
          <w:tcPr>
            <w:tcW w:w="0" w:type="dxa"/>
            <w:vAlign w:val="bottom"/>
          </w:tcPr>
          <w:p>
            <w:pPr>
              <w:spacing w:after="0"/>
              <w:rPr>
                <w:sz w:val="1"/>
                <w:szCs w:val="1"/>
                <w:color w:val="auto"/>
              </w:rPr>
            </w:pPr>
          </w:p>
        </w:tc>
      </w:tr>
      <w:tr>
        <w:trPr>
          <w:trHeight w:val="162"/>
        </w:trPr>
        <w:tc>
          <w:tcPr>
            <w:tcW w:w="1720" w:type="dxa"/>
            <w:vAlign w:val="bottom"/>
            <w:tcBorders>
              <w:top w:val="single" w:sz="8" w:color="0000EE"/>
            </w:tcBorders>
            <w:gridSpan w:val="6"/>
          </w:tcPr>
          <w:p>
            <w:pPr>
              <w:spacing w:after="0" w:line="162" w:lineRule="exact"/>
              <w:rPr>
                <w:sz w:val="20"/>
                <w:szCs w:val="20"/>
                <w:color w:val="auto"/>
              </w:rPr>
            </w:pPr>
            <w:r>
              <w:rPr>
                <w:rFonts w:ascii="Times New Roman" w:cs="Times New Roman" w:eastAsia="Times New Roman" w:hAnsi="Times New Roman"/>
                <w:sz w:val="15"/>
                <w:szCs w:val="15"/>
                <w:color w:val="0000EE"/>
              </w:rPr>
              <w:t>LEGAL MATTERS</w:t>
            </w:r>
          </w:p>
        </w:tc>
        <w:tc>
          <w:tcPr>
            <w:tcW w:w="7220" w:type="dxa"/>
            <w:vAlign w:val="bottom"/>
            <w:gridSpan w:val="7"/>
          </w:tcPr>
          <w:p>
            <w:pPr>
              <w:spacing w:after="0"/>
              <w:rPr>
                <w:sz w:val="14"/>
                <w:szCs w:val="14"/>
                <w:color w:val="auto"/>
              </w:rPr>
            </w:pPr>
          </w:p>
        </w:tc>
        <w:tc>
          <w:tcPr>
            <w:tcW w:w="3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w w:val="98"/>
              </w:rPr>
              <w:t>S-22</w:t>
            </w:r>
          </w:p>
        </w:tc>
        <w:tc>
          <w:tcPr>
            <w:tcW w:w="0" w:type="dxa"/>
            <w:vAlign w:val="bottom"/>
          </w:tcPr>
          <w:p>
            <w:pPr>
              <w:spacing w:after="0"/>
              <w:rPr>
                <w:sz w:val="1"/>
                <w:szCs w:val="1"/>
                <w:color w:val="auto"/>
              </w:rPr>
            </w:pPr>
          </w:p>
        </w:tc>
      </w:tr>
      <w:tr>
        <w:trPr>
          <w:trHeight w:val="162"/>
        </w:trPr>
        <w:tc>
          <w:tcPr>
            <w:tcW w:w="1220" w:type="dxa"/>
            <w:vAlign w:val="bottom"/>
            <w:tcBorders>
              <w:top w:val="single" w:sz="8" w:color="0000EE"/>
            </w:tcBorders>
            <w:gridSpan w:val="3"/>
          </w:tcPr>
          <w:p>
            <w:pPr>
              <w:spacing w:after="0" w:line="162" w:lineRule="exact"/>
              <w:rPr>
                <w:sz w:val="20"/>
                <w:szCs w:val="20"/>
                <w:color w:val="auto"/>
              </w:rPr>
            </w:pPr>
            <w:r>
              <w:rPr>
                <w:rFonts w:ascii="Times New Roman" w:cs="Times New Roman" w:eastAsia="Times New Roman" w:hAnsi="Times New Roman"/>
                <w:sz w:val="15"/>
                <w:szCs w:val="15"/>
                <w:color w:val="0000EE"/>
              </w:rPr>
              <w:t>EXPERTS</w:t>
            </w:r>
          </w:p>
        </w:tc>
        <w:tc>
          <w:tcPr>
            <w:tcW w:w="7720" w:type="dxa"/>
            <w:vAlign w:val="bottom"/>
            <w:gridSpan w:val="10"/>
          </w:tcPr>
          <w:p>
            <w:pPr>
              <w:spacing w:after="0"/>
              <w:rPr>
                <w:sz w:val="14"/>
                <w:szCs w:val="14"/>
                <w:color w:val="auto"/>
              </w:rPr>
            </w:pPr>
          </w:p>
        </w:tc>
        <w:tc>
          <w:tcPr>
            <w:tcW w:w="3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w w:val="98"/>
              </w:rPr>
              <w:t>S-22</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220" w:type="dxa"/>
            <w:vAlign w:val="bottom"/>
            <w:tcBorders>
              <w:bottom w:val="single" w:sz="8" w:color="0000EE"/>
            </w:tcBorders>
            <w:gridSpan w:val="9"/>
          </w:tcPr>
          <w:p>
            <w:pPr>
              <w:spacing w:after="0" w:line="162" w:lineRule="exact"/>
              <w:rPr>
                <w:sz w:val="20"/>
                <w:szCs w:val="20"/>
                <w:color w:val="auto"/>
              </w:rPr>
            </w:pPr>
            <w:r>
              <w:rPr>
                <w:rFonts w:ascii="Times New Roman" w:cs="Times New Roman" w:eastAsia="Times New Roman" w:hAnsi="Times New Roman"/>
                <w:sz w:val="15"/>
                <w:szCs w:val="15"/>
                <w:color w:val="0000EE"/>
              </w:rPr>
              <w:t>WHERE YOU CAN FIND MORE INFORMATION</w:t>
            </w:r>
          </w:p>
        </w:tc>
        <w:tc>
          <w:tcPr>
            <w:tcW w:w="5720" w:type="dxa"/>
            <w:vAlign w:val="bottom"/>
            <w:gridSpan w:val="4"/>
          </w:tcPr>
          <w:p>
            <w:pPr>
              <w:spacing w:after="0"/>
              <w:rPr>
                <w:sz w:val="14"/>
                <w:szCs w:val="14"/>
                <w:color w:val="auto"/>
              </w:rPr>
            </w:pPr>
          </w:p>
        </w:tc>
        <w:tc>
          <w:tcPr>
            <w:tcW w:w="3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w w:val="98"/>
              </w:rPr>
              <w:t>S-22</w:t>
            </w:r>
          </w:p>
        </w:tc>
        <w:tc>
          <w:tcPr>
            <w:tcW w:w="0" w:type="dxa"/>
            <w:vAlign w:val="bottom"/>
          </w:tcPr>
          <w:p>
            <w:pPr>
              <w:spacing w:after="0"/>
              <w:rPr>
                <w:sz w:val="1"/>
                <w:szCs w:val="1"/>
                <w:color w:val="auto"/>
              </w:rPr>
            </w:pPr>
          </w:p>
        </w:tc>
      </w:tr>
      <w:tr>
        <w:trPr>
          <w:trHeight w:val="162"/>
        </w:trPr>
        <w:tc>
          <w:tcPr>
            <w:tcW w:w="8940" w:type="dxa"/>
            <w:vAlign w:val="bottom"/>
            <w:gridSpan w:val="13"/>
          </w:tcPr>
          <w:p>
            <w:pPr>
              <w:spacing w:after="0" w:line="162" w:lineRule="exact"/>
              <w:rPr>
                <w:sz w:val="20"/>
                <w:szCs w:val="20"/>
                <w:color w:val="auto"/>
              </w:rPr>
            </w:pPr>
            <w:r>
              <w:rPr>
                <w:rFonts w:ascii="Times New Roman" w:cs="Times New Roman" w:eastAsia="Times New Roman" w:hAnsi="Times New Roman"/>
                <w:sz w:val="15"/>
                <w:szCs w:val="15"/>
                <w:color w:val="0000EE"/>
              </w:rPr>
              <w:t>INCORPORATION OF CERTAIN INFORMATION BY REFERENCE</w:t>
            </w:r>
          </w:p>
        </w:tc>
        <w:tc>
          <w:tcPr>
            <w:tcW w:w="3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w w:val="98"/>
              </w:rPr>
              <w:t>S-23</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20"/>
          </w:cols>
          <w:pgMar w:left="320" w:top="405" w:right="1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5"/>
          <w:szCs w:val="15"/>
          <w:b w:val="1"/>
          <w:bCs w:val="1"/>
          <w:color w:val="auto"/>
        </w:rPr>
        <w:t>ABOUT THIS PROSPECTUS SUPPLEMENT</w:t>
      </w:r>
    </w:p>
    <w:p>
      <w:pPr>
        <w:spacing w:after="0" w:line="196" w:lineRule="exact"/>
        <w:rPr>
          <w:sz w:val="20"/>
          <w:szCs w:val="20"/>
          <w:color w:val="auto"/>
        </w:rPr>
      </w:pPr>
    </w:p>
    <w:p>
      <w:pPr>
        <w:ind w:left="980" w:right="180" w:firstLine="371"/>
        <w:spacing w:after="0" w:line="264" w:lineRule="auto"/>
        <w:rPr>
          <w:sz w:val="20"/>
          <w:szCs w:val="20"/>
          <w:color w:val="auto"/>
        </w:rPr>
      </w:pPr>
      <w:r>
        <w:rPr>
          <w:rFonts w:ascii="Times New Roman" w:cs="Times New Roman" w:eastAsia="Times New Roman" w:hAnsi="Times New Roman"/>
          <w:sz w:val="15"/>
          <w:szCs w:val="15"/>
          <w:color w:val="auto"/>
        </w:rPr>
        <w:t>This prospectus supplement and the accompanying prospectus are part of a registration statement on Form S-3 that we filed with the Securities and Exchange Commission (the SEC) utilizing a “shelf” registration process. Under this shelf registration process, we may from time to time offer shares of our common stock having an aggregate offering price of up to $69,820,000 under this prospectus supplement at prices and on terms to be determined by market conditions at the time of each such offering.</w:t>
      </w:r>
    </w:p>
    <w:p>
      <w:pPr>
        <w:spacing w:after="0" w:line="151" w:lineRule="exact"/>
        <w:rPr>
          <w:sz w:val="20"/>
          <w:szCs w:val="20"/>
          <w:color w:val="auto"/>
        </w:rPr>
      </w:pPr>
    </w:p>
    <w:p>
      <w:pPr>
        <w:ind w:left="980" w:right="80" w:firstLine="371"/>
        <w:spacing w:after="0" w:line="261" w:lineRule="auto"/>
        <w:rPr>
          <w:sz w:val="20"/>
          <w:szCs w:val="20"/>
          <w:color w:val="auto"/>
        </w:rPr>
      </w:pPr>
      <w:r>
        <w:rPr>
          <w:rFonts w:ascii="Times New Roman" w:cs="Times New Roman" w:eastAsia="Times New Roman" w:hAnsi="Times New Roman"/>
          <w:sz w:val="15"/>
          <w:szCs w:val="15"/>
          <w:color w:val="auto"/>
        </w:rPr>
        <w:t>We are providing information to you about this offering of our common stock in two parts. The first part is this prospectus supplement, which provides you with specific information regarding the terms of this offering and our common stock, and also adds to and updates information contained in the accompanying prospectus and the documents incorporated by reference in this prospectus supplement and the accompanying prospectus. The second part is the accompanying prospectus, which provides more general information, some of which does not apply to this offering of our common stock.</w:t>
      </w:r>
    </w:p>
    <w:p>
      <w:pPr>
        <w:spacing w:after="0" w:line="155" w:lineRule="exact"/>
        <w:rPr>
          <w:sz w:val="20"/>
          <w:szCs w:val="20"/>
          <w:color w:val="auto"/>
        </w:rPr>
      </w:pPr>
    </w:p>
    <w:p>
      <w:pPr>
        <w:ind w:left="980" w:right="60" w:firstLine="371"/>
        <w:spacing w:after="0" w:line="264" w:lineRule="auto"/>
        <w:rPr>
          <w:sz w:val="20"/>
          <w:szCs w:val="20"/>
          <w:color w:val="auto"/>
        </w:rPr>
      </w:pPr>
      <w:r>
        <w:rPr>
          <w:rFonts w:ascii="Times New Roman" w:cs="Times New Roman" w:eastAsia="Times New Roman" w:hAnsi="Times New Roman"/>
          <w:sz w:val="15"/>
          <w:szCs w:val="15"/>
          <w:color w:val="auto"/>
        </w:rPr>
        <w:t>Before buying any of the common stock that we are offering, we urge you to carefully read this prospectus supplement and all of the information incorporated by reference herein, as well as the additional information described under the headings “Where You Can Find More Information” and “Incorporation of Certain Information by Reference.” These documents contain important information that you should consider when making your investment decision.</w:t>
      </w:r>
    </w:p>
    <w:p>
      <w:pPr>
        <w:spacing w:after="0" w:line="151" w:lineRule="exact"/>
        <w:rPr>
          <w:sz w:val="20"/>
          <w:szCs w:val="20"/>
          <w:color w:val="auto"/>
        </w:rPr>
      </w:pPr>
    </w:p>
    <w:p>
      <w:pPr>
        <w:ind w:left="980" w:firstLine="371"/>
        <w:spacing w:after="0" w:line="261" w:lineRule="auto"/>
        <w:rPr>
          <w:sz w:val="20"/>
          <w:szCs w:val="20"/>
          <w:color w:val="auto"/>
        </w:rPr>
      </w:pPr>
      <w:r>
        <w:rPr>
          <w:rFonts w:ascii="Times New Roman" w:cs="Times New Roman" w:eastAsia="Times New Roman" w:hAnsi="Times New Roman"/>
          <w:sz w:val="15"/>
          <w:szCs w:val="15"/>
          <w:color w:val="auto"/>
        </w:rPr>
        <w:t>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55" w:lineRule="exact"/>
        <w:rPr>
          <w:sz w:val="20"/>
          <w:szCs w:val="20"/>
          <w:color w:val="auto"/>
        </w:rPr>
      </w:pPr>
    </w:p>
    <w:p>
      <w:pPr>
        <w:ind w:left="980" w:right="60" w:firstLine="371"/>
        <w:spacing w:after="0" w:line="261" w:lineRule="auto"/>
        <w:rPr>
          <w:sz w:val="20"/>
          <w:szCs w:val="20"/>
          <w:color w:val="auto"/>
        </w:rPr>
      </w:pPr>
      <w:r>
        <w:rPr>
          <w:rFonts w:ascii="Times New Roman" w:cs="Times New Roman" w:eastAsia="Times New Roman" w:hAnsi="Times New Roman"/>
          <w:sz w:val="15"/>
          <w:szCs w:val="15"/>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55" w:lineRule="exact"/>
        <w:rPr>
          <w:sz w:val="20"/>
          <w:szCs w:val="20"/>
          <w:color w:val="auto"/>
        </w:rPr>
      </w:pPr>
    </w:p>
    <w:p>
      <w:pPr>
        <w:ind w:left="980" w:firstLine="371"/>
        <w:spacing w:after="0" w:line="260" w:lineRule="auto"/>
        <w:rPr>
          <w:sz w:val="20"/>
          <w:szCs w:val="20"/>
          <w:color w:val="auto"/>
        </w:rPr>
      </w:pPr>
      <w:r>
        <w:rPr>
          <w:rFonts w:ascii="Times New Roman" w:cs="Times New Roman" w:eastAsia="Times New Roman" w:hAnsi="Times New Roman"/>
          <w:sz w:val="15"/>
          <w:szCs w:val="15"/>
          <w:color w:val="auto"/>
        </w:rPr>
        <w:t>We have not, and Leerink Partners has not, authorized anyone to provide you with any information other than that contained or incorporated by reference in this prospectus supplement and in the accompanying prospectus or in any related free writing prospectus that we authorize for use in connection with this offering and to which we have referred you. We take no responsibility for, and can provide no assurance as to the reliability of, any other information that others may give you. You should assume that the information appearing in this prospectus supplement, the documents incorporated by reference and the accompanying prospectus or free writing prospectus is accurate only as of their respective dates. Our business, financial condition, results of operations and prospects may have changed materially since those dates.</w:t>
      </w:r>
    </w:p>
    <w:p>
      <w:pPr>
        <w:spacing w:after="0" w:line="153" w:lineRule="exact"/>
        <w:rPr>
          <w:sz w:val="20"/>
          <w:szCs w:val="20"/>
          <w:color w:val="auto"/>
        </w:rPr>
      </w:pPr>
    </w:p>
    <w:p>
      <w:pPr>
        <w:ind w:left="980" w:right="80" w:firstLine="371"/>
        <w:spacing w:after="0" w:line="270" w:lineRule="auto"/>
        <w:rPr>
          <w:sz w:val="20"/>
          <w:szCs w:val="20"/>
          <w:color w:val="auto"/>
        </w:rPr>
      </w:pPr>
      <w:r>
        <w:rPr>
          <w:rFonts w:ascii="Times New Roman" w:cs="Times New Roman" w:eastAsia="Times New Roman" w:hAnsi="Times New Roman"/>
          <w:sz w:val="15"/>
          <w:szCs w:val="15"/>
          <w:color w:val="auto"/>
        </w:rPr>
        <w:t>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w:t>
      </w:r>
    </w:p>
    <w:p>
      <w:pPr>
        <w:spacing w:after="0" w:line="146" w:lineRule="exact"/>
        <w:rPr>
          <w:sz w:val="20"/>
          <w:szCs w:val="20"/>
          <w:color w:val="auto"/>
        </w:rPr>
      </w:pPr>
    </w:p>
    <w:p>
      <w:pPr>
        <w:ind w:left="980" w:right="80" w:firstLine="371"/>
        <w:spacing w:after="0" w:line="270" w:lineRule="auto"/>
        <w:rPr>
          <w:sz w:val="20"/>
          <w:szCs w:val="20"/>
          <w:color w:val="auto"/>
        </w:rPr>
      </w:pPr>
      <w:r>
        <w:rPr>
          <w:rFonts w:ascii="Times New Roman" w:cs="Times New Roman" w:eastAsia="Times New Roman" w:hAnsi="Times New Roman"/>
          <w:sz w:val="15"/>
          <w:szCs w:val="15"/>
          <w:color w:val="auto"/>
        </w:rPr>
        <w:t>Unless the context otherwise indicates, references in this prospectus supplement, the accompanying prospectus and the information incorporated by reference herein and therein to “Tenaya Therapeutics, Inc.,” “Tenaya.,” “we,” “our” and “us” refer, collectively, to Tenaya Therapeutics, Inc., a Delaware corporation.</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S-1</w:t>
      </w:r>
    </w:p>
    <w:p>
      <w:pPr>
        <w:sectPr>
          <w:pgSz w:w="11900" w:h="16838" w:orient="portrait"/>
          <w:cols w:equalWidth="0" w:num="1">
            <w:col w:w="10200"/>
          </w:cols>
          <w:pgMar w:left="320" w:top="405" w:right="1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b w:val="1"/>
          <w:bCs w:val="1"/>
          <w:color w:val="auto"/>
        </w:rPr>
        <w:t>SPECIAL NOTE REGARDING FORWARD-LOOKING STATEMENTS</w:t>
      </w:r>
    </w:p>
    <w:p>
      <w:pPr>
        <w:spacing w:after="0" w:line="196" w:lineRule="exact"/>
        <w:rPr>
          <w:sz w:val="20"/>
          <w:szCs w:val="20"/>
          <w:color w:val="auto"/>
        </w:rPr>
      </w:pPr>
    </w:p>
    <w:p>
      <w:pPr>
        <w:ind w:left="980" w:firstLine="371"/>
        <w:spacing w:after="0" w:line="257" w:lineRule="auto"/>
        <w:rPr>
          <w:sz w:val="20"/>
          <w:szCs w:val="20"/>
          <w:color w:val="auto"/>
        </w:rPr>
      </w:pPr>
      <w:r>
        <w:rPr>
          <w:rFonts w:ascii="Times New Roman" w:cs="Times New Roman" w:eastAsia="Times New Roman" w:hAnsi="Times New Roman"/>
          <w:sz w:val="15"/>
          <w:szCs w:val="15"/>
          <w:color w:val="auto"/>
        </w:rPr>
        <w:t>This prospectus supplement, the accompanying prospectus, and the documents incorporated by reference herein and therein, contain forward-looking statements within the meaning of Section 27A of the Securities Act, and Section 21E of the Exchange Act. All statements other than statements of historical facts contained in this prospectus supplement, the accompanying prospectus, and the documents incorporated by reference herein and therein, including statements regarding our future results of operations and financial position, business strategy, development plans, planned preclinical studies and clinical trials, future results of preclinical studies and clinical trials, expected research and development costs, regulatory strategy, timing and likelihood of success, as well as plans and objectives of management for future operations, are forward-looking statements. The words “may,” “will,” “should,” “would,” “expect,” “plan,” “anticipate,” “could,” “intend,” “target,” “project,” “contemplate,” “believe,” “estimate,” “predict,” “potential” or “continue” or the negative of these terms and similar expressions and variations thereof are intended to identify forward-looking statements, but are not the exclusive means of identifying such statements. These forward-looking statements include, but are not limited to, statements about:</w:t>
      </w:r>
    </w:p>
    <w:p>
      <w:pPr>
        <w:spacing w:after="0" w:line="79" w:lineRule="exact"/>
        <w:rPr>
          <w:sz w:val="20"/>
          <w:szCs w:val="20"/>
          <w:color w:val="auto"/>
        </w:rPr>
      </w:pPr>
    </w:p>
    <w:p>
      <w:pPr>
        <w:ind w:left="1800" w:right="460" w:hanging="364"/>
        <w:spacing w:after="0" w:line="287" w:lineRule="auto"/>
        <w:tabs>
          <w:tab w:leader="none" w:pos="18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our ongoing preclinical studies and ongoing or planned clinical trials to demonstrate safety and efficacy of our product candidates, and other positive results;</w:t>
      </w:r>
    </w:p>
    <w:p>
      <w:pPr>
        <w:spacing w:after="0" w:line="54" w:lineRule="exact"/>
        <w:rPr>
          <w:rFonts w:ascii="Times New Roman" w:cs="Times New Roman" w:eastAsia="Times New Roman" w:hAnsi="Times New Roman"/>
          <w:sz w:val="15"/>
          <w:szCs w:val="15"/>
          <w:color w:val="auto"/>
        </w:rPr>
      </w:pPr>
    </w:p>
    <w:p>
      <w:pPr>
        <w:ind w:left="1800" w:right="260" w:hanging="364"/>
        <w:spacing w:after="0" w:line="287" w:lineRule="auto"/>
        <w:tabs>
          <w:tab w:leader="none" w:pos="18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progress and results of preclinical studies and ongoing or planned clinical trials for our current product candidates and other product candidates we may develop;</w:t>
      </w:r>
    </w:p>
    <w:p>
      <w:pPr>
        <w:spacing w:after="0" w:line="54" w:lineRule="exact"/>
        <w:rPr>
          <w:rFonts w:ascii="Times New Roman" w:cs="Times New Roman" w:eastAsia="Times New Roman" w:hAnsi="Times New Roman"/>
          <w:sz w:val="15"/>
          <w:szCs w:val="15"/>
          <w:color w:val="auto"/>
        </w:rPr>
      </w:pPr>
    </w:p>
    <w:p>
      <w:pPr>
        <w:ind w:left="1800" w:right="40" w:hanging="364"/>
        <w:spacing w:after="0" w:line="270" w:lineRule="auto"/>
        <w:tabs>
          <w:tab w:leader="none" w:pos="18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scope and likelihood of regulatory filings and approvals, including timing of investigational new drugs, clinical trial applications, Food and Drug Administration approvals and final regulatory approval of our current product candidates and any other future product candidates;</w:t>
      </w:r>
    </w:p>
    <w:p>
      <w:pPr>
        <w:spacing w:after="0" w:line="66"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develop and advance our product candidates and programs into, and successfully complete, clinical trials;</w:t>
      </w:r>
    </w:p>
    <w:p>
      <w:pPr>
        <w:spacing w:after="0" w:line="112" w:lineRule="exact"/>
        <w:rPr>
          <w:rFonts w:ascii="Times New Roman" w:cs="Times New Roman" w:eastAsia="Times New Roman" w:hAnsi="Times New Roman"/>
          <w:sz w:val="15"/>
          <w:szCs w:val="15"/>
          <w:color w:val="auto"/>
        </w:rPr>
      </w:pPr>
    </w:p>
    <w:p>
      <w:pPr>
        <w:ind w:left="1800" w:right="480" w:hanging="364"/>
        <w:spacing w:after="0" w:line="287" w:lineRule="auto"/>
        <w:tabs>
          <w:tab w:leader="none" w:pos="18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size of the market opportunity for our product candidates, including our estimates of the number of patients who suffer from the diseases we are targeting;</w:t>
      </w:r>
    </w:p>
    <w:p>
      <w:pPr>
        <w:spacing w:after="0" w:line="54"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manufacturing, commercialization and marketing capabilities and strategy;</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relating to commercializing our product candidates, if approved;</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need to hire additional personnel and our ability to attract and retain such personnel;</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competitive position and the success of competing therapies that are or may become available;</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relating to the further development of our product candidates, including additional indications and targets we may pursue;</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existing laws and regulations and regulatory developments in the United States, Europe and other jurisdictions;</w:t>
      </w:r>
    </w:p>
    <w:p>
      <w:pPr>
        <w:spacing w:after="0" w:line="112" w:lineRule="exact"/>
        <w:rPr>
          <w:rFonts w:ascii="Times New Roman" w:cs="Times New Roman" w:eastAsia="Times New Roman" w:hAnsi="Times New Roman"/>
          <w:sz w:val="15"/>
          <w:szCs w:val="15"/>
          <w:color w:val="auto"/>
        </w:rPr>
      </w:pPr>
    </w:p>
    <w:p>
      <w:pPr>
        <w:ind w:left="1800" w:hanging="364"/>
        <w:spacing w:after="0" w:line="264" w:lineRule="auto"/>
        <w:tabs>
          <w:tab w:leader="none" w:pos="18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intellectual property position, including the scope of protection we are able to establish and maintain for intellectual property rights covering our current product candidates,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71" w:lineRule="exact"/>
        <w:rPr>
          <w:rFonts w:ascii="Times New Roman" w:cs="Times New Roman" w:eastAsia="Times New Roman" w:hAnsi="Times New Roman"/>
          <w:sz w:val="15"/>
          <w:szCs w:val="15"/>
          <w:color w:val="auto"/>
        </w:rPr>
      </w:pPr>
    </w:p>
    <w:p>
      <w:pPr>
        <w:ind w:left="1800" w:right="160" w:hanging="364"/>
        <w:spacing w:after="0" w:line="287" w:lineRule="auto"/>
        <w:tabs>
          <w:tab w:leader="none" w:pos="18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continued reliance on third parties to conduct preclinical studies and clinical trials of our product candidates and for the development and manufacture of our product candidates for preclinical studies and clinical trials;</w:t>
      </w:r>
    </w:p>
    <w:p>
      <w:pPr>
        <w:spacing w:after="0" w:line="54" w:lineRule="exact"/>
        <w:rPr>
          <w:rFonts w:ascii="Times New Roman" w:cs="Times New Roman" w:eastAsia="Times New Roman" w:hAnsi="Times New Roman"/>
          <w:sz w:val="15"/>
          <w:szCs w:val="15"/>
          <w:color w:val="auto"/>
        </w:rPr>
      </w:pPr>
    </w:p>
    <w:p>
      <w:pPr>
        <w:ind w:left="1800" w:right="380" w:hanging="364"/>
        <w:spacing w:after="0" w:line="270" w:lineRule="auto"/>
        <w:tabs>
          <w:tab w:leader="none" w:pos="18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and negotiate favorable terms of, any collaboration, partnership, licensing or other arrangements that may be necessary or desirable to develop, manufacture or commercialize our product candidates, as well as our ability to realize the potential benefits of any such agreements;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S-2</w:t>
      </w:r>
    </w:p>
    <w:p>
      <w:pPr>
        <w:sectPr>
          <w:pgSz w:w="11900" w:h="16838" w:orient="portrait"/>
          <w:cols w:equalWidth="0" w:num="1">
            <w:col w:w="10260"/>
          </w:cols>
          <w:pgMar w:left="320" w:top="405" w:right="1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5" w:lineRule="exact"/>
        <w:rPr>
          <w:sz w:val="20"/>
          <w:szCs w:val="20"/>
          <w:color w:val="auto"/>
        </w:rPr>
      </w:pPr>
    </w:p>
    <w:p>
      <w:pPr>
        <w:ind w:left="1800" w:right="200" w:hanging="364"/>
        <w:spacing w:after="0" w:line="287" w:lineRule="auto"/>
        <w:tabs>
          <w:tab w:leader="none" w:pos="18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pricing and reimbursement of our product candidates, if approved, including any increase in demand as a result of the availability of reimbursement from the government and third-party payors;</w:t>
      </w:r>
    </w:p>
    <w:p>
      <w:pPr>
        <w:spacing w:after="0" w:line="54" w:lineRule="exact"/>
        <w:rPr>
          <w:rFonts w:ascii="Times New Roman" w:cs="Times New Roman" w:eastAsia="Times New Roman" w:hAnsi="Times New Roman"/>
          <w:sz w:val="15"/>
          <w:szCs w:val="15"/>
          <w:color w:val="auto"/>
        </w:rPr>
      </w:pPr>
    </w:p>
    <w:p>
      <w:pPr>
        <w:ind w:left="1800" w:right="480" w:hanging="364"/>
        <w:spacing w:after="0" w:line="287" w:lineRule="auto"/>
        <w:tabs>
          <w:tab w:leader="none" w:pos="18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and degree of market acceptance and clinical utility of our current product candidates and other product candidates we may develop;</w:t>
      </w:r>
    </w:p>
    <w:p>
      <w:pPr>
        <w:spacing w:after="0" w:line="54"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estimates regarding expenses, operating losses, future revenue, capital requirements and needs for additional financing;</w:t>
      </w:r>
    </w:p>
    <w:p>
      <w:pPr>
        <w:spacing w:after="0" w:line="112" w:lineRule="exact"/>
        <w:rPr>
          <w:rFonts w:ascii="Times New Roman" w:cs="Times New Roman" w:eastAsia="Times New Roman" w:hAnsi="Times New Roman"/>
          <w:sz w:val="15"/>
          <w:szCs w:val="15"/>
          <w:color w:val="auto"/>
        </w:rPr>
      </w:pPr>
    </w:p>
    <w:p>
      <w:pPr>
        <w:ind w:left="2180" w:hanging="277"/>
        <w:spacing w:after="0"/>
        <w:tabs>
          <w:tab w:leader="none" w:pos="218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financial performance;</w:t>
      </w:r>
    </w:p>
    <w:p>
      <w:pPr>
        <w:spacing w:after="0" w:line="112" w:lineRule="exact"/>
        <w:rPr>
          <w:rFonts w:ascii="Times New Roman" w:cs="Times New Roman" w:eastAsia="Times New Roman" w:hAnsi="Times New Roman"/>
          <w:sz w:val="15"/>
          <w:szCs w:val="15"/>
          <w:color w:val="auto"/>
        </w:rPr>
      </w:pPr>
    </w:p>
    <w:p>
      <w:pPr>
        <w:ind w:left="2180" w:hanging="277"/>
        <w:spacing w:after="0"/>
        <w:tabs>
          <w:tab w:leader="none" w:pos="218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facilities;</w:t>
      </w:r>
    </w:p>
    <w:p>
      <w:pPr>
        <w:spacing w:after="0" w:line="112" w:lineRule="exact"/>
        <w:rPr>
          <w:rFonts w:ascii="Times New Roman" w:cs="Times New Roman" w:eastAsia="Times New Roman" w:hAnsi="Times New Roman"/>
          <w:sz w:val="15"/>
          <w:szCs w:val="15"/>
          <w:color w:val="auto"/>
        </w:rPr>
      </w:pPr>
    </w:p>
    <w:p>
      <w:pPr>
        <w:ind w:left="1800" w:right="180" w:hanging="364"/>
        <w:spacing w:after="0" w:line="287" w:lineRule="auto"/>
        <w:tabs>
          <w:tab w:leader="none" w:pos="18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period over which we estimate our existing cash, cash equivalents and investments in marketable securities will be sufficient to fund our future operating expenses and capital expenditure requirements;</w:t>
      </w:r>
    </w:p>
    <w:p>
      <w:pPr>
        <w:spacing w:after="0" w:line="54"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critical accounting policies on investor’s ability to understand our financial performance;</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period during which we will remain an emerging growth company; and</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related to the use of proceeds from this offering.</w:t>
      </w:r>
    </w:p>
    <w:p>
      <w:pPr>
        <w:spacing w:after="0" w:line="192" w:lineRule="exact"/>
        <w:rPr>
          <w:sz w:val="20"/>
          <w:szCs w:val="20"/>
          <w:color w:val="auto"/>
        </w:rPr>
      </w:pPr>
    </w:p>
    <w:p>
      <w:pPr>
        <w:ind w:left="980" w:right="60" w:firstLine="371"/>
        <w:spacing w:after="0" w:line="257" w:lineRule="auto"/>
        <w:rPr>
          <w:sz w:val="20"/>
          <w:szCs w:val="20"/>
          <w:color w:val="auto"/>
        </w:rPr>
      </w:pPr>
      <w:r>
        <w:rPr>
          <w:rFonts w:ascii="Times New Roman" w:cs="Times New Roman" w:eastAsia="Times New Roman" w:hAnsi="Times New Roman"/>
          <w:sz w:val="15"/>
          <w:szCs w:val="15"/>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supplement and are subject to a number of risks, uncertainties and assumptions described in the section titled “Risk Factors” and elsewhere in this prospectus supplement, the accompanying prospectus, and the documents incorporated by reference herein and therein.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supplement, whether as a result of any new information, future events or otherwise.</w:t>
      </w:r>
    </w:p>
    <w:p>
      <w:pPr>
        <w:spacing w:after="0" w:line="156" w:lineRule="exact"/>
        <w:rPr>
          <w:sz w:val="20"/>
          <w:szCs w:val="20"/>
          <w:color w:val="auto"/>
        </w:rPr>
      </w:pPr>
    </w:p>
    <w:p>
      <w:pPr>
        <w:ind w:left="980" w:firstLine="371"/>
        <w:spacing w:after="0" w:line="261" w:lineRule="auto"/>
        <w:rPr>
          <w:sz w:val="20"/>
          <w:szCs w:val="20"/>
          <w:color w:val="auto"/>
        </w:rPr>
      </w:pPr>
      <w:r>
        <w:rPr>
          <w:rFonts w:ascii="Times New Roman" w:cs="Times New Roman" w:eastAsia="Times New Roman" w:hAnsi="Times New Roman"/>
          <w:sz w:val="15"/>
          <w:szCs w:val="15"/>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5" w:lineRule="exact"/>
        <w:rPr>
          <w:sz w:val="20"/>
          <w:szCs w:val="20"/>
          <w:color w:val="auto"/>
        </w:rPr>
      </w:pPr>
    </w:p>
    <w:p>
      <w:pPr>
        <w:ind w:left="980" w:right="20" w:firstLine="371"/>
        <w:spacing w:after="0" w:line="258" w:lineRule="auto"/>
        <w:rPr>
          <w:sz w:val="20"/>
          <w:szCs w:val="20"/>
          <w:color w:val="auto"/>
        </w:rPr>
      </w:pPr>
      <w:r>
        <w:rPr>
          <w:rFonts w:ascii="Times New Roman" w:cs="Times New Roman" w:eastAsia="Times New Roman" w:hAnsi="Times New Roman"/>
          <w:sz w:val="15"/>
          <w:szCs w:val="15"/>
          <w:color w:val="auto"/>
        </w:rPr>
        <w:t>This prospectus supplement, the accompanying prospectus and the documents incorporated herein and therein by reference, and any free writing prospectus that we may have authorized for use in connection with this offering, contain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supplement from our internal estimates and research and from academic and industry research, publications, surveys and studies conducted by third parties, including governmental agencies. In some cases, we do not expressly refer to the sources from which this data is derived. Information that is based on estimates, forecasts, projections, market research or similar methodologies is inherently subject to uncertainties and actual events or circumstances may differ materially from events and circumstances that are assumed in this information. You are cautioned not to give undue weight to any such information, projections and estimates.</w:t>
      </w:r>
    </w:p>
    <w:p>
      <w:pPr>
        <w:spacing w:after="0" w:line="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S-3</w:t>
      </w:r>
    </w:p>
    <w:p>
      <w:pPr>
        <w:sectPr>
          <w:pgSz w:w="11900" w:h="16838" w:orient="portrait"/>
          <w:cols w:equalWidth="0" w:num="1">
            <w:col w:w="10240"/>
          </w:cols>
          <w:pgMar w:left="320" w:top="405" w:right="1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181610</wp:posOffset>
            </wp:positionV>
            <wp:extent cx="5901690" cy="50565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5901690" cy="5056505"/>
                    </a:xfrm>
                    <a:prstGeom prst="rect">
                      <a:avLst/>
                    </a:prstGeom>
                    <a:noFill/>
                  </pic:spPr>
                </pic:pic>
              </a:graphicData>
            </a:graphic>
          </wp:anchor>
        </w:drawing>
      </w:r>
    </w:p>
    <w:p>
      <w:pPr>
        <w:spacing w:after="0" w:line="39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PROSPECTUS SUPPLEMENT SUMMARY</w:t>
      </w:r>
    </w:p>
    <w:p>
      <w:pPr>
        <w:spacing w:after="0" w:line="192" w:lineRule="exact"/>
        <w:rPr>
          <w:sz w:val="20"/>
          <w:szCs w:val="20"/>
          <w:color w:val="auto"/>
        </w:rPr>
      </w:pPr>
    </w:p>
    <w:p>
      <w:pPr>
        <w:ind w:left="1140" w:right="59" w:firstLine="359"/>
        <w:spacing w:after="0" w:line="259" w:lineRule="auto"/>
        <w:rPr>
          <w:sz w:val="20"/>
          <w:szCs w:val="20"/>
          <w:color w:val="auto"/>
        </w:rPr>
      </w:pPr>
      <w:r>
        <w:rPr>
          <w:rFonts w:ascii="Times New Roman" w:cs="Times New Roman" w:eastAsia="Times New Roman" w:hAnsi="Times New Roman"/>
          <w:sz w:val="15"/>
          <w:szCs w:val="15"/>
          <w:i w:val="1"/>
          <w:iCs w:val="1"/>
          <w:color w:val="auto"/>
        </w:rPr>
        <w:t>This summary highlights selected information contained elsewhere in this prospectus supplement, the accompanying prospectus and in the documents we incorporate by reference. This summary does not contain all of the information you should consider before making an investment decision. You should read this entire prospectus supplement and the accompanying prospectus carefully, especially the risks of investing in our common stock discussed under “</w:t>
      </w:r>
      <w:r>
        <w:rPr>
          <w:rFonts w:ascii="Times New Roman" w:cs="Times New Roman" w:eastAsia="Times New Roman" w:hAnsi="Times New Roman"/>
          <w:sz w:val="15"/>
          <w:szCs w:val="15"/>
          <w:i w:val="1"/>
          <w:iCs w:val="1"/>
          <w:u w:val="single" w:color="auto"/>
          <w:color w:val="0000EE"/>
        </w:rPr>
        <w:t>Risk Factors</w:t>
      </w:r>
      <w:r>
        <w:rPr>
          <w:rFonts w:ascii="Times New Roman" w:cs="Times New Roman" w:eastAsia="Times New Roman" w:hAnsi="Times New Roman"/>
          <w:sz w:val="15"/>
          <w:szCs w:val="15"/>
          <w:i w:val="1"/>
          <w:iCs w:val="1"/>
          <w:color w:val="auto"/>
        </w:rPr>
        <w:t>” beginning on page S-12 of this prospectus supplement, the “Risk Factors” section of our most recent Annual Report on Form 10-K, as may be updated by our subsequent Quarterly Reports on Form 10-Q and other filings we make with the SEC, along with our consolidated financial statements and notes to those consolidated financial statements and the other information incorporated by reference in this prospectus supplement and the accompanying prospectus and in our filings with the SEC.</w:t>
      </w:r>
    </w:p>
    <w:p>
      <w:pPr>
        <w:spacing w:after="0" w:line="2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Company Overview</w:t>
      </w:r>
    </w:p>
    <w:p>
      <w:pPr>
        <w:spacing w:after="0" w:line="105" w:lineRule="exact"/>
        <w:rPr>
          <w:sz w:val="20"/>
          <w:szCs w:val="20"/>
          <w:color w:val="auto"/>
        </w:rPr>
      </w:pPr>
    </w:p>
    <w:p>
      <w:pPr>
        <w:ind w:left="1140" w:right="159"/>
        <w:spacing w:after="0" w:line="270" w:lineRule="auto"/>
        <w:rPr>
          <w:sz w:val="20"/>
          <w:szCs w:val="20"/>
          <w:color w:val="auto"/>
        </w:rPr>
      </w:pPr>
      <w:r>
        <w:rPr>
          <w:rFonts w:ascii="Times New Roman" w:cs="Times New Roman" w:eastAsia="Times New Roman" w:hAnsi="Times New Roman"/>
          <w:sz w:val="15"/>
          <w:szCs w:val="15"/>
          <w:color w:val="auto"/>
        </w:rPr>
        <w:t>We are a clinical-stage biotechnology company focused on discovering, developing and delivering potentially curative therapies that address the underlying drivers of heart disease. Our vision is to change the treatment paradigm for heart disease, and in doing so improve and extend the lives of millions of patients.</w:t>
      </w:r>
    </w:p>
    <w:p>
      <w:pPr>
        <w:spacing w:after="0" w:line="146" w:lineRule="exact"/>
        <w:rPr>
          <w:sz w:val="20"/>
          <w:szCs w:val="20"/>
          <w:color w:val="auto"/>
        </w:rPr>
      </w:pPr>
    </w:p>
    <w:p>
      <w:pPr>
        <w:ind w:left="1140" w:right="199"/>
        <w:spacing w:after="0" w:line="264" w:lineRule="auto"/>
        <w:rPr>
          <w:sz w:val="20"/>
          <w:szCs w:val="20"/>
          <w:color w:val="auto"/>
        </w:rPr>
      </w:pPr>
      <w:r>
        <w:rPr>
          <w:rFonts w:ascii="Times New Roman" w:cs="Times New Roman" w:eastAsia="Times New Roman" w:hAnsi="Times New Roman"/>
          <w:sz w:val="15"/>
          <w:szCs w:val="15"/>
          <w:color w:val="auto"/>
        </w:rPr>
        <w:t>We are advancing a deep and diverse pipeline of disease-modifying targeted therapies that includes both gene therapies and small molecules discovered internally and developed using our extensive core capabilities to address rare or highly prevalent forms of heart disease. All of our programs are currently being assessed in clinical trials or are in the preclinical stage; we do not have any products approved for sale and have not generated any revenue to date.</w:t>
      </w:r>
    </w:p>
    <w:p>
      <w:pPr>
        <w:spacing w:after="0" w:line="147" w:lineRule="exact"/>
        <w:rPr>
          <w:sz w:val="20"/>
          <w:szCs w:val="20"/>
          <w:color w:val="auto"/>
        </w:rPr>
      </w:pPr>
    </w:p>
    <w:p>
      <w:pPr>
        <w:ind w:left="1140" w:right="159"/>
        <w:spacing w:after="0" w:line="261" w:lineRule="auto"/>
        <w:rPr>
          <w:sz w:val="20"/>
          <w:szCs w:val="20"/>
          <w:color w:val="auto"/>
        </w:rPr>
      </w:pPr>
      <w:r>
        <w:rPr>
          <w:rFonts w:ascii="Times New Roman" w:cs="Times New Roman" w:eastAsia="Times New Roman" w:hAnsi="Times New Roman"/>
          <w:sz w:val="15"/>
          <w:szCs w:val="15"/>
          <w:color w:val="auto"/>
        </w:rPr>
        <w:t xml:space="preserve">We are primarily focused on advancing our lead investigational product candidates, TN-201, a gene therapy for </w:t>
      </w:r>
      <w:r>
        <w:rPr>
          <w:rFonts w:ascii="Times New Roman" w:cs="Times New Roman" w:eastAsia="Times New Roman" w:hAnsi="Times New Roman"/>
          <w:sz w:val="15"/>
          <w:szCs w:val="15"/>
          <w:i w:val="1"/>
          <w:iCs w:val="1"/>
          <w:color w:val="auto"/>
        </w:rPr>
        <w:t>MYBPC3</w:t>
      </w:r>
      <w:r>
        <w:rPr>
          <w:rFonts w:ascii="Times New Roman" w:cs="Times New Roman" w:eastAsia="Times New Roman" w:hAnsi="Times New Roman"/>
          <w:sz w:val="15"/>
          <w:szCs w:val="15"/>
          <w:color w:val="auto"/>
        </w:rPr>
        <w:t xml:space="preserve">-associated hypertrophic cardiomyopathy (HCM) and TN-401, a gene therapy for </w:t>
      </w:r>
      <w:r>
        <w:rPr>
          <w:rFonts w:ascii="Times New Roman" w:cs="Times New Roman" w:eastAsia="Times New Roman" w:hAnsi="Times New Roman"/>
          <w:sz w:val="15"/>
          <w:szCs w:val="15"/>
          <w:i w:val="1"/>
          <w:iCs w:val="1"/>
          <w:color w:val="auto"/>
        </w:rPr>
        <w:t>PKP2</w:t>
      </w:r>
      <w:r>
        <w:rPr>
          <w:rFonts w:ascii="Times New Roman" w:cs="Times New Roman" w:eastAsia="Times New Roman" w:hAnsi="Times New Roman"/>
          <w:sz w:val="15"/>
          <w:szCs w:val="15"/>
          <w:color w:val="auto"/>
        </w:rPr>
        <w:t>-associated arrhythmogenic right ventricular cardiomyopathy (ARVC). Each candidate is currently in clinical testing to establish the safety profile of two different doses in adults with disease due to pathogenic/likely pathogenic mutations. We anticipate that data generated in the next year will inform late-stage development by characterizing each product candidates’ safety and tolerability profile, ability to transduce target heart cells, and produce the lacking protein underlying disease to slow – or even halt – disease progression.</w:t>
      </w:r>
    </w:p>
    <w:p>
      <w:pPr>
        <w:spacing w:after="0" w:line="149" w:lineRule="exact"/>
        <w:rPr>
          <w:sz w:val="20"/>
          <w:szCs w:val="20"/>
          <w:color w:val="auto"/>
        </w:rPr>
      </w:pPr>
    </w:p>
    <w:p>
      <w:pPr>
        <w:ind w:left="1140" w:right="239"/>
        <w:spacing w:after="0" w:line="259" w:lineRule="auto"/>
        <w:rPr>
          <w:sz w:val="20"/>
          <w:szCs w:val="20"/>
          <w:color w:val="auto"/>
        </w:rPr>
      </w:pPr>
      <w:r>
        <w:rPr>
          <w:rFonts w:ascii="Times New Roman" w:cs="Times New Roman" w:eastAsia="Times New Roman" w:hAnsi="Times New Roman"/>
          <w:sz w:val="15"/>
          <w:szCs w:val="15"/>
          <w:color w:val="auto"/>
        </w:rPr>
        <w:t xml:space="preserve">TN-201 is our potential first-in-class and best-in-class gene therapy for adults and children with HCM due to </w:t>
      </w:r>
      <w:r>
        <w:rPr>
          <w:rFonts w:ascii="Times New Roman" w:cs="Times New Roman" w:eastAsia="Times New Roman" w:hAnsi="Times New Roman"/>
          <w:sz w:val="15"/>
          <w:szCs w:val="15"/>
          <w:i w:val="1"/>
          <w:iCs w:val="1"/>
          <w:color w:val="auto"/>
        </w:rPr>
        <w:t>MYBPC3</w:t>
      </w:r>
      <w:r>
        <w:rPr>
          <w:rFonts w:ascii="Times New Roman" w:cs="Times New Roman" w:eastAsia="Times New Roman" w:hAnsi="Times New Roman"/>
          <w:sz w:val="15"/>
          <w:szCs w:val="15"/>
          <w:color w:val="auto"/>
        </w:rPr>
        <w:t xml:space="preserve"> gene mutations. These mutations result in a deficiency of myosin binding protein (MyBP-C), which in turn can cause the heart walls of affected individuals to become significantly thickened, leading to fibrosis, abnormal heart rhythms, cardiac dysfunction, heart failure and death. HCM is a chronic, progressive condition and those diagnosed with the disease often experience significant impairment in overall quality of life and may be at higher risk for serious complications and co-morbidities. TN-201 utilizes a recombinant adeno-associated virus serotype 9 (AAV9) capsid and is designed to deliver a working </w:t>
      </w:r>
      <w:r>
        <w:rPr>
          <w:rFonts w:ascii="Times New Roman" w:cs="Times New Roman" w:eastAsia="Times New Roman" w:hAnsi="Times New Roman"/>
          <w:sz w:val="15"/>
          <w:szCs w:val="15"/>
          <w:i w:val="1"/>
          <w:iCs w:val="1"/>
          <w:color w:val="auto"/>
        </w:rPr>
        <w:t>MYBPC3</w:t>
      </w:r>
      <w:r>
        <w:rPr>
          <w:rFonts w:ascii="Times New Roman" w:cs="Times New Roman" w:eastAsia="Times New Roman" w:hAnsi="Times New Roman"/>
          <w:sz w:val="15"/>
          <w:szCs w:val="15"/>
          <w:color w:val="auto"/>
        </w:rPr>
        <w:t xml:space="preserve"> gene to specific cells of the heart in order to produce cardiac myosin binding protein and thereby potentially slow or even reverse the course of </w:t>
      </w:r>
      <w:r>
        <w:rPr>
          <w:rFonts w:ascii="Times New Roman" w:cs="Times New Roman" w:eastAsia="Times New Roman" w:hAnsi="Times New Roman"/>
          <w:sz w:val="15"/>
          <w:szCs w:val="15"/>
          <w:i w:val="1"/>
          <w:iCs w:val="1"/>
          <w:color w:val="auto"/>
        </w:rPr>
        <w:t>MYBPC3</w:t>
      </w:r>
      <w:r>
        <w:rPr>
          <w:rFonts w:ascii="Times New Roman" w:cs="Times New Roman" w:eastAsia="Times New Roman" w:hAnsi="Times New Roman"/>
          <w:sz w:val="15"/>
          <w:szCs w:val="15"/>
          <w:color w:val="auto"/>
        </w:rPr>
        <w:t>-associated HCM following a single infusion.</w:t>
      </w:r>
    </w:p>
    <w:p>
      <w:pPr>
        <w:spacing w:after="0" w:line="158" w:lineRule="exact"/>
        <w:rPr>
          <w:sz w:val="20"/>
          <w:szCs w:val="20"/>
          <w:color w:val="auto"/>
        </w:rPr>
      </w:pPr>
    </w:p>
    <w:p>
      <w:pPr>
        <w:ind w:left="1140" w:right="139"/>
        <w:spacing w:after="0" w:line="238" w:lineRule="auto"/>
        <w:rPr>
          <w:sz w:val="20"/>
          <w:szCs w:val="20"/>
          <w:color w:val="auto"/>
        </w:rPr>
      </w:pPr>
      <w:r>
        <w:rPr>
          <w:rFonts w:ascii="Times New Roman" w:cs="Times New Roman" w:eastAsia="Times New Roman" w:hAnsi="Times New Roman"/>
          <w:sz w:val="15"/>
          <w:szCs w:val="15"/>
          <w:color w:val="auto"/>
        </w:rPr>
        <w:t>MyPEAK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-1 is our Phase 1b/2 multi-center, open-label clinical trial, designed to assess the safety, tolerability and efficacy of a one-time intravenous infusion of TN-201. We have completed Cohort 1 dosing at the 3×1013 vg/kg dose in the MyPEAK-1 trial with no unexpected events or toxicities associated with TN-201 observed. Following review of safety data from the first three MyPEAK-1 patients by an independent Data and Safety Monitoring Board (DSMB), the DSMB recommended that we proceed with the planned escalation to the 6×1013 vg/kg dose, per protocol. MyPEAK-1 is now actively enrolling patients in this higher dose cohort at several U.S. clinical sites, and we anticipate completing enrollment of Cohort 2 in the first half of 2025.</w:t>
      </w:r>
    </w:p>
    <w:p>
      <w:pPr>
        <w:spacing w:after="0" w:line="2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S-4</w:t>
      </w:r>
    </w:p>
    <w:p>
      <w:pPr>
        <w:sectPr>
          <w:pgSz w:w="11900" w:h="16838" w:orient="portrait"/>
          <w:cols w:equalWidth="0" w:num="1">
            <w:col w:w="10139"/>
          </w:cols>
          <w:pgMar w:left="320" w:top="405"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181610</wp:posOffset>
            </wp:positionV>
            <wp:extent cx="5901690" cy="48253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5901690" cy="482536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140" w:right="39"/>
        <w:spacing w:after="0" w:line="259" w:lineRule="auto"/>
        <w:rPr>
          <w:sz w:val="20"/>
          <w:szCs w:val="20"/>
          <w:color w:val="auto"/>
        </w:rPr>
      </w:pPr>
      <w:r>
        <w:rPr>
          <w:rFonts w:ascii="Times New Roman" w:cs="Times New Roman" w:eastAsia="Times New Roman" w:hAnsi="Times New Roman"/>
          <w:sz w:val="15"/>
          <w:szCs w:val="15"/>
          <w:color w:val="auto"/>
        </w:rPr>
        <w:t>In December 2024, we announced initial safety and biopsy data from Cohort 1 of MyPEAK-1. TN-201 administered at the starting dose of 3×1013 vg/kg was generally well-tolerated among the first three patients enrolled in the clinical trial. Among the first two patients for whom Week 8 biopsy results were available, TN-201 achieved readily detectable vector DNA in the heart and evidence of transgene RNA expression. Serial biopsies at Week 8 and Week 52 for Patient 1 demonstrated increasing TN-201 mRNA and MyBP-C protein levels over time. Circulating biomarkers of cardiac muscle strain and injury remained largely stable, and certain clinical markers of disease showed stability or directional improvement in the first two individuals dosed, while other measures were not yet available, interpretable or were mixed. We plan to present additional follow-up data from Cohort 1 during the first half of 2025 and initial Cohort 2 data, along with an update on Cohort 1 patients, in the second half of 2025.</w:t>
      </w:r>
    </w:p>
    <w:p>
      <w:pPr>
        <w:spacing w:after="0" w:line="154" w:lineRule="exact"/>
        <w:rPr>
          <w:sz w:val="20"/>
          <w:szCs w:val="20"/>
          <w:color w:val="auto"/>
        </w:rPr>
      </w:pPr>
    </w:p>
    <w:p>
      <w:pPr>
        <w:ind w:left="1140" w:right="139"/>
        <w:spacing w:after="0" w:line="257" w:lineRule="auto"/>
        <w:rPr>
          <w:sz w:val="20"/>
          <w:szCs w:val="20"/>
          <w:color w:val="auto"/>
        </w:rPr>
      </w:pPr>
      <w:r>
        <w:rPr>
          <w:rFonts w:ascii="Times New Roman" w:cs="Times New Roman" w:eastAsia="Times New Roman" w:hAnsi="Times New Roman"/>
          <w:sz w:val="15"/>
          <w:szCs w:val="15"/>
          <w:color w:val="auto"/>
        </w:rPr>
        <w:t xml:space="preserve">To support our development efforts for TN-201 we are conducting two noninterventional studies: a study evaluating seroprevalence to AAV9 antibodies among adults with </w:t>
      </w:r>
      <w:r>
        <w:rPr>
          <w:rFonts w:ascii="Times New Roman" w:cs="Times New Roman" w:eastAsia="Times New Roman" w:hAnsi="Times New Roman"/>
          <w:sz w:val="15"/>
          <w:szCs w:val="15"/>
          <w:i w:val="1"/>
          <w:iCs w:val="1"/>
          <w:color w:val="auto"/>
        </w:rPr>
        <w:t>MYBPC3</w:t>
      </w:r>
      <w:r>
        <w:rPr>
          <w:rFonts w:ascii="Times New Roman" w:cs="Times New Roman" w:eastAsia="Times New Roman" w:hAnsi="Times New Roman"/>
          <w:sz w:val="15"/>
          <w:szCs w:val="15"/>
          <w:color w:val="auto"/>
        </w:rPr>
        <w:t xml:space="preserve">-associated HCM, and MyClimb, a prospective and retrospective global natural history study focused on pediatric patients with </w:t>
      </w:r>
      <w:r>
        <w:rPr>
          <w:rFonts w:ascii="Times New Roman" w:cs="Times New Roman" w:eastAsia="Times New Roman" w:hAnsi="Times New Roman"/>
          <w:sz w:val="15"/>
          <w:szCs w:val="15"/>
          <w:i w:val="1"/>
          <w:iCs w:val="1"/>
          <w:color w:val="auto"/>
        </w:rPr>
        <w:t>MYBPC3</w:t>
      </w:r>
      <w:r>
        <w:rPr>
          <w:rFonts w:ascii="Times New Roman" w:cs="Times New Roman" w:eastAsia="Times New Roman" w:hAnsi="Times New Roman"/>
          <w:sz w:val="15"/>
          <w:szCs w:val="15"/>
          <w:color w:val="auto"/>
        </w:rPr>
        <w:t xml:space="preserve"> mutation-associated cardiomyopathy. The seroprevalence study has completed enrollment. Initial data indicated that antibodies to AAV9 in the majority of participants were below the eligibility threshold that would allow for participation in MyPEAK-1. The MyClimb natural history study is following patient medical history to characterize the outcomes, burden of illness, risk factors, quality of life, and biomarkers associated with disease progression in pediatric patients. MyClimb complements existing disease registries focused primarily on adult patient HCM populations and may support and expedite the development of TN-201 in the pediatric patient population. We plan to present data from MyClimb in the second half of 2025. In July 2024, we received rare pediatric disease designation from the FDA for TN-201 in </w:t>
      </w:r>
      <w:r>
        <w:rPr>
          <w:rFonts w:ascii="Times New Roman" w:cs="Times New Roman" w:eastAsia="Times New Roman" w:hAnsi="Times New Roman"/>
          <w:sz w:val="15"/>
          <w:szCs w:val="15"/>
          <w:i w:val="1"/>
          <w:iCs w:val="1"/>
          <w:color w:val="auto"/>
        </w:rPr>
        <w:t>MYBPC3</w:t>
      </w:r>
      <w:r>
        <w:rPr>
          <w:rFonts w:ascii="Times New Roman" w:cs="Times New Roman" w:eastAsia="Times New Roman" w:hAnsi="Times New Roman"/>
          <w:sz w:val="15"/>
          <w:szCs w:val="15"/>
          <w:color w:val="auto"/>
        </w:rPr>
        <w:t>-associated HCM. TN-201 has also been granted orphan drug designation from the FDA, orphan medicinal product designation from the European Commission (EC) and Fast Track Designation from the FDA.</w:t>
      </w:r>
    </w:p>
    <w:p>
      <w:pPr>
        <w:spacing w:after="0" w:line="152" w:lineRule="exact"/>
        <w:rPr>
          <w:sz w:val="20"/>
          <w:szCs w:val="20"/>
          <w:color w:val="auto"/>
        </w:rPr>
      </w:pPr>
    </w:p>
    <w:p>
      <w:pPr>
        <w:ind w:left="1140" w:right="59"/>
        <w:spacing w:after="0" w:line="259" w:lineRule="auto"/>
        <w:rPr>
          <w:sz w:val="20"/>
          <w:szCs w:val="20"/>
          <w:color w:val="auto"/>
        </w:rPr>
      </w:pPr>
      <w:r>
        <w:rPr>
          <w:rFonts w:ascii="Times New Roman" w:cs="Times New Roman" w:eastAsia="Times New Roman" w:hAnsi="Times New Roman"/>
          <w:sz w:val="15"/>
          <w:szCs w:val="15"/>
          <w:color w:val="auto"/>
        </w:rPr>
        <w:t xml:space="preserve">TN-401 is our AAV9-based gene therapy for the treatment of ARVC due to disease-causing variants in the </w:t>
      </w:r>
      <w:r>
        <w:rPr>
          <w:rFonts w:ascii="Times New Roman" w:cs="Times New Roman" w:eastAsia="Times New Roman" w:hAnsi="Times New Roman"/>
          <w:sz w:val="15"/>
          <w:szCs w:val="15"/>
          <w:i w:val="1"/>
          <w:iCs w:val="1"/>
          <w:color w:val="auto"/>
        </w:rPr>
        <w:t>PKP2</w:t>
      </w:r>
      <w:r>
        <w:rPr>
          <w:rFonts w:ascii="Times New Roman" w:cs="Times New Roman" w:eastAsia="Times New Roman" w:hAnsi="Times New Roman"/>
          <w:sz w:val="15"/>
          <w:szCs w:val="15"/>
          <w:color w:val="auto"/>
        </w:rPr>
        <w:t xml:space="preserve"> gene. ARVC, also known as arrhythmogenic cardiomyopathy, or ACM, is a chronic, progressive disease characterized by frequent, severe, and potentially life-threatening ventricular arrhythmias. The disease is associated with adverse heart remodeling, fibrosis, cardiac dysfunction, significant impairment to patients’ overall quality of life, as well as an elevated risk of sudden cardiac death. </w:t>
      </w:r>
      <w:r>
        <w:rPr>
          <w:rFonts w:ascii="Times New Roman" w:cs="Times New Roman" w:eastAsia="Times New Roman" w:hAnsi="Times New Roman"/>
          <w:sz w:val="15"/>
          <w:szCs w:val="15"/>
          <w:i w:val="1"/>
          <w:iCs w:val="1"/>
          <w:color w:val="auto"/>
        </w:rPr>
        <w:t>PKP2</w:t>
      </w:r>
      <w:r>
        <w:rPr>
          <w:rFonts w:ascii="Times New Roman" w:cs="Times New Roman" w:eastAsia="Times New Roman" w:hAnsi="Times New Roman"/>
          <w:sz w:val="15"/>
          <w:szCs w:val="15"/>
          <w:color w:val="auto"/>
        </w:rPr>
        <w:t xml:space="preserve"> mutations are the most common genetic cause of ARVC and result in insufficient expression of a protein needed for proper functioning of the desmosomal complex that maintains physical connections and electrical signaling between heart muscle cells. TN-401 utilizes a recombinant AAV9 capsid and is designed to deliver a working </w:t>
      </w:r>
      <w:r>
        <w:rPr>
          <w:rFonts w:ascii="Times New Roman" w:cs="Times New Roman" w:eastAsia="Times New Roman" w:hAnsi="Times New Roman"/>
          <w:sz w:val="15"/>
          <w:szCs w:val="15"/>
          <w:i w:val="1"/>
          <w:iCs w:val="1"/>
          <w:color w:val="auto"/>
        </w:rPr>
        <w:t>PKP2</w:t>
      </w:r>
      <w:r>
        <w:rPr>
          <w:rFonts w:ascii="Times New Roman" w:cs="Times New Roman" w:eastAsia="Times New Roman" w:hAnsi="Times New Roman"/>
          <w:sz w:val="15"/>
          <w:szCs w:val="15"/>
          <w:color w:val="auto"/>
        </w:rPr>
        <w:t xml:space="preserve"> gene to specific cells of the heart in order to produce plakophilin protein and thereby potentially slow or even reverse the course of </w:t>
      </w:r>
      <w:r>
        <w:rPr>
          <w:rFonts w:ascii="Times New Roman" w:cs="Times New Roman" w:eastAsia="Times New Roman" w:hAnsi="Times New Roman"/>
          <w:sz w:val="15"/>
          <w:szCs w:val="15"/>
          <w:i w:val="1"/>
          <w:iCs w:val="1"/>
          <w:color w:val="auto"/>
        </w:rPr>
        <w:t>PKP2</w:t>
      </w:r>
      <w:r>
        <w:rPr>
          <w:rFonts w:ascii="Times New Roman" w:cs="Times New Roman" w:eastAsia="Times New Roman" w:hAnsi="Times New Roman"/>
          <w:sz w:val="15"/>
          <w:szCs w:val="15"/>
          <w:color w:val="auto"/>
        </w:rPr>
        <w:t>-associated ARVC following a single infusion.</w:t>
      </w:r>
    </w:p>
    <w:p>
      <w:pPr>
        <w:spacing w:after="0" w:line="154" w:lineRule="exact"/>
        <w:rPr>
          <w:sz w:val="20"/>
          <w:szCs w:val="20"/>
          <w:color w:val="auto"/>
        </w:rPr>
      </w:pPr>
    </w:p>
    <w:p>
      <w:pPr>
        <w:ind w:left="1140" w:right="159"/>
        <w:spacing w:after="0" w:line="243" w:lineRule="auto"/>
        <w:rPr>
          <w:sz w:val="20"/>
          <w:szCs w:val="20"/>
          <w:color w:val="auto"/>
        </w:rPr>
      </w:pPr>
      <w:r>
        <w:rPr>
          <w:rFonts w:ascii="Times New Roman" w:cs="Times New Roman" w:eastAsia="Times New Roman" w:hAnsi="Times New Roman"/>
          <w:sz w:val="15"/>
          <w:szCs w:val="15"/>
          <w:color w:val="auto"/>
        </w:rPr>
        <w:t>In November 2024, we dosed the first patient in RIDGE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-1, our Phase 1b multi-center, open-label clinical trial, designed to assess the safety, tolerability and efficacy of a one-time intravenous infusion of TN-401. We have activated multiple clinical trial sites at leading cardiology centers in the U.S. with ARVC expertise and intend to expand enrollment of RIDGE-1 to the United Kingdom. We expect to complete enrollment of the first cohort of patients at the 3×1013vg/kg in the first half of 2025. An independent DSMB will review all available safety data for the first three patients dosed and then inform plans for dose escalation to 6×1013vg/kg, as needed, and/or enrollment of additional patients in the first cohort. Initial clinical data from the first cohort of patients to receive TN-401 is expected in the second half of 2025. In January 2025, we were awarded a Clinical Grant (Clin2) of $8.0 million from the California Institute for Regenerative Medicine (CIRM), a state of California Agency that funds regenerative medicine, stem cell, and gene therapy research. Proceeds from the grant will help fund clinical trial costs for our ongoing Phase 1b RIDGE-1 clinical trial of TN-401 gene therapy.</w:t>
      </w:r>
    </w:p>
    <w:p>
      <w:pPr>
        <w:spacing w:after="0" w:line="167" w:lineRule="exact"/>
        <w:rPr>
          <w:sz w:val="20"/>
          <w:szCs w:val="20"/>
          <w:color w:val="auto"/>
        </w:rPr>
      </w:pPr>
    </w:p>
    <w:p>
      <w:pPr>
        <w:ind w:left="1140" w:right="899"/>
        <w:spacing w:after="0" w:line="287" w:lineRule="auto"/>
        <w:rPr>
          <w:sz w:val="20"/>
          <w:szCs w:val="20"/>
          <w:color w:val="auto"/>
        </w:rPr>
      </w:pPr>
      <w:r>
        <w:rPr>
          <w:rFonts w:ascii="Times New Roman" w:cs="Times New Roman" w:eastAsia="Times New Roman" w:hAnsi="Times New Roman"/>
          <w:sz w:val="15"/>
          <w:szCs w:val="15"/>
          <w:color w:val="auto"/>
        </w:rPr>
        <w:t>In support of our development efforts for TN-401, we initiated RIDGE, a global noninterventional study to collect natural history and seroprevalence to AAV9 antibodies data among ARVC patients who carry pathogenic</w:t>
      </w:r>
    </w:p>
    <w:p>
      <w:pPr>
        <w:spacing w:after="0" w:line="23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S-5</w:t>
      </w:r>
    </w:p>
    <w:p>
      <w:pPr>
        <w:sectPr>
          <w:pgSz w:w="11900" w:h="16838" w:orient="portrait"/>
          <w:cols w:equalWidth="0" w:num="1">
            <w:col w:w="10139"/>
          </w:cols>
          <w:pgMar w:left="320" w:top="405"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181610</wp:posOffset>
            </wp:positionV>
            <wp:extent cx="5901690" cy="49409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5901690" cy="4940935"/>
                    </a:xfrm>
                    <a:prstGeom prst="rect">
                      <a:avLst/>
                    </a:prstGeom>
                    <a:noFill/>
                  </pic:spPr>
                </pic:pic>
              </a:graphicData>
            </a:graphic>
          </wp:anchor>
        </w:drawing>
      </w:r>
    </w:p>
    <w:p>
      <w:pPr>
        <w:spacing w:after="0" w:line="399" w:lineRule="exact"/>
        <w:rPr>
          <w:sz w:val="20"/>
          <w:szCs w:val="20"/>
          <w:color w:val="auto"/>
        </w:rPr>
      </w:pPr>
    </w:p>
    <w:p>
      <w:pPr>
        <w:ind w:left="1140" w:right="79"/>
        <w:spacing w:after="0" w:line="266" w:lineRule="auto"/>
        <w:rPr>
          <w:sz w:val="20"/>
          <w:szCs w:val="20"/>
          <w:color w:val="auto"/>
        </w:rPr>
      </w:pPr>
      <w:r>
        <w:rPr>
          <w:rFonts w:ascii="Times New Roman" w:cs="Times New Roman" w:eastAsia="Times New Roman" w:hAnsi="Times New Roman"/>
          <w:sz w:val="15"/>
          <w:szCs w:val="15"/>
          <w:color w:val="auto"/>
        </w:rPr>
        <w:t xml:space="preserve">or likely pathogenic </w:t>
      </w:r>
      <w:r>
        <w:rPr>
          <w:rFonts w:ascii="Times New Roman" w:cs="Times New Roman" w:eastAsia="Times New Roman" w:hAnsi="Times New Roman"/>
          <w:sz w:val="15"/>
          <w:szCs w:val="15"/>
          <w:i w:val="1"/>
          <w:iCs w:val="1"/>
          <w:color w:val="auto"/>
        </w:rPr>
        <w:t>PKP2</w:t>
      </w:r>
      <w:r>
        <w:rPr>
          <w:rFonts w:ascii="Times New Roman" w:cs="Times New Roman" w:eastAsia="Times New Roman" w:hAnsi="Times New Roman"/>
          <w:sz w:val="15"/>
          <w:szCs w:val="15"/>
          <w:color w:val="auto"/>
        </w:rPr>
        <w:t xml:space="preserve"> gene mutations. Initial data from RIDGE indicated that antibodies to AAV9 in a majority of participants were below the eligibility threshold that would allow for participation in RIDGE-1. We plan to present additional data from RIDGE in the first half of 2025. TN-401 has received orphan drug designation from the FDA and orphan medicinal product designation from the EC, as well as Fast Track Designation from the FDA.</w:t>
      </w:r>
    </w:p>
    <w:p>
      <w:pPr>
        <w:spacing w:after="0" w:line="150" w:lineRule="exact"/>
        <w:rPr>
          <w:sz w:val="20"/>
          <w:szCs w:val="20"/>
          <w:color w:val="auto"/>
        </w:rPr>
      </w:pPr>
    </w:p>
    <w:p>
      <w:pPr>
        <w:ind w:left="1140" w:right="179"/>
        <w:spacing w:after="0" w:line="259" w:lineRule="auto"/>
        <w:rPr>
          <w:sz w:val="20"/>
          <w:szCs w:val="20"/>
          <w:color w:val="auto"/>
        </w:rPr>
      </w:pPr>
      <w:r>
        <w:rPr>
          <w:rFonts w:ascii="Times New Roman" w:cs="Times New Roman" w:eastAsia="Times New Roman" w:hAnsi="Times New Roman"/>
          <w:sz w:val="15"/>
          <w:szCs w:val="15"/>
          <w:color w:val="auto"/>
        </w:rPr>
        <w:t xml:space="preserve">We previously completed a Phase 1 clinical trial of TN-301, a highly selective small molecule inhibitor of histone deacetylase-6 (HDAC6). HDAC6 is a cytoplasmic enzyme known to regulate diverse cellular processes. TN-301’s multi-modal mechanism addresses diverse pathological processes and has shown direct and systemic benefits in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xml:space="preserve"> studies of HFpEF. HFpEF is characterized by a stiffening of the heart muscle resulting in an inability for the left ventricle to relax and fill with oxygenated blood sufficient to meet the body’s needs. The pathophysiology of HFpEF is complex and is driven by metabolic dysfunction or oxidative stress and inflammation, with diverse conditions serving as risk factors for disease, including obesity, diabetes, aging, kidney disease and hypertension. Although HFpEF accounts for approximately half of all heart failures, there are few proven treatment options.</w:t>
      </w:r>
    </w:p>
    <w:p>
      <w:pPr>
        <w:spacing w:after="0" w:line="154" w:lineRule="exact"/>
        <w:rPr>
          <w:sz w:val="20"/>
          <w:szCs w:val="20"/>
          <w:color w:val="auto"/>
        </w:rPr>
      </w:pPr>
    </w:p>
    <w:p>
      <w:pPr>
        <w:ind w:left="1140" w:right="19"/>
        <w:spacing w:after="0" w:line="257" w:lineRule="auto"/>
        <w:rPr>
          <w:sz w:val="20"/>
          <w:szCs w:val="20"/>
          <w:color w:val="auto"/>
        </w:rPr>
      </w:pPr>
      <w:r>
        <w:rPr>
          <w:rFonts w:ascii="Times New Roman" w:cs="Times New Roman" w:eastAsia="Times New Roman" w:hAnsi="Times New Roman"/>
          <w:sz w:val="15"/>
          <w:szCs w:val="15"/>
          <w:color w:val="auto"/>
        </w:rPr>
        <w:t>We shared positive data from our Phase 1 clinical trial of TN-301 in healthy participants at the 2023 Heart Failure Society of America Annual Scientific Meeting. TN-301 was generally well tolerated across the broad range of doses studied. Pharmacokinetic results showed overall dose proportionality with a half-life supportive of once-daily dosing. Increasing doses and exposures with TN-301 correlated with increased pharmacodynamic effects. There were no changes in histone acetylation with TN-301 underscoring the selectivity of TN-301 for HDAC6 and potentially reducing the risk of off target effects. In comparative preclinical studies, selective HDAC6 inhibition as a single agent has been shown to have similar efficacy to empagliflozin, a sodium-glucose cotransporter-2 (SGLT2) inhibitor which is approved for the treatment of HFpEF and co-administration of our HDAC6 inhibition with a SGLT2 inhibitor in a HFpEF mouse model demonstrated additive benefit. Taken together, these data support continued development of TN-301 as a potential treatment for patients with HFpEF and other severe diseases – including those outside of cardiology – in which inflammation, fibrosis and metabolic dysregulation may be implicated. We believe late-stage clinical development of TN-301 is best suited for development by or with a well-resourced partner.</w:t>
      </w:r>
    </w:p>
    <w:p>
      <w:pPr>
        <w:spacing w:after="0" w:line="156" w:lineRule="exact"/>
        <w:rPr>
          <w:sz w:val="20"/>
          <w:szCs w:val="20"/>
          <w:color w:val="auto"/>
        </w:rPr>
      </w:pPr>
    </w:p>
    <w:p>
      <w:pPr>
        <w:ind w:left="1140" w:right="219"/>
        <w:spacing w:after="0" w:line="287" w:lineRule="auto"/>
        <w:rPr>
          <w:sz w:val="20"/>
          <w:szCs w:val="20"/>
          <w:color w:val="auto"/>
        </w:rPr>
      </w:pPr>
      <w:r>
        <w:rPr>
          <w:rFonts w:ascii="Times New Roman" w:cs="Times New Roman" w:eastAsia="Times New Roman" w:hAnsi="Times New Roman"/>
          <w:sz w:val="15"/>
          <w:szCs w:val="15"/>
          <w:color w:val="auto"/>
        </w:rPr>
        <w:t>In addition to our lead product candidates, we have multiple early-stage programs using various therapeutic approaches, including gene addition, gene editing, gene silencing, and cellular regeneration to address other forms of rare and/or prevalent heart disease.</w:t>
      </w:r>
    </w:p>
    <w:p>
      <w:pPr>
        <w:spacing w:after="0" w:line="134" w:lineRule="exact"/>
        <w:rPr>
          <w:sz w:val="20"/>
          <w:szCs w:val="20"/>
          <w:color w:val="auto"/>
        </w:rPr>
      </w:pPr>
    </w:p>
    <w:p>
      <w:pPr>
        <w:ind w:left="1140" w:right="39"/>
        <w:spacing w:after="0" w:line="261" w:lineRule="auto"/>
        <w:rPr>
          <w:sz w:val="20"/>
          <w:szCs w:val="20"/>
          <w:color w:val="auto"/>
        </w:rPr>
      </w:pPr>
      <w:r>
        <w:rPr>
          <w:rFonts w:ascii="Times New Roman" w:cs="Times New Roman" w:eastAsia="Times New Roman" w:hAnsi="Times New Roman"/>
          <w:sz w:val="15"/>
          <w:szCs w:val="15"/>
          <w:color w:val="auto"/>
        </w:rPr>
        <w:t>Early on in our company history, we invested in differentiated capabilities to enable modality agnostic target identification and validation, anchored in human genetics and the use of human disease models. That proprietary expertise has directly informed the design, optimization and production of our pipeline. To support our initial focus on gene therapy candidates, we internalized expertise in capsid engineering, novel promoter constructs and manufacturing anchored on the use of AAVs as the method of delivery to the heart with the aim of increasing the safety and efficacy of our product candidates and accelerating early-stage discovery and preclinical optimization across modalities.</w:t>
      </w:r>
    </w:p>
    <w:p>
      <w:pPr>
        <w:spacing w:after="0" w:line="155" w:lineRule="exact"/>
        <w:rPr>
          <w:sz w:val="20"/>
          <w:szCs w:val="20"/>
          <w:color w:val="auto"/>
        </w:rPr>
      </w:pPr>
    </w:p>
    <w:p>
      <w:pPr>
        <w:ind w:left="1140" w:right="99"/>
        <w:spacing w:after="0" w:line="270" w:lineRule="auto"/>
        <w:rPr>
          <w:sz w:val="20"/>
          <w:szCs w:val="20"/>
          <w:color w:val="auto"/>
        </w:rPr>
      </w:pPr>
      <w:r>
        <w:rPr>
          <w:rFonts w:ascii="Times New Roman" w:cs="Times New Roman" w:eastAsia="Times New Roman" w:hAnsi="Times New Roman"/>
          <w:sz w:val="15"/>
          <w:szCs w:val="15"/>
          <w:color w:val="auto"/>
        </w:rPr>
        <w:t>For the production of our lead gene therapy candidates, TN-201 and TN-401, we maintained complete ownership of process development, analytical development, and quality control and have already produced all necessary clinical trial material needed for our ongoing MyPEAK-1 and RIDGE-1 clinical trials at our Good Manufacturing Practice (cGMP)-certified Genetic Medicines Manufacturing Center in Union City, California.</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Risk Factors Summary</w:t>
      </w:r>
    </w:p>
    <w:p>
      <w:pPr>
        <w:spacing w:after="0" w:line="105" w:lineRule="exact"/>
        <w:rPr>
          <w:sz w:val="20"/>
          <w:szCs w:val="20"/>
          <w:color w:val="auto"/>
        </w:rPr>
      </w:pPr>
    </w:p>
    <w:p>
      <w:pPr>
        <w:ind w:left="1140" w:right="79"/>
        <w:spacing w:after="0" w:line="287" w:lineRule="auto"/>
        <w:rPr>
          <w:sz w:val="20"/>
          <w:szCs w:val="20"/>
          <w:color w:val="auto"/>
        </w:rPr>
      </w:pPr>
      <w:r>
        <w:rPr>
          <w:rFonts w:ascii="Times New Roman" w:cs="Times New Roman" w:eastAsia="Times New Roman" w:hAnsi="Times New Roman"/>
          <w:sz w:val="15"/>
          <w:szCs w:val="15"/>
          <w:color w:val="auto"/>
        </w:rPr>
        <w:t>The below summary of risk factors provides an overview of many of the risks we are exposed to in the normal course of our business activities and risks related to this offering. As a result, the below summary risks do not</w:t>
      </w:r>
    </w:p>
    <w:p>
      <w:pPr>
        <w:spacing w:after="0" w:line="23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S-6</w:t>
      </w:r>
    </w:p>
    <w:p>
      <w:pPr>
        <w:sectPr>
          <w:pgSz w:w="11900" w:h="16838" w:orient="portrait"/>
          <w:cols w:equalWidth="0" w:num="1">
            <w:col w:w="10139"/>
          </w:cols>
          <w:pgMar w:left="320" w:top="405"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181610</wp:posOffset>
            </wp:positionV>
            <wp:extent cx="5901690" cy="48977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5901690" cy="48977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140" w:right="39"/>
        <w:spacing w:after="0" w:line="261" w:lineRule="auto"/>
        <w:rPr>
          <w:sz w:val="20"/>
          <w:szCs w:val="20"/>
          <w:color w:val="auto"/>
        </w:rPr>
      </w:pPr>
      <w:r>
        <w:rPr>
          <w:rFonts w:ascii="Times New Roman" w:cs="Times New Roman" w:eastAsia="Times New Roman" w:hAnsi="Times New Roman"/>
          <w:sz w:val="15"/>
          <w:szCs w:val="15"/>
          <w:color w:val="auto"/>
        </w:rPr>
        <w:t>contain all of the information that may be important to you, and you should read the summary risks together with the more detailed discussion of risks set forth following this section under the heading “Risk Factors,” as well as elsewhere in this prospectus supplement. Additional risks, beyond those summarized below or discussed elsewhere in this prospectus supplement and the documents incorporated herein by reference, may apply to our activities or operations as currently conducted or as we may conduct them in the future or in the markets in which we operate or may in the future operate. Consistent with the foregoing, we are exposed to a variety of risks, including risks associated with the following:</w:t>
      </w:r>
    </w:p>
    <w:p>
      <w:pPr>
        <w:spacing w:after="0" w:line="75" w:lineRule="exact"/>
        <w:rPr>
          <w:sz w:val="20"/>
          <w:szCs w:val="20"/>
          <w:color w:val="auto"/>
        </w:rPr>
      </w:pPr>
    </w:p>
    <w:p>
      <w:pPr>
        <w:ind w:left="1920" w:right="179" w:hanging="341"/>
        <w:spacing w:after="0" w:line="287"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54" w:lineRule="exact"/>
        <w:rPr>
          <w:rFonts w:ascii="Times New Roman" w:cs="Times New Roman" w:eastAsia="Times New Roman" w:hAnsi="Times New Roman"/>
          <w:sz w:val="15"/>
          <w:szCs w:val="15"/>
          <w:color w:val="auto"/>
        </w:rPr>
      </w:pPr>
    </w:p>
    <w:p>
      <w:pPr>
        <w:ind w:left="1920" w:right="159" w:hanging="341"/>
        <w:spacing w:after="0" w:line="287"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not generated any product revenue to date, have incurred significant net losses since our inception and expect to continue to incur significant net losses for the foreseeable future.</w:t>
      </w:r>
    </w:p>
    <w:p>
      <w:pPr>
        <w:spacing w:after="0" w:line="54" w:lineRule="exact"/>
        <w:rPr>
          <w:rFonts w:ascii="Times New Roman" w:cs="Times New Roman" w:eastAsia="Times New Roman" w:hAnsi="Times New Roman"/>
          <w:sz w:val="15"/>
          <w:szCs w:val="15"/>
          <w:color w:val="auto"/>
        </w:rPr>
      </w:pPr>
    </w:p>
    <w:p>
      <w:pPr>
        <w:ind w:left="1920" w:right="199" w:hanging="341"/>
        <w:spacing w:after="0" w:line="287"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generate revenue and achieve profitability depends significantly on our ability to achieve several objectives relating to the discovery, development and commercialization of our product candidates, if approved.</w:t>
      </w:r>
    </w:p>
    <w:p>
      <w:pPr>
        <w:spacing w:after="0" w:line="54" w:lineRule="exact"/>
        <w:rPr>
          <w:rFonts w:ascii="Times New Roman" w:cs="Times New Roman" w:eastAsia="Times New Roman" w:hAnsi="Times New Roman"/>
          <w:sz w:val="15"/>
          <w:szCs w:val="15"/>
          <w:color w:val="auto"/>
        </w:rPr>
      </w:pPr>
    </w:p>
    <w:p>
      <w:pPr>
        <w:ind w:left="1920" w:right="59" w:hanging="341"/>
        <w:spacing w:after="0" w:line="264"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71" w:lineRule="exact"/>
        <w:rPr>
          <w:rFonts w:ascii="Times New Roman" w:cs="Times New Roman" w:eastAsia="Times New Roman" w:hAnsi="Times New Roman"/>
          <w:sz w:val="15"/>
          <w:szCs w:val="15"/>
          <w:color w:val="auto"/>
        </w:rPr>
      </w:pPr>
    </w:p>
    <w:p>
      <w:pPr>
        <w:ind w:left="1920" w:right="259" w:hanging="341"/>
        <w:spacing w:after="0" w:line="287"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loan agreement requires us to comply with specified operating covenants and places restrictions on our operating and financial flexibility.</w:t>
      </w:r>
    </w:p>
    <w:p>
      <w:pPr>
        <w:spacing w:after="0" w:line="54" w:lineRule="exact"/>
        <w:rPr>
          <w:rFonts w:ascii="Times New Roman" w:cs="Times New Roman" w:eastAsia="Times New Roman" w:hAnsi="Times New Roman"/>
          <w:sz w:val="15"/>
          <w:szCs w:val="15"/>
          <w:color w:val="auto"/>
        </w:rPr>
      </w:pPr>
    </w:p>
    <w:p>
      <w:pPr>
        <w:ind w:left="1920" w:right="419" w:hanging="341"/>
        <w:spacing w:after="0" w:line="270"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66" w:lineRule="exact"/>
        <w:rPr>
          <w:rFonts w:ascii="Times New Roman" w:cs="Times New Roman" w:eastAsia="Times New Roman" w:hAnsi="Times New Roman"/>
          <w:sz w:val="15"/>
          <w:szCs w:val="15"/>
          <w:color w:val="auto"/>
        </w:rPr>
      </w:pPr>
    </w:p>
    <w:p>
      <w:pPr>
        <w:ind w:left="1920" w:right="59" w:hanging="341"/>
        <w:spacing w:after="0" w:line="270"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6" w:lineRule="exact"/>
        <w:rPr>
          <w:rFonts w:ascii="Times New Roman" w:cs="Times New Roman" w:eastAsia="Times New Roman" w:hAnsi="Times New Roman"/>
          <w:sz w:val="15"/>
          <w:szCs w:val="15"/>
          <w:color w:val="auto"/>
        </w:rPr>
      </w:pPr>
    </w:p>
    <w:p>
      <w:pPr>
        <w:ind w:left="1920" w:right="159" w:hanging="341"/>
        <w:spacing w:after="0" w:line="287"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mechanisms of action of our product candidates are unproven, and we do not know whether we will be able to develop any drug of commercial value.</w:t>
      </w:r>
    </w:p>
    <w:p>
      <w:pPr>
        <w:spacing w:after="0" w:line="54" w:lineRule="exact"/>
        <w:rPr>
          <w:rFonts w:ascii="Times New Roman" w:cs="Times New Roman" w:eastAsia="Times New Roman" w:hAnsi="Times New Roman"/>
          <w:sz w:val="15"/>
          <w:szCs w:val="15"/>
          <w:color w:val="auto"/>
        </w:rPr>
      </w:pPr>
    </w:p>
    <w:p>
      <w:pPr>
        <w:ind w:left="1920" w:right="159" w:hanging="341"/>
        <w:spacing w:after="0" w:line="261"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Drug development involves a lengthy and expensive process with an uncertain outcome. The preclinical studies, clinical trials and post-marketing studies of our product candidates may not demonstrate safety and efficacy to the satisfaction of the FDA, European Medicines Agency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4" w:lineRule="exact"/>
        <w:rPr>
          <w:rFonts w:ascii="Times New Roman" w:cs="Times New Roman" w:eastAsia="Times New Roman" w:hAnsi="Times New Roman"/>
          <w:sz w:val="15"/>
          <w:szCs w:val="15"/>
          <w:color w:val="auto"/>
        </w:rPr>
      </w:pPr>
    </w:p>
    <w:p>
      <w:pPr>
        <w:ind w:left="1920" w:right="99" w:hanging="341"/>
        <w:spacing w:after="0" w:line="263" w:lineRule="auto"/>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200" w:lineRule="exact"/>
        <w:rPr>
          <w:sz w:val="20"/>
          <w:szCs w:val="20"/>
          <w:color w:val="auto"/>
        </w:rPr>
      </w:pPr>
    </w:p>
    <w:p>
      <w:pPr>
        <w:spacing w:after="0" w:line="23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S-7</w:t>
      </w:r>
    </w:p>
    <w:p>
      <w:pPr>
        <w:sectPr>
          <w:pgSz w:w="11900" w:h="16838" w:orient="portrait"/>
          <w:cols w:equalWidth="0" w:num="1">
            <w:col w:w="10139"/>
          </w:cols>
          <w:pgMar w:left="320" w:top="405"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181610</wp:posOffset>
            </wp:positionV>
            <wp:extent cx="5901690" cy="48831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5901690" cy="488315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920" w:right="59" w:hanging="341"/>
        <w:spacing w:after="0" w:line="264" w:lineRule="auto"/>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1" w:lineRule="exact"/>
        <w:rPr>
          <w:rFonts w:ascii="Times New Roman" w:cs="Times New Roman" w:eastAsia="Times New Roman" w:hAnsi="Times New Roman"/>
          <w:sz w:val="15"/>
          <w:szCs w:val="15"/>
          <w:color w:val="auto"/>
        </w:rPr>
      </w:pPr>
    </w:p>
    <w:p>
      <w:pPr>
        <w:ind w:left="1920" w:right="399" w:hanging="341"/>
        <w:spacing w:after="0" w:line="287" w:lineRule="auto"/>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Due to our limited manufacturing experience, there can be no assurance that we will be able to successfully manufacture product candidates to support our clinical development and commercialization plans.</w:t>
      </w:r>
    </w:p>
    <w:p>
      <w:pPr>
        <w:spacing w:after="0" w:line="54" w:lineRule="exact"/>
        <w:rPr>
          <w:rFonts w:ascii="Times New Roman" w:cs="Times New Roman" w:eastAsia="Times New Roman" w:hAnsi="Times New Roman"/>
          <w:sz w:val="15"/>
          <w:szCs w:val="15"/>
          <w:color w:val="auto"/>
        </w:rPr>
      </w:pPr>
    </w:p>
    <w:p>
      <w:pPr>
        <w:jc w:val="both"/>
        <w:ind w:left="1920" w:right="79" w:hanging="341"/>
        <w:spacing w:after="0" w:line="270" w:lineRule="auto"/>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66" w:lineRule="exact"/>
        <w:rPr>
          <w:rFonts w:ascii="Times New Roman" w:cs="Times New Roman" w:eastAsia="Times New Roman" w:hAnsi="Times New Roman"/>
          <w:sz w:val="15"/>
          <w:szCs w:val="15"/>
          <w:color w:val="auto"/>
        </w:rPr>
      </w:pPr>
    </w:p>
    <w:p>
      <w:pPr>
        <w:ind w:left="1920" w:right="219" w:hanging="341"/>
        <w:spacing w:after="0" w:line="270" w:lineRule="auto"/>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66" w:lineRule="exact"/>
        <w:rPr>
          <w:rFonts w:ascii="Times New Roman" w:cs="Times New Roman" w:eastAsia="Times New Roman" w:hAnsi="Times New Roman"/>
          <w:sz w:val="15"/>
          <w:szCs w:val="15"/>
          <w:color w:val="auto"/>
        </w:rPr>
      </w:pPr>
    </w:p>
    <w:p>
      <w:pPr>
        <w:ind w:left="1920" w:right="59" w:hanging="341"/>
        <w:spacing w:after="0" w:line="287" w:lineRule="auto"/>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commercial success depends significantly on our ability to operate without infringing, misappropriating or otherwise violating the patents and other intellectual property and proprietary rights of third parties.</w:t>
      </w:r>
    </w:p>
    <w:p>
      <w:pPr>
        <w:spacing w:after="0" w:line="54" w:lineRule="exact"/>
        <w:rPr>
          <w:rFonts w:ascii="Times New Roman" w:cs="Times New Roman" w:eastAsia="Times New Roman" w:hAnsi="Times New Roman"/>
          <w:sz w:val="15"/>
          <w:szCs w:val="15"/>
          <w:color w:val="auto"/>
        </w:rPr>
      </w:pPr>
    </w:p>
    <w:p>
      <w:pPr>
        <w:ind w:left="1920" w:right="39" w:hanging="341"/>
        <w:spacing w:after="0" w:line="270" w:lineRule="auto"/>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66" w:lineRule="exact"/>
        <w:rPr>
          <w:rFonts w:ascii="Times New Roman" w:cs="Times New Roman" w:eastAsia="Times New Roman" w:hAnsi="Times New Roman"/>
          <w:sz w:val="15"/>
          <w:szCs w:val="15"/>
          <w:color w:val="auto"/>
        </w:rPr>
      </w:pPr>
    </w:p>
    <w:p>
      <w:pPr>
        <w:ind w:left="1920" w:hanging="341"/>
        <w:spacing w:after="0"/>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of a substantial number of shares of our common stock in the public market could cause our stock price to fall.</w:t>
      </w:r>
    </w:p>
    <w:p>
      <w:pPr>
        <w:spacing w:after="0" w:line="112" w:lineRule="exact"/>
        <w:rPr>
          <w:rFonts w:ascii="Times New Roman" w:cs="Times New Roman" w:eastAsia="Times New Roman" w:hAnsi="Times New Roman"/>
          <w:sz w:val="15"/>
          <w:szCs w:val="15"/>
          <w:color w:val="auto"/>
        </w:rPr>
      </w:pPr>
    </w:p>
    <w:p>
      <w:pPr>
        <w:ind w:left="1920" w:right="339" w:hanging="341"/>
        <w:spacing w:after="0" w:line="287" w:lineRule="auto"/>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operating results may fluctuate significantly, which makes our future operating results difficult to predict and could cause our operating results to fall below expectations or our guidance.</w:t>
      </w:r>
    </w:p>
    <w:p>
      <w:pPr>
        <w:spacing w:after="0" w:line="54" w:lineRule="exact"/>
        <w:rPr>
          <w:rFonts w:ascii="Times New Roman" w:cs="Times New Roman" w:eastAsia="Times New Roman" w:hAnsi="Times New Roman"/>
          <w:sz w:val="15"/>
          <w:szCs w:val="15"/>
          <w:color w:val="auto"/>
        </w:rPr>
      </w:pPr>
    </w:p>
    <w:p>
      <w:pPr>
        <w:jc w:val="both"/>
        <w:ind w:left="1920" w:right="79" w:hanging="341"/>
        <w:spacing w:after="0" w:line="270" w:lineRule="auto"/>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maintain compliance with the minimum listing requirements of the Nasdaq Global Select Market, our common stock will be subject to delisting. Our ability and your ability to publicly or privately sell equity securities and the liquidity of our common stock could be adversely affected if our common stock is delisted.</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105" w:lineRule="exact"/>
        <w:rPr>
          <w:sz w:val="20"/>
          <w:szCs w:val="20"/>
          <w:color w:val="auto"/>
        </w:rPr>
      </w:pPr>
    </w:p>
    <w:p>
      <w:pPr>
        <w:ind w:left="1140" w:right="199" w:firstLine="359"/>
        <w:spacing w:after="0" w:line="264" w:lineRule="auto"/>
        <w:rPr>
          <w:sz w:val="20"/>
          <w:szCs w:val="20"/>
          <w:color w:val="auto"/>
        </w:rPr>
      </w:pPr>
      <w:r>
        <w:rPr>
          <w:rFonts w:ascii="Times New Roman" w:cs="Times New Roman" w:eastAsia="Times New Roman" w:hAnsi="Times New Roman"/>
          <w:sz w:val="15"/>
          <w:szCs w:val="15"/>
          <w:color w:val="auto"/>
        </w:rPr>
        <w:t>We were incorporated in Delaware in August 2016. Our principal executive offices are located at 171 Oyster Point Boulevard, Suite 500, South San Francisco, CA 94080. Our telephone number is (650) 825-6990. Our website address is www.tenayatherapeutics.com. Information contained on, or accessible through, our website is not incorporated by reference into this prospectus supplement and should not be considered to be part of this prospectus supplement. The inclusion of our website address in this prospectus supplement is an inactive textual reference only.</w:t>
      </w:r>
    </w:p>
    <w:p>
      <w:pPr>
        <w:spacing w:after="0" w:line="151" w:lineRule="exact"/>
        <w:rPr>
          <w:sz w:val="20"/>
          <w:szCs w:val="20"/>
          <w:color w:val="auto"/>
        </w:rPr>
      </w:pPr>
    </w:p>
    <w:p>
      <w:pPr>
        <w:ind w:left="1140" w:right="59" w:firstLine="359"/>
        <w:spacing w:after="0" w:line="261" w:lineRule="auto"/>
        <w:rPr>
          <w:sz w:val="20"/>
          <w:szCs w:val="20"/>
          <w:color w:val="auto"/>
        </w:rPr>
      </w:pPr>
      <w:r>
        <w:rPr>
          <w:rFonts w:ascii="Times New Roman" w:cs="Times New Roman" w:eastAsia="Times New Roman" w:hAnsi="Times New Roman"/>
          <w:sz w:val="15"/>
          <w:szCs w:val="15"/>
          <w:color w:val="auto"/>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The SEC maintains a website that contains reports, proxy and information statements and other information regarding our filings at www.sec.gov.</w:t>
      </w:r>
    </w:p>
    <w:p>
      <w:pPr>
        <w:spacing w:after="0" w:line="25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S-8</w:t>
      </w:r>
    </w:p>
    <w:p>
      <w:pPr>
        <w:sectPr>
          <w:pgSz w:w="11900" w:h="16838" w:orient="portrait"/>
          <w:cols w:equalWidth="0" w:num="1">
            <w:col w:w="10139"/>
          </w:cols>
          <w:pgMar w:left="320" w:top="405"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181610</wp:posOffset>
            </wp:positionV>
            <wp:extent cx="5901690" cy="31489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5901690" cy="3148965"/>
                    </a:xfrm>
                    <a:prstGeom prst="rect">
                      <a:avLst/>
                    </a:prstGeom>
                    <a:noFill/>
                  </pic:spPr>
                </pic:pic>
              </a:graphicData>
            </a:graphic>
          </wp:anchor>
        </w:drawing>
      </w:r>
    </w:p>
    <w:p>
      <w:pPr>
        <w:spacing w:after="0" w:line="39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Implications of Being an Emerging Growth Company and a Smaller Reporting Company</w:t>
      </w:r>
    </w:p>
    <w:p>
      <w:pPr>
        <w:spacing w:after="0" w:line="105" w:lineRule="exact"/>
        <w:rPr>
          <w:sz w:val="20"/>
          <w:szCs w:val="20"/>
          <w:color w:val="auto"/>
        </w:rPr>
      </w:pPr>
    </w:p>
    <w:p>
      <w:pPr>
        <w:ind w:left="1140" w:right="179"/>
        <w:spacing w:after="0" w:line="263" w:lineRule="auto"/>
        <w:rPr>
          <w:sz w:val="20"/>
          <w:szCs w:val="20"/>
          <w:color w:val="auto"/>
        </w:rPr>
      </w:pPr>
      <w:r>
        <w:rPr>
          <w:rFonts w:ascii="Times New Roman" w:cs="Times New Roman" w:eastAsia="Times New Roman" w:hAnsi="Times New Roman"/>
          <w:sz w:val="15"/>
          <w:szCs w:val="15"/>
          <w:color w:val="auto"/>
        </w:rPr>
        <w:t>We are an “emerging growth company” as defined the Jumpstart Our Business Startups Act of 2012 (the JOBS Act). We will remain an emerging growth company until the earliest to occur of: (1) the last day of the fiscal year in which we have more than $1.235 billion in annual revenue;</w:t>
      </w:r>
    </w:p>
    <w:p>
      <w:pPr>
        <w:spacing w:after="0" w:line="1" w:lineRule="exact"/>
        <w:rPr>
          <w:sz w:val="20"/>
          <w:szCs w:val="20"/>
          <w:color w:val="auto"/>
        </w:rPr>
      </w:pPr>
    </w:p>
    <w:p>
      <w:pPr>
        <w:ind w:left="1140" w:right="39" w:hanging="5"/>
        <w:spacing w:after="0" w:line="254" w:lineRule="auto"/>
        <w:tabs>
          <w:tab w:leader="none" w:pos="1355"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 which will be December 31, 2026. As a result of this status, we have taken advantage of reduced reporting requirements in this prospectus and may elect to take advantage of other reduced reporting requirements in our future filings with the SEC. In particular, in this prospectus supplement, we have incorporated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we (1) are no longer an emerging growth company and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61" w:lineRule="exact"/>
        <w:rPr>
          <w:sz w:val="20"/>
          <w:szCs w:val="20"/>
          <w:color w:val="auto"/>
        </w:rPr>
      </w:pPr>
    </w:p>
    <w:p>
      <w:pPr>
        <w:ind w:left="1140" w:right="99"/>
        <w:spacing w:after="0" w:line="257" w:lineRule="auto"/>
        <w:rPr>
          <w:sz w:val="20"/>
          <w:szCs w:val="20"/>
          <w:color w:val="auto"/>
        </w:rPr>
      </w:pPr>
      <w:r>
        <w:rPr>
          <w:rFonts w:ascii="Times New Roman" w:cs="Times New Roman" w:eastAsia="Times New Roman" w:hAnsi="Times New Roman"/>
          <w:sz w:val="15"/>
          <w:szCs w:val="15"/>
          <w:color w:val="auto"/>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(1) the market value of our stock held by non-affiliates is less than $250 million or (2)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6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S-9</w:t>
      </w:r>
    </w:p>
    <w:p>
      <w:pPr>
        <w:sectPr>
          <w:pgSz w:w="11900" w:h="16838" w:orient="portrait"/>
          <w:cols w:equalWidth="0" w:num="1">
            <w:col w:w="10139"/>
          </w:cols>
          <w:pgMar w:left="320" w:top="405"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181610</wp:posOffset>
            </wp:positionV>
            <wp:extent cx="5901690" cy="46443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5901690" cy="4644390"/>
                    </a:xfrm>
                    <a:prstGeom prst="rect">
                      <a:avLst/>
                    </a:prstGeom>
                    <a:noFill/>
                  </pic:spPr>
                </pic:pic>
              </a:graphicData>
            </a:graphic>
          </wp:anchor>
        </w:drawing>
      </w:r>
    </w:p>
    <w:p>
      <w:pPr>
        <w:spacing w:after="0" w:line="399" w:lineRule="exact"/>
        <w:rPr>
          <w:sz w:val="20"/>
          <w:szCs w:val="20"/>
          <w:color w:val="auto"/>
        </w:rPr>
      </w:pPr>
    </w:p>
    <w:tbl>
      <w:tblPr>
        <w:tblLayout w:type="fixed"/>
        <w:tblInd w:w="1140" w:type="dxa"/>
        <w:tblCellMar>
          <w:top w:w="0" w:type="dxa"/>
          <w:left w:w="0" w:type="dxa"/>
          <w:bottom w:w="0" w:type="dxa"/>
          <w:right w:w="0" w:type="dxa"/>
        </w:tblCellMar>
      </w:tblPr>
      <w:tr>
        <w:trPr>
          <w:trHeight w:val="201"/>
        </w:trPr>
        <w:tc>
          <w:tcPr>
            <w:tcW w:w="3240" w:type="dxa"/>
            <w:vAlign w:val="bottom"/>
          </w:tcPr>
          <w:p>
            <w:pPr>
              <w:spacing w:after="0"/>
              <w:rPr>
                <w:sz w:val="17"/>
                <w:szCs w:val="17"/>
                <w:color w:val="auto"/>
              </w:rPr>
            </w:pPr>
          </w:p>
        </w:tc>
        <w:tc>
          <w:tcPr>
            <w:tcW w:w="5720" w:type="dxa"/>
            <w:vAlign w:val="bottom"/>
            <w:gridSpan w:val="5"/>
          </w:tcPr>
          <w:p>
            <w:pPr>
              <w:ind w:left="660"/>
              <w:spacing w:after="0"/>
              <w:rPr>
                <w:sz w:val="20"/>
                <w:szCs w:val="20"/>
                <w:color w:val="auto"/>
              </w:rPr>
            </w:pPr>
            <w:r>
              <w:rPr>
                <w:rFonts w:ascii="Times New Roman" w:cs="Times New Roman" w:eastAsia="Times New Roman" w:hAnsi="Times New Roman"/>
                <w:sz w:val="15"/>
                <w:szCs w:val="15"/>
                <w:b w:val="1"/>
                <w:bCs w:val="1"/>
                <w:color w:val="auto"/>
              </w:rPr>
              <w:t>THE OFFERING</w:t>
            </w:r>
          </w:p>
        </w:tc>
        <w:tc>
          <w:tcPr>
            <w:tcW w:w="0" w:type="dxa"/>
            <w:vAlign w:val="bottom"/>
          </w:tcPr>
          <w:p>
            <w:pPr>
              <w:spacing w:after="0"/>
              <w:rPr>
                <w:sz w:val="1"/>
                <w:szCs w:val="1"/>
                <w:color w:val="auto"/>
              </w:rPr>
            </w:pPr>
          </w:p>
        </w:tc>
      </w:tr>
      <w:tr>
        <w:trPr>
          <w:trHeight w:val="387"/>
        </w:trPr>
        <w:tc>
          <w:tcPr>
            <w:tcW w:w="3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Common Stock Offered by Us</w:t>
            </w:r>
          </w:p>
        </w:tc>
        <w:tc>
          <w:tcPr>
            <w:tcW w:w="572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auto"/>
              </w:rPr>
              <w:t>Shares of our common stock having an aggregate offering price of up to $69,820,000.</w:t>
            </w:r>
          </w:p>
        </w:tc>
        <w:tc>
          <w:tcPr>
            <w:tcW w:w="0" w:type="dxa"/>
            <w:vAlign w:val="bottom"/>
          </w:tcPr>
          <w:p>
            <w:pPr>
              <w:spacing w:after="0"/>
              <w:rPr>
                <w:sz w:val="1"/>
                <w:szCs w:val="1"/>
                <w:color w:val="auto"/>
              </w:rPr>
            </w:pPr>
          </w:p>
        </w:tc>
      </w:tr>
      <w:tr>
        <w:trPr>
          <w:trHeight w:val="281"/>
        </w:trPr>
        <w:tc>
          <w:tcPr>
            <w:tcW w:w="3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Common Stock Outstanding After this Offering</w:t>
            </w:r>
          </w:p>
        </w:tc>
        <w:tc>
          <w:tcPr>
            <w:tcW w:w="572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auto"/>
              </w:rPr>
              <w:t>Up to 106,579,148 shares, assuming the sale of $69,820,000 shares of our common stock in</w:t>
            </w:r>
          </w:p>
        </w:tc>
        <w:tc>
          <w:tcPr>
            <w:tcW w:w="0" w:type="dxa"/>
            <w:vAlign w:val="bottom"/>
          </w:tcPr>
          <w:p>
            <w:pPr>
              <w:spacing w:after="0"/>
              <w:rPr>
                <w:sz w:val="1"/>
                <w:szCs w:val="1"/>
                <w:color w:val="auto"/>
              </w:rPr>
            </w:pPr>
          </w:p>
        </w:tc>
      </w:tr>
      <w:tr>
        <w:trPr>
          <w:trHeight w:val="182"/>
        </w:trPr>
        <w:tc>
          <w:tcPr>
            <w:tcW w:w="3240" w:type="dxa"/>
            <w:vAlign w:val="bottom"/>
          </w:tcPr>
          <w:p>
            <w:pPr>
              <w:spacing w:after="0"/>
              <w:rPr>
                <w:sz w:val="15"/>
                <w:szCs w:val="15"/>
                <w:color w:val="auto"/>
              </w:rPr>
            </w:pPr>
          </w:p>
        </w:tc>
        <w:tc>
          <w:tcPr>
            <w:tcW w:w="572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auto"/>
              </w:rPr>
              <w:t>this offering at an offering price of $0.6551 per share, which was the closing price of our</w:t>
            </w:r>
          </w:p>
        </w:tc>
        <w:tc>
          <w:tcPr>
            <w:tcW w:w="0" w:type="dxa"/>
            <w:vAlign w:val="bottom"/>
          </w:tcPr>
          <w:p>
            <w:pPr>
              <w:spacing w:after="0"/>
              <w:rPr>
                <w:sz w:val="1"/>
                <w:szCs w:val="1"/>
                <w:color w:val="auto"/>
              </w:rPr>
            </w:pPr>
          </w:p>
        </w:tc>
      </w:tr>
      <w:tr>
        <w:trPr>
          <w:trHeight w:val="182"/>
        </w:trPr>
        <w:tc>
          <w:tcPr>
            <w:tcW w:w="3240" w:type="dxa"/>
            <w:vAlign w:val="bottom"/>
          </w:tcPr>
          <w:p>
            <w:pPr>
              <w:spacing w:after="0"/>
              <w:rPr>
                <w:sz w:val="15"/>
                <w:szCs w:val="15"/>
                <w:color w:val="auto"/>
              </w:rPr>
            </w:pPr>
          </w:p>
        </w:tc>
        <w:tc>
          <w:tcPr>
            <w:tcW w:w="572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auto"/>
              </w:rPr>
              <w:t>common stock on the Nasdaq Global Select Market on March 20, 2025. The actual number</w:t>
            </w:r>
          </w:p>
        </w:tc>
        <w:tc>
          <w:tcPr>
            <w:tcW w:w="0" w:type="dxa"/>
            <w:vAlign w:val="bottom"/>
          </w:tcPr>
          <w:p>
            <w:pPr>
              <w:spacing w:after="0"/>
              <w:rPr>
                <w:sz w:val="1"/>
                <w:szCs w:val="1"/>
                <w:color w:val="auto"/>
              </w:rPr>
            </w:pPr>
          </w:p>
        </w:tc>
      </w:tr>
      <w:tr>
        <w:trPr>
          <w:trHeight w:val="197"/>
        </w:trPr>
        <w:tc>
          <w:tcPr>
            <w:tcW w:w="3240" w:type="dxa"/>
            <w:vAlign w:val="bottom"/>
          </w:tcPr>
          <w:p>
            <w:pPr>
              <w:spacing w:after="0"/>
              <w:rPr>
                <w:sz w:val="17"/>
                <w:szCs w:val="17"/>
                <w:color w:val="auto"/>
              </w:rPr>
            </w:pPr>
          </w:p>
        </w:tc>
        <w:tc>
          <w:tcPr>
            <w:tcW w:w="572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auto"/>
              </w:rPr>
              <w:t>of shares issued will vary depending on the sales price under this offering.</w:t>
            </w:r>
          </w:p>
        </w:tc>
        <w:tc>
          <w:tcPr>
            <w:tcW w:w="0" w:type="dxa"/>
            <w:vAlign w:val="bottom"/>
          </w:tcPr>
          <w:p>
            <w:pPr>
              <w:spacing w:after="0"/>
              <w:rPr>
                <w:sz w:val="1"/>
                <w:szCs w:val="1"/>
                <w:color w:val="auto"/>
              </w:rPr>
            </w:pPr>
          </w:p>
        </w:tc>
      </w:tr>
      <w:tr>
        <w:trPr>
          <w:trHeight w:val="269"/>
        </w:trPr>
        <w:tc>
          <w:tcPr>
            <w:tcW w:w="3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Plan of Distribution</w:t>
            </w:r>
          </w:p>
        </w:tc>
        <w:tc>
          <w:tcPr>
            <w:tcW w:w="572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auto"/>
              </w:rPr>
              <w:t>“At the market offering” that may be made from time to time through our sales agent,</w:t>
            </w:r>
          </w:p>
        </w:tc>
        <w:tc>
          <w:tcPr>
            <w:tcW w:w="0" w:type="dxa"/>
            <w:vAlign w:val="bottom"/>
          </w:tcPr>
          <w:p>
            <w:pPr>
              <w:spacing w:after="0"/>
              <w:rPr>
                <w:sz w:val="1"/>
                <w:szCs w:val="1"/>
                <w:color w:val="auto"/>
              </w:rPr>
            </w:pPr>
          </w:p>
        </w:tc>
      </w:tr>
      <w:tr>
        <w:trPr>
          <w:trHeight w:val="163"/>
        </w:trPr>
        <w:tc>
          <w:tcPr>
            <w:tcW w:w="3240" w:type="dxa"/>
            <w:vAlign w:val="bottom"/>
          </w:tcPr>
          <w:p>
            <w:pPr>
              <w:spacing w:after="0"/>
              <w:rPr>
                <w:sz w:val="14"/>
                <w:szCs w:val="14"/>
                <w:color w:val="auto"/>
              </w:rPr>
            </w:pPr>
          </w:p>
        </w:tc>
        <w:tc>
          <w:tcPr>
            <w:tcW w:w="5720" w:type="dxa"/>
            <w:vAlign w:val="bottom"/>
            <w:gridSpan w:val="5"/>
          </w:tcPr>
          <w:p>
            <w:pPr>
              <w:ind w:left="160"/>
              <w:spacing w:after="0" w:line="163" w:lineRule="exact"/>
              <w:rPr>
                <w:sz w:val="20"/>
                <w:szCs w:val="20"/>
                <w:color w:val="auto"/>
              </w:rPr>
            </w:pPr>
            <w:r>
              <w:rPr>
                <w:rFonts w:ascii="Times New Roman" w:cs="Times New Roman" w:eastAsia="Times New Roman" w:hAnsi="Times New Roman"/>
                <w:sz w:val="15"/>
                <w:szCs w:val="15"/>
                <w:color w:val="auto"/>
              </w:rPr>
              <w:t>Leerink Partners. See “</w:t>
            </w:r>
            <w:r>
              <w:rPr>
                <w:rFonts w:ascii="Times New Roman" w:cs="Times New Roman" w:eastAsia="Times New Roman" w:hAnsi="Times New Roman"/>
                <w:sz w:val="15"/>
                <w:szCs w:val="15"/>
                <w:color w:val="0000EE"/>
              </w:rPr>
              <w:t>Plan of Distribution</w:t>
            </w:r>
            <w:r>
              <w:rPr>
                <w:rFonts w:ascii="Times New Roman" w:cs="Times New Roman" w:eastAsia="Times New Roman" w:hAnsi="Times New Roman"/>
                <w:sz w:val="15"/>
                <w:szCs w:val="15"/>
                <w:color w:val="auto"/>
              </w:rPr>
              <w:t>” on page S-20.</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Use of Proceeds</w:t>
            </w:r>
          </w:p>
        </w:tc>
        <w:tc>
          <w:tcPr>
            <w:tcW w:w="15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240" w:type="dxa"/>
            <w:vAlign w:val="bottom"/>
            <w:vMerge w:val="continue"/>
          </w:tcPr>
          <w:p>
            <w:pPr>
              <w:spacing w:after="0"/>
              <w:rPr>
                <w:sz w:val="24"/>
                <w:szCs w:val="24"/>
                <w:color w:val="auto"/>
              </w:rPr>
            </w:pPr>
          </w:p>
        </w:tc>
        <w:tc>
          <w:tcPr>
            <w:tcW w:w="572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auto"/>
              </w:rPr>
              <w:t>We intend to use the net proceeds from this offering, together with our existing cash, cash</w:t>
            </w:r>
          </w:p>
        </w:tc>
        <w:tc>
          <w:tcPr>
            <w:tcW w:w="0" w:type="dxa"/>
            <w:vAlign w:val="bottom"/>
          </w:tcPr>
          <w:p>
            <w:pPr>
              <w:spacing w:after="0"/>
              <w:rPr>
                <w:sz w:val="1"/>
                <w:szCs w:val="1"/>
                <w:color w:val="auto"/>
              </w:rPr>
            </w:pPr>
          </w:p>
        </w:tc>
      </w:tr>
      <w:tr>
        <w:trPr>
          <w:trHeight w:val="182"/>
        </w:trPr>
        <w:tc>
          <w:tcPr>
            <w:tcW w:w="3240" w:type="dxa"/>
            <w:vAlign w:val="bottom"/>
          </w:tcPr>
          <w:p>
            <w:pPr>
              <w:spacing w:after="0"/>
              <w:rPr>
                <w:sz w:val="15"/>
                <w:szCs w:val="15"/>
                <w:color w:val="auto"/>
              </w:rPr>
            </w:pPr>
          </w:p>
        </w:tc>
        <w:tc>
          <w:tcPr>
            <w:tcW w:w="572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auto"/>
              </w:rPr>
              <w:t>equivalents and marketable securities, to fund the ongoing and planned development of our</w:t>
            </w:r>
          </w:p>
        </w:tc>
        <w:tc>
          <w:tcPr>
            <w:tcW w:w="0" w:type="dxa"/>
            <w:vAlign w:val="bottom"/>
          </w:tcPr>
          <w:p>
            <w:pPr>
              <w:spacing w:after="0"/>
              <w:rPr>
                <w:sz w:val="1"/>
                <w:szCs w:val="1"/>
                <w:color w:val="auto"/>
              </w:rPr>
            </w:pPr>
          </w:p>
        </w:tc>
      </w:tr>
      <w:tr>
        <w:trPr>
          <w:trHeight w:val="182"/>
        </w:trPr>
        <w:tc>
          <w:tcPr>
            <w:tcW w:w="3240" w:type="dxa"/>
            <w:vAlign w:val="bottom"/>
          </w:tcPr>
          <w:p>
            <w:pPr>
              <w:spacing w:after="0"/>
              <w:rPr>
                <w:sz w:val="15"/>
                <w:szCs w:val="15"/>
                <w:color w:val="auto"/>
              </w:rPr>
            </w:pPr>
          </w:p>
        </w:tc>
        <w:tc>
          <w:tcPr>
            <w:tcW w:w="572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auto"/>
              </w:rPr>
              <w:t>clinical and early-stage product candidates, particularly TN-201 and TN-401, and for</w:t>
            </w:r>
          </w:p>
        </w:tc>
        <w:tc>
          <w:tcPr>
            <w:tcW w:w="0" w:type="dxa"/>
            <w:vAlign w:val="bottom"/>
          </w:tcPr>
          <w:p>
            <w:pPr>
              <w:spacing w:after="0"/>
              <w:rPr>
                <w:sz w:val="1"/>
                <w:szCs w:val="1"/>
                <w:color w:val="auto"/>
              </w:rPr>
            </w:pPr>
          </w:p>
        </w:tc>
      </w:tr>
      <w:tr>
        <w:trPr>
          <w:trHeight w:val="163"/>
        </w:trPr>
        <w:tc>
          <w:tcPr>
            <w:tcW w:w="3240" w:type="dxa"/>
            <w:vAlign w:val="bottom"/>
          </w:tcPr>
          <w:p>
            <w:pPr>
              <w:spacing w:after="0"/>
              <w:rPr>
                <w:sz w:val="14"/>
                <w:szCs w:val="14"/>
                <w:color w:val="auto"/>
              </w:rPr>
            </w:pPr>
          </w:p>
        </w:tc>
        <w:tc>
          <w:tcPr>
            <w:tcW w:w="5720" w:type="dxa"/>
            <w:vAlign w:val="bottom"/>
            <w:gridSpan w:val="5"/>
          </w:tcPr>
          <w:p>
            <w:pPr>
              <w:ind w:left="160"/>
              <w:spacing w:after="0" w:line="163" w:lineRule="exact"/>
              <w:rPr>
                <w:sz w:val="20"/>
                <w:szCs w:val="20"/>
                <w:color w:val="auto"/>
              </w:rPr>
            </w:pPr>
            <w:r>
              <w:rPr>
                <w:rFonts w:ascii="Times New Roman" w:cs="Times New Roman" w:eastAsia="Times New Roman" w:hAnsi="Times New Roman"/>
                <w:sz w:val="15"/>
                <w:szCs w:val="15"/>
                <w:color w:val="auto"/>
              </w:rPr>
              <w:t>working capital and other general corporate purposes. See “</w:t>
            </w:r>
            <w:r>
              <w:rPr>
                <w:rFonts w:ascii="Times New Roman" w:cs="Times New Roman" w:eastAsia="Times New Roman" w:hAnsi="Times New Roman"/>
                <w:sz w:val="15"/>
                <w:szCs w:val="15"/>
                <w:color w:val="0000EE"/>
              </w:rPr>
              <w:t>Use of Proceeds</w:t>
            </w:r>
            <w:r>
              <w:rPr>
                <w:rFonts w:ascii="Times New Roman" w:cs="Times New Roman" w:eastAsia="Times New Roman" w:hAnsi="Times New Roman"/>
                <w:sz w:val="15"/>
                <w:szCs w:val="15"/>
                <w:color w:val="auto"/>
              </w:rPr>
              <w:t>” on page S-14.</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Risk Factors</w:t>
            </w:r>
          </w:p>
        </w:tc>
        <w:tc>
          <w:tcPr>
            <w:tcW w:w="3780" w:type="dxa"/>
            <w:vAlign w:val="bottom"/>
            <w:gridSpan w:val="3"/>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240" w:type="dxa"/>
            <w:vAlign w:val="bottom"/>
            <w:vMerge w:val="continue"/>
          </w:tcPr>
          <w:p>
            <w:pPr>
              <w:spacing w:after="0"/>
              <w:rPr>
                <w:sz w:val="24"/>
                <w:szCs w:val="24"/>
                <w:color w:val="auto"/>
              </w:rPr>
            </w:pPr>
          </w:p>
        </w:tc>
        <w:tc>
          <w:tcPr>
            <w:tcW w:w="572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auto"/>
              </w:rPr>
              <w:t>Investing in our common stock involves significant risks. You should read the “Risk</w:t>
            </w:r>
          </w:p>
        </w:tc>
        <w:tc>
          <w:tcPr>
            <w:tcW w:w="0" w:type="dxa"/>
            <w:vAlign w:val="bottom"/>
          </w:tcPr>
          <w:p>
            <w:pPr>
              <w:spacing w:after="0"/>
              <w:rPr>
                <w:sz w:val="1"/>
                <w:szCs w:val="1"/>
                <w:color w:val="auto"/>
              </w:rPr>
            </w:pPr>
          </w:p>
        </w:tc>
      </w:tr>
      <w:tr>
        <w:trPr>
          <w:trHeight w:val="182"/>
        </w:trPr>
        <w:tc>
          <w:tcPr>
            <w:tcW w:w="3240" w:type="dxa"/>
            <w:vAlign w:val="bottom"/>
          </w:tcPr>
          <w:p>
            <w:pPr>
              <w:spacing w:after="0"/>
              <w:rPr>
                <w:sz w:val="15"/>
                <w:szCs w:val="15"/>
                <w:color w:val="auto"/>
              </w:rPr>
            </w:pPr>
          </w:p>
        </w:tc>
        <w:tc>
          <w:tcPr>
            <w:tcW w:w="572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auto"/>
              </w:rPr>
              <w:t>Factors” section of this prospectus supplement and in the documents incorporated by</w:t>
            </w:r>
          </w:p>
        </w:tc>
        <w:tc>
          <w:tcPr>
            <w:tcW w:w="0" w:type="dxa"/>
            <w:vAlign w:val="bottom"/>
          </w:tcPr>
          <w:p>
            <w:pPr>
              <w:spacing w:after="0"/>
              <w:rPr>
                <w:sz w:val="1"/>
                <w:szCs w:val="1"/>
                <w:color w:val="auto"/>
              </w:rPr>
            </w:pPr>
          </w:p>
        </w:tc>
      </w:tr>
      <w:tr>
        <w:trPr>
          <w:trHeight w:val="182"/>
        </w:trPr>
        <w:tc>
          <w:tcPr>
            <w:tcW w:w="3240" w:type="dxa"/>
            <w:vAlign w:val="bottom"/>
          </w:tcPr>
          <w:p>
            <w:pPr>
              <w:spacing w:after="0"/>
              <w:rPr>
                <w:sz w:val="15"/>
                <w:szCs w:val="15"/>
                <w:color w:val="auto"/>
              </w:rPr>
            </w:pPr>
          </w:p>
        </w:tc>
        <w:tc>
          <w:tcPr>
            <w:tcW w:w="572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auto"/>
              </w:rPr>
              <w:t>reference in this prospectus supplement and accompanying prospectus for a discussion of</w:t>
            </w:r>
          </w:p>
        </w:tc>
        <w:tc>
          <w:tcPr>
            <w:tcW w:w="0" w:type="dxa"/>
            <w:vAlign w:val="bottom"/>
          </w:tcPr>
          <w:p>
            <w:pPr>
              <w:spacing w:after="0"/>
              <w:rPr>
                <w:sz w:val="1"/>
                <w:szCs w:val="1"/>
                <w:color w:val="auto"/>
              </w:rPr>
            </w:pPr>
          </w:p>
        </w:tc>
      </w:tr>
      <w:tr>
        <w:trPr>
          <w:trHeight w:val="197"/>
        </w:trPr>
        <w:tc>
          <w:tcPr>
            <w:tcW w:w="3240" w:type="dxa"/>
            <w:vAlign w:val="bottom"/>
          </w:tcPr>
          <w:p>
            <w:pPr>
              <w:spacing w:after="0"/>
              <w:rPr>
                <w:sz w:val="17"/>
                <w:szCs w:val="17"/>
                <w:color w:val="auto"/>
              </w:rPr>
            </w:pPr>
          </w:p>
        </w:tc>
        <w:tc>
          <w:tcPr>
            <w:tcW w:w="572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auto"/>
              </w:rPr>
              <w:t>factors to consider carefully before deciding to purchase shares of our common stock.</w:t>
            </w:r>
          </w:p>
        </w:tc>
        <w:tc>
          <w:tcPr>
            <w:tcW w:w="0" w:type="dxa"/>
            <w:vAlign w:val="bottom"/>
          </w:tcPr>
          <w:p>
            <w:pPr>
              <w:spacing w:after="0"/>
              <w:rPr>
                <w:sz w:val="1"/>
                <w:szCs w:val="1"/>
                <w:color w:val="auto"/>
              </w:rPr>
            </w:pPr>
          </w:p>
        </w:tc>
      </w:tr>
      <w:tr>
        <w:trPr>
          <w:trHeight w:val="284"/>
        </w:trPr>
        <w:tc>
          <w:tcPr>
            <w:tcW w:w="3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Nasdaq Global Select Market Symbol</w:t>
            </w:r>
          </w:p>
        </w:tc>
        <w:tc>
          <w:tcPr>
            <w:tcW w:w="572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auto"/>
              </w:rPr>
              <w:t>“TNYA”</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left="1140" w:right="59" w:firstLine="359"/>
        <w:spacing w:after="0" w:line="287" w:lineRule="auto"/>
        <w:rPr>
          <w:sz w:val="20"/>
          <w:szCs w:val="20"/>
          <w:color w:val="auto"/>
        </w:rPr>
      </w:pPr>
      <w:r>
        <w:rPr>
          <w:rFonts w:ascii="Times New Roman" w:cs="Times New Roman" w:eastAsia="Times New Roman" w:hAnsi="Times New Roman"/>
          <w:sz w:val="15"/>
          <w:szCs w:val="15"/>
          <w:color w:val="auto"/>
        </w:rPr>
        <w:t>The number of shares of our common stock outstanding after this offering is based on 86,542,340 shares of our common stock outstanding as of December 31, 2024, and excludes:</w:t>
      </w:r>
    </w:p>
    <w:p>
      <w:pPr>
        <w:spacing w:after="0" w:line="54" w:lineRule="exact"/>
        <w:rPr>
          <w:sz w:val="20"/>
          <w:szCs w:val="20"/>
          <w:color w:val="auto"/>
        </w:rPr>
      </w:pPr>
    </w:p>
    <w:p>
      <w:pPr>
        <w:ind w:left="1920" w:right="179" w:hanging="341"/>
        <w:spacing w:after="0" w:line="287" w:lineRule="auto"/>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822,566 shares of common stock sold through our ATM program subsequent to December 31, 2024, at an average price of $1.45 per share;</w:t>
      </w:r>
    </w:p>
    <w:p>
      <w:pPr>
        <w:spacing w:after="0" w:line="54" w:lineRule="exact"/>
        <w:rPr>
          <w:rFonts w:ascii="Times New Roman" w:cs="Times New Roman" w:eastAsia="Times New Roman" w:hAnsi="Times New Roman"/>
          <w:sz w:val="15"/>
          <w:szCs w:val="15"/>
          <w:color w:val="auto"/>
        </w:rPr>
      </w:pPr>
    </w:p>
    <w:p>
      <w:pPr>
        <w:ind w:left="1920" w:right="179" w:hanging="341"/>
        <w:spacing w:after="0" w:line="270" w:lineRule="auto"/>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9,253,976 shares of common stock issuable upon exercise of stock options outstanding as of December 31, 2024, at a weighted-average exercise price of $6.51 per share (prior to taking into effect the repricing of options effected by the Company on January 24, 2025, and February 6, 2025);</w:t>
      </w:r>
    </w:p>
    <w:p>
      <w:pPr>
        <w:spacing w:after="0" w:line="66" w:lineRule="exact"/>
        <w:rPr>
          <w:rFonts w:ascii="Times New Roman" w:cs="Times New Roman" w:eastAsia="Times New Roman" w:hAnsi="Times New Roman"/>
          <w:sz w:val="15"/>
          <w:szCs w:val="15"/>
          <w:color w:val="auto"/>
        </w:rPr>
      </w:pPr>
    </w:p>
    <w:p>
      <w:pPr>
        <w:ind w:left="1920" w:right="119" w:hanging="341"/>
        <w:spacing w:after="0" w:line="287" w:lineRule="auto"/>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2,280,125 shares of our common stock issuable upon the exercise of options granted subsequent to December 31, 2024, at a weighted average exercise price of $1.15 per share;</w:t>
      </w:r>
    </w:p>
    <w:p>
      <w:pPr>
        <w:spacing w:after="0" w:line="54" w:lineRule="exact"/>
        <w:rPr>
          <w:rFonts w:ascii="Times New Roman" w:cs="Times New Roman" w:eastAsia="Times New Roman" w:hAnsi="Times New Roman"/>
          <w:sz w:val="15"/>
          <w:szCs w:val="15"/>
          <w:color w:val="auto"/>
        </w:rPr>
      </w:pPr>
    </w:p>
    <w:p>
      <w:pPr>
        <w:ind w:left="1920" w:hanging="341"/>
        <w:spacing w:after="0"/>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1,354,178 shares of common stock issuable upon vesting of restricted stock units outstanding as of December 31, 2024;</w:t>
      </w:r>
    </w:p>
    <w:p>
      <w:pPr>
        <w:spacing w:after="0" w:line="112" w:lineRule="exact"/>
        <w:rPr>
          <w:rFonts w:ascii="Times New Roman" w:cs="Times New Roman" w:eastAsia="Times New Roman" w:hAnsi="Times New Roman"/>
          <w:sz w:val="15"/>
          <w:szCs w:val="15"/>
          <w:color w:val="auto"/>
        </w:rPr>
      </w:pPr>
    </w:p>
    <w:p>
      <w:pPr>
        <w:ind w:left="1920" w:hanging="341"/>
        <w:spacing w:after="0"/>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1,441,353 shares of common stock issuable upon vesting of restricted stock units granted subsequent to December 31, 2024;</w:t>
      </w:r>
    </w:p>
    <w:p>
      <w:pPr>
        <w:spacing w:after="0" w:line="112" w:lineRule="exact"/>
        <w:rPr>
          <w:rFonts w:ascii="Times New Roman" w:cs="Times New Roman" w:eastAsia="Times New Roman" w:hAnsi="Times New Roman"/>
          <w:sz w:val="15"/>
          <w:szCs w:val="15"/>
          <w:color w:val="auto"/>
        </w:rPr>
      </w:pPr>
    </w:p>
    <w:p>
      <w:pPr>
        <w:ind w:left="1920" w:right="379" w:hanging="341"/>
        <w:spacing w:after="0" w:line="287" w:lineRule="auto"/>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171,848 shares of common stock issuable upon exercise of warrants outstanding as of December 31, 2024, at an exercise price of $2.55 per share;</w:t>
      </w:r>
    </w:p>
    <w:p>
      <w:pPr>
        <w:spacing w:after="0" w:line="23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S-10</w:t>
      </w:r>
    </w:p>
    <w:p>
      <w:pPr>
        <w:sectPr>
          <w:pgSz w:w="11900" w:h="16838" w:orient="portrait"/>
          <w:cols w:equalWidth="0" w:num="1">
            <w:col w:w="10139"/>
          </w:cols>
          <w:pgMar w:left="320" w:top="405"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181610</wp:posOffset>
            </wp:positionV>
            <wp:extent cx="5901690" cy="24911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5901690" cy="24911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1920" w:right="279" w:hanging="341"/>
        <w:spacing w:after="0" w:line="270" w:lineRule="auto"/>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5,253,087 shares of common stock reserved for issuance under our 2021 Equity Incentive Plan (the 2021 Plan) as of December 31, 2024, as well as shares that become available pursuant to provisions in our 2021 Plan that automatically increase the share reserve thereunder each year;</w:t>
      </w:r>
    </w:p>
    <w:p>
      <w:pPr>
        <w:spacing w:after="0" w:line="66" w:lineRule="exact"/>
        <w:rPr>
          <w:rFonts w:ascii="Times New Roman" w:cs="Times New Roman" w:eastAsia="Times New Roman" w:hAnsi="Times New Roman"/>
          <w:sz w:val="15"/>
          <w:szCs w:val="15"/>
          <w:color w:val="auto"/>
        </w:rPr>
      </w:pPr>
    </w:p>
    <w:p>
      <w:pPr>
        <w:ind w:left="1920" w:right="419" w:hanging="341"/>
        <w:spacing w:after="0" w:line="287" w:lineRule="auto"/>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1,188,000 shares of common stock reserved for issuance under our 2024 Inducement Equity Incentive Plan (the 2024 Plan) as of December 31, 2024;</w:t>
      </w:r>
    </w:p>
    <w:p>
      <w:pPr>
        <w:spacing w:after="0" w:line="54" w:lineRule="exact"/>
        <w:rPr>
          <w:rFonts w:ascii="Times New Roman" w:cs="Times New Roman" w:eastAsia="Times New Roman" w:hAnsi="Times New Roman"/>
          <w:sz w:val="15"/>
          <w:szCs w:val="15"/>
          <w:color w:val="auto"/>
        </w:rPr>
      </w:pPr>
    </w:p>
    <w:p>
      <w:pPr>
        <w:ind w:left="1920" w:right="199" w:hanging="341"/>
        <w:spacing w:after="0" w:line="270" w:lineRule="auto"/>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2,465,077 shares of common stock reserved for issuance under our 2021 Employee Stock Purchase Plan (the 2021 ESPP) as of December 31, 2024, as well as shares that become available pursuant to provisions in our 2021 ESPP that automatically increase the share reserve thereunder each year;</w:t>
      </w:r>
    </w:p>
    <w:p>
      <w:pPr>
        <w:spacing w:after="0" w:line="66" w:lineRule="exact"/>
        <w:rPr>
          <w:rFonts w:ascii="Times New Roman" w:cs="Times New Roman" w:eastAsia="Times New Roman" w:hAnsi="Times New Roman"/>
          <w:sz w:val="15"/>
          <w:szCs w:val="15"/>
          <w:color w:val="auto"/>
        </w:rPr>
      </w:pPr>
    </w:p>
    <w:p>
      <w:pPr>
        <w:ind w:left="1920" w:hanging="341"/>
        <w:spacing w:after="0"/>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75,000,000 shares of common stock issued in our underwritten public offering on March 5, 2025;</w:t>
      </w:r>
    </w:p>
    <w:p>
      <w:pPr>
        <w:spacing w:after="0" w:line="112" w:lineRule="exact"/>
        <w:rPr>
          <w:rFonts w:ascii="Times New Roman" w:cs="Times New Roman" w:eastAsia="Times New Roman" w:hAnsi="Times New Roman"/>
          <w:sz w:val="15"/>
          <w:szCs w:val="15"/>
          <w:color w:val="auto"/>
        </w:rPr>
      </w:pPr>
    </w:p>
    <w:p>
      <w:pPr>
        <w:ind w:left="1920" w:right="399" w:hanging="341"/>
        <w:spacing w:after="0" w:line="287" w:lineRule="auto"/>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75,000,000 shares of common stock issuable upon exercise of Series A warrants issued on March 5, 2025, at an exercise price of $0.80 per share (the Series A Warrants); and</w:t>
      </w:r>
    </w:p>
    <w:p>
      <w:pPr>
        <w:spacing w:after="0" w:line="54" w:lineRule="exact"/>
        <w:rPr>
          <w:rFonts w:ascii="Times New Roman" w:cs="Times New Roman" w:eastAsia="Times New Roman" w:hAnsi="Times New Roman"/>
          <w:sz w:val="15"/>
          <w:szCs w:val="15"/>
          <w:color w:val="auto"/>
        </w:rPr>
      </w:pPr>
    </w:p>
    <w:p>
      <w:pPr>
        <w:ind w:left="1920" w:right="419" w:hanging="341"/>
        <w:spacing w:after="0" w:line="287" w:lineRule="auto"/>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37,500,000 shares of common stock issuable upon exercise of Series B warrants issued on March 5, 2025, at an exercise price of $0.70 per share (the Series B Warrants).</w:t>
      </w:r>
    </w:p>
    <w:p>
      <w:pPr>
        <w:spacing w:after="0" w:line="134" w:lineRule="exact"/>
        <w:rPr>
          <w:sz w:val="20"/>
          <w:szCs w:val="20"/>
          <w:color w:val="auto"/>
        </w:rPr>
      </w:pPr>
    </w:p>
    <w:p>
      <w:pPr>
        <w:ind w:left="1140" w:right="99" w:firstLine="359"/>
        <w:spacing w:after="0" w:line="270" w:lineRule="auto"/>
        <w:rPr>
          <w:sz w:val="20"/>
          <w:szCs w:val="20"/>
          <w:color w:val="auto"/>
        </w:rPr>
      </w:pPr>
      <w:r>
        <w:rPr>
          <w:rFonts w:ascii="Times New Roman" w:cs="Times New Roman" w:eastAsia="Times New Roman" w:hAnsi="Times New Roman"/>
          <w:sz w:val="15"/>
          <w:szCs w:val="15"/>
          <w:color w:val="auto"/>
        </w:rPr>
        <w:t>Unless otherwise indicated, all information in this prospectus supplement assumes no exercise or settlement of the outstanding options or warrants or vesting of outstanding restricted stock units or other equity awards described above, no grant of additional awards under our 2021 Plan and 2024 Plan, no issuance of shares under the 2021 ESPP, no issuance of shares under the ATM program, in each case, after December 31, 2024.</w:t>
      </w:r>
    </w:p>
    <w:p>
      <w:pPr>
        <w:spacing w:after="0" w:line="24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S-11</w:t>
      </w:r>
    </w:p>
    <w:p>
      <w:pPr>
        <w:sectPr>
          <w:pgSz w:w="11900" w:h="16838" w:orient="portrait"/>
          <w:cols w:equalWidth="0" w:num="1">
            <w:col w:w="10139"/>
          </w:cols>
          <w:pgMar w:left="320" w:top="406"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96" w:lineRule="exact"/>
        <w:rPr>
          <w:sz w:val="20"/>
          <w:szCs w:val="20"/>
          <w:color w:val="auto"/>
        </w:rPr>
      </w:pPr>
    </w:p>
    <w:p>
      <w:pPr>
        <w:ind w:left="980" w:right="100" w:firstLine="371"/>
        <w:spacing w:after="0" w:line="259" w:lineRule="auto"/>
        <w:rPr>
          <w:sz w:val="20"/>
          <w:szCs w:val="20"/>
          <w:color w:val="auto"/>
        </w:rPr>
      </w:pPr>
      <w:r>
        <w:rPr>
          <w:rFonts w:ascii="Times New Roman" w:cs="Times New Roman" w:eastAsia="Times New Roman" w:hAnsi="Times New Roman"/>
          <w:sz w:val="15"/>
          <w:szCs w:val="15"/>
          <w:color w:val="auto"/>
        </w:rPr>
        <w:t>Investing in our securities involves a high degree of risk. Before making a decision to invest in our securities, in addition to carefully considering the other information contained in this prospectus supplement, in the accompanying prospectus and incorporated by reference herein or therein, you should carefully consider the risks described under the caption “Risk Factors” contained in the accompanying prospectus, and any related free writing prospectus, and the risks discussed under the caption “Risk Factors” contained in our most recent annual report on Form 10-K and in our most recent quarterly reports on Form 10-Q, as well as any amendments thereto, which are incorporated by reference into this prospectus supplement in their entirety, together with other information in this prospectus supplement, the documents incorporated by reference, and any free writing prospectus that we may authorize for use in connection with a specific offering. See “Where You Can Find More Information” and “Incorporation by Reference.”</w:t>
      </w:r>
    </w:p>
    <w:p>
      <w:pPr>
        <w:spacing w:after="0" w:line="2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Risks Related to this Offering</w:t>
      </w:r>
    </w:p>
    <w:p>
      <w:pPr>
        <w:spacing w:after="0" w:line="10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b w:val="1"/>
          <w:bCs w:val="1"/>
          <w:i w:val="1"/>
          <w:iCs w:val="1"/>
          <w:color w:val="auto"/>
        </w:rPr>
        <w:t>Sales of a substantial number of shares of our common stock in the public market could cause our stock price to fall.</w:t>
      </w:r>
    </w:p>
    <w:p>
      <w:pPr>
        <w:spacing w:after="0" w:line="196" w:lineRule="exact"/>
        <w:rPr>
          <w:sz w:val="20"/>
          <w:szCs w:val="20"/>
          <w:color w:val="auto"/>
        </w:rPr>
      </w:pPr>
    </w:p>
    <w:p>
      <w:pPr>
        <w:ind w:left="980" w:right="80" w:firstLine="371"/>
        <w:spacing w:after="0" w:line="261" w:lineRule="auto"/>
        <w:rPr>
          <w:sz w:val="20"/>
          <w:szCs w:val="20"/>
          <w:color w:val="auto"/>
        </w:rPr>
      </w:pPr>
      <w:r>
        <w:rPr>
          <w:rFonts w:ascii="Times New Roman" w:cs="Times New Roman" w:eastAsia="Times New Roman" w:hAnsi="Times New Roman"/>
          <w:sz w:val="15"/>
          <w:szCs w:val="15"/>
          <w:color w:val="auto"/>
        </w:rPr>
        <w:t>Sales of a substantial number of shares of our common stock in the public market could occur at any time. As of December 31, 2024, we had 86,542,340 shares of our common stock outstanding and outstanding warrants to purchase 171,848 shares of our common stock. On March 5, 2025, we issued 75,000,000 shares of common stock, Series A Warrants to purchase 75,000,000 shares of common stock and Series B Warrants to purchase 37,5000,000 shares of common stock. If our stockholders sell, or the market perceives that our stockholders intend to sell, a substantial amount of our common stock in the public market, the market price of our common stock could decline significantly.</w:t>
      </w:r>
    </w:p>
    <w:p>
      <w:pPr>
        <w:spacing w:after="0" w:line="155" w:lineRule="exact"/>
        <w:rPr>
          <w:sz w:val="20"/>
          <w:szCs w:val="20"/>
          <w:color w:val="auto"/>
        </w:rPr>
      </w:pPr>
    </w:p>
    <w:p>
      <w:pPr>
        <w:ind w:left="980" w:right="40" w:firstLine="371"/>
        <w:spacing w:after="0" w:line="270" w:lineRule="auto"/>
        <w:rPr>
          <w:sz w:val="20"/>
          <w:szCs w:val="20"/>
          <w:color w:val="auto"/>
        </w:rPr>
      </w:pPr>
      <w:r>
        <w:rPr>
          <w:rFonts w:ascii="Times New Roman" w:cs="Times New Roman" w:eastAsia="Times New Roman" w:hAnsi="Times New Roman"/>
          <w:sz w:val="15"/>
          <w:szCs w:val="15"/>
          <w:color w:val="auto"/>
        </w:rPr>
        <w:t>Shares issued upon the exercise of stock options or the vesting of restricted stock units outstanding under our equity incentive plans or pursuant to future awards granted under those plans will become available for sale in the public market to the extent permitted by the provisions of applicable vesting schedules and by Rule 144 and by Rule 701 under the Securities Act.</w:t>
      </w:r>
    </w:p>
    <w:p>
      <w:pPr>
        <w:spacing w:after="0" w:line="146" w:lineRule="exact"/>
        <w:rPr>
          <w:sz w:val="20"/>
          <w:szCs w:val="20"/>
          <w:color w:val="auto"/>
        </w:rPr>
      </w:pPr>
    </w:p>
    <w:p>
      <w:pPr>
        <w:jc w:val="both"/>
        <w:ind w:left="980" w:firstLine="371"/>
        <w:spacing w:after="0" w:line="264" w:lineRule="auto"/>
        <w:rPr>
          <w:sz w:val="20"/>
          <w:szCs w:val="20"/>
          <w:color w:val="auto"/>
        </w:rPr>
      </w:pPr>
      <w:r>
        <w:rPr>
          <w:rFonts w:ascii="Times New Roman" w:cs="Times New Roman" w:eastAsia="Times New Roman" w:hAnsi="Times New Roman"/>
          <w:sz w:val="15"/>
          <w:szCs w:val="15"/>
          <w:color w:val="auto"/>
        </w:rPr>
        <w:t>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147" w:lineRule="exact"/>
        <w:rPr>
          <w:sz w:val="20"/>
          <w:szCs w:val="20"/>
          <w:color w:val="auto"/>
        </w:rPr>
      </w:pPr>
    </w:p>
    <w:p>
      <w:pPr>
        <w:ind w:left="980" w:right="60" w:firstLine="371"/>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Our management team will have broad discretion to use the net proceeds from this offering and its investment of these proceeds may not yield a favorable return.</w:t>
      </w:r>
    </w:p>
    <w:p>
      <w:pPr>
        <w:spacing w:after="0" w:line="129" w:lineRule="exact"/>
        <w:rPr>
          <w:sz w:val="20"/>
          <w:szCs w:val="20"/>
          <w:color w:val="auto"/>
        </w:rPr>
      </w:pPr>
    </w:p>
    <w:p>
      <w:pPr>
        <w:ind w:left="980" w:right="60" w:firstLine="371"/>
        <w:spacing w:after="0" w:line="258" w:lineRule="auto"/>
        <w:rPr>
          <w:sz w:val="20"/>
          <w:szCs w:val="20"/>
          <w:color w:val="auto"/>
        </w:rPr>
      </w:pPr>
      <w:r>
        <w:rPr>
          <w:rFonts w:ascii="Times New Roman" w:cs="Times New Roman" w:eastAsia="Times New Roman" w:hAnsi="Times New Roman"/>
          <w:sz w:val="15"/>
          <w:szCs w:val="15"/>
          <w:color w:val="auto"/>
        </w:rPr>
        <w:t>Our management team will have broad discretion in the application of the net proceeds from this offering and could spend or invest the proceeds in ways that may not yield a favorable return or enhance the value of our common stock. Accordingly, investors will need to rely on our management team’s judgment with respect to the use of these proceeds. We intend to use the proceeds from this offering in the manner described in the section titled “Use of Proceeds.” The failure by management to apply these funds effectively could negatively affect our ability to operate and grow our business. We cannot specify with certainty all of the particular uses for the net proceeds to be received upon the completion of this offering. In addition, the amount, allocation and timing of our actual expenditures will depend upon numerous factors, including any milestone payments received from any future strategic partnerships. Accordingly, we will have broad discretion in using these proceeds. Until the net proceeds are used, they may be placed in investments that do not produce significant income or that may lose value.</w:t>
      </w:r>
    </w:p>
    <w:p>
      <w:pPr>
        <w:spacing w:after="0" w:line="9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S-12</w:t>
      </w:r>
    </w:p>
    <w:p>
      <w:pPr>
        <w:sectPr>
          <w:pgSz w:w="11900" w:h="16838" w:orient="portrait"/>
          <w:cols w:equalWidth="0" w:num="1">
            <w:col w:w="10260"/>
          </w:cols>
          <w:pgMar w:left="320" w:top="405" w:right="1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ind w:left="980" w:right="80" w:firstLine="371"/>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29" w:lineRule="exact"/>
        <w:rPr>
          <w:sz w:val="20"/>
          <w:szCs w:val="20"/>
          <w:color w:val="auto"/>
        </w:rPr>
      </w:pPr>
    </w:p>
    <w:p>
      <w:pPr>
        <w:ind w:left="980" w:right="100" w:firstLine="371"/>
        <w:spacing w:after="0" w:line="259" w:lineRule="auto"/>
        <w:rPr>
          <w:sz w:val="20"/>
          <w:szCs w:val="20"/>
          <w:color w:val="auto"/>
        </w:rPr>
      </w:pPr>
      <w:r>
        <w:rPr>
          <w:rFonts w:ascii="Times New Roman" w:cs="Times New Roman" w:eastAsia="Times New Roman" w:hAnsi="Times New Roman"/>
          <w:sz w:val="15"/>
          <w:szCs w:val="15"/>
          <w:color w:val="auto"/>
        </w:rPr>
        <w:t>Our quarterly and annual operating results may fluctuate significantly in the future due to a variety of factors, many of which are outside of our control and may be difficult to predict. 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w:t>
      </w:r>
    </w:p>
    <w:p>
      <w:pPr>
        <w:spacing w:after="0" w:line="1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b w:val="1"/>
          <w:bCs w:val="1"/>
          <w:i w:val="1"/>
          <w:iCs w:val="1"/>
          <w:color w:val="auto"/>
        </w:rPr>
        <w:t>We do not anticipate paying cash dividends and, accordingly, stockholders must rely on share appreciation for any return on their investment.</w:t>
      </w:r>
    </w:p>
    <w:p>
      <w:pPr>
        <w:spacing w:after="0" w:line="196" w:lineRule="exact"/>
        <w:rPr>
          <w:sz w:val="20"/>
          <w:szCs w:val="20"/>
          <w:color w:val="auto"/>
        </w:rPr>
      </w:pPr>
    </w:p>
    <w:p>
      <w:pPr>
        <w:ind w:left="980" w:right="180" w:firstLine="371"/>
        <w:spacing w:after="0" w:line="264" w:lineRule="auto"/>
        <w:rPr>
          <w:sz w:val="20"/>
          <w:szCs w:val="20"/>
          <w:color w:val="auto"/>
        </w:rPr>
      </w:pPr>
      <w:r>
        <w:rPr>
          <w:rFonts w:ascii="Times New Roman" w:cs="Times New Roman" w:eastAsia="Times New Roman" w:hAnsi="Times New Roman"/>
          <w:sz w:val="15"/>
          <w:szCs w:val="15"/>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As a result, capital appreciation, if any, of our common stock will be your sole source of gain on your investment for the foreseeable future. Investors seeking cash dividends should not invest in our common stock.</w:t>
      </w:r>
    </w:p>
    <w:p>
      <w:pPr>
        <w:spacing w:after="0" w:line="147" w:lineRule="exact"/>
        <w:rPr>
          <w:sz w:val="20"/>
          <w:szCs w:val="20"/>
          <w:color w:val="auto"/>
        </w:rPr>
      </w:pPr>
    </w:p>
    <w:p>
      <w:pPr>
        <w:ind w:left="980" w:right="320" w:firstLine="371"/>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Raising additional capital may cause dilution to our stockholders, including purchasers of our common stock in this offering, restrict our operations or require us to relinquish substantial rights.</w:t>
      </w:r>
    </w:p>
    <w:p>
      <w:pPr>
        <w:spacing w:after="0" w:line="129" w:lineRule="exact"/>
        <w:rPr>
          <w:sz w:val="20"/>
          <w:szCs w:val="20"/>
          <w:color w:val="auto"/>
        </w:rPr>
      </w:pPr>
    </w:p>
    <w:p>
      <w:pPr>
        <w:ind w:left="980" w:firstLine="371"/>
        <w:spacing w:after="0" w:line="257" w:lineRule="auto"/>
        <w:rPr>
          <w:sz w:val="20"/>
          <w:szCs w:val="20"/>
          <w:color w:val="auto"/>
        </w:rPr>
      </w:pPr>
      <w:r>
        <w:rPr>
          <w:rFonts w:ascii="Times New Roman" w:cs="Times New Roman" w:eastAsia="Times New Roman" w:hAnsi="Times New Roman"/>
          <w:sz w:val="15"/>
          <w:szCs w:val="15"/>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preclinical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152" w:lineRule="exact"/>
        <w:rPr>
          <w:sz w:val="20"/>
          <w:szCs w:val="20"/>
          <w:color w:val="auto"/>
        </w:rPr>
      </w:pPr>
    </w:p>
    <w:p>
      <w:pPr>
        <w:ind w:left="980" w:right="140"/>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The common stock offered hereby will be sold in “at the market offerings,” and investors who buy shares at different times will likely pay different prices.</w:t>
      </w:r>
    </w:p>
    <w:p>
      <w:pPr>
        <w:spacing w:after="0" w:line="38" w:lineRule="exact"/>
        <w:rPr>
          <w:sz w:val="20"/>
          <w:szCs w:val="20"/>
          <w:color w:val="auto"/>
        </w:rPr>
      </w:pPr>
    </w:p>
    <w:p>
      <w:pPr>
        <w:ind w:left="980" w:firstLine="371"/>
        <w:spacing w:after="0" w:line="261" w:lineRule="auto"/>
        <w:rPr>
          <w:sz w:val="20"/>
          <w:szCs w:val="20"/>
          <w:color w:val="auto"/>
        </w:rPr>
      </w:pPr>
      <w:r>
        <w:rPr>
          <w:rFonts w:ascii="Times New Roman" w:cs="Times New Roman" w:eastAsia="Times New Roman" w:hAnsi="Times New Roman"/>
          <w:sz w:val="15"/>
          <w:szCs w:val="15"/>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and the terms of the sales agreement,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28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S-13</w:t>
      </w:r>
    </w:p>
    <w:p>
      <w:pPr>
        <w:sectPr>
          <w:pgSz w:w="11900" w:h="16838" w:orient="portrait"/>
          <w:cols w:equalWidth="0" w:num="1">
            <w:col w:w="10240"/>
          </w:cols>
          <w:pgMar w:left="320" w:top="405" w:right="1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96" w:lineRule="exact"/>
        <w:rPr>
          <w:sz w:val="20"/>
          <w:szCs w:val="20"/>
          <w:color w:val="auto"/>
        </w:rPr>
      </w:pPr>
    </w:p>
    <w:p>
      <w:pPr>
        <w:ind w:left="980" w:right="120" w:firstLine="371"/>
        <w:spacing w:after="0" w:line="264" w:lineRule="auto"/>
        <w:rPr>
          <w:sz w:val="20"/>
          <w:szCs w:val="20"/>
          <w:color w:val="auto"/>
        </w:rPr>
      </w:pPr>
      <w:r>
        <w:rPr>
          <w:rFonts w:ascii="Times New Roman" w:cs="Times New Roman" w:eastAsia="Times New Roman" w:hAnsi="Times New Roman"/>
          <w:sz w:val="15"/>
          <w:szCs w:val="15"/>
          <w:color w:val="auto"/>
        </w:rPr>
        <w:t>We may issue and sell shares of our common stock having an aggregate gross sales proceeds of up to $69,820,000 from time to time pursuant to the sales agreement. The amount of proceeds from this offering will depend upon the number of shares of our common stock sold and the market price at which they are sold. Because there is no minimum offering amount required as a condition to close this offering, the actual total public offering amount, commissions and proceeds to us, if any, are not determinable at this time.</w:t>
      </w:r>
    </w:p>
    <w:p>
      <w:pPr>
        <w:spacing w:after="0" w:line="151" w:lineRule="exact"/>
        <w:rPr>
          <w:sz w:val="20"/>
          <w:szCs w:val="20"/>
          <w:color w:val="auto"/>
        </w:rPr>
      </w:pPr>
    </w:p>
    <w:p>
      <w:pPr>
        <w:ind w:left="980" w:right="220" w:firstLine="371"/>
        <w:spacing w:after="0" w:line="261" w:lineRule="auto"/>
        <w:rPr>
          <w:sz w:val="20"/>
          <w:szCs w:val="20"/>
          <w:color w:val="auto"/>
        </w:rPr>
      </w:pPr>
      <w:r>
        <w:rPr>
          <w:rFonts w:ascii="Times New Roman" w:cs="Times New Roman" w:eastAsia="Times New Roman" w:hAnsi="Times New Roman"/>
          <w:sz w:val="15"/>
          <w:szCs w:val="15"/>
          <w:color w:val="auto"/>
        </w:rPr>
        <w:t>We intend to use the net proceeds from this offering, together with our existing cash, cash equivalents and marketable securities, to fund the ongoing and planned development of our clinical and early-stage product candidates, particularly TN-201 and TN-401, and for working capital and other general corporate purposes. Pending the specific use of net proceeds as described in this prospectus supplement, we intend to invest the net proceeds to us from this offering in short and intermediate-term investment grade instruments, certificates of deposit or guaranteed obligations of the U.S. government in accordance with our investment policy.</w:t>
      </w:r>
    </w:p>
    <w:p>
      <w:pPr>
        <w:spacing w:after="0" w:line="155" w:lineRule="exact"/>
        <w:rPr>
          <w:sz w:val="20"/>
          <w:szCs w:val="20"/>
          <w:color w:val="auto"/>
        </w:rPr>
      </w:pPr>
    </w:p>
    <w:p>
      <w:pPr>
        <w:ind w:left="980" w:firstLine="371"/>
        <w:spacing w:after="0" w:line="261" w:lineRule="auto"/>
        <w:rPr>
          <w:sz w:val="20"/>
          <w:szCs w:val="20"/>
          <w:color w:val="auto"/>
        </w:rPr>
      </w:pPr>
      <w:r>
        <w:rPr>
          <w:rFonts w:ascii="Times New Roman" w:cs="Times New Roman" w:eastAsia="Times New Roman" w:hAnsi="Times New Roman"/>
          <w:sz w:val="15"/>
          <w:szCs w:val="15"/>
          <w:color w:val="auto"/>
        </w:rPr>
        <w:t>Our expected use of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w:t>
      </w:r>
    </w:p>
    <w:p>
      <w:pPr>
        <w:spacing w:after="0" w:line="155" w:lineRule="exact"/>
        <w:rPr>
          <w:sz w:val="20"/>
          <w:szCs w:val="20"/>
          <w:color w:val="auto"/>
        </w:rPr>
      </w:pPr>
    </w:p>
    <w:p>
      <w:pPr>
        <w:ind w:left="980" w:right="260" w:firstLine="371"/>
        <w:spacing w:after="0" w:line="287" w:lineRule="auto"/>
        <w:rPr>
          <w:sz w:val="20"/>
          <w:szCs w:val="20"/>
          <w:color w:val="auto"/>
        </w:rPr>
      </w:pPr>
      <w:r>
        <w:rPr>
          <w:rFonts w:ascii="Times New Roman" w:cs="Times New Roman" w:eastAsia="Times New Roman" w:hAnsi="Times New Roman"/>
          <w:sz w:val="15"/>
          <w:szCs w:val="15"/>
          <w:color w:val="auto"/>
        </w:rPr>
        <w:t>The net proceeds from this offering, together with our existing cash, cash equivalents and marketable securities, will not be sufficient for us to fund our clinical programs into late-stage development, and we will need to raise additional capital to achieve our business objectives.</w:t>
      </w:r>
    </w:p>
    <w:p>
      <w:pPr>
        <w:spacing w:after="0" w:line="134" w:lineRule="exact"/>
        <w:rPr>
          <w:sz w:val="20"/>
          <w:szCs w:val="20"/>
          <w:color w:val="auto"/>
        </w:rPr>
      </w:pPr>
    </w:p>
    <w:p>
      <w:pPr>
        <w:ind w:left="980" w:right="20" w:firstLine="371"/>
        <w:spacing w:after="0" w:line="270" w:lineRule="auto"/>
        <w:rPr>
          <w:sz w:val="20"/>
          <w:szCs w:val="20"/>
          <w:color w:val="auto"/>
        </w:rPr>
      </w:pPr>
      <w:r>
        <w:rPr>
          <w:rFonts w:ascii="Times New Roman" w:cs="Times New Roman" w:eastAsia="Times New Roman" w:hAnsi="Times New Roman"/>
          <w:sz w:val="15"/>
          <w:szCs w:val="15"/>
          <w:color w:val="auto"/>
        </w:rPr>
        <w:t>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w:t>
      </w:r>
    </w:p>
    <w:p>
      <w:pPr>
        <w:spacing w:after="0" w:line="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S-14</w:t>
      </w:r>
    </w:p>
    <w:p>
      <w:pPr>
        <w:sectPr>
          <w:pgSz w:w="11900" w:h="16838" w:orient="portrait"/>
          <w:cols w:equalWidth="0" w:num="1">
            <w:col w:w="10240"/>
          </w:cols>
          <w:pgMar w:left="320" w:top="405" w:right="1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b w:val="1"/>
          <w:bCs w:val="1"/>
          <w:color w:val="auto"/>
        </w:rPr>
        <w:t>DIVIDEND POLICY</w:t>
      </w:r>
    </w:p>
    <w:p>
      <w:pPr>
        <w:spacing w:after="0" w:line="196" w:lineRule="exact"/>
        <w:rPr>
          <w:sz w:val="20"/>
          <w:szCs w:val="20"/>
          <w:color w:val="auto"/>
        </w:rPr>
      </w:pPr>
    </w:p>
    <w:p>
      <w:pPr>
        <w:ind w:left="980" w:firstLine="371"/>
        <w:spacing w:after="0" w:line="261" w:lineRule="auto"/>
        <w:rPr>
          <w:sz w:val="20"/>
          <w:szCs w:val="20"/>
          <w:color w:val="auto"/>
        </w:rPr>
      </w:pPr>
      <w:r>
        <w:rPr>
          <w:rFonts w:ascii="Times New Roman" w:cs="Times New Roman" w:eastAsia="Times New Roman" w:hAnsi="Times New Roman"/>
          <w:sz w:val="15"/>
          <w:szCs w:val="15"/>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9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S-15</w:t>
      </w:r>
    </w:p>
    <w:p>
      <w:pPr>
        <w:sectPr>
          <w:pgSz w:w="11900" w:h="16838" w:orient="portrait"/>
          <w:cols w:equalWidth="0" w:num="1">
            <w:col w:w="10240"/>
          </w:cols>
          <w:pgMar w:left="320" w:top="405" w:right="1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b w:val="1"/>
          <w:bCs w:val="1"/>
          <w:color w:val="auto"/>
        </w:rPr>
        <w:t>MATERIAL U.S. FEDERAL INCOME TAX CONSEQUENCES FOR</w:t>
      </w:r>
    </w:p>
    <w:p>
      <w:pPr>
        <w:spacing w:after="0" w:line="29"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b w:val="1"/>
          <w:bCs w:val="1"/>
          <w:color w:val="auto"/>
        </w:rPr>
        <w:t>NON-U.S. HOLDERS OF COMMON STOCK</w:t>
      </w:r>
    </w:p>
    <w:p>
      <w:pPr>
        <w:spacing w:after="0" w:line="177" w:lineRule="exact"/>
        <w:rPr>
          <w:sz w:val="20"/>
          <w:szCs w:val="20"/>
          <w:color w:val="auto"/>
        </w:rPr>
      </w:pPr>
    </w:p>
    <w:p>
      <w:pPr>
        <w:ind w:left="980" w:right="20" w:firstLine="371"/>
        <w:spacing w:after="0" w:line="259" w:lineRule="auto"/>
        <w:rPr>
          <w:sz w:val="20"/>
          <w:szCs w:val="20"/>
          <w:color w:val="auto"/>
        </w:rPr>
      </w:pPr>
      <w:r>
        <w:rPr>
          <w:rFonts w:ascii="Times New Roman" w:cs="Times New Roman" w:eastAsia="Times New Roman" w:hAnsi="Times New Roman"/>
          <w:sz w:val="15"/>
          <w:szCs w:val="15"/>
          <w:color w:val="auto"/>
        </w:rPr>
        <w:t>The following is a summary of the material U.S. federal income tax consequences of the ownership and disposition of our common stock acquired in this offering by a “non-U.S. holder” (as defined below), but does not purport to be a complete analysis of all the potential tax considerations relating thereto. This summary is based upon the provisions of the United States Internal Revenue Code of 1986, as amended(the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(the IRS) with respect to the statements made and the conclusions reached in the following summary, and there can be no assurance that the IRS or a court will agree with such statements and conclusions.</w:t>
      </w:r>
    </w:p>
    <w:p>
      <w:pPr>
        <w:spacing w:after="0" w:line="154" w:lineRule="exact"/>
        <w:rPr>
          <w:sz w:val="20"/>
          <w:szCs w:val="20"/>
          <w:color w:val="auto"/>
        </w:rPr>
      </w:pPr>
    </w:p>
    <w:p>
      <w:pPr>
        <w:ind w:left="980" w:right="200" w:firstLine="371"/>
        <w:spacing w:after="0" w:line="264" w:lineRule="auto"/>
        <w:rPr>
          <w:sz w:val="20"/>
          <w:szCs w:val="20"/>
          <w:color w:val="auto"/>
        </w:rPr>
      </w:pPr>
      <w:r>
        <w:rPr>
          <w:rFonts w:ascii="Times New Roman" w:cs="Times New Roman" w:eastAsia="Times New Roman" w:hAnsi="Times New Roman"/>
          <w:sz w:val="15"/>
          <w:szCs w:val="15"/>
          <w:color w:val="auto"/>
        </w:rPr>
        <w:t>This summary also does not address the tax considerations arising under the laws of any non-U.S., state or local jurisdiction, under U.S. federal gift and estate tax rules nor does it address any aspects of the alternative minimum tax, the special tax accounting rules under Section 451(b) of the Code, or the Medicare tax on net investment income. In addition, this discussion does not address tax considerations applicable to an investor’s particular circumstances or to investors that may be subject to special tax rules, including, without limitation:</w:t>
      </w:r>
    </w:p>
    <w:p>
      <w:pPr>
        <w:spacing w:after="0" w:line="72" w:lineRule="exact"/>
        <w:rPr>
          <w:sz w:val="20"/>
          <w:szCs w:val="20"/>
          <w:color w:val="auto"/>
        </w:rPr>
      </w:pPr>
    </w:p>
    <w:p>
      <w:pPr>
        <w:ind w:left="1800" w:hanging="364"/>
        <w:spacing w:after="0"/>
        <w:tabs>
          <w:tab w:leader="none" w:pos="18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banks, insurance companies, regulated investment companies, real estate investment trusts or other financial institutions;</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tax-exempt organizations or governmental organizations;</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pension plans and tax-qualified retirement plans;</w:t>
      </w:r>
    </w:p>
    <w:p>
      <w:pPr>
        <w:spacing w:after="0" w:line="112" w:lineRule="exact"/>
        <w:rPr>
          <w:rFonts w:ascii="Times New Roman" w:cs="Times New Roman" w:eastAsia="Times New Roman" w:hAnsi="Times New Roman"/>
          <w:sz w:val="15"/>
          <w:szCs w:val="15"/>
          <w:color w:val="auto"/>
        </w:rPr>
      </w:pPr>
    </w:p>
    <w:p>
      <w:pPr>
        <w:ind w:left="1800" w:right="280" w:hanging="364"/>
        <w:spacing w:after="0" w:line="287" w:lineRule="auto"/>
        <w:tabs>
          <w:tab w:leader="none" w:pos="18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controlled foreign corporations, passive foreign investment companies and corporations that accumulate earnings to avoid U.S. federal income tax;</w:t>
      </w:r>
    </w:p>
    <w:p>
      <w:pPr>
        <w:spacing w:after="0" w:line="54"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brokers or dealers in securities or currencies;</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traders in securities that elect to use a mark-to-market method of accounting for their securities holdings;</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that own, or are deemed to own, more than five percent of our capital stock (except to the extent specifically set forth below);</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former citizens or long-term residents of the United States;</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acquired our common stock pursuant to the exercise of any employee stock option or otherwise as compensation;</w:t>
      </w:r>
    </w:p>
    <w:p>
      <w:pPr>
        <w:spacing w:after="0" w:line="112" w:lineRule="exact"/>
        <w:rPr>
          <w:rFonts w:ascii="Times New Roman" w:cs="Times New Roman" w:eastAsia="Times New Roman" w:hAnsi="Times New Roman"/>
          <w:sz w:val="15"/>
          <w:szCs w:val="15"/>
          <w:color w:val="auto"/>
        </w:rPr>
      </w:pPr>
    </w:p>
    <w:p>
      <w:pPr>
        <w:ind w:left="1800" w:right="280" w:hanging="364"/>
        <w:spacing w:after="0" w:line="287" w:lineRule="auto"/>
        <w:tabs>
          <w:tab w:leader="none" w:pos="18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hold our common stock as a position in a hedging transaction, “straddle,” “conversion transaction” or other risk reduction transaction;</w:t>
      </w:r>
    </w:p>
    <w:p>
      <w:pPr>
        <w:spacing w:after="0" w:line="54" w:lineRule="exact"/>
        <w:rPr>
          <w:rFonts w:ascii="Times New Roman" w:cs="Times New Roman" w:eastAsia="Times New Roman" w:hAnsi="Times New Roman"/>
          <w:sz w:val="15"/>
          <w:szCs w:val="15"/>
          <w:color w:val="auto"/>
        </w:rPr>
      </w:pPr>
    </w:p>
    <w:p>
      <w:pPr>
        <w:ind w:left="1800" w:right="60" w:hanging="364"/>
        <w:spacing w:after="0" w:line="287" w:lineRule="auto"/>
        <w:tabs>
          <w:tab w:leader="none" w:pos="18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do not hold our common stock as a capital asset within the meaning of Section 1221 of the Code (generally, property held for investment); or</w:t>
      </w:r>
    </w:p>
    <w:p>
      <w:pPr>
        <w:spacing w:after="0" w:line="54"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deemed to sell our common stock under the constructive sale provisions of the Code.</w:t>
      </w:r>
    </w:p>
    <w:p>
      <w:pPr>
        <w:spacing w:after="0" w:line="192" w:lineRule="exact"/>
        <w:rPr>
          <w:sz w:val="20"/>
          <w:szCs w:val="20"/>
          <w:color w:val="auto"/>
        </w:rPr>
      </w:pPr>
    </w:p>
    <w:p>
      <w:pPr>
        <w:ind w:left="980" w:firstLine="371"/>
        <w:spacing w:after="0" w:line="261" w:lineRule="auto"/>
        <w:rPr>
          <w:sz w:val="20"/>
          <w:szCs w:val="20"/>
          <w:color w:val="auto"/>
        </w:rPr>
      </w:pPr>
      <w:r>
        <w:rPr>
          <w:rFonts w:ascii="Times New Roman" w:cs="Times New Roman" w:eastAsia="Times New Roman" w:hAnsi="Times New Roman"/>
          <w:sz w:val="15"/>
          <w:szCs w:val="15"/>
          <w:color w:val="auto"/>
        </w:rPr>
        <w:t>In addition, if a partnership, entity or arrangement classified as a partnership or flow-through entity for U.S. federal income tax purposes holds our common stock, the tax treatment of a partner (or an owner) in such partnership or other entity generally will depend on the status of the partner and upon the activities of the partnership or other entity. A partner (or an owner) in a partnership or other such entity that will hold our common stock should consult his, her or its own tax advisor regarding the tax consequences of the ownership and disposition of our common stock through a partnership or other such entity, as applicable.</w:t>
      </w:r>
    </w:p>
    <w:p>
      <w:pPr>
        <w:spacing w:after="0" w:line="9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S-16</w:t>
      </w:r>
    </w:p>
    <w:p>
      <w:pPr>
        <w:sectPr>
          <w:pgSz w:w="11900" w:h="16838" w:orient="portrait"/>
          <w:cols w:equalWidth="0" w:num="1">
            <w:col w:w="10260"/>
          </w:cols>
          <w:pgMar w:left="320" w:top="405" w:right="1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ind w:left="980" w:firstLine="371"/>
        <w:spacing w:after="0" w:line="273" w:lineRule="auto"/>
        <w:rPr>
          <w:sz w:val="20"/>
          <w:szCs w:val="20"/>
          <w:color w:val="auto"/>
        </w:rPr>
      </w:pPr>
      <w:r>
        <w:rPr>
          <w:rFonts w:ascii="Times New Roman" w:cs="Times New Roman" w:eastAsia="Times New Roman" w:hAnsi="Times New Roman"/>
          <w:sz w:val="15"/>
          <w:szCs w:val="15"/>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b w:val="1"/>
          <w:bCs w:val="1"/>
          <w:color w:val="auto"/>
        </w:rPr>
        <w:t>Non-U.S. Holder Defined</w:t>
      </w:r>
    </w:p>
    <w:p>
      <w:pPr>
        <w:spacing w:after="0" w:line="196" w:lineRule="exact"/>
        <w:rPr>
          <w:sz w:val="20"/>
          <w:szCs w:val="20"/>
          <w:color w:val="auto"/>
        </w:rPr>
      </w:pPr>
    </w:p>
    <w:p>
      <w:pPr>
        <w:ind w:left="980" w:right="80" w:firstLine="371"/>
        <w:spacing w:after="0" w:line="287" w:lineRule="auto"/>
        <w:rPr>
          <w:sz w:val="20"/>
          <w:szCs w:val="20"/>
          <w:color w:val="auto"/>
        </w:rPr>
      </w:pPr>
      <w:r>
        <w:rPr>
          <w:rFonts w:ascii="Times New Roman" w:cs="Times New Roman" w:eastAsia="Times New Roman" w:hAnsi="Times New Roman"/>
          <w:sz w:val="15"/>
          <w:szCs w:val="15"/>
          <w:color w:val="auto"/>
        </w:rPr>
        <w:t>For purposes of this discussion, you are a “non-U.S. holder” if you are a beneficial owner (other than a partnership or other entity or arrangement classified as a partnership for U.S. federal income tax purposes) of our common stock that, for U.S. federal income tax purposes, is not:</w:t>
      </w:r>
    </w:p>
    <w:p>
      <w:pPr>
        <w:spacing w:after="0" w:line="54" w:lineRule="exact"/>
        <w:rPr>
          <w:sz w:val="20"/>
          <w:szCs w:val="20"/>
          <w:color w:val="auto"/>
        </w:rPr>
      </w:pPr>
    </w:p>
    <w:p>
      <w:pPr>
        <w:ind w:left="1800" w:hanging="364"/>
        <w:spacing w:after="0"/>
        <w:tabs>
          <w:tab w:leader="none" w:pos="18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individual who is a citizen or resident of the United States;</w:t>
      </w:r>
    </w:p>
    <w:p>
      <w:pPr>
        <w:spacing w:after="0" w:line="112" w:lineRule="exact"/>
        <w:rPr>
          <w:rFonts w:ascii="Times New Roman" w:cs="Times New Roman" w:eastAsia="Times New Roman" w:hAnsi="Times New Roman"/>
          <w:sz w:val="15"/>
          <w:szCs w:val="15"/>
          <w:color w:val="auto"/>
        </w:rPr>
      </w:pPr>
    </w:p>
    <w:p>
      <w:pPr>
        <w:ind w:left="1800" w:right="180" w:hanging="364"/>
        <w:spacing w:after="0" w:line="287" w:lineRule="auto"/>
        <w:tabs>
          <w:tab w:leader="none" w:pos="18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or other entity taxable as a corporation, created or organized in the United States or under the laws of the United States or any political subdivision thereof or the District of Columbia, or otherwise treated as such for U.S. federal income tax purposes;</w:t>
      </w:r>
    </w:p>
    <w:p>
      <w:pPr>
        <w:spacing w:after="0" w:line="54"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whose income is subject to U.S. federal income tax regardless of its source; or</w:t>
      </w:r>
    </w:p>
    <w:p>
      <w:pPr>
        <w:spacing w:after="0" w:line="112" w:lineRule="exact"/>
        <w:rPr>
          <w:rFonts w:ascii="Times New Roman" w:cs="Times New Roman" w:eastAsia="Times New Roman" w:hAnsi="Times New Roman"/>
          <w:sz w:val="15"/>
          <w:szCs w:val="15"/>
          <w:color w:val="auto"/>
        </w:rPr>
      </w:pPr>
    </w:p>
    <w:p>
      <w:pPr>
        <w:jc w:val="both"/>
        <w:ind w:left="1800" w:right="300" w:hanging="364"/>
        <w:spacing w:after="0" w:line="270" w:lineRule="auto"/>
        <w:tabs>
          <w:tab w:leader="none" w:pos="18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(1) whose administration is subject to the primary supervision of a U.S. court and that has one or more U.S. persons (within the meaning of the Code) who have the authority to control all substantial decisions of the trust or (2) that has made a valid election under applicable Treasury Regulations to be treated as a U.S. person.</w:t>
      </w:r>
    </w:p>
    <w:p>
      <w:pPr>
        <w:spacing w:after="0" w:line="14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b w:val="1"/>
          <w:bCs w:val="1"/>
          <w:color w:val="auto"/>
        </w:rPr>
        <w:t>Distributions</w:t>
      </w:r>
    </w:p>
    <w:p>
      <w:pPr>
        <w:spacing w:after="0" w:line="196" w:lineRule="exact"/>
        <w:rPr>
          <w:sz w:val="20"/>
          <w:szCs w:val="20"/>
          <w:color w:val="auto"/>
        </w:rPr>
      </w:pPr>
    </w:p>
    <w:p>
      <w:pPr>
        <w:ind w:left="980" w:firstLine="371"/>
        <w:spacing w:after="0" w:line="259" w:lineRule="auto"/>
        <w:rPr>
          <w:sz w:val="20"/>
          <w:szCs w:val="20"/>
          <w:color w:val="auto"/>
        </w:rPr>
      </w:pPr>
      <w:r>
        <w:rPr>
          <w:rFonts w:ascii="Times New Roman" w:cs="Times New Roman" w:eastAsia="Times New Roman" w:hAnsi="Times New Roman"/>
          <w:sz w:val="15"/>
          <w:szCs w:val="15"/>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However, if we do make distributions on our common stock, those payments generally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treated as described below in “Gain on Disposition of Common Stock.”</w:t>
      </w:r>
    </w:p>
    <w:p>
      <w:pPr>
        <w:spacing w:after="0" w:line="154" w:lineRule="exact"/>
        <w:rPr>
          <w:sz w:val="20"/>
          <w:szCs w:val="20"/>
          <w:color w:val="auto"/>
        </w:rPr>
      </w:pPr>
    </w:p>
    <w:p>
      <w:pPr>
        <w:ind w:left="980" w:firstLine="371"/>
        <w:spacing w:after="0" w:line="257" w:lineRule="auto"/>
        <w:rPr>
          <w:sz w:val="20"/>
          <w:szCs w:val="20"/>
          <w:color w:val="auto"/>
        </w:rPr>
      </w:pPr>
      <w:r>
        <w:rPr>
          <w:rFonts w:ascii="Times New Roman" w:cs="Times New Roman" w:eastAsia="Times New Roman" w:hAnsi="Times New Roman"/>
          <w:sz w:val="15"/>
          <w:szCs w:val="15"/>
          <w:color w:val="auto"/>
        </w:rPr>
        <w:t>Subject to the discussions below on effectively connected income and provisions of the Code referred to as the Foreign Account Tax Compliance Act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the applicable withholding agent with an IRS Form W-8BEN or W-8BEN-E or other appropriate version of IRS Form W-8 certifying qualification for the reduced rate. A non-U.S. holder of shares of our common stock eligible for a reduced rate of U.S. federal withholding tax pursuant to an income tax treaty may obtain a refund of any excess amounts withheld by timely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w:t>
      </w:r>
    </w:p>
    <w:p>
      <w:pPr>
        <w:spacing w:after="0" w:line="158" w:lineRule="exact"/>
        <w:rPr>
          <w:sz w:val="20"/>
          <w:szCs w:val="20"/>
          <w:color w:val="auto"/>
        </w:rPr>
      </w:pPr>
    </w:p>
    <w:p>
      <w:pPr>
        <w:ind w:left="980" w:firstLine="371"/>
        <w:spacing w:after="0" w:line="260" w:lineRule="auto"/>
        <w:rPr>
          <w:sz w:val="20"/>
          <w:szCs w:val="20"/>
          <w:color w:val="auto"/>
        </w:rPr>
      </w:pPr>
      <w:r>
        <w:rPr>
          <w:rFonts w:ascii="Times New Roman" w:cs="Times New Roman" w:eastAsia="Times New Roman" w:hAnsi="Times New Roman"/>
          <w:sz w:val="15"/>
          <w:szCs w:val="15"/>
          <w:color w:val="auto"/>
        </w:rPr>
        <w:t>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 below on backup withholding and FATCA. In order to obtain this exemption, you must provide the applicable withholding agent with a properly executed IRS Form W-8ECI or other applicable IRS Form W-8 properly certifying such exemption. Such effectively connected dividends, although not subject to U.S. federal withholding tax, are taxed at the same rates applicable to U.S. persons, net of</w:t>
      </w:r>
    </w:p>
    <w:p>
      <w:pPr>
        <w:spacing w:after="0" w:line="9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S-17</w:t>
      </w:r>
    </w:p>
    <w:p>
      <w:pPr>
        <w:sectPr>
          <w:pgSz w:w="11900" w:h="16838" w:orient="portrait"/>
          <w:cols w:equalWidth="0" w:num="1">
            <w:col w:w="10240"/>
          </w:cols>
          <w:pgMar w:left="320" w:top="405" w:right="1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5"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5"/>
          <w:szCs w:val="15"/>
          <w:color w:val="auto"/>
        </w:rPr>
        <w:t>certain deductions and credits, subject to an applicable income tax treaty providing otherwise.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any applicable tax treaties that may provide for different rules.</w:t>
      </w:r>
    </w:p>
    <w:p>
      <w:pPr>
        <w:spacing w:after="0" w:line="1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b w:val="1"/>
          <w:bCs w:val="1"/>
          <w:color w:val="auto"/>
        </w:rPr>
        <w:t>Gain on Disposition of Common Stock</w:t>
      </w:r>
    </w:p>
    <w:p>
      <w:pPr>
        <w:spacing w:after="0" w:line="196" w:lineRule="exact"/>
        <w:rPr>
          <w:sz w:val="20"/>
          <w:szCs w:val="20"/>
          <w:color w:val="auto"/>
        </w:rPr>
      </w:pPr>
    </w:p>
    <w:p>
      <w:pPr>
        <w:ind w:left="980" w:right="160" w:firstLine="371"/>
        <w:spacing w:after="0" w:line="287" w:lineRule="auto"/>
        <w:rPr>
          <w:sz w:val="20"/>
          <w:szCs w:val="20"/>
          <w:color w:val="auto"/>
        </w:rPr>
      </w:pPr>
      <w:r>
        <w:rPr>
          <w:rFonts w:ascii="Times New Roman" w:cs="Times New Roman" w:eastAsia="Times New Roman" w:hAnsi="Times New Roman"/>
          <w:sz w:val="15"/>
          <w:szCs w:val="15"/>
          <w:color w:val="auto"/>
        </w:rPr>
        <w:t>Subject to the discussion below regarding backup withholding and FATCA, you generally will not be required to pay U.S. federal income tax on any gain realized upon the sale or other disposition of our common stock unless:</w:t>
      </w:r>
    </w:p>
    <w:p>
      <w:pPr>
        <w:spacing w:after="0" w:line="54" w:lineRule="exact"/>
        <w:rPr>
          <w:sz w:val="20"/>
          <w:szCs w:val="20"/>
          <w:color w:val="auto"/>
        </w:rPr>
      </w:pPr>
    </w:p>
    <w:p>
      <w:pPr>
        <w:ind w:left="1800" w:right="20" w:hanging="364"/>
        <w:spacing w:after="0" w:line="287" w:lineRule="auto"/>
        <w:tabs>
          <w:tab w:leader="none" w:pos="18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54" w:lineRule="exact"/>
        <w:rPr>
          <w:rFonts w:ascii="Times New Roman" w:cs="Times New Roman" w:eastAsia="Times New Roman" w:hAnsi="Times New Roman"/>
          <w:sz w:val="15"/>
          <w:szCs w:val="15"/>
          <w:color w:val="auto"/>
        </w:rPr>
      </w:pPr>
    </w:p>
    <w:p>
      <w:pPr>
        <w:ind w:left="1800" w:right="120" w:hanging="364"/>
        <w:spacing w:after="0" w:line="287" w:lineRule="auto"/>
        <w:tabs>
          <w:tab w:leader="none" w:pos="18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are an individual who is present in the United States for a period or periods aggregating 183 days or more during the calendar year in which the sale or disposition occurs and certain other conditions are met; or</w:t>
      </w:r>
    </w:p>
    <w:p>
      <w:pPr>
        <w:spacing w:after="0" w:line="54" w:lineRule="exact"/>
        <w:rPr>
          <w:rFonts w:ascii="Times New Roman" w:cs="Times New Roman" w:eastAsia="Times New Roman" w:hAnsi="Times New Roman"/>
          <w:sz w:val="15"/>
          <w:szCs w:val="15"/>
          <w:color w:val="auto"/>
        </w:rPr>
      </w:pPr>
    </w:p>
    <w:p>
      <w:pPr>
        <w:ind w:left="1800" w:right="540" w:hanging="364"/>
        <w:spacing w:after="0" w:line="270" w:lineRule="auto"/>
        <w:tabs>
          <w:tab w:leader="none" w:pos="18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common stock constitutes a United States real property interest by reason of our status as a United States real property holding corporation (USRPHC) for U.S. federal income tax purposes at any time within the shorter of the five-year period preceding your disposition of, or your holding period for, our common stock.</w:t>
      </w:r>
    </w:p>
    <w:p>
      <w:pPr>
        <w:spacing w:after="0" w:line="146" w:lineRule="exact"/>
        <w:rPr>
          <w:sz w:val="20"/>
          <w:szCs w:val="20"/>
          <w:color w:val="auto"/>
        </w:rPr>
      </w:pPr>
    </w:p>
    <w:p>
      <w:pPr>
        <w:ind w:left="980" w:firstLine="371"/>
        <w:spacing w:after="0" w:line="258" w:lineRule="auto"/>
        <w:rPr>
          <w:sz w:val="20"/>
          <w:szCs w:val="20"/>
          <w:color w:val="auto"/>
        </w:rPr>
      </w:pPr>
      <w:r>
        <w:rPr>
          <w:rFonts w:ascii="Times New Roman" w:cs="Times New Roman" w:eastAsia="Times New Roman" w:hAnsi="Times New Roman"/>
          <w:sz w:val="15"/>
          <w:szCs w:val="15"/>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Even if we become a USRPHC, however, as long as our common stock is regularly traded on an established securities market, your common stock will be treated as U.S. real property interests only if you actually (directly or indirectly) or constructively hold more than five percent of such regularly traded common stock at any time during the shorter of the five-year period preceding your disposition of, or your holding period for, our common stock. However, no assurance can be provided that our common stock will be considered to be regularly traded on an established securities market for purposes of the rules described above.</w:t>
      </w:r>
    </w:p>
    <w:p>
      <w:pPr>
        <w:spacing w:after="0" w:line="155" w:lineRule="exact"/>
        <w:rPr>
          <w:sz w:val="20"/>
          <w:szCs w:val="20"/>
          <w:color w:val="auto"/>
        </w:rPr>
      </w:pPr>
    </w:p>
    <w:p>
      <w:pPr>
        <w:ind w:left="980" w:right="20" w:firstLine="371"/>
        <w:spacing w:after="0" w:line="259" w:lineRule="auto"/>
        <w:rPr>
          <w:sz w:val="20"/>
          <w:szCs w:val="20"/>
          <w:color w:val="auto"/>
        </w:rPr>
      </w:pPr>
      <w:r>
        <w:rPr>
          <w:rFonts w:ascii="Times New Roman" w:cs="Times New Roman" w:eastAsia="Times New Roman" w:hAnsi="Times New Roman"/>
          <w:sz w:val="15"/>
          <w:szCs w:val="15"/>
          <w:color w:val="auto"/>
        </w:rPr>
        <w:t>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treaties or other agreements that may provide for different rules.</w:t>
      </w:r>
    </w:p>
    <w:p>
      <w:pPr>
        <w:spacing w:after="0" w:line="1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b w:val="1"/>
          <w:bCs w:val="1"/>
          <w:color w:val="auto"/>
        </w:rPr>
        <w:t>Backup Withholding and Information Reporting</w:t>
      </w:r>
    </w:p>
    <w:p>
      <w:pPr>
        <w:spacing w:after="0" w:line="196" w:lineRule="exact"/>
        <w:rPr>
          <w:sz w:val="20"/>
          <w:szCs w:val="20"/>
          <w:color w:val="auto"/>
        </w:rPr>
      </w:pPr>
    </w:p>
    <w:p>
      <w:pPr>
        <w:ind w:left="980" w:right="40" w:firstLine="371"/>
        <w:spacing w:after="0" w:line="270" w:lineRule="auto"/>
        <w:rPr>
          <w:sz w:val="20"/>
          <w:szCs w:val="20"/>
          <w:color w:val="auto"/>
        </w:rPr>
      </w:pPr>
      <w:r>
        <w:rPr>
          <w:rFonts w:ascii="Times New Roman" w:cs="Times New Roman" w:eastAsia="Times New Roman" w:hAnsi="Times New Roman"/>
          <w:sz w:val="15"/>
          <w:szCs w:val="15"/>
          <w:color w:val="auto"/>
        </w:rPr>
        <w:t>Generally, we or the applicable paying agent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S-18</w:t>
      </w:r>
    </w:p>
    <w:p>
      <w:pPr>
        <w:sectPr>
          <w:pgSz w:w="11900" w:h="16838" w:orient="portrait"/>
          <w:cols w:equalWidth="0" w:num="1">
            <w:col w:w="10260"/>
          </w:cols>
          <w:pgMar w:left="320" w:top="405" w:right="1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5" w:lineRule="exact"/>
        <w:rPr>
          <w:sz w:val="20"/>
          <w:szCs w:val="20"/>
          <w:color w:val="auto"/>
        </w:rPr>
      </w:pPr>
    </w:p>
    <w:p>
      <w:pPr>
        <w:ind w:left="980" w:right="20" w:firstLine="371"/>
        <w:spacing w:after="0" w:line="260" w:lineRule="auto"/>
        <w:rPr>
          <w:sz w:val="20"/>
          <w:szCs w:val="20"/>
          <w:color w:val="auto"/>
        </w:rPr>
      </w:pPr>
      <w:r>
        <w:rPr>
          <w:rFonts w:ascii="Times New Roman" w:cs="Times New Roman" w:eastAsia="Times New Roman" w:hAnsi="Times New Roman"/>
          <w:sz w:val="15"/>
          <w:szCs w:val="15"/>
          <w:color w:val="auto"/>
        </w:rPr>
        <w:t>Payments of dividends on or of proceeds from the disposition of our common stock made to you will generally be subject to information reporting and backup withholding at a current rate of 24% unless you establish an exemption, for example, by properly certifying your non-U.S. status on a properly completed IRS Form W-8BEN, W-8BEN-E, or W-8ECI or another appropriate version of IRS Form W-8 or you otherwise meet the documentary evidence requirements for establishing that you are not a U.S. person or otherwise establish an exemption. Notwithstanding the foregoing, backup withholding and information reporting may apply if the applicable withholding agent has actual knowledge, or reason to know, that you are a U.S. person.</w:t>
      </w:r>
    </w:p>
    <w:p>
      <w:pPr>
        <w:spacing w:after="0" w:line="153" w:lineRule="exact"/>
        <w:rPr>
          <w:sz w:val="20"/>
          <w:szCs w:val="20"/>
          <w:color w:val="auto"/>
        </w:rPr>
      </w:pPr>
    </w:p>
    <w:p>
      <w:pPr>
        <w:ind w:left="980" w:right="80" w:firstLine="371"/>
        <w:spacing w:after="0" w:line="270" w:lineRule="auto"/>
        <w:rPr>
          <w:sz w:val="20"/>
          <w:szCs w:val="20"/>
          <w:color w:val="auto"/>
        </w:rPr>
      </w:pPr>
      <w:r>
        <w:rPr>
          <w:rFonts w:ascii="Times New Roman" w:cs="Times New Roman" w:eastAsia="Times New Roman" w:hAnsi="Times New Roman"/>
          <w:sz w:val="15"/>
          <w:szCs w:val="15"/>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4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b w:val="1"/>
          <w:bCs w:val="1"/>
          <w:color w:val="auto"/>
        </w:rPr>
        <w:t>Foreign Account Tax Compliance Act</w:t>
      </w:r>
    </w:p>
    <w:p>
      <w:pPr>
        <w:spacing w:after="0" w:line="196" w:lineRule="exact"/>
        <w:rPr>
          <w:sz w:val="20"/>
          <w:szCs w:val="20"/>
          <w:color w:val="auto"/>
        </w:rPr>
      </w:pPr>
    </w:p>
    <w:p>
      <w:pPr>
        <w:ind w:left="980" w:firstLine="371"/>
        <w:spacing w:after="0" w:line="257" w:lineRule="auto"/>
        <w:rPr>
          <w:sz w:val="20"/>
          <w:szCs w:val="20"/>
          <w:color w:val="auto"/>
        </w:rPr>
      </w:pPr>
      <w:r>
        <w:rPr>
          <w:rFonts w:ascii="Times New Roman" w:cs="Times New Roman" w:eastAsia="Times New Roman" w:hAnsi="Times New Roman"/>
          <w:sz w:val="15"/>
          <w:szCs w:val="15"/>
          <w:color w:val="auto"/>
        </w:rPr>
        <w:t>Provisions of the Code commonly referred to as FATCA, Treasury Regulations issued thereunder and official IRS guidance generally impose a U.S. federal withholding tax of 30% on dividends on, and, subject to the discussion of certain proposed Treasury Regulations below, the 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from FATCA withholding. FATCA also generally imposes a U.S. federal withholding tax of 30% on dividends on, and, subject to the discussion of certain proposed Treasury Regulations below,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56" w:lineRule="exact"/>
        <w:rPr>
          <w:sz w:val="20"/>
          <w:szCs w:val="20"/>
          <w:color w:val="auto"/>
        </w:rPr>
      </w:pPr>
    </w:p>
    <w:p>
      <w:pPr>
        <w:ind w:left="980" w:firstLine="371"/>
        <w:spacing w:after="0" w:line="257" w:lineRule="auto"/>
        <w:rPr>
          <w:sz w:val="20"/>
          <w:szCs w:val="20"/>
          <w:color w:val="auto"/>
        </w:rPr>
      </w:pPr>
      <w:r>
        <w:rPr>
          <w:rFonts w:ascii="Times New Roman" w:cs="Times New Roman" w:eastAsia="Times New Roman" w:hAnsi="Times New Roman"/>
          <w:sz w:val="15"/>
          <w:szCs w:val="15"/>
          <w:color w:val="auto"/>
        </w:rPr>
        <w:t>The withholding obligations under FATCA generally apply to dividends on our common stock and subject to the proposed Treasury Regulations described in the next sentence, will apply to the payment of gross proceeds of a sale or other disposition of our common stock. The Treasury Department has released proposed Treasury Regulations (the preamble to which specifies that taxpayers are permitted to rely on them pending finalization) that, if finalized in their present form, would eliminate the federal withholding tax of 30% applicable to the gross proceeds of a disposition of our common stock. The withholding tax on dividends could apply regardless of whether the payment otherwise would be exempt from U.S. non-resident and backup withholding tax, including under the other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are encouraged to consult with their own tax advisors regarding the application of FATCA withholding to their investment in, and ownership and disposition of, our common stock.</w:t>
      </w:r>
    </w:p>
    <w:p>
      <w:pPr>
        <w:spacing w:after="0" w:line="154" w:lineRule="exact"/>
        <w:rPr>
          <w:sz w:val="20"/>
          <w:szCs w:val="20"/>
          <w:color w:val="auto"/>
        </w:rPr>
      </w:pPr>
    </w:p>
    <w:p>
      <w:pPr>
        <w:ind w:left="980" w:firstLine="371"/>
        <w:spacing w:after="0" w:line="266" w:lineRule="auto"/>
        <w:rPr>
          <w:sz w:val="20"/>
          <w:szCs w:val="20"/>
          <w:color w:val="auto"/>
        </w:rPr>
      </w:pPr>
      <w:r>
        <w:rPr>
          <w:rFonts w:ascii="Times New Roman" w:cs="Times New Roman" w:eastAsia="Times New Roman" w:hAnsi="Times New Roman"/>
          <w:sz w:val="15"/>
          <w:szCs w:val="15"/>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S-19</w:t>
      </w:r>
    </w:p>
    <w:p>
      <w:pPr>
        <w:sectPr>
          <w:pgSz w:w="11900" w:h="16838" w:orient="portrait"/>
          <w:cols w:equalWidth="0" w:num="1">
            <w:col w:w="10260"/>
          </w:cols>
          <w:pgMar w:left="320" w:top="405" w:right="1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96" w:lineRule="exact"/>
        <w:rPr>
          <w:sz w:val="20"/>
          <w:szCs w:val="20"/>
          <w:color w:val="auto"/>
        </w:rPr>
      </w:pPr>
    </w:p>
    <w:p>
      <w:pPr>
        <w:ind w:left="980" w:right="20" w:firstLine="371"/>
        <w:spacing w:after="0" w:line="261" w:lineRule="auto"/>
        <w:rPr>
          <w:sz w:val="20"/>
          <w:szCs w:val="20"/>
          <w:color w:val="auto"/>
        </w:rPr>
      </w:pPr>
      <w:r>
        <w:rPr>
          <w:rFonts w:ascii="Times New Roman" w:cs="Times New Roman" w:eastAsia="Times New Roman" w:hAnsi="Times New Roman"/>
          <w:sz w:val="15"/>
          <w:szCs w:val="15"/>
          <w:color w:val="auto"/>
        </w:rPr>
        <w:t>We have previously entered into a sales agreement with Leerink Partners under which we may issue and sell from time to time up to an aggregate of $75.0 million of shares of our common stock through Leerink Partners, acting as sales agent or principal. Pursuant to this prospectus supplement, we may offer and sell up to $69,820,000 of our shares of common stock. Sales of the shares to which this prospectus relates, if any, will be made by any method deemed to be an “at the market offering” as defined in Rule 415 promulgated under the Securities Act. As our sales agent, Leerink Partners will not engage in any transactions that stabilize our common stock.</w:t>
      </w:r>
    </w:p>
    <w:p>
      <w:pPr>
        <w:spacing w:after="0" w:line="155" w:lineRule="exact"/>
        <w:rPr>
          <w:sz w:val="20"/>
          <w:szCs w:val="20"/>
          <w:color w:val="auto"/>
        </w:rPr>
      </w:pPr>
    </w:p>
    <w:p>
      <w:pPr>
        <w:ind w:left="980" w:right="120" w:firstLine="371"/>
        <w:spacing w:after="0" w:line="259" w:lineRule="auto"/>
        <w:rPr>
          <w:sz w:val="20"/>
          <w:szCs w:val="20"/>
          <w:color w:val="auto"/>
        </w:rPr>
      </w:pPr>
      <w:r>
        <w:rPr>
          <w:rFonts w:ascii="Times New Roman" w:cs="Times New Roman" w:eastAsia="Times New Roman" w:hAnsi="Times New Roman"/>
          <w:sz w:val="15"/>
          <w:szCs w:val="15"/>
          <w:color w:val="auto"/>
        </w:rPr>
        <w:t>Leerink Partners will offer the shares of our common stock subject to the terms and conditions of the sales agreement on a daily basis or as otherwise agreed upon by us and Leerink Partners. We will designate the maximum number of shares or dollar value of common stock to be sold through Leerink Partners on a daily basis or otherwise determine such maximum number together with Leerink Partners. Subject to the terms and conditions of the sales agreement, Leerink Partners will use its commercially reasonable efforts to sell on our behalf all of the shares of common stock so designated or determined. We may instruct Leerink Partners not to sell shares of common stock if the sales cannot be effected at or above the price designated by us in any such instruction. We or Leerink Partners may suspend the offering of shares of common stock being made through Leerink Partners under the sales agreement upon proper notice to the other party.</w:t>
      </w:r>
    </w:p>
    <w:p>
      <w:pPr>
        <w:spacing w:after="0" w:line="154" w:lineRule="exact"/>
        <w:rPr>
          <w:sz w:val="20"/>
          <w:szCs w:val="20"/>
          <w:color w:val="auto"/>
        </w:rPr>
      </w:pPr>
    </w:p>
    <w:p>
      <w:pPr>
        <w:ind w:left="980" w:firstLine="371"/>
        <w:spacing w:after="0" w:line="260" w:lineRule="auto"/>
        <w:rPr>
          <w:sz w:val="20"/>
          <w:szCs w:val="20"/>
          <w:color w:val="auto"/>
        </w:rPr>
      </w:pPr>
      <w:r>
        <w:rPr>
          <w:rFonts w:ascii="Times New Roman" w:cs="Times New Roman" w:eastAsia="Times New Roman" w:hAnsi="Times New Roman"/>
          <w:sz w:val="15"/>
          <w:szCs w:val="15"/>
          <w:color w:val="auto"/>
        </w:rPr>
        <w:t>For its service as sales agent in connection with the sale of shares of our common stock that may be offered hereby, we will pay Leerink Partners an amount equal to 3.0% of the aggregate sales price received by Leerink Partners from each sale of shares sold through it acting as our sales agent. The remaining sales proceeds, after deducting any expenses payable by us and any transaction fees imposed by any governmental, regulatory, or self-regulatory organization in connection with the sales, will equal our net proceeds for the sale of such shares. We have also agreed to reimburse Leerink Partners for certain specified expenses, including the fees and disbursements of its legal counsel in an amount not to exceed $75,000, that were paid upon execution of the sales agreement, plus certain ongoing fees of its legal counsel, as provided in the sales agreement.</w:t>
      </w:r>
    </w:p>
    <w:p>
      <w:pPr>
        <w:spacing w:after="0" w:line="153" w:lineRule="exact"/>
        <w:rPr>
          <w:sz w:val="20"/>
          <w:szCs w:val="20"/>
          <w:color w:val="auto"/>
        </w:rPr>
      </w:pPr>
    </w:p>
    <w:p>
      <w:pPr>
        <w:ind w:left="980" w:right="80" w:firstLine="371"/>
        <w:spacing w:after="0" w:line="270" w:lineRule="auto"/>
        <w:rPr>
          <w:sz w:val="20"/>
          <w:szCs w:val="20"/>
          <w:color w:val="auto"/>
        </w:rPr>
      </w:pPr>
      <w:r>
        <w:rPr>
          <w:rFonts w:ascii="Times New Roman" w:cs="Times New Roman" w:eastAsia="Times New Roman" w:hAnsi="Times New Roman"/>
          <w:sz w:val="15"/>
          <w:szCs w:val="15"/>
          <w:color w:val="auto"/>
        </w:rPr>
        <w:t>Leerink Partners will provide written confirmation to us following the close of trading on the Nasdaq Global Select Market each day in which shares of common stock are sold by it for us under the sales agreement. Each confirmation will include the number of shares sold on that day, the gross sales price per share, the compensation payable by us to Leerink Partners and the proceeds to us net of such compensation.</w:t>
      </w:r>
    </w:p>
    <w:p>
      <w:pPr>
        <w:spacing w:after="0" w:line="146" w:lineRule="exact"/>
        <w:rPr>
          <w:sz w:val="20"/>
          <w:szCs w:val="20"/>
          <w:color w:val="auto"/>
        </w:rPr>
      </w:pPr>
    </w:p>
    <w:p>
      <w:pPr>
        <w:ind w:left="980" w:right="20" w:firstLine="371"/>
        <w:spacing w:after="0" w:line="270" w:lineRule="auto"/>
        <w:rPr>
          <w:sz w:val="20"/>
          <w:szCs w:val="20"/>
          <w:color w:val="auto"/>
        </w:rPr>
      </w:pPr>
      <w:r>
        <w:rPr>
          <w:rFonts w:ascii="Times New Roman" w:cs="Times New Roman" w:eastAsia="Times New Roman" w:hAnsi="Times New Roman"/>
          <w:sz w:val="15"/>
          <w:szCs w:val="15"/>
          <w:color w:val="auto"/>
        </w:rPr>
        <w:t>Settlement for sales of common stock will occur, unless the parties agree otherwise, on the second business day following the date on which any sales were made in return for payment of the proceeds to us net of compensation paid by us to Leerink Partners. There is no arrangement for funds to be received in an escrow, trust or similar arrangement.</w:t>
      </w:r>
    </w:p>
    <w:p>
      <w:pPr>
        <w:spacing w:after="0" w:line="146" w:lineRule="exact"/>
        <w:rPr>
          <w:sz w:val="20"/>
          <w:szCs w:val="20"/>
          <w:color w:val="auto"/>
        </w:rPr>
      </w:pPr>
    </w:p>
    <w:p>
      <w:pPr>
        <w:ind w:left="980" w:right="20" w:firstLine="371"/>
        <w:spacing w:after="0" w:line="270" w:lineRule="auto"/>
        <w:rPr>
          <w:sz w:val="20"/>
          <w:szCs w:val="20"/>
          <w:color w:val="auto"/>
        </w:rPr>
      </w:pPr>
      <w:r>
        <w:rPr>
          <w:rFonts w:ascii="Times New Roman" w:cs="Times New Roman" w:eastAsia="Times New Roman" w:hAnsi="Times New Roman"/>
          <w:sz w:val="15"/>
          <w:szCs w:val="15"/>
          <w:color w:val="auto"/>
        </w:rPr>
        <w:t>We will deliver to the Nasdaq Global Select Market copies of this prospectus pursuant to the rules of the Nasdaq Global Select Market. Unless otherwise required, we will report at least quarterly the number of shares of common stock sold through Leerink Partners under the sales agreement, the net proceeds to us and the compensation paid by us to Leerink Partners in connection with the sales of common stock.</w:t>
      </w:r>
    </w:p>
    <w:p>
      <w:pPr>
        <w:spacing w:after="0" w:line="146" w:lineRule="exact"/>
        <w:rPr>
          <w:sz w:val="20"/>
          <w:szCs w:val="20"/>
          <w:color w:val="auto"/>
        </w:rPr>
      </w:pPr>
    </w:p>
    <w:p>
      <w:pPr>
        <w:jc w:val="both"/>
        <w:ind w:left="980" w:right="40" w:firstLine="371"/>
        <w:spacing w:after="0" w:line="270" w:lineRule="auto"/>
        <w:rPr>
          <w:sz w:val="20"/>
          <w:szCs w:val="20"/>
          <w:color w:val="auto"/>
        </w:rPr>
      </w:pPr>
      <w:r>
        <w:rPr>
          <w:rFonts w:ascii="Times New Roman" w:cs="Times New Roman" w:eastAsia="Times New Roman" w:hAnsi="Times New Roman"/>
          <w:sz w:val="15"/>
          <w:szCs w:val="15"/>
          <w:color w:val="auto"/>
        </w:rPr>
        <w:t>In connection with the sale of the common stock on our behalf, Leerink Partners will be deemed to be an “underwriter” within the meaning of the Securities Act and the compensation paid to Leerink Partners will be deemed to be underwriting commissions or discounts. We have agreed in the sales agreement to provide indemnification and contribution to Leerink Partners against certain civil liabilities, including liabilities under the Securities Act.</w:t>
      </w:r>
    </w:p>
    <w:p>
      <w:pPr>
        <w:spacing w:after="0" w:line="146" w:lineRule="exact"/>
        <w:rPr>
          <w:sz w:val="20"/>
          <w:szCs w:val="20"/>
          <w:color w:val="auto"/>
        </w:rPr>
      </w:pPr>
    </w:p>
    <w:p>
      <w:pPr>
        <w:ind w:left="980" w:right="140" w:firstLine="371"/>
        <w:spacing w:after="0" w:line="287" w:lineRule="auto"/>
        <w:rPr>
          <w:sz w:val="20"/>
          <w:szCs w:val="20"/>
          <w:color w:val="auto"/>
        </w:rPr>
      </w:pPr>
      <w:r>
        <w:rPr>
          <w:rFonts w:ascii="Times New Roman" w:cs="Times New Roman" w:eastAsia="Times New Roman" w:hAnsi="Times New Roman"/>
          <w:sz w:val="15"/>
          <w:szCs w:val="15"/>
          <w:color w:val="auto"/>
        </w:rPr>
        <w:t>In the ordinary course of their business, Leerink Partners and/or its affiliates may perform, investment banking, broker dealer, lending, financial advisory or other services for us for which they have received, or may receive, separate fees.</w:t>
      </w:r>
    </w:p>
    <w:p>
      <w:pPr>
        <w:spacing w:after="0" w:line="7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S-20</w:t>
      </w:r>
    </w:p>
    <w:p>
      <w:pPr>
        <w:sectPr>
          <w:pgSz w:w="11900" w:h="16838" w:orient="portrait"/>
          <w:cols w:equalWidth="0" w:num="1">
            <w:col w:w="10220"/>
          </w:cols>
          <w:pgMar w:left="320" w:top="406" w:right="1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5" w:lineRule="exact"/>
        <w:rPr>
          <w:sz w:val="20"/>
          <w:szCs w:val="20"/>
          <w:color w:val="auto"/>
        </w:rPr>
      </w:pPr>
    </w:p>
    <w:p>
      <w:pPr>
        <w:ind w:left="980" w:right="220" w:firstLine="371"/>
        <w:spacing w:after="0" w:line="287" w:lineRule="auto"/>
        <w:rPr>
          <w:sz w:val="20"/>
          <w:szCs w:val="20"/>
          <w:color w:val="auto"/>
        </w:rPr>
      </w:pPr>
      <w:r>
        <w:rPr>
          <w:rFonts w:ascii="Times New Roman" w:cs="Times New Roman" w:eastAsia="Times New Roman" w:hAnsi="Times New Roman"/>
          <w:sz w:val="15"/>
          <w:szCs w:val="15"/>
          <w:color w:val="auto"/>
        </w:rPr>
        <w:t>We estimate that the total expenses of the offering payable by us, excluding discounts and commissions payable to Leerink Partners under the sales agreement, will be approximately $0.6 million.</w:t>
      </w:r>
    </w:p>
    <w:p>
      <w:pPr>
        <w:spacing w:after="0" w:line="134" w:lineRule="exact"/>
        <w:rPr>
          <w:sz w:val="20"/>
          <w:szCs w:val="20"/>
          <w:color w:val="auto"/>
        </w:rPr>
      </w:pPr>
    </w:p>
    <w:p>
      <w:pPr>
        <w:ind w:left="980" w:firstLine="371"/>
        <w:spacing w:after="0" w:line="287" w:lineRule="auto"/>
        <w:rPr>
          <w:sz w:val="20"/>
          <w:szCs w:val="20"/>
          <w:color w:val="auto"/>
        </w:rPr>
      </w:pPr>
      <w:r>
        <w:rPr>
          <w:rFonts w:ascii="Times New Roman" w:cs="Times New Roman" w:eastAsia="Times New Roman" w:hAnsi="Times New Roman"/>
          <w:sz w:val="15"/>
          <w:szCs w:val="15"/>
          <w:color w:val="auto"/>
        </w:rPr>
        <w:t>The offering of common stock pursuant to the sales agreement will terminate upon the earlier of (1) the sale of all of our shares of common stock provided for in the sales agreement or (2) the termination of the sales agreement, pursuant to its terms, by either Leerink Partners or us.</w:t>
      </w:r>
    </w:p>
    <w:p>
      <w:pPr>
        <w:spacing w:after="0" w:line="7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S-21</w:t>
      </w:r>
    </w:p>
    <w:p>
      <w:pPr>
        <w:sectPr>
          <w:pgSz w:w="11900" w:h="16838" w:orient="portrait"/>
          <w:cols w:equalWidth="0" w:num="1">
            <w:col w:w="10160"/>
          </w:cols>
          <w:pgMar w:left="320" w:top="405" w:right="14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96" w:lineRule="exact"/>
        <w:rPr>
          <w:sz w:val="20"/>
          <w:szCs w:val="20"/>
          <w:color w:val="auto"/>
        </w:rPr>
      </w:pPr>
    </w:p>
    <w:p>
      <w:pPr>
        <w:ind w:left="980" w:right="200" w:firstLine="371"/>
        <w:spacing w:after="0" w:line="287" w:lineRule="auto"/>
        <w:rPr>
          <w:sz w:val="20"/>
          <w:szCs w:val="20"/>
          <w:color w:val="auto"/>
        </w:rPr>
      </w:pPr>
      <w:r>
        <w:rPr>
          <w:rFonts w:ascii="Times New Roman" w:cs="Times New Roman" w:eastAsia="Times New Roman" w:hAnsi="Times New Roman"/>
          <w:sz w:val="15"/>
          <w:szCs w:val="15"/>
          <w:color w:val="auto"/>
        </w:rPr>
        <w:t>The validity of the securities offered hereby will be passed upon for us by Wilson Sonsini Goodrich &amp; Rosati, Professional Corporation, Palo Alto, California. Leerink Partners LLC is being represented in connection with this offering by Davis Polk &amp; Wardwell LLP, Menlo Park, California.</w:t>
      </w:r>
    </w:p>
    <w:p>
      <w:pPr>
        <w:spacing w:after="0" w:line="312"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96" w:lineRule="exact"/>
        <w:rPr>
          <w:sz w:val="20"/>
          <w:szCs w:val="20"/>
          <w:color w:val="auto"/>
        </w:rPr>
      </w:pPr>
    </w:p>
    <w:p>
      <w:pPr>
        <w:jc w:val="both"/>
        <w:ind w:left="980" w:right="120" w:firstLine="371"/>
        <w:spacing w:after="0" w:line="270" w:lineRule="auto"/>
        <w:rPr>
          <w:sz w:val="20"/>
          <w:szCs w:val="20"/>
          <w:color w:val="auto"/>
        </w:rPr>
      </w:pPr>
      <w:r>
        <w:rPr>
          <w:rFonts w:ascii="Times New Roman" w:cs="Times New Roman" w:eastAsia="Times New Roman" w:hAnsi="Times New Roman"/>
          <w:sz w:val="15"/>
          <w:szCs w:val="15"/>
          <w:color w:val="auto"/>
        </w:rPr>
        <w:t>The financial statements of Tenaya Therapeutics,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24"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96" w:lineRule="exact"/>
        <w:rPr>
          <w:sz w:val="20"/>
          <w:szCs w:val="20"/>
          <w:color w:val="auto"/>
        </w:rPr>
      </w:pPr>
    </w:p>
    <w:p>
      <w:pPr>
        <w:ind w:left="980" w:right="160" w:firstLine="371"/>
        <w:spacing w:after="0" w:line="260" w:lineRule="auto"/>
        <w:rPr>
          <w:sz w:val="20"/>
          <w:szCs w:val="20"/>
          <w:color w:val="auto"/>
        </w:rPr>
      </w:pPr>
      <w:r>
        <w:rPr>
          <w:rFonts w:ascii="Times New Roman" w:cs="Times New Roman" w:eastAsia="Times New Roman" w:hAnsi="Times New Roman"/>
          <w:sz w:val="15"/>
          <w:szCs w:val="15"/>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 We also maintain a website at www.tenayatherapeutics.com where these materials are available. You may access these materials free of charge as soon as reasonably practicable after they are electronically filed with, or furnished to, the SEC. Information contained on or accessible through our website is not a part of this prospectus supplement and is not incorporated by reference herein, and the inclusion of our website address in this prospectus supplement is an inactive textual reference only.</w:t>
      </w:r>
    </w:p>
    <w:p>
      <w:pPr>
        <w:spacing w:after="0" w:line="153" w:lineRule="exact"/>
        <w:rPr>
          <w:sz w:val="20"/>
          <w:szCs w:val="20"/>
          <w:color w:val="auto"/>
        </w:rPr>
      </w:pPr>
    </w:p>
    <w:p>
      <w:pPr>
        <w:ind w:left="980" w:firstLine="371"/>
        <w:spacing w:after="0" w:line="260" w:lineRule="auto"/>
        <w:rPr>
          <w:sz w:val="20"/>
          <w:szCs w:val="20"/>
          <w:color w:val="auto"/>
        </w:rPr>
      </w:pPr>
      <w:r>
        <w:rPr>
          <w:rFonts w:ascii="Times New Roman" w:cs="Times New Roman" w:eastAsia="Times New Roman" w:hAnsi="Times New Roman"/>
          <w:sz w:val="15"/>
          <w:szCs w:val="15"/>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supplement or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9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S-22</w:t>
      </w:r>
    </w:p>
    <w:p>
      <w:pPr>
        <w:sectPr>
          <w:pgSz w:w="11900" w:h="16838" w:orient="portrait"/>
          <w:cols w:equalWidth="0" w:num="1">
            <w:col w:w="10240"/>
          </w:cols>
          <w:pgMar w:left="320" w:top="405" w:right="1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5"/>
          <w:szCs w:val="15"/>
          <w:b w:val="1"/>
          <w:bCs w:val="1"/>
          <w:color w:val="auto"/>
        </w:rPr>
        <w:t>INCORPORATION OF CERTAIN INFORMATION BY REFERENCE</w:t>
      </w:r>
    </w:p>
    <w:p>
      <w:pPr>
        <w:spacing w:after="0" w:line="196" w:lineRule="exact"/>
        <w:rPr>
          <w:sz w:val="20"/>
          <w:szCs w:val="20"/>
          <w:color w:val="auto"/>
        </w:rPr>
      </w:pPr>
    </w:p>
    <w:p>
      <w:pPr>
        <w:ind w:left="980" w:firstLine="371"/>
        <w:spacing w:after="0" w:line="256" w:lineRule="auto"/>
        <w:rPr>
          <w:sz w:val="20"/>
          <w:szCs w:val="20"/>
          <w:color w:val="auto"/>
        </w:rPr>
      </w:pPr>
      <w:r>
        <w:rPr>
          <w:rFonts w:ascii="Times New Roman" w:cs="Times New Roman" w:eastAsia="Times New Roman" w:hAnsi="Times New Roman"/>
          <w:sz w:val="15"/>
          <w:szCs w:val="15"/>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after the date of the initial registration statement of which this prospectus forms a part and prior to the effectiveness of the registration statement, as well as subsequent to the effectiveness of the registration statement, until the offering of the securities under the registration statement of which this prospectus supplement forms a part is terminated or completed:</w:t>
      </w:r>
    </w:p>
    <w:p>
      <w:pPr>
        <w:spacing w:after="0" w:line="79" w:lineRule="exact"/>
        <w:rPr>
          <w:sz w:val="20"/>
          <w:szCs w:val="20"/>
          <w:color w:val="auto"/>
        </w:rPr>
      </w:pPr>
    </w:p>
    <w:p>
      <w:pPr>
        <w:ind w:left="1800" w:hanging="364"/>
        <w:spacing w:after="0"/>
        <w:tabs>
          <w:tab w:leader="none" w:pos="18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Annual Report on </w:t>
      </w:r>
      <w:hyperlink r:id="rId60">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year ended December 31, 2024, filed with the SEC on March 10, 2025;</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Currents Report on Form 8-K filed on </w:t>
      </w:r>
      <w:hyperlink r:id="rId61">
        <w:r>
          <w:rPr>
            <w:rFonts w:ascii="Times New Roman" w:cs="Times New Roman" w:eastAsia="Times New Roman" w:hAnsi="Times New Roman"/>
            <w:sz w:val="15"/>
            <w:szCs w:val="15"/>
            <w:u w:val="single" w:color="auto"/>
            <w:color w:val="0000EE"/>
          </w:rPr>
          <w:t>January 28, 2025</w:t>
        </w:r>
      </w:hyperlink>
      <w:r>
        <w:rPr>
          <w:rFonts w:ascii="Times New Roman" w:cs="Times New Roman" w:eastAsia="Times New Roman" w:hAnsi="Times New Roman"/>
          <w:sz w:val="15"/>
          <w:szCs w:val="15"/>
          <w:color w:val="auto"/>
        </w:rPr>
        <w:t xml:space="preserve">, </w:t>
      </w:r>
      <w:hyperlink r:id="rId62">
        <w:r>
          <w:rPr>
            <w:rFonts w:ascii="Times New Roman" w:cs="Times New Roman" w:eastAsia="Times New Roman" w:hAnsi="Times New Roman"/>
            <w:sz w:val="15"/>
            <w:szCs w:val="15"/>
            <w:u w:val="single" w:color="auto"/>
            <w:color w:val="0000EE"/>
          </w:rPr>
          <w:t>February 7, 2025</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and </w:t>
      </w:r>
      <w:hyperlink r:id="rId63">
        <w:r>
          <w:rPr>
            <w:rFonts w:ascii="Times New Roman" w:cs="Times New Roman" w:eastAsia="Times New Roman" w:hAnsi="Times New Roman"/>
            <w:sz w:val="15"/>
            <w:szCs w:val="15"/>
            <w:u w:val="single" w:color="auto"/>
            <w:color w:val="0000EE"/>
          </w:rPr>
          <w:t>March 4, 2025</w:t>
        </w:r>
      </w:hyperlink>
      <w:r>
        <w:rPr>
          <w:rFonts w:ascii="Times New Roman" w:cs="Times New Roman" w:eastAsia="Times New Roman" w:hAnsi="Times New Roman"/>
          <w:sz w:val="15"/>
          <w:szCs w:val="15"/>
          <w:color w:val="auto"/>
        </w:rPr>
        <w:t>; and</w:t>
      </w:r>
    </w:p>
    <w:p>
      <w:pPr>
        <w:spacing w:after="0" w:line="112" w:lineRule="exact"/>
        <w:rPr>
          <w:rFonts w:ascii="Times New Roman" w:cs="Times New Roman" w:eastAsia="Times New Roman" w:hAnsi="Times New Roman"/>
          <w:sz w:val="15"/>
          <w:szCs w:val="15"/>
          <w:color w:val="auto"/>
        </w:rPr>
      </w:pPr>
    </w:p>
    <w:p>
      <w:pPr>
        <w:ind w:left="1800" w:right="60" w:hanging="364"/>
        <w:spacing w:after="0" w:line="287" w:lineRule="auto"/>
        <w:tabs>
          <w:tab w:leader="none" w:pos="18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description of our common stock contained in the Registration Statement on </w:t>
      </w:r>
      <w:hyperlink r:id="rId64">
        <w:r>
          <w:rPr>
            <w:rFonts w:ascii="Times New Roman" w:cs="Times New Roman" w:eastAsia="Times New Roman" w:hAnsi="Times New Roman"/>
            <w:sz w:val="15"/>
            <w:szCs w:val="15"/>
            <w:u w:val="single" w:color="auto"/>
            <w:color w:val="0000EE"/>
          </w:rPr>
          <w:t>Form 8-A</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relating thereto, filed with the SEC on July 23, 2021, including any amendment or report filed for the purpose of updating such description.</w:t>
      </w:r>
    </w:p>
    <w:p>
      <w:pPr>
        <w:spacing w:after="0" w:line="134" w:lineRule="exact"/>
        <w:rPr>
          <w:rFonts w:ascii="Times New Roman" w:cs="Times New Roman" w:eastAsia="Times New Roman" w:hAnsi="Times New Roman"/>
          <w:sz w:val="15"/>
          <w:szCs w:val="15"/>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You can request a copy of these filings, at no cost, by writing or telephoning us at the following address or telephone number:</w:t>
      </w:r>
    </w:p>
    <w:p>
      <w:pPr>
        <w:spacing w:after="0" w:line="192" w:lineRule="exact"/>
        <w:rPr>
          <w:rFonts w:ascii="Times New Roman" w:cs="Times New Roman" w:eastAsia="Times New Roman" w:hAnsi="Times New Roman"/>
          <w:sz w:val="15"/>
          <w:szCs w:val="15"/>
          <w:color w:val="auto"/>
        </w:rPr>
      </w:pPr>
    </w:p>
    <w:p>
      <w:pPr>
        <w:jc w:val="center"/>
        <w:ind w:right="-1019"/>
        <w:spacing w:after="0"/>
        <w:rPr>
          <w:sz w:val="20"/>
          <w:szCs w:val="20"/>
          <w:color w:val="auto"/>
        </w:rPr>
      </w:pPr>
      <w:r>
        <w:rPr>
          <w:rFonts w:ascii="Times New Roman" w:cs="Times New Roman" w:eastAsia="Times New Roman" w:hAnsi="Times New Roman"/>
          <w:sz w:val="15"/>
          <w:szCs w:val="15"/>
          <w:color w:val="auto"/>
        </w:rPr>
        <w:t>Tenaya Therapeutics, Inc.</w:t>
      </w:r>
    </w:p>
    <w:p>
      <w:pPr>
        <w:spacing w:after="0" w:line="25" w:lineRule="exact"/>
        <w:rPr>
          <w:rFonts w:ascii="Times New Roman" w:cs="Times New Roman" w:eastAsia="Times New Roman" w:hAnsi="Times New Roman"/>
          <w:sz w:val="15"/>
          <w:szCs w:val="15"/>
          <w:color w:val="auto"/>
        </w:rPr>
      </w:pPr>
    </w:p>
    <w:p>
      <w:pPr>
        <w:jc w:val="center"/>
        <w:ind w:right="-1019"/>
        <w:spacing w:after="0"/>
        <w:rPr>
          <w:sz w:val="20"/>
          <w:szCs w:val="20"/>
          <w:color w:val="auto"/>
        </w:rPr>
      </w:pPr>
      <w:r>
        <w:rPr>
          <w:rFonts w:ascii="Times New Roman" w:cs="Times New Roman" w:eastAsia="Times New Roman" w:hAnsi="Times New Roman"/>
          <w:sz w:val="15"/>
          <w:szCs w:val="15"/>
          <w:color w:val="auto"/>
        </w:rPr>
        <w:t>171 Oyster Point Boulevard, Suite 500</w:t>
      </w:r>
    </w:p>
    <w:p>
      <w:pPr>
        <w:spacing w:after="0" w:line="10" w:lineRule="exact"/>
        <w:rPr>
          <w:rFonts w:ascii="Times New Roman" w:cs="Times New Roman" w:eastAsia="Times New Roman" w:hAnsi="Times New Roman"/>
          <w:sz w:val="15"/>
          <w:szCs w:val="15"/>
          <w:color w:val="auto"/>
        </w:rPr>
      </w:pPr>
    </w:p>
    <w:p>
      <w:pPr>
        <w:jc w:val="center"/>
        <w:ind w:right="-1019"/>
        <w:spacing w:after="0"/>
        <w:rPr>
          <w:sz w:val="20"/>
          <w:szCs w:val="20"/>
          <w:color w:val="auto"/>
        </w:rPr>
      </w:pPr>
      <w:r>
        <w:rPr>
          <w:rFonts w:ascii="Times New Roman" w:cs="Times New Roman" w:eastAsia="Times New Roman" w:hAnsi="Times New Roman"/>
          <w:sz w:val="15"/>
          <w:szCs w:val="15"/>
          <w:color w:val="auto"/>
        </w:rPr>
        <w:t>South San Francisco, California 94080</w:t>
      </w:r>
    </w:p>
    <w:p>
      <w:pPr>
        <w:spacing w:after="0" w:line="10" w:lineRule="exact"/>
        <w:rPr>
          <w:rFonts w:ascii="Times New Roman" w:cs="Times New Roman" w:eastAsia="Times New Roman" w:hAnsi="Times New Roman"/>
          <w:sz w:val="15"/>
          <w:szCs w:val="15"/>
          <w:color w:val="auto"/>
        </w:rPr>
      </w:pPr>
    </w:p>
    <w:p>
      <w:pPr>
        <w:jc w:val="center"/>
        <w:ind w:right="-1019"/>
        <w:spacing w:after="0"/>
        <w:rPr>
          <w:sz w:val="20"/>
          <w:szCs w:val="20"/>
          <w:color w:val="auto"/>
        </w:rPr>
      </w:pPr>
      <w:r>
        <w:rPr>
          <w:rFonts w:ascii="Times New Roman" w:cs="Times New Roman" w:eastAsia="Times New Roman" w:hAnsi="Times New Roman"/>
          <w:sz w:val="15"/>
          <w:szCs w:val="15"/>
          <w:color w:val="auto"/>
        </w:rPr>
        <w:t>Attn: Investor Relations</w:t>
      </w:r>
    </w:p>
    <w:p>
      <w:pPr>
        <w:spacing w:after="0" w:line="10" w:lineRule="exact"/>
        <w:rPr>
          <w:rFonts w:ascii="Times New Roman" w:cs="Times New Roman" w:eastAsia="Times New Roman" w:hAnsi="Times New Roman"/>
          <w:sz w:val="15"/>
          <w:szCs w:val="15"/>
          <w:color w:val="auto"/>
        </w:rPr>
      </w:pPr>
    </w:p>
    <w:p>
      <w:pPr>
        <w:jc w:val="center"/>
        <w:ind w:right="-1019"/>
        <w:spacing w:after="0"/>
        <w:rPr>
          <w:sz w:val="20"/>
          <w:szCs w:val="20"/>
          <w:color w:val="auto"/>
        </w:rPr>
      </w:pPr>
      <w:r>
        <w:rPr>
          <w:rFonts w:ascii="Times New Roman" w:cs="Times New Roman" w:eastAsia="Times New Roman" w:hAnsi="Times New Roman"/>
          <w:sz w:val="15"/>
          <w:szCs w:val="15"/>
          <w:color w:val="auto"/>
        </w:rPr>
        <w:t>(650) 825-6990</w:t>
      </w:r>
    </w:p>
    <w:p>
      <w:pPr>
        <w:spacing w:after="0" w:line="355" w:lineRule="exact"/>
        <w:rPr>
          <w:rFonts w:ascii="Times New Roman" w:cs="Times New Roman" w:eastAsia="Times New Roman" w:hAnsi="Times New Roman"/>
          <w:sz w:val="15"/>
          <w:szCs w:val="15"/>
          <w:color w:val="auto"/>
        </w:rPr>
      </w:pPr>
    </w:p>
    <w:p>
      <w:pPr>
        <w:ind w:left="980" w:right="200" w:firstLine="371"/>
        <w:spacing w:after="0" w:line="293" w:lineRule="auto"/>
        <w:rPr>
          <w:sz w:val="20"/>
          <w:szCs w:val="20"/>
          <w:color w:val="auto"/>
        </w:rPr>
      </w:pPr>
      <w:r>
        <w:rPr>
          <w:rFonts w:ascii="Times New Roman" w:cs="Times New Roman" w:eastAsia="Times New Roman" w:hAnsi="Times New Roman"/>
          <w:sz w:val="15"/>
          <w:szCs w:val="15"/>
          <w:b w:val="1"/>
          <w:bCs w:val="1"/>
          <w:color w:val="auto"/>
        </w:rPr>
        <w:t>The information accessible through any website referred to in this prospectus supplement or any document incorporated herein is not, and should not be deemed to be, a part of this prospectus supplement.</w:t>
      </w:r>
    </w:p>
    <w:p>
      <w:pPr>
        <w:spacing w:after="0" w:line="72" w:lineRule="exact"/>
        <w:rPr>
          <w:rFonts w:ascii="Times New Roman" w:cs="Times New Roman" w:eastAsia="Times New Roman" w:hAnsi="Times New Roman"/>
          <w:sz w:val="15"/>
          <w:szCs w:val="15"/>
          <w:color w:val="auto"/>
        </w:rPr>
      </w:pPr>
    </w:p>
    <w:p>
      <w:pPr>
        <w:ind w:left="5480"/>
        <w:spacing w:after="0"/>
        <w:rPr>
          <w:sz w:val="20"/>
          <w:szCs w:val="20"/>
          <w:color w:val="auto"/>
        </w:rPr>
      </w:pPr>
      <w:r>
        <w:rPr>
          <w:rFonts w:ascii="Times New Roman" w:cs="Times New Roman" w:eastAsia="Times New Roman" w:hAnsi="Times New Roman"/>
          <w:sz w:val="15"/>
          <w:szCs w:val="15"/>
          <w:color w:val="auto"/>
        </w:rPr>
        <w:t>S-23</w:t>
      </w:r>
    </w:p>
    <w:p>
      <w:pPr>
        <w:sectPr>
          <w:pgSz w:w="11900" w:h="16838" w:orient="portrait"/>
          <w:cols w:equalWidth="0" w:num="1">
            <w:col w:w="10220"/>
          </w:cols>
          <w:pgMar w:left="320" w:top="405" w:right="1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213360</wp:posOffset>
            </wp:positionV>
            <wp:extent cx="5896610"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5896610" cy="1460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256540</wp:posOffset>
            </wp:positionV>
            <wp:extent cx="589661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5896610" cy="6985"/>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552450</wp:posOffset>
            </wp:positionV>
            <wp:extent cx="1618615" cy="5854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1618615" cy="585470"/>
                    </a:xfrm>
                    <a:prstGeom prst="rect">
                      <a:avLst/>
                    </a:prstGeom>
                    <a:noFill/>
                  </pic:spPr>
                </pic:pic>
              </a:graphicData>
            </a:graphic>
          </wp:anchor>
        </w:drawing>
      </w:r>
    </w:p>
    <w:p>
      <w:pPr>
        <w:sectPr>
          <w:pgSz w:w="11900" w:h="16838" w:orient="portrait"/>
          <w:cols w:equalWidth="0" w:num="1">
            <w:col w:w="10139"/>
          </w:cols>
          <w:pgMar w:left="320" w:top="4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4"/>
          <w:szCs w:val="24"/>
          <w:b w:val="1"/>
          <w:bCs w:val="1"/>
          <w:color w:val="auto"/>
        </w:rPr>
        <w:t>Up to $69,820,000</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2949575</wp:posOffset>
            </wp:positionH>
            <wp:positionV relativeFrom="paragraph">
              <wp:posOffset>1075690</wp:posOffset>
            </wp:positionV>
            <wp:extent cx="124269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12426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2949575</wp:posOffset>
            </wp:positionH>
            <wp:positionV relativeFrom="paragraph">
              <wp:posOffset>203835</wp:posOffset>
            </wp:positionV>
            <wp:extent cx="124269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12426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4"/>
          <w:szCs w:val="24"/>
          <w:b w:val="1"/>
          <w:bCs w:val="1"/>
          <w:color w:val="auto"/>
        </w:rPr>
        <w:t>Leerink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2949575</wp:posOffset>
            </wp:positionH>
            <wp:positionV relativeFrom="paragraph">
              <wp:posOffset>220980</wp:posOffset>
            </wp:positionV>
            <wp:extent cx="124269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12426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5"/>
          <w:szCs w:val="15"/>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364490</wp:posOffset>
            </wp:positionV>
            <wp:extent cx="589661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5896610" cy="698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422275</wp:posOffset>
            </wp:positionV>
            <wp:extent cx="5896610"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5896610" cy="14605"/>
                    </a:xfrm>
                    <a:prstGeom prst="rect">
                      <a:avLst/>
                    </a:prstGeom>
                    <a:noFill/>
                  </pic:spPr>
                </pic:pic>
              </a:graphicData>
            </a:graphic>
          </wp:anchor>
        </w:drawing>
      </w:r>
    </w:p>
    <w:p>
      <w:pPr>
        <w:sectPr>
          <w:pgSz w:w="11900" w:h="16838" w:orient="portrait"/>
          <w:cols w:equalWidth="0" w:num="1">
            <w:col w:w="10139"/>
          </w:cols>
          <w:pgMar w:left="320" w:top="405" w:right="1440"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01"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b w:val="1"/>
          <w:bCs w:val="1"/>
          <w:color w:val="auto"/>
        </w:rPr>
        <w:t>INFORMATION NOT REQUIRED IN PROSPECTUS</w:t>
      </w:r>
    </w:p>
    <w:p>
      <w:pPr>
        <w:spacing w:after="0" w:line="214" w:lineRule="exact"/>
        <w:rPr>
          <w:sz w:val="20"/>
          <w:szCs w:val="20"/>
          <w:color w:val="auto"/>
        </w:rPr>
      </w:pPr>
    </w:p>
    <w:p>
      <w:pPr>
        <w:ind w:left="980"/>
        <w:spacing w:after="0"/>
        <w:tabs>
          <w:tab w:leader="none" w:pos="1880" w:val="left"/>
        </w:tabs>
        <w:rPr>
          <w:sz w:val="20"/>
          <w:szCs w:val="20"/>
          <w:color w:val="auto"/>
        </w:rPr>
      </w:pPr>
      <w:r>
        <w:rPr>
          <w:rFonts w:ascii="Times New Roman" w:cs="Times New Roman" w:eastAsia="Times New Roman" w:hAnsi="Times New Roman"/>
          <w:sz w:val="15"/>
          <w:szCs w:val="15"/>
          <w:b w:val="1"/>
          <w:bCs w:val="1"/>
          <w:color w:val="auto"/>
        </w:rPr>
        <w:t>Item 14.</w:t>
      </w:r>
      <w:r>
        <w:rPr>
          <w:sz w:val="20"/>
          <w:szCs w:val="20"/>
          <w:color w:val="auto"/>
        </w:rPr>
        <w:tab/>
      </w:r>
      <w:r>
        <w:rPr>
          <w:rFonts w:ascii="Times New Roman" w:cs="Times New Roman" w:eastAsia="Times New Roman" w:hAnsi="Times New Roman"/>
          <w:sz w:val="15"/>
          <w:szCs w:val="15"/>
          <w:b w:val="1"/>
          <w:bCs w:val="1"/>
          <w:color w:val="auto"/>
        </w:rPr>
        <w:t>Other Expenses of Issuance and Distribution</w:t>
      </w:r>
    </w:p>
    <w:p>
      <w:pPr>
        <w:spacing w:after="0" w:line="105" w:lineRule="exact"/>
        <w:rPr>
          <w:sz w:val="20"/>
          <w:szCs w:val="20"/>
          <w:color w:val="auto"/>
        </w:rPr>
      </w:pPr>
    </w:p>
    <w:p>
      <w:pPr>
        <w:ind w:left="980" w:firstLine="371"/>
        <w:spacing w:after="0" w:line="270" w:lineRule="auto"/>
        <w:rPr>
          <w:sz w:val="20"/>
          <w:szCs w:val="20"/>
          <w:color w:val="auto"/>
        </w:rPr>
      </w:pPr>
      <w:r>
        <w:rPr>
          <w:rFonts w:ascii="Times New Roman" w:cs="Times New Roman" w:eastAsia="Times New Roman" w:hAnsi="Times New Roman"/>
          <w:sz w:val="15"/>
          <w:szCs w:val="15"/>
          <w:color w:val="auto"/>
        </w:rPr>
        <w:t>The following table sets forth fees and expenses to be paid by us in connection with the issuance and distribution of the securities being registered, other than discounts and commissions to be paid to agents or underwriters. All amounts shown are estimates except for the Securities and Exchange Commission, or the SEC, registration fee and the Financial Industry Regulatory Authority, or FINRA, filing fee.</w:t>
      </w:r>
    </w:p>
    <w:p>
      <w:pPr>
        <w:spacing w:after="0" w:line="149" w:lineRule="exact"/>
        <w:rPr>
          <w:sz w:val="20"/>
          <w:szCs w:val="20"/>
          <w:color w:val="auto"/>
        </w:rPr>
      </w:pPr>
    </w:p>
    <w:tbl>
      <w:tblPr>
        <w:tblLayout w:type="fixed"/>
        <w:tblInd w:w="2480" w:type="dxa"/>
        <w:tblCellMar>
          <w:top w:w="0" w:type="dxa"/>
          <w:left w:w="0" w:type="dxa"/>
          <w:bottom w:w="0" w:type="dxa"/>
          <w:right w:w="0" w:type="dxa"/>
        </w:tblCellMar>
      </w:tblPr>
      <w:tr>
        <w:trPr>
          <w:trHeight w:val="138"/>
        </w:trPr>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r>
      <w:tr>
        <w:trPr>
          <w:trHeight w:val="147"/>
        </w:trPr>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to be Paid</w:t>
            </w:r>
          </w:p>
        </w:tc>
      </w:tr>
      <w:tr>
        <w:trPr>
          <w:trHeight w:val="173"/>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SEC registration fee</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42,295</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182"/>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FINRA filing fee</w:t>
            </w:r>
          </w:p>
        </w:tc>
        <w:tc>
          <w:tcPr>
            <w:tcW w:w="8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45,500</w:t>
            </w:r>
          </w:p>
        </w:tc>
        <w:tc>
          <w:tcPr>
            <w:tcW w:w="40" w:type="dxa"/>
            <w:vAlign w:val="bottom"/>
          </w:tcPr>
          <w:p>
            <w:pPr>
              <w:spacing w:after="0"/>
              <w:rPr>
                <w:sz w:val="15"/>
                <w:szCs w:val="15"/>
                <w:color w:val="auto"/>
              </w:rPr>
            </w:pPr>
          </w:p>
        </w:tc>
      </w:tr>
      <w:tr>
        <w:trPr>
          <w:trHeight w:val="18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exchange listing fee</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r>
      <w:tr>
        <w:trPr>
          <w:trHeight w:val="182"/>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Printing and engraving expenses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r>
      <w:tr>
        <w:trPr>
          <w:trHeight w:val="18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Accounting fees and expenses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r>
      <w:tr>
        <w:trPr>
          <w:trHeight w:val="182"/>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Legal fees and expenses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r>
      <w:tr>
        <w:trPr>
          <w:trHeight w:val="18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Transfer agent and registrar fees and expenses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r>
      <w:tr>
        <w:trPr>
          <w:trHeight w:val="182"/>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Trustee’s fees and expenses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r>
      <w:tr>
        <w:trPr>
          <w:trHeight w:val="18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Miscellaneous expenses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r>
      <w:tr>
        <w:trPr>
          <w:trHeight w:val="185"/>
        </w:trPr>
        <w:tc>
          <w:tcPr>
            <w:tcW w:w="57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20" w:type="dxa"/>
            <w:vAlign w:val="bottom"/>
            <w:tcBorders>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79375</wp:posOffset>
            </wp:positionV>
            <wp:extent cx="65024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650240" cy="6985"/>
                    </a:xfrm>
                    <a:prstGeom prst="rect">
                      <a:avLst/>
                    </a:prstGeom>
                    <a:noFill/>
                  </pic:spPr>
                </pic:pic>
              </a:graphicData>
            </a:graphic>
          </wp:anchor>
        </w:drawing>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  These fees and expenses are calculated based on the securities offered and the number of issuances and accordingly cannot be estimated at this time.</w:t>
      </w:r>
    </w:p>
    <w:p>
      <w:pPr>
        <w:spacing w:after="0" w:line="313" w:lineRule="exact"/>
        <w:rPr>
          <w:sz w:val="20"/>
          <w:szCs w:val="20"/>
          <w:color w:val="auto"/>
        </w:rPr>
      </w:pPr>
    </w:p>
    <w:p>
      <w:pPr>
        <w:ind w:left="980"/>
        <w:spacing w:after="0"/>
        <w:tabs>
          <w:tab w:leader="none" w:pos="1880" w:val="left"/>
        </w:tabs>
        <w:rPr>
          <w:sz w:val="20"/>
          <w:szCs w:val="20"/>
          <w:color w:val="auto"/>
        </w:rPr>
      </w:pPr>
      <w:r>
        <w:rPr>
          <w:rFonts w:ascii="Times New Roman" w:cs="Times New Roman" w:eastAsia="Times New Roman" w:hAnsi="Times New Roman"/>
          <w:sz w:val="15"/>
          <w:szCs w:val="15"/>
          <w:b w:val="1"/>
          <w:bCs w:val="1"/>
          <w:color w:val="auto"/>
        </w:rPr>
        <w:t>Item 15.</w:t>
      </w:r>
      <w:r>
        <w:rPr>
          <w:sz w:val="20"/>
          <w:szCs w:val="20"/>
          <w:color w:val="auto"/>
        </w:rPr>
        <w:tab/>
      </w:r>
      <w:r>
        <w:rPr>
          <w:rFonts w:ascii="Times New Roman" w:cs="Times New Roman" w:eastAsia="Times New Roman" w:hAnsi="Times New Roman"/>
          <w:sz w:val="15"/>
          <w:szCs w:val="15"/>
          <w:b w:val="1"/>
          <w:bCs w:val="1"/>
          <w:color w:val="auto"/>
        </w:rPr>
        <w:t>Indemnification of Directors and Officers</w:t>
      </w:r>
    </w:p>
    <w:p>
      <w:pPr>
        <w:spacing w:after="0" w:line="105" w:lineRule="exact"/>
        <w:rPr>
          <w:sz w:val="20"/>
          <w:szCs w:val="20"/>
          <w:color w:val="auto"/>
        </w:rPr>
      </w:pPr>
    </w:p>
    <w:p>
      <w:pPr>
        <w:ind w:left="980" w:right="340" w:firstLine="371"/>
        <w:spacing w:after="0" w:line="287" w:lineRule="auto"/>
        <w:rPr>
          <w:sz w:val="20"/>
          <w:szCs w:val="20"/>
          <w:color w:val="auto"/>
        </w:rPr>
      </w:pPr>
      <w:r>
        <w:rPr>
          <w:rFonts w:ascii="Times New Roman" w:cs="Times New Roman" w:eastAsia="Times New Roman" w:hAnsi="Times New Roman"/>
          <w:sz w:val="15"/>
          <w:szCs w:val="15"/>
          <w:color w:val="auto"/>
        </w:rPr>
        <w:t>Section 145 of the Delaware General Corporation Law authorizes a corporation’s board of directors to grant, and authorizes a court to award, indemnity to officers, directors and other corporate agents.</w:t>
      </w:r>
    </w:p>
    <w:p>
      <w:pPr>
        <w:spacing w:after="0" w:line="134" w:lineRule="exact"/>
        <w:rPr>
          <w:sz w:val="20"/>
          <w:szCs w:val="20"/>
          <w:color w:val="auto"/>
        </w:rPr>
      </w:pPr>
    </w:p>
    <w:p>
      <w:pPr>
        <w:ind w:left="980" w:right="20" w:firstLine="371"/>
        <w:spacing w:after="0" w:line="270" w:lineRule="auto"/>
        <w:rPr>
          <w:sz w:val="20"/>
          <w:szCs w:val="20"/>
          <w:color w:val="auto"/>
        </w:rPr>
      </w:pPr>
      <w:r>
        <w:rPr>
          <w:rFonts w:ascii="Times New Roman" w:cs="Times New Roman" w:eastAsia="Times New Roman" w:hAnsi="Times New Roman"/>
          <w:sz w:val="15"/>
          <w:szCs w:val="15"/>
          <w:color w:val="auto"/>
        </w:rPr>
        <w:t>Our certificate of incorporation contains provisions that limit the liability of our directors and certain of our officers for monetary damages to the fullest extent permitted by the Delaware General Corporation Law. Consequently, our directors will not be personally liable to us or our stockholders for monetary damages for any breach of fiduciary duties as directors, except liability for the following:</w:t>
      </w:r>
    </w:p>
    <w:p>
      <w:pPr>
        <w:spacing w:after="0" w:line="66" w:lineRule="exact"/>
        <w:rPr>
          <w:sz w:val="20"/>
          <w:szCs w:val="20"/>
          <w:color w:val="auto"/>
        </w:rPr>
      </w:pPr>
    </w:p>
    <w:p>
      <w:pPr>
        <w:ind w:left="1800" w:hanging="364"/>
        <w:spacing w:after="0"/>
        <w:tabs>
          <w:tab w:leader="none" w:pos="18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breach of their duty of loyalty to us or our stockholders;</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 or omission not in good faith or that involves intentional misconduct or a knowing violation of law;</w:t>
      </w:r>
    </w:p>
    <w:p>
      <w:pPr>
        <w:spacing w:after="0" w:line="112" w:lineRule="exact"/>
        <w:rPr>
          <w:rFonts w:ascii="Times New Roman" w:cs="Times New Roman" w:eastAsia="Times New Roman" w:hAnsi="Times New Roman"/>
          <w:sz w:val="15"/>
          <w:szCs w:val="15"/>
          <w:color w:val="auto"/>
        </w:rPr>
      </w:pPr>
    </w:p>
    <w:p>
      <w:pPr>
        <w:ind w:left="1800" w:right="520" w:hanging="364"/>
        <w:spacing w:after="0" w:line="287" w:lineRule="auto"/>
        <w:tabs>
          <w:tab w:leader="none" w:pos="18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unlawful payments of dividends or unlawful stock repurchases or redemptions as provided in Section 174 of the Delaware General Corporation Law; or</w:t>
      </w:r>
    </w:p>
    <w:p>
      <w:pPr>
        <w:spacing w:after="0" w:line="54"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transaction from which they derived an improper personal benefit.</w:t>
      </w:r>
    </w:p>
    <w:p>
      <w:pPr>
        <w:spacing w:after="0" w:line="192" w:lineRule="exact"/>
        <w:rPr>
          <w:sz w:val="20"/>
          <w:szCs w:val="20"/>
          <w:color w:val="auto"/>
        </w:rPr>
      </w:pPr>
    </w:p>
    <w:p>
      <w:pPr>
        <w:jc w:val="both"/>
        <w:ind w:left="980" w:right="400" w:firstLine="371"/>
        <w:spacing w:after="0" w:line="270" w:lineRule="auto"/>
        <w:rPr>
          <w:sz w:val="20"/>
          <w:szCs w:val="20"/>
          <w:color w:val="auto"/>
        </w:rPr>
      </w:pPr>
      <w:r>
        <w:rPr>
          <w:rFonts w:ascii="Times New Roman" w:cs="Times New Roman" w:eastAsia="Times New Roman" w:hAnsi="Times New Roman"/>
          <w:sz w:val="15"/>
          <w:szCs w:val="15"/>
          <w:color w:val="auto"/>
        </w:rPr>
        <w:t>Similarly, our officers who at the time of an act or omission as to which liability is asserted consented to or are deemed to have consented to certain service of process rules under Delaware law will not be personally liable to us or our stockholders for monetary damages for any breach of fiduciary duties as officers, except for liability in connection with:</w:t>
      </w:r>
    </w:p>
    <w:p>
      <w:pPr>
        <w:spacing w:after="0" w:line="66" w:lineRule="exact"/>
        <w:rPr>
          <w:sz w:val="20"/>
          <w:szCs w:val="20"/>
          <w:color w:val="auto"/>
        </w:rPr>
      </w:pPr>
    </w:p>
    <w:p>
      <w:pPr>
        <w:ind w:left="1800" w:hanging="364"/>
        <w:spacing w:after="0"/>
        <w:tabs>
          <w:tab w:leader="none" w:pos="18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breach of their duty of loyalty to us or our stockholders;</w:t>
      </w:r>
    </w:p>
    <w:p>
      <w:pPr>
        <w:spacing w:after="0" w:line="112" w:lineRule="exact"/>
        <w:rPr>
          <w:rFonts w:ascii="Times New Roman" w:cs="Times New Roman" w:eastAsia="Times New Roman" w:hAnsi="Times New Roman"/>
          <w:sz w:val="15"/>
          <w:szCs w:val="15"/>
          <w:color w:val="auto"/>
        </w:rPr>
      </w:pPr>
    </w:p>
    <w:p>
      <w:pPr>
        <w:ind w:left="5520" w:right="1940" w:hanging="4084"/>
        <w:spacing w:after="0" w:line="461" w:lineRule="auto"/>
        <w:tabs>
          <w:tab w:leader="none" w:pos="181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 or omission not in good faith or that involves intentional misconduct or a knowing violation of law; II-1</w:t>
      </w:r>
    </w:p>
    <w:p>
      <w:pPr>
        <w:sectPr>
          <w:pgSz w:w="11900" w:h="16838" w:orient="portrait"/>
          <w:cols w:equalWidth="0" w:num="1">
            <w:col w:w="10260"/>
          </w:cols>
          <w:pgMar w:left="320" w:top="405" w:right="1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5" w:lineRule="exact"/>
        <w:rPr>
          <w:sz w:val="20"/>
          <w:szCs w:val="20"/>
          <w:color w:val="auto"/>
        </w:rPr>
      </w:pPr>
    </w:p>
    <w:p>
      <w:pPr>
        <w:ind w:left="1800" w:hanging="364"/>
        <w:spacing w:after="0"/>
        <w:tabs>
          <w:tab w:leader="none" w:pos="18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transaction from which they derived an improper personal benefit; or</w:t>
      </w:r>
    </w:p>
    <w:p>
      <w:pPr>
        <w:spacing w:after="0" w:line="112" w:lineRule="exact"/>
        <w:rPr>
          <w:rFonts w:ascii="Times New Roman" w:cs="Times New Roman" w:eastAsia="Times New Roman" w:hAnsi="Times New Roman"/>
          <w:sz w:val="15"/>
          <w:szCs w:val="15"/>
          <w:color w:val="auto"/>
        </w:rPr>
      </w:pPr>
    </w:p>
    <w:p>
      <w:pPr>
        <w:ind w:left="1800" w:hanging="364"/>
        <w:spacing w:after="0"/>
        <w:tabs>
          <w:tab w:leader="none" w:pos="18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by or in the right of the corporation.</w:t>
      </w:r>
    </w:p>
    <w:p>
      <w:pPr>
        <w:spacing w:after="0" w:line="192" w:lineRule="exact"/>
        <w:rPr>
          <w:sz w:val="20"/>
          <w:szCs w:val="20"/>
          <w:color w:val="auto"/>
        </w:rPr>
      </w:pPr>
    </w:p>
    <w:p>
      <w:pPr>
        <w:ind w:left="980" w:firstLine="371"/>
        <w:spacing w:after="0" w:line="264" w:lineRule="auto"/>
        <w:rPr>
          <w:sz w:val="20"/>
          <w:szCs w:val="20"/>
          <w:color w:val="auto"/>
        </w:rPr>
      </w:pPr>
      <w:r>
        <w:rPr>
          <w:rFonts w:ascii="Times New Roman" w:cs="Times New Roman" w:eastAsia="Times New Roman" w:hAnsi="Times New Roman"/>
          <w:sz w:val="15"/>
          <w:szCs w:val="15"/>
          <w:color w:val="auto"/>
        </w:rPr>
        <w:t>Any amendment, repeal or elimination of these provisions will not eliminate or reduce the effect of these provisions in respect of any act, omission or claim that occurred or arose prior to that amendment, repeal or elimination. If the Delaware General Corporation Law is amended to provide for further limitations on the personal liability of directors or officers of corporations, then the personal liability of our directors and officers will be further limited to the greatest extent permitted by the Delaware General Corporation Law.</w:t>
      </w:r>
    </w:p>
    <w:p>
      <w:pPr>
        <w:spacing w:after="0" w:line="151" w:lineRule="exact"/>
        <w:rPr>
          <w:sz w:val="20"/>
          <w:szCs w:val="20"/>
          <w:color w:val="auto"/>
        </w:rPr>
      </w:pPr>
    </w:p>
    <w:p>
      <w:pPr>
        <w:ind w:left="980" w:right="100" w:firstLine="371"/>
        <w:spacing w:after="0" w:line="270" w:lineRule="auto"/>
        <w:rPr>
          <w:sz w:val="20"/>
          <w:szCs w:val="20"/>
          <w:color w:val="auto"/>
        </w:rPr>
      </w:pPr>
      <w:r>
        <w:rPr>
          <w:rFonts w:ascii="Times New Roman" w:cs="Times New Roman" w:eastAsia="Times New Roman" w:hAnsi="Times New Roman"/>
          <w:sz w:val="15"/>
          <w:szCs w:val="15"/>
          <w:color w:val="auto"/>
        </w:rPr>
        <w:t>In addition, our bylaws provide that we will indemnify our directors and officers, and may indemnify our employees, agents and any other persons, to the fullest extent permitted by the Delaware General Corporation Law. Our bylaws also provide that we must advance expenses incurred by or on behalf of a director or officer in advance of the final disposition of any action or proceeding, subject to limited exceptions.</w:t>
      </w:r>
    </w:p>
    <w:p>
      <w:pPr>
        <w:spacing w:after="0" w:line="146" w:lineRule="exact"/>
        <w:rPr>
          <w:sz w:val="20"/>
          <w:szCs w:val="20"/>
          <w:color w:val="auto"/>
        </w:rPr>
      </w:pPr>
    </w:p>
    <w:p>
      <w:pPr>
        <w:jc w:val="both"/>
        <w:ind w:left="980" w:right="160" w:firstLine="371"/>
        <w:spacing w:after="0" w:line="260" w:lineRule="auto"/>
        <w:rPr>
          <w:sz w:val="20"/>
          <w:szCs w:val="20"/>
          <w:color w:val="auto"/>
        </w:rPr>
      </w:pPr>
      <w:r>
        <w:rPr>
          <w:rFonts w:ascii="Times New Roman" w:cs="Times New Roman" w:eastAsia="Times New Roman" w:hAnsi="Times New Roman"/>
          <w:sz w:val="15"/>
          <w:szCs w:val="15"/>
          <w:color w:val="auto"/>
        </w:rPr>
        <w:t>Further, we have entered into indemnification agreements with each of our directors and executive officers that may be broader than the specific indemnification provisions contained in the Delaware General Corporation Law. These indemnification agreements require us to, among other things, indemnify our directors and executive officers against liabilities that may arise by reason of their status or service. These indemnification agreements also generally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spacing w:after="0" w:line="153" w:lineRule="exact"/>
        <w:rPr>
          <w:sz w:val="20"/>
          <w:szCs w:val="20"/>
          <w:color w:val="auto"/>
        </w:rPr>
      </w:pPr>
    </w:p>
    <w:p>
      <w:pPr>
        <w:jc w:val="both"/>
        <w:ind w:left="980" w:right="480" w:firstLine="371"/>
        <w:spacing w:after="0" w:line="260" w:lineRule="auto"/>
        <w:rPr>
          <w:sz w:val="20"/>
          <w:szCs w:val="20"/>
          <w:color w:val="auto"/>
        </w:rPr>
      </w:pPr>
      <w:r>
        <w:rPr>
          <w:rFonts w:ascii="Times New Roman" w:cs="Times New Roman" w:eastAsia="Times New Roman" w:hAnsi="Times New Roman"/>
          <w:sz w:val="15"/>
          <w:szCs w:val="15"/>
          <w:color w:val="auto"/>
        </w:rPr>
        <w:t>The limitation of liability and indemnification provisions in our certificate of incorporation, bylaws and indemnification agreements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w:t>
      </w:r>
    </w:p>
    <w:p>
      <w:pPr>
        <w:spacing w:after="0" w:line="1" w:lineRule="exact"/>
        <w:rPr>
          <w:sz w:val="20"/>
          <w:szCs w:val="20"/>
          <w:color w:val="auto"/>
        </w:rPr>
      </w:pPr>
    </w:p>
    <w:p>
      <w:pPr>
        <w:ind w:left="980" w:right="100"/>
        <w:spacing w:after="0" w:line="266" w:lineRule="auto"/>
        <w:rPr>
          <w:sz w:val="20"/>
          <w:szCs w:val="20"/>
          <w:color w:val="auto"/>
        </w:rPr>
      </w:pPr>
      <w:r>
        <w:rPr>
          <w:rFonts w:ascii="Times New Roman" w:cs="Times New Roman" w:eastAsia="Times New Roman" w:hAnsi="Times New Roman"/>
          <w:sz w:val="15"/>
          <w:szCs w:val="15"/>
          <w:color w:val="auto"/>
        </w:rPr>
        <w:t>Further, a stockholder’s investment may be adversely affected to the extent that we pay the costs of settlement and damage awards against our directors and officers as required by these indemnification provisions.</w:t>
      </w:r>
    </w:p>
    <w:p>
      <w:pPr>
        <w:spacing w:after="0" w:line="149" w:lineRule="exact"/>
        <w:rPr>
          <w:sz w:val="20"/>
          <w:szCs w:val="20"/>
          <w:color w:val="auto"/>
        </w:rPr>
      </w:pPr>
    </w:p>
    <w:p>
      <w:pPr>
        <w:ind w:left="980" w:right="200" w:firstLine="371"/>
        <w:spacing w:after="0" w:line="264" w:lineRule="auto"/>
        <w:rPr>
          <w:sz w:val="20"/>
          <w:szCs w:val="20"/>
          <w:color w:val="auto"/>
        </w:rPr>
      </w:pPr>
      <w:r>
        <w:rPr>
          <w:rFonts w:ascii="Times New Roman" w:cs="Times New Roman" w:eastAsia="Times New Roman" w:hAnsi="Times New Roman"/>
          <w:sz w:val="15"/>
          <w:szCs w:val="15"/>
          <w:color w:val="auto"/>
        </w:rPr>
        <w:t>We have obtained insurance policies under which, subject to the limitations of the policies, coverage is provided to our directors and officers against loss arising from claims made by reason of breach of fiduciary duty or other wrongful acts as a director or officer, including claims relating to public securities matters, and to us with respect to payments that may be made by us to our directors and officers pursuant to our indemnification obligations or otherwise as a matter of law.</w:t>
      </w:r>
    </w:p>
    <w:p>
      <w:pPr>
        <w:spacing w:after="0" w:line="151" w:lineRule="exact"/>
        <w:rPr>
          <w:sz w:val="20"/>
          <w:szCs w:val="20"/>
          <w:color w:val="auto"/>
        </w:rPr>
      </w:pPr>
    </w:p>
    <w:p>
      <w:pPr>
        <w:ind w:left="980" w:right="160" w:firstLine="371"/>
        <w:spacing w:after="0" w:line="287" w:lineRule="auto"/>
        <w:rPr>
          <w:sz w:val="20"/>
          <w:szCs w:val="20"/>
          <w:color w:val="auto"/>
        </w:rPr>
      </w:pPr>
      <w:r>
        <w:rPr>
          <w:rFonts w:ascii="Times New Roman" w:cs="Times New Roman" w:eastAsia="Times New Roman" w:hAnsi="Times New Roman"/>
          <w:sz w:val="15"/>
          <w:szCs w:val="15"/>
          <w:color w:val="auto"/>
        </w:rPr>
        <w:t>Certain of our non-employee directors may, through their relationships with their employers, be insured or indemnified against certain liabilities incurred in their capacity as members of our board of directors.</w:t>
      </w:r>
    </w:p>
    <w:p>
      <w:pPr>
        <w:spacing w:after="0" w:line="134" w:lineRule="exact"/>
        <w:rPr>
          <w:sz w:val="20"/>
          <w:szCs w:val="20"/>
          <w:color w:val="auto"/>
        </w:rPr>
      </w:pPr>
    </w:p>
    <w:p>
      <w:pPr>
        <w:jc w:val="both"/>
        <w:ind w:left="980" w:right="60" w:firstLine="371"/>
        <w:spacing w:after="0" w:line="270" w:lineRule="auto"/>
        <w:rPr>
          <w:sz w:val="20"/>
          <w:szCs w:val="20"/>
          <w:color w:val="auto"/>
        </w:rPr>
      </w:pPr>
      <w:r>
        <w:rPr>
          <w:rFonts w:ascii="Times New Roman" w:cs="Times New Roman" w:eastAsia="Times New Roman" w:hAnsi="Times New Roman"/>
          <w:sz w:val="15"/>
          <w:szCs w:val="15"/>
          <w:color w:val="auto"/>
        </w:rPr>
        <w:t>The underwriting agreement to be filed as Exhibit 1.1 to this registration statement may provide for indemnification by the underwriters of us and our directors and officers for certain liabilities arising under the Securities Act of 1933, as amended, or the Securities Act, the Securities Exchange Act of 1934, as amended, or the Exchange Act, or otherwise.</w:t>
      </w:r>
    </w:p>
    <w:p>
      <w:pPr>
        <w:spacing w:after="0" w:line="267" w:lineRule="exact"/>
        <w:rPr>
          <w:sz w:val="20"/>
          <w:szCs w:val="20"/>
          <w:color w:val="auto"/>
        </w:rPr>
      </w:pPr>
    </w:p>
    <w:tbl>
      <w:tblPr>
        <w:tblLayout w:type="fixed"/>
        <w:tblInd w:w="980" w:type="dxa"/>
        <w:tblCellMar>
          <w:top w:w="0" w:type="dxa"/>
          <w:left w:w="0" w:type="dxa"/>
          <w:bottom w:w="0" w:type="dxa"/>
          <w:right w:w="0" w:type="dxa"/>
        </w:tblCellMar>
      </w:tblPr>
      <w:tr>
        <w:trPr>
          <w:trHeight w:val="201"/>
        </w:trPr>
        <w:tc>
          <w:tcPr>
            <w:tcW w:w="7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Item 16.</w:t>
            </w:r>
          </w:p>
        </w:tc>
        <w:tc>
          <w:tcPr>
            <w:tcW w:w="4260" w:type="dxa"/>
            <w:vAlign w:val="bottom"/>
            <w:gridSpan w:val="4"/>
          </w:tcPr>
          <w:p>
            <w:pPr>
              <w:ind w:left="180"/>
              <w:spacing w:after="0"/>
              <w:rPr>
                <w:sz w:val="20"/>
                <w:szCs w:val="20"/>
                <w:color w:val="auto"/>
              </w:rPr>
            </w:pPr>
            <w:r>
              <w:rPr>
                <w:rFonts w:ascii="Times New Roman" w:cs="Times New Roman" w:eastAsia="Times New Roman" w:hAnsi="Times New Roman"/>
                <w:sz w:val="15"/>
                <w:szCs w:val="15"/>
                <w:b w:val="1"/>
                <w:bCs w:val="1"/>
                <w:color w:val="auto"/>
              </w:rPr>
              <w:t>Exhibits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7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2"/>
                <w:szCs w:val="12"/>
                <w:b w:val="1"/>
                <w:bCs w:val="1"/>
                <w:color w:val="auto"/>
                <w:w w:val="99"/>
              </w:rPr>
              <w:t>Incorporation by Reference</w:t>
            </w:r>
          </w:p>
        </w:tc>
        <w:tc>
          <w:tcPr>
            <w:tcW w:w="10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Filed</w:t>
            </w:r>
          </w:p>
        </w:tc>
        <w:tc>
          <w:tcPr>
            <w:tcW w:w="0" w:type="dxa"/>
            <w:vAlign w:val="bottom"/>
          </w:tcPr>
          <w:p>
            <w:pPr>
              <w:spacing w:after="0"/>
              <w:rPr>
                <w:sz w:val="1"/>
                <w:szCs w:val="1"/>
                <w:color w:val="auto"/>
              </w:rPr>
            </w:pPr>
          </w:p>
        </w:tc>
      </w:tr>
      <w:tr>
        <w:trPr>
          <w:trHeight w:val="95"/>
        </w:trPr>
        <w:tc>
          <w:tcPr>
            <w:tcW w:w="740" w:type="dxa"/>
            <w:vAlign w:val="bottom"/>
            <w:gridSpan w:val="2"/>
            <w:vMerge w:val="continue"/>
          </w:tcPr>
          <w:p>
            <w:pPr>
              <w:spacing w:after="0"/>
              <w:rPr>
                <w:sz w:val="8"/>
                <w:szCs w:val="8"/>
                <w:color w:val="auto"/>
              </w:rPr>
            </w:pPr>
          </w:p>
        </w:tc>
        <w:tc>
          <w:tcPr>
            <w:tcW w:w="4080" w:type="dxa"/>
            <w:vAlign w:val="bottom"/>
            <w:gridSpan w:val="3"/>
            <w:vMerge w:val="restart"/>
          </w:tcPr>
          <w:p>
            <w:pPr>
              <w:ind w:left="1540"/>
              <w:spacing w:after="0"/>
              <w:rPr>
                <w:sz w:val="20"/>
                <w:szCs w:val="20"/>
                <w:color w:val="auto"/>
              </w:rPr>
            </w:pPr>
            <w:r>
              <w:rPr>
                <w:rFonts w:ascii="Times New Roman" w:cs="Times New Roman" w:eastAsia="Times New Roman" w:hAnsi="Times New Roman"/>
                <w:sz w:val="12"/>
                <w:szCs w:val="12"/>
                <w:b w:val="1"/>
                <w:bCs w:val="1"/>
                <w:color w:val="auto"/>
              </w:rPr>
              <w:t>Exhibit Description</w:t>
            </w:r>
          </w:p>
        </w:tc>
        <w:tc>
          <w:tcPr>
            <w:tcW w:w="180" w:type="dxa"/>
            <w:vAlign w:val="bottom"/>
            <w:vMerge w:val="restart"/>
          </w:tcPr>
          <w:p>
            <w:pPr>
              <w:spacing w:after="0"/>
              <w:rPr>
                <w:sz w:val="8"/>
                <w:szCs w:val="8"/>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w w:val="97"/>
              </w:rPr>
              <w:t>Form</w:t>
            </w:r>
          </w:p>
        </w:tc>
        <w:tc>
          <w:tcPr>
            <w:tcW w:w="220" w:type="dxa"/>
            <w:vAlign w:val="bottom"/>
            <w:vMerge w:val="restart"/>
          </w:tcPr>
          <w:p>
            <w:pPr>
              <w:spacing w:after="0"/>
              <w:rPr>
                <w:sz w:val="8"/>
                <w:szCs w:val="8"/>
                <w:color w:val="auto"/>
              </w:rPr>
            </w:pP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240" w:type="dxa"/>
            <w:vAlign w:val="bottom"/>
            <w:vMerge w:val="restart"/>
          </w:tcPr>
          <w:p>
            <w:pPr>
              <w:spacing w:after="0"/>
              <w:rPr>
                <w:sz w:val="8"/>
                <w:szCs w:val="8"/>
                <w:color w:val="auto"/>
              </w:rPr>
            </w:pPr>
          </w:p>
        </w:tc>
        <w:tc>
          <w:tcPr>
            <w:tcW w:w="840" w:type="dxa"/>
            <w:vAlign w:val="bottom"/>
            <w:gridSpan w:val="3"/>
          </w:tcPr>
          <w:p>
            <w:pPr>
              <w:jc w:val="center"/>
              <w:ind w:right="380"/>
              <w:spacing w:after="0" w:line="95" w:lineRule="exact"/>
              <w:rPr>
                <w:sz w:val="20"/>
                <w:szCs w:val="20"/>
                <w:color w:val="auto"/>
              </w:rPr>
            </w:pPr>
            <w:r>
              <w:rPr>
                <w:rFonts w:ascii="Times New Roman" w:cs="Times New Roman" w:eastAsia="Times New Roman" w:hAnsi="Times New Roman"/>
                <w:sz w:val="11"/>
                <w:szCs w:val="11"/>
                <w:b w:val="1"/>
                <w:bCs w:val="1"/>
                <w:color w:val="auto"/>
              </w:rPr>
              <w:t>Exhibit</w:t>
            </w:r>
          </w:p>
        </w:tc>
        <w:tc>
          <w:tcPr>
            <w:tcW w:w="10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Filing Date</w:t>
            </w:r>
          </w:p>
        </w:tc>
        <w:tc>
          <w:tcPr>
            <w:tcW w:w="240" w:type="dxa"/>
            <w:vAlign w:val="bottom"/>
            <w:vMerge w:val="restart"/>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280" w:type="dxa"/>
            <w:vAlign w:val="bottom"/>
          </w:tcPr>
          <w:p>
            <w:pPr>
              <w:spacing w:after="0"/>
              <w:rPr>
                <w:sz w:val="12"/>
                <w:szCs w:val="12"/>
                <w:color w:val="auto"/>
              </w:rPr>
            </w:pPr>
          </w:p>
        </w:tc>
        <w:tc>
          <w:tcPr>
            <w:tcW w:w="4080" w:type="dxa"/>
            <w:vAlign w:val="bottom"/>
            <w:tcBorders>
              <w:bottom w:val="single" w:sz="8" w:color="auto"/>
            </w:tcBorders>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Herewith</w:t>
            </w:r>
          </w:p>
        </w:tc>
        <w:tc>
          <w:tcPr>
            <w:tcW w:w="0" w:type="dxa"/>
            <w:vAlign w:val="bottom"/>
          </w:tcPr>
          <w:p>
            <w:pPr>
              <w:spacing w:after="0"/>
              <w:rPr>
                <w:sz w:val="1"/>
                <w:szCs w:val="1"/>
                <w:color w:val="auto"/>
              </w:rPr>
            </w:pPr>
          </w:p>
        </w:tc>
      </w:tr>
      <w:tr>
        <w:trPr>
          <w:trHeight w:val="254"/>
        </w:trPr>
        <w:tc>
          <w:tcPr>
            <w:tcW w:w="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1.1*</w:t>
            </w:r>
          </w:p>
        </w:tc>
        <w:tc>
          <w:tcPr>
            <w:tcW w:w="42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Form of Underwriting Agreement</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1.2</w:t>
            </w:r>
          </w:p>
        </w:tc>
        <w:tc>
          <w:tcPr>
            <w:tcW w:w="3740" w:type="dxa"/>
            <w:vAlign w:val="bottom"/>
            <w:tcBorders>
              <w:bottom w:val="single" w:sz="8" w:color="0000EE"/>
            </w:tcBorders>
            <w:gridSpan w:val="2"/>
          </w:tcPr>
          <w:p>
            <w:pPr>
              <w:spacing w:after="0"/>
              <w:rPr>
                <w:rFonts w:ascii="Times New Roman" w:cs="Times New Roman" w:eastAsia="Times New Roman" w:hAnsi="Times New Roman"/>
                <w:sz w:val="15"/>
                <w:szCs w:val="15"/>
                <w:color w:val="0000EE"/>
              </w:rPr>
            </w:pPr>
            <w:hyperlink r:id="rId114">
              <w:r>
                <w:rPr>
                  <w:rFonts w:ascii="Times New Roman" w:cs="Times New Roman" w:eastAsia="Times New Roman" w:hAnsi="Times New Roman"/>
                  <w:sz w:val="15"/>
                  <w:szCs w:val="15"/>
                  <w:color w:val="0000EE"/>
                </w:rPr>
                <w:t>Sales Agreement, dated August 10, 2022, by and between the</w:t>
              </w:r>
            </w:hyperlink>
          </w:p>
        </w:tc>
        <w:tc>
          <w:tcPr>
            <w:tcW w:w="52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Borders>
              <w:bottom w:val="single" w:sz="8" w:color="0000EE"/>
            </w:tcBorders>
          </w:tcPr>
          <w:p>
            <w:pPr>
              <w:spacing w:after="0" w:line="162" w:lineRule="exact"/>
              <w:rPr>
                <w:rFonts w:ascii="Times New Roman" w:cs="Times New Roman" w:eastAsia="Times New Roman" w:hAnsi="Times New Roman"/>
                <w:sz w:val="15"/>
                <w:szCs w:val="15"/>
                <w:color w:val="0000EE"/>
              </w:rPr>
            </w:pPr>
            <w:hyperlink r:id="rId114">
              <w:r>
                <w:rPr>
                  <w:rFonts w:ascii="Times New Roman" w:cs="Times New Roman" w:eastAsia="Times New Roman" w:hAnsi="Times New Roman"/>
                  <w:sz w:val="15"/>
                  <w:szCs w:val="15"/>
                  <w:color w:val="0000EE"/>
                </w:rPr>
                <w:t>Registrant and Leerink Partners LLC</w:t>
              </w:r>
            </w:hyperlink>
          </w:p>
        </w:tc>
        <w:tc>
          <w:tcPr>
            <w:tcW w:w="2000" w:type="dxa"/>
            <w:vAlign w:val="bottom"/>
            <w:gridSpan w:val="3"/>
          </w:tcPr>
          <w:p>
            <w:pPr>
              <w:spacing w:after="0"/>
              <w:rPr>
                <w:sz w:val="14"/>
                <w:szCs w:val="14"/>
                <w:color w:val="auto"/>
              </w:rPr>
            </w:pPr>
          </w:p>
        </w:tc>
        <w:tc>
          <w:tcPr>
            <w:tcW w:w="5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S-3</w:t>
            </w:r>
          </w:p>
        </w:tc>
        <w:tc>
          <w:tcPr>
            <w:tcW w:w="108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auto"/>
              </w:rPr>
              <w:t>333-266741</w:t>
            </w:r>
          </w:p>
        </w:tc>
        <w:tc>
          <w:tcPr>
            <w:tcW w:w="6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160" w:type="dxa"/>
            <w:vAlign w:val="bottom"/>
          </w:tcPr>
          <w:p>
            <w:pPr>
              <w:spacing w:after="0"/>
              <w:rPr>
                <w:sz w:val="14"/>
                <w:szCs w:val="14"/>
                <w:color w:val="auto"/>
              </w:rPr>
            </w:pPr>
          </w:p>
        </w:tc>
        <w:tc>
          <w:tcPr>
            <w:tcW w:w="124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August 10, 2022</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II-2</w:t>
      </w:r>
    </w:p>
    <w:p>
      <w:pPr>
        <w:sectPr>
          <w:pgSz w:w="11900" w:h="16838" w:orient="portrait"/>
          <w:cols w:equalWidth="0" w:num="1">
            <w:col w:w="10260"/>
          </w:cols>
          <w:pgMar w:left="320" w:top="405" w:right="1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68" w:lineRule="exact"/>
        <w:rPr>
          <w:sz w:val="20"/>
          <w:szCs w:val="20"/>
          <w:color w:val="auto"/>
        </w:rPr>
      </w:pPr>
    </w:p>
    <w:tbl>
      <w:tblPr>
        <w:tblLayout w:type="fixed"/>
        <w:tblInd w:w="980" w:type="dxa"/>
        <w:tblCellMar>
          <w:top w:w="0" w:type="dxa"/>
          <w:left w:w="0" w:type="dxa"/>
          <w:bottom w:w="0" w:type="dxa"/>
          <w:right w:w="0" w:type="dxa"/>
        </w:tblCellMar>
      </w:tblPr>
      <w:tr>
        <w:trPr>
          <w:trHeight w:val="147"/>
        </w:trPr>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2"/>
                <w:szCs w:val="12"/>
                <w:b w:val="1"/>
                <w:bCs w:val="1"/>
                <w:color w:val="auto"/>
              </w:rPr>
              <w:t>Incorporation by Reference</w:t>
            </w:r>
          </w:p>
        </w:tc>
        <w:tc>
          <w:tcPr>
            <w:tcW w:w="7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Filed</w:t>
            </w:r>
          </w:p>
        </w:tc>
        <w:tc>
          <w:tcPr>
            <w:tcW w:w="0" w:type="dxa"/>
            <w:vAlign w:val="bottom"/>
          </w:tcPr>
          <w:p>
            <w:pPr>
              <w:spacing w:after="0"/>
              <w:rPr>
                <w:sz w:val="1"/>
                <w:szCs w:val="1"/>
                <w:color w:val="auto"/>
              </w:rPr>
            </w:pPr>
          </w:p>
        </w:tc>
      </w:tr>
      <w:tr>
        <w:trPr>
          <w:trHeight w:val="95"/>
        </w:trPr>
        <w:tc>
          <w:tcPr>
            <w:tcW w:w="740" w:type="dxa"/>
            <w:vAlign w:val="bottom"/>
            <w:gridSpan w:val="2"/>
            <w:vMerge w:val="continue"/>
          </w:tcPr>
          <w:p>
            <w:pPr>
              <w:spacing w:after="0"/>
              <w:rPr>
                <w:sz w:val="8"/>
                <w:szCs w:val="8"/>
                <w:color w:val="auto"/>
              </w:rPr>
            </w:pPr>
          </w:p>
        </w:tc>
        <w:tc>
          <w:tcPr>
            <w:tcW w:w="3900" w:type="dxa"/>
            <w:vAlign w:val="bottom"/>
            <w:gridSpan w:val="3"/>
            <w:vMerge w:val="restart"/>
          </w:tcPr>
          <w:p>
            <w:pPr>
              <w:ind w:left="1440"/>
              <w:spacing w:after="0"/>
              <w:rPr>
                <w:sz w:val="20"/>
                <w:szCs w:val="20"/>
                <w:color w:val="auto"/>
              </w:rPr>
            </w:pPr>
            <w:r>
              <w:rPr>
                <w:rFonts w:ascii="Times New Roman" w:cs="Times New Roman" w:eastAsia="Times New Roman" w:hAnsi="Times New Roman"/>
                <w:sz w:val="12"/>
                <w:szCs w:val="12"/>
                <w:b w:val="1"/>
                <w:bCs w:val="1"/>
                <w:color w:val="auto"/>
              </w:rPr>
              <w:t>Exhibit Description</w:t>
            </w:r>
          </w:p>
        </w:tc>
        <w:tc>
          <w:tcPr>
            <w:tcW w:w="180" w:type="dxa"/>
            <w:vAlign w:val="bottom"/>
            <w:vMerge w:val="restart"/>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Form</w:t>
            </w:r>
          </w:p>
        </w:tc>
        <w:tc>
          <w:tcPr>
            <w:tcW w:w="240" w:type="dxa"/>
            <w:vAlign w:val="bottom"/>
            <w:vMerge w:val="restart"/>
          </w:tcPr>
          <w:p>
            <w:pPr>
              <w:spacing w:after="0"/>
              <w:rPr>
                <w:sz w:val="8"/>
                <w:szCs w:val="8"/>
                <w:color w:val="auto"/>
              </w:rPr>
            </w:pPr>
          </w:p>
        </w:tc>
        <w:tc>
          <w:tcPr>
            <w:tcW w:w="880" w:type="dxa"/>
            <w:vAlign w:val="bottom"/>
            <w:vMerge w:val="restart"/>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220" w:type="dxa"/>
            <w:vAlign w:val="bottom"/>
            <w:vMerge w:val="restart"/>
          </w:tcPr>
          <w:p>
            <w:pPr>
              <w:spacing w:after="0"/>
              <w:rPr>
                <w:sz w:val="8"/>
                <w:szCs w:val="8"/>
                <w:color w:val="auto"/>
              </w:rPr>
            </w:pPr>
          </w:p>
        </w:tc>
        <w:tc>
          <w:tcPr>
            <w:tcW w:w="840" w:type="dxa"/>
            <w:vAlign w:val="bottom"/>
            <w:gridSpan w:val="3"/>
          </w:tcPr>
          <w:p>
            <w:pPr>
              <w:ind w:left="60"/>
              <w:spacing w:after="0" w:line="95" w:lineRule="exact"/>
              <w:rPr>
                <w:sz w:val="20"/>
                <w:szCs w:val="20"/>
                <w:color w:val="auto"/>
              </w:rPr>
            </w:pPr>
            <w:r>
              <w:rPr>
                <w:rFonts w:ascii="Times New Roman" w:cs="Times New Roman" w:eastAsia="Times New Roman" w:hAnsi="Times New Roman"/>
                <w:sz w:val="11"/>
                <w:szCs w:val="11"/>
                <w:b w:val="1"/>
                <w:bCs w:val="1"/>
                <w:color w:val="auto"/>
              </w:rPr>
              <w:t>Exhibit</w:t>
            </w:r>
          </w:p>
        </w:tc>
        <w:tc>
          <w:tcPr>
            <w:tcW w:w="1040" w:type="dxa"/>
            <w:vAlign w:val="bottom"/>
            <w:gridSpan w:val="2"/>
            <w:vMerge w:val="restart"/>
          </w:tcPr>
          <w:p>
            <w:pPr>
              <w:jc w:val="right"/>
              <w:ind w:right="224"/>
              <w:spacing w:after="0"/>
              <w:rPr>
                <w:sz w:val="20"/>
                <w:szCs w:val="20"/>
                <w:color w:val="auto"/>
              </w:rPr>
            </w:pPr>
            <w:r>
              <w:rPr>
                <w:rFonts w:ascii="Times New Roman" w:cs="Times New Roman" w:eastAsia="Times New Roman" w:hAnsi="Times New Roman"/>
                <w:sz w:val="12"/>
                <w:szCs w:val="12"/>
                <w:b w:val="1"/>
                <w:bCs w:val="1"/>
                <w:color w:val="auto"/>
              </w:rPr>
              <w:t>Filing Date</w:t>
            </w:r>
          </w:p>
        </w:tc>
        <w:tc>
          <w:tcPr>
            <w:tcW w:w="220" w:type="dxa"/>
            <w:vAlign w:val="bottom"/>
            <w:vMerge w:val="restart"/>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80" w:type="dxa"/>
            <w:vAlign w:val="bottom"/>
          </w:tcPr>
          <w:p>
            <w:pPr>
              <w:spacing w:after="0"/>
              <w:rPr>
                <w:sz w:val="12"/>
                <w:szCs w:val="12"/>
                <w:color w:val="auto"/>
              </w:rPr>
            </w:pPr>
          </w:p>
        </w:tc>
        <w:tc>
          <w:tcPr>
            <w:tcW w:w="3900" w:type="dxa"/>
            <w:vAlign w:val="bottom"/>
            <w:tcBorders>
              <w:bottom w:val="single" w:sz="8" w:color="auto"/>
            </w:tcBorders>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Herewith</w:t>
            </w:r>
          </w:p>
        </w:tc>
        <w:tc>
          <w:tcPr>
            <w:tcW w:w="0" w:type="dxa"/>
            <w:vAlign w:val="bottom"/>
          </w:tcPr>
          <w:p>
            <w:pPr>
              <w:spacing w:after="0"/>
              <w:rPr>
                <w:sz w:val="1"/>
                <w:szCs w:val="1"/>
                <w:color w:val="auto"/>
              </w:rPr>
            </w:pPr>
          </w:p>
        </w:tc>
      </w:tr>
      <w:tr>
        <w:trPr>
          <w:trHeight w:val="219"/>
        </w:trPr>
        <w:tc>
          <w:tcPr>
            <w:tcW w:w="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3.1</w:t>
            </w:r>
          </w:p>
        </w:tc>
        <w:tc>
          <w:tcPr>
            <w:tcW w:w="3120" w:type="dxa"/>
            <w:vAlign w:val="bottom"/>
            <w:tcBorders>
              <w:bottom w:val="single" w:sz="8" w:color="0000EE"/>
            </w:tcBorders>
            <w:gridSpan w:val="2"/>
          </w:tcPr>
          <w:p>
            <w:pPr>
              <w:spacing w:after="0"/>
              <w:rPr>
                <w:rFonts w:ascii="Times New Roman" w:cs="Times New Roman" w:eastAsia="Times New Roman" w:hAnsi="Times New Roman"/>
                <w:sz w:val="15"/>
                <w:szCs w:val="15"/>
                <w:color w:val="0000EE"/>
              </w:rPr>
            </w:pPr>
            <w:hyperlink r:id="rId116">
              <w:r>
                <w:rPr>
                  <w:rFonts w:ascii="Times New Roman" w:cs="Times New Roman" w:eastAsia="Times New Roman" w:hAnsi="Times New Roman"/>
                  <w:sz w:val="15"/>
                  <w:szCs w:val="15"/>
                  <w:color w:val="0000EE"/>
                </w:rPr>
                <w:t>Amended and Restated Certificate of Incorporation</w:t>
              </w:r>
            </w:hyperlink>
          </w:p>
        </w:tc>
        <w:tc>
          <w:tcPr>
            <w:tcW w:w="960" w:type="dxa"/>
            <w:vAlign w:val="bottom"/>
            <w:gridSpan w:val="2"/>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10-Q</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001-40656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August 9,</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99"/>
              </w:rPr>
              <w:t>2023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3.2</w:t>
            </w:r>
          </w:p>
        </w:tc>
        <w:tc>
          <w:tcPr>
            <w:tcW w:w="4080" w:type="dxa"/>
            <w:vAlign w:val="bottom"/>
            <w:gridSpan w:val="4"/>
          </w:tcPr>
          <w:p>
            <w:pPr>
              <w:spacing w:after="0"/>
              <w:rPr>
                <w:rFonts w:ascii="Times New Roman" w:cs="Times New Roman" w:eastAsia="Times New Roman" w:hAnsi="Times New Roman"/>
                <w:sz w:val="15"/>
                <w:szCs w:val="15"/>
                <w:color w:val="0000EE"/>
              </w:rPr>
            </w:pPr>
            <w:hyperlink r:id="rId117">
              <w:r>
                <w:rPr>
                  <w:rFonts w:ascii="Times New Roman" w:cs="Times New Roman" w:eastAsia="Times New Roman" w:hAnsi="Times New Roman"/>
                  <w:sz w:val="15"/>
                  <w:szCs w:val="15"/>
                  <w:color w:val="0000EE"/>
                </w:rPr>
                <w:t>Amended and Restated Bylaws</w:t>
              </w:r>
            </w:hyperlink>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8-K</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001-40656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March 21,</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99"/>
              </w:rPr>
              <w:t>2023</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1060" w:hanging="79"/>
        <w:spacing w:after="0"/>
        <w:tabs>
          <w:tab w:leader="none" w:pos="1060" w:val="left"/>
        </w:tabs>
        <w:numPr>
          <w:ilvl w:val="0"/>
          <w:numId w:val="37"/>
        </w:numPr>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  4.1</w:t>
      </w:r>
      <w:hyperlink r:id="rId118">
        <w:r>
          <w:rPr>
            <w:rFonts w:ascii="Times New Roman" w:cs="Times New Roman" w:eastAsia="Times New Roman" w:hAnsi="Times New Roman"/>
            <w:sz w:val="15"/>
            <w:szCs w:val="15"/>
            <w:u w:val="single" w:color="auto"/>
            <w:color w:val="0000EE"/>
          </w:rPr>
          <w:t>Amended and Restated Investors’ Rights Agreement by and</w:t>
        </w:r>
      </w:hyperlink>
    </w:p>
    <w:tbl>
      <w:tblPr>
        <w:tblLayout w:type="fixed"/>
        <w:tblInd w:w="980" w:type="dxa"/>
        <w:tblCellMar>
          <w:top w:w="0" w:type="dxa"/>
          <w:left w:w="0" w:type="dxa"/>
          <w:bottom w:w="0" w:type="dxa"/>
          <w:right w:w="0" w:type="dxa"/>
        </w:tblCellMar>
      </w:tblPr>
      <w:tr>
        <w:trPr>
          <w:trHeight w:val="172"/>
        </w:trPr>
        <w:tc>
          <w:tcPr>
            <w:tcW w:w="740" w:type="dxa"/>
            <w:vAlign w:val="bottom"/>
          </w:tcPr>
          <w:p>
            <w:pPr>
              <w:spacing w:after="0"/>
              <w:rPr>
                <w:sz w:val="14"/>
                <w:szCs w:val="14"/>
                <w:color w:val="auto"/>
              </w:rPr>
            </w:pPr>
          </w:p>
        </w:tc>
        <w:tc>
          <w:tcPr>
            <w:tcW w:w="3560" w:type="dxa"/>
            <w:vAlign w:val="bottom"/>
            <w:tcBorders>
              <w:bottom w:val="single" w:sz="8" w:color="0000EE"/>
            </w:tcBorders>
            <w:gridSpan w:val="5"/>
          </w:tcPr>
          <w:p>
            <w:pPr>
              <w:spacing w:after="0"/>
              <w:rPr>
                <w:rFonts w:ascii="Times New Roman" w:cs="Times New Roman" w:eastAsia="Times New Roman" w:hAnsi="Times New Roman"/>
                <w:sz w:val="15"/>
                <w:szCs w:val="15"/>
                <w:color w:val="0000EE"/>
              </w:rPr>
            </w:pPr>
            <w:hyperlink r:id="rId118">
              <w:r>
                <w:rPr>
                  <w:rFonts w:ascii="Times New Roman" w:cs="Times New Roman" w:eastAsia="Times New Roman" w:hAnsi="Times New Roman"/>
                  <w:sz w:val="15"/>
                  <w:szCs w:val="15"/>
                  <w:color w:val="0000EE"/>
                </w:rPr>
                <w:t>among the Registrant and certain of its stockholders, dated</w:t>
              </w:r>
            </w:hyperlink>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2"/>
        </w:trPr>
        <w:tc>
          <w:tcPr>
            <w:tcW w:w="740" w:type="dxa"/>
            <w:vAlign w:val="bottom"/>
          </w:tcPr>
          <w:p>
            <w:pPr>
              <w:spacing w:after="0"/>
              <w:rPr>
                <w:sz w:val="14"/>
                <w:szCs w:val="14"/>
                <w:color w:val="auto"/>
              </w:rPr>
            </w:pPr>
          </w:p>
        </w:tc>
        <w:tc>
          <w:tcPr>
            <w:tcW w:w="1240" w:type="dxa"/>
            <w:vAlign w:val="bottom"/>
            <w:tcBorders>
              <w:bottom w:val="single" w:sz="8" w:color="0000EE"/>
            </w:tcBorders>
            <w:gridSpan w:val="2"/>
          </w:tcPr>
          <w:p>
            <w:pPr>
              <w:spacing w:after="0" w:line="162" w:lineRule="exact"/>
              <w:rPr>
                <w:rFonts w:ascii="Times New Roman" w:cs="Times New Roman" w:eastAsia="Times New Roman" w:hAnsi="Times New Roman"/>
                <w:sz w:val="15"/>
                <w:szCs w:val="15"/>
                <w:color w:val="0000EE"/>
              </w:rPr>
            </w:pPr>
            <w:hyperlink r:id="rId118">
              <w:r>
                <w:rPr>
                  <w:rFonts w:ascii="Times New Roman" w:cs="Times New Roman" w:eastAsia="Times New Roman" w:hAnsi="Times New Roman"/>
                  <w:sz w:val="15"/>
                  <w:szCs w:val="15"/>
                  <w:color w:val="0000EE"/>
                </w:rPr>
                <w:t>December 17, 2020</w:t>
              </w:r>
            </w:hyperlink>
          </w:p>
        </w:tc>
        <w:tc>
          <w:tcPr>
            <w:tcW w:w="2620" w:type="dxa"/>
            <w:vAlign w:val="bottom"/>
            <w:gridSpan w:val="4"/>
          </w:tcPr>
          <w:p>
            <w:pPr>
              <w:spacing w:after="0"/>
              <w:rPr>
                <w:sz w:val="14"/>
                <w:szCs w:val="14"/>
                <w:color w:val="auto"/>
              </w:rPr>
            </w:pPr>
          </w:p>
        </w:tc>
        <w:tc>
          <w:tcPr>
            <w:tcW w:w="860" w:type="dxa"/>
            <w:vAlign w:val="bottom"/>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S-1</w:t>
            </w:r>
          </w:p>
        </w:tc>
        <w:tc>
          <w:tcPr>
            <w:tcW w:w="1180" w:type="dxa"/>
            <w:vAlign w:val="bottom"/>
          </w:tcPr>
          <w:p>
            <w:pPr>
              <w:jc w:val="right"/>
              <w:ind w:right="184"/>
              <w:spacing w:after="0" w:line="162" w:lineRule="exact"/>
              <w:rPr>
                <w:sz w:val="20"/>
                <w:szCs w:val="20"/>
                <w:color w:val="auto"/>
              </w:rPr>
            </w:pPr>
            <w:r>
              <w:rPr>
                <w:rFonts w:ascii="Times New Roman" w:cs="Times New Roman" w:eastAsia="Times New Roman" w:hAnsi="Times New Roman"/>
                <w:sz w:val="15"/>
                <w:szCs w:val="15"/>
                <w:color w:val="auto"/>
              </w:rPr>
              <w:t>333-257820</w:t>
            </w:r>
          </w:p>
        </w:tc>
        <w:tc>
          <w:tcPr>
            <w:tcW w:w="660" w:type="dxa"/>
            <w:vAlign w:val="bottom"/>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4.1</w:t>
            </w:r>
          </w:p>
        </w:tc>
        <w:tc>
          <w:tcPr>
            <w:tcW w:w="1760" w:type="dxa"/>
            <w:vAlign w:val="bottom"/>
          </w:tcPr>
          <w:p>
            <w:pPr>
              <w:jc w:val="right"/>
              <w:ind w:right="504"/>
              <w:spacing w:after="0" w:line="162" w:lineRule="exact"/>
              <w:rPr>
                <w:sz w:val="20"/>
                <w:szCs w:val="20"/>
                <w:color w:val="auto"/>
              </w:rPr>
            </w:pPr>
            <w:r>
              <w:rPr>
                <w:rFonts w:ascii="Times New Roman" w:cs="Times New Roman" w:eastAsia="Times New Roman" w:hAnsi="Times New Roman"/>
                <w:sz w:val="15"/>
                <w:szCs w:val="15"/>
                <w:color w:val="auto"/>
              </w:rPr>
              <w:t>July 9, 2021</w:t>
            </w:r>
          </w:p>
        </w:tc>
      </w:tr>
      <w:tr>
        <w:trPr>
          <w:trHeight w:val="25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auto"/>
              </w:rPr>
              <w:t>    4.2</w:t>
            </w:r>
          </w:p>
        </w:tc>
        <w:tc>
          <w:tcPr>
            <w:tcW w:w="3860" w:type="dxa"/>
            <w:vAlign w:val="bottom"/>
            <w:gridSpan w:val="6"/>
          </w:tcPr>
          <w:p>
            <w:pPr>
              <w:spacing w:after="0"/>
              <w:rPr>
                <w:rFonts w:ascii="Times New Roman" w:cs="Times New Roman" w:eastAsia="Times New Roman" w:hAnsi="Times New Roman"/>
                <w:sz w:val="15"/>
                <w:szCs w:val="15"/>
                <w:color w:val="0000EE"/>
              </w:rPr>
            </w:pPr>
            <w:hyperlink r:id="rId119">
              <w:r>
                <w:rPr>
                  <w:rFonts w:ascii="Times New Roman" w:cs="Times New Roman" w:eastAsia="Times New Roman" w:hAnsi="Times New Roman"/>
                  <w:sz w:val="15"/>
                  <w:szCs w:val="15"/>
                  <w:color w:val="0000EE"/>
                </w:rPr>
                <w:t>Description of Securities</w:t>
              </w:r>
            </w:hyperlink>
          </w:p>
        </w:tc>
        <w:tc>
          <w:tcPr>
            <w:tcW w:w="8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10-K</w:t>
            </w:r>
          </w:p>
        </w:tc>
        <w:tc>
          <w:tcPr>
            <w:tcW w:w="118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001-40656</w:t>
            </w:r>
          </w:p>
        </w:tc>
        <w:tc>
          <w:tcPr>
            <w:tcW w:w="6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4.3</w:t>
            </w:r>
          </w:p>
        </w:tc>
        <w:tc>
          <w:tcPr>
            <w:tcW w:w="1760" w:type="dxa"/>
            <w:vAlign w:val="bottom"/>
          </w:tcPr>
          <w:p>
            <w:pPr>
              <w:jc w:val="right"/>
              <w:ind w:right="504"/>
              <w:spacing w:after="0"/>
              <w:rPr>
                <w:sz w:val="20"/>
                <w:szCs w:val="20"/>
                <w:color w:val="auto"/>
              </w:rPr>
            </w:pPr>
            <w:r>
              <w:rPr>
                <w:rFonts w:ascii="Times New Roman" w:cs="Times New Roman" w:eastAsia="Times New Roman" w:hAnsi="Times New Roman"/>
                <w:sz w:val="15"/>
                <w:szCs w:val="15"/>
                <w:color w:val="auto"/>
              </w:rPr>
              <w:t>March 10, 2025</w:t>
            </w:r>
          </w:p>
        </w:tc>
      </w:tr>
      <w:tr>
        <w:trPr>
          <w:trHeight w:val="20"/>
        </w:trPr>
        <w:tc>
          <w:tcPr>
            <w:tcW w:w="7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5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auto"/>
              </w:rPr>
              <w:t>    4.3</w:t>
            </w:r>
          </w:p>
        </w:tc>
        <w:tc>
          <w:tcPr>
            <w:tcW w:w="3860" w:type="dxa"/>
            <w:vAlign w:val="bottom"/>
            <w:gridSpan w:val="6"/>
          </w:tcPr>
          <w:p>
            <w:pPr>
              <w:spacing w:after="0"/>
              <w:rPr>
                <w:rFonts w:ascii="Times New Roman" w:cs="Times New Roman" w:eastAsia="Times New Roman" w:hAnsi="Times New Roman"/>
                <w:sz w:val="15"/>
                <w:szCs w:val="15"/>
                <w:color w:val="0000EE"/>
              </w:rPr>
            </w:pPr>
            <w:hyperlink r:id="rId120">
              <w:r>
                <w:rPr>
                  <w:rFonts w:ascii="Times New Roman" w:cs="Times New Roman" w:eastAsia="Times New Roman" w:hAnsi="Times New Roman"/>
                  <w:sz w:val="15"/>
                  <w:szCs w:val="15"/>
                  <w:color w:val="0000EE"/>
                </w:rPr>
                <w:t>Specimen Common Stock Certificate</w:t>
              </w:r>
            </w:hyperlink>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S-1/A</w:t>
            </w:r>
          </w:p>
        </w:tc>
        <w:tc>
          <w:tcPr>
            <w:tcW w:w="118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333-257820</w:t>
            </w:r>
          </w:p>
        </w:tc>
        <w:tc>
          <w:tcPr>
            <w:tcW w:w="6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4.2</w:t>
            </w:r>
          </w:p>
        </w:tc>
        <w:tc>
          <w:tcPr>
            <w:tcW w:w="1760" w:type="dxa"/>
            <w:vAlign w:val="bottom"/>
          </w:tcPr>
          <w:p>
            <w:pPr>
              <w:jc w:val="right"/>
              <w:ind w:right="504"/>
              <w:spacing w:after="0"/>
              <w:rPr>
                <w:sz w:val="20"/>
                <w:szCs w:val="20"/>
                <w:color w:val="auto"/>
              </w:rPr>
            </w:pPr>
            <w:r>
              <w:rPr>
                <w:rFonts w:ascii="Times New Roman" w:cs="Times New Roman" w:eastAsia="Times New Roman" w:hAnsi="Times New Roman"/>
                <w:sz w:val="15"/>
                <w:szCs w:val="15"/>
                <w:color w:val="auto"/>
              </w:rPr>
              <w:t>July 26, 2021</w:t>
            </w:r>
          </w:p>
        </w:tc>
      </w:tr>
      <w:tr>
        <w:trPr>
          <w:trHeight w:val="288"/>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auto"/>
              </w:rPr>
              <w:t>    4.4*</w:t>
            </w:r>
          </w:p>
        </w:tc>
        <w:tc>
          <w:tcPr>
            <w:tcW w:w="22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5"/>
                <w:szCs w:val="15"/>
                <w:color w:val="auto"/>
              </w:rPr>
              <w:t>Form of Preferred Stock Certificate</w:t>
            </w:r>
          </w:p>
        </w:tc>
        <w:tc>
          <w:tcPr>
            <w:tcW w:w="160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auto"/>
              </w:rPr>
              <w:t>    4.5</w:t>
            </w:r>
          </w:p>
        </w:tc>
        <w:tc>
          <w:tcPr>
            <w:tcW w:w="11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9"/>
              </w:rPr>
              <w:t>Form of Indenture</w:t>
            </w:r>
          </w:p>
        </w:tc>
        <w:tc>
          <w:tcPr>
            <w:tcW w:w="2740" w:type="dxa"/>
            <w:vAlign w:val="bottom"/>
            <w:gridSpan w:val="5"/>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X</w:t>
            </w:r>
          </w:p>
        </w:tc>
      </w:tr>
    </w:tbl>
    <w:p>
      <w:pPr>
        <w:spacing w:after="0" w:line="99" w:lineRule="exact"/>
        <w:rPr>
          <w:sz w:val="20"/>
          <w:szCs w:val="20"/>
          <w:color w:val="auto"/>
        </w:rPr>
      </w:pPr>
    </w:p>
    <w:p>
      <w:pPr>
        <w:ind w:left="1060" w:hanging="79"/>
        <w:spacing w:after="0"/>
        <w:tabs>
          <w:tab w:leader="none" w:pos="10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4.6*Form of Debt Security</w:t>
      </w:r>
    </w:p>
    <w:p>
      <w:pPr>
        <w:spacing w:after="0" w:line="100" w:lineRule="exact"/>
        <w:rPr>
          <w:rFonts w:ascii="Times New Roman" w:cs="Times New Roman" w:eastAsia="Times New Roman" w:hAnsi="Times New Roman"/>
          <w:sz w:val="15"/>
          <w:szCs w:val="15"/>
          <w:color w:val="auto"/>
        </w:rPr>
      </w:pPr>
    </w:p>
    <w:p>
      <w:pPr>
        <w:ind w:left="1060" w:hanging="79"/>
        <w:spacing w:after="0"/>
        <w:tabs>
          <w:tab w:leader="none" w:pos="10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4.7*Form of Deposit Agreement</w:t>
      </w:r>
    </w:p>
    <w:p>
      <w:pPr>
        <w:spacing w:after="0" w:line="100" w:lineRule="exact"/>
        <w:rPr>
          <w:rFonts w:ascii="Times New Roman" w:cs="Times New Roman" w:eastAsia="Times New Roman" w:hAnsi="Times New Roman"/>
          <w:sz w:val="15"/>
          <w:szCs w:val="15"/>
          <w:color w:val="auto"/>
        </w:rPr>
      </w:pPr>
    </w:p>
    <w:p>
      <w:pPr>
        <w:ind w:left="1060" w:hanging="79"/>
        <w:spacing w:after="0"/>
        <w:tabs>
          <w:tab w:leader="none" w:pos="10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4.8*</w:t>
      </w:r>
      <w:r>
        <w:rPr>
          <w:rFonts w:ascii="Times New Roman" w:cs="Times New Roman" w:eastAsia="Times New Roman" w:hAnsi="Times New Roman"/>
          <w:sz w:val="14"/>
          <w:szCs w:val="14"/>
          <w:color w:val="auto"/>
        </w:rPr>
        <w:t>Form of Warrant Agreement</w:t>
      </w:r>
    </w:p>
    <w:p>
      <w:pPr>
        <w:spacing w:after="0" w:line="100" w:lineRule="exact"/>
        <w:rPr>
          <w:rFonts w:ascii="Times New Roman" w:cs="Times New Roman" w:eastAsia="Times New Roman" w:hAnsi="Times New Roman"/>
          <w:sz w:val="15"/>
          <w:szCs w:val="15"/>
          <w:color w:val="auto"/>
        </w:rPr>
      </w:pPr>
    </w:p>
    <w:p>
      <w:pPr>
        <w:ind w:left="1060" w:hanging="79"/>
        <w:spacing w:after="0"/>
        <w:tabs>
          <w:tab w:leader="none" w:pos="10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4.9*Form of Subscription Agreement</w:t>
      </w:r>
    </w:p>
    <w:p>
      <w:pPr>
        <w:spacing w:after="0" w:line="100" w:lineRule="exact"/>
        <w:rPr>
          <w:rFonts w:ascii="Times New Roman" w:cs="Times New Roman" w:eastAsia="Times New Roman" w:hAnsi="Times New Roman"/>
          <w:sz w:val="15"/>
          <w:szCs w:val="15"/>
          <w:color w:val="auto"/>
        </w:rPr>
      </w:pPr>
    </w:p>
    <w:p>
      <w:pPr>
        <w:ind w:left="1060" w:hanging="79"/>
        <w:spacing w:after="0"/>
        <w:tabs>
          <w:tab w:leader="none" w:pos="10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4.10*   Form of Purchase Contract Agreement</w:t>
      </w:r>
    </w:p>
    <w:p>
      <w:pPr>
        <w:spacing w:after="0" w:line="100" w:lineRule="exact"/>
        <w:rPr>
          <w:rFonts w:ascii="Times New Roman" w:cs="Times New Roman" w:eastAsia="Times New Roman" w:hAnsi="Times New Roman"/>
          <w:sz w:val="15"/>
          <w:szCs w:val="15"/>
          <w:color w:val="auto"/>
        </w:rPr>
      </w:pPr>
    </w:p>
    <w:p>
      <w:pPr>
        <w:ind w:left="1060" w:hanging="79"/>
        <w:spacing w:after="0"/>
        <w:tabs>
          <w:tab w:leader="none" w:pos="10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4.11*   Form of Unit Agreement</w:t>
      </w:r>
    </w:p>
    <w:p>
      <w:pPr>
        <w:spacing w:after="0" w:line="100" w:lineRule="exact"/>
        <w:rPr>
          <w:rFonts w:ascii="Times New Roman" w:cs="Times New Roman" w:eastAsia="Times New Roman" w:hAnsi="Times New Roman"/>
          <w:sz w:val="15"/>
          <w:szCs w:val="15"/>
          <w:color w:val="auto"/>
        </w:rPr>
      </w:pPr>
    </w:p>
    <w:p>
      <w:pPr>
        <w:ind w:left="1060" w:hanging="79"/>
        <w:spacing w:after="0"/>
        <w:tabs>
          <w:tab w:leader="none" w:pos="10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4.12*   Form of Unit</w:t>
      </w:r>
    </w:p>
    <w:p>
      <w:pPr>
        <w:spacing w:after="0" w:line="100" w:lineRule="exact"/>
        <w:rPr>
          <w:rFonts w:ascii="Times New Roman" w:cs="Times New Roman" w:eastAsia="Times New Roman" w:hAnsi="Times New Roman"/>
          <w:sz w:val="15"/>
          <w:szCs w:val="15"/>
          <w:color w:val="auto"/>
        </w:rPr>
      </w:pPr>
    </w:p>
    <w:p>
      <w:pPr>
        <w:ind w:left="1060" w:hanging="79"/>
        <w:spacing w:after="0"/>
        <w:tabs>
          <w:tab w:leader="none" w:pos="10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5.1</w:t>
      </w:r>
      <w:r>
        <w:rPr>
          <w:rFonts w:ascii="Times New Roman" w:cs="Times New Roman" w:eastAsia="Times New Roman" w:hAnsi="Times New Roman"/>
          <w:sz w:val="15"/>
          <w:szCs w:val="15"/>
          <w:u w:val="single" w:color="auto"/>
          <w:color w:val="0000EE"/>
        </w:rPr>
        <w:t>Opinion of Wilson Sonsini Goodrich &amp; Rosati, Professional</w:t>
      </w:r>
    </w:p>
    <w:tbl>
      <w:tblPr>
        <w:tblLayout w:type="fixed"/>
        <w:tblInd w:w="980" w:type="dxa"/>
        <w:tblCellMar>
          <w:top w:w="0" w:type="dxa"/>
          <w:left w:w="0" w:type="dxa"/>
          <w:bottom w:w="0" w:type="dxa"/>
          <w:right w:w="0" w:type="dxa"/>
        </w:tblCellMar>
      </w:tblPr>
      <w:tr>
        <w:trPr>
          <w:trHeight w:val="172"/>
        </w:trPr>
        <w:tc>
          <w:tcPr>
            <w:tcW w:w="740" w:type="dxa"/>
            <w:vAlign w:val="bottom"/>
          </w:tcPr>
          <w:p>
            <w:pPr>
              <w:spacing w:after="0"/>
              <w:rPr>
                <w:sz w:val="14"/>
                <w:szCs w:val="14"/>
                <w:color w:val="auto"/>
              </w:rPr>
            </w:pPr>
          </w:p>
        </w:tc>
        <w:tc>
          <w:tcPr>
            <w:tcW w:w="7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9"/>
              </w:rPr>
              <w:t>Corporation</w:t>
            </w:r>
          </w:p>
        </w:tc>
        <w:tc>
          <w:tcPr>
            <w:tcW w:w="5280" w:type="dxa"/>
            <w:vAlign w:val="bottom"/>
            <w:gridSpan w:val="5"/>
          </w:tcPr>
          <w:p>
            <w:pPr>
              <w:spacing w:after="0"/>
              <w:rPr>
                <w:sz w:val="14"/>
                <w:szCs w:val="14"/>
                <w:color w:val="auto"/>
              </w:rPr>
            </w:pPr>
          </w:p>
        </w:tc>
        <w:tc>
          <w:tcPr>
            <w:tcW w:w="2300" w:type="dxa"/>
            <w:vAlign w:val="bottom"/>
          </w:tcPr>
          <w:p>
            <w:pPr>
              <w:ind w:left="2180"/>
              <w:spacing w:after="0"/>
              <w:rPr>
                <w:sz w:val="20"/>
                <w:szCs w:val="20"/>
                <w:color w:val="auto"/>
              </w:rPr>
            </w:pPr>
            <w:r>
              <w:rPr>
                <w:rFonts w:ascii="Times New Roman" w:cs="Times New Roman" w:eastAsia="Times New Roman" w:hAnsi="Times New Roman"/>
                <w:sz w:val="15"/>
                <w:szCs w:val="15"/>
                <w:color w:val="auto"/>
                <w:w w:val="91"/>
              </w:rPr>
              <w:t>X</w:t>
            </w:r>
          </w:p>
        </w:tc>
      </w:tr>
      <w:tr>
        <w:trPr>
          <w:trHeight w:val="25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auto"/>
              </w:rPr>
              <w:t>  23.1</w:t>
            </w:r>
          </w:p>
        </w:tc>
        <w:tc>
          <w:tcPr>
            <w:tcW w:w="6020" w:type="dxa"/>
            <w:vAlign w:val="bottom"/>
            <w:gridSpan w:val="6"/>
          </w:tcPr>
          <w:p>
            <w:pPr>
              <w:spacing w:after="0"/>
              <w:rPr>
                <w:sz w:val="20"/>
                <w:szCs w:val="20"/>
                <w:color w:val="auto"/>
              </w:rPr>
            </w:pPr>
            <w:r>
              <w:rPr>
                <w:rFonts w:ascii="Times New Roman" w:cs="Times New Roman" w:eastAsia="Times New Roman" w:hAnsi="Times New Roman"/>
                <w:sz w:val="15"/>
                <w:szCs w:val="15"/>
                <w:color w:val="0000EE"/>
              </w:rPr>
              <w:t>Consent of Independent Registered Public Accounting Firm</w:t>
            </w:r>
          </w:p>
        </w:tc>
        <w:tc>
          <w:tcPr>
            <w:tcW w:w="2300" w:type="dxa"/>
            <w:vAlign w:val="bottom"/>
          </w:tcPr>
          <w:p>
            <w:pPr>
              <w:ind w:left="2180"/>
              <w:spacing w:after="0"/>
              <w:rPr>
                <w:sz w:val="20"/>
                <w:szCs w:val="20"/>
                <w:color w:val="auto"/>
              </w:rPr>
            </w:pPr>
            <w:r>
              <w:rPr>
                <w:rFonts w:ascii="Times New Roman" w:cs="Times New Roman" w:eastAsia="Times New Roman" w:hAnsi="Times New Roman"/>
                <w:sz w:val="15"/>
                <w:szCs w:val="15"/>
                <w:color w:val="auto"/>
                <w:w w:val="91"/>
              </w:rPr>
              <w:t>X</w:t>
            </w:r>
          </w:p>
        </w:tc>
      </w:tr>
      <w:tr>
        <w:trPr>
          <w:trHeight w:val="20"/>
        </w:trPr>
        <w:tc>
          <w:tcPr>
            <w:tcW w:w="7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5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auto"/>
              </w:rPr>
              <w:t>  23.2</w:t>
            </w:r>
          </w:p>
        </w:tc>
        <w:tc>
          <w:tcPr>
            <w:tcW w:w="6020" w:type="dxa"/>
            <w:vAlign w:val="bottom"/>
            <w:gridSpan w:val="6"/>
          </w:tcPr>
          <w:p>
            <w:pPr>
              <w:spacing w:after="0"/>
              <w:rPr>
                <w:sz w:val="20"/>
                <w:szCs w:val="20"/>
                <w:color w:val="auto"/>
              </w:rPr>
            </w:pPr>
            <w:r>
              <w:rPr>
                <w:rFonts w:ascii="Times New Roman" w:cs="Times New Roman" w:eastAsia="Times New Roman" w:hAnsi="Times New Roman"/>
                <w:sz w:val="15"/>
                <w:szCs w:val="15"/>
                <w:color w:val="0000EE"/>
              </w:rPr>
              <w:t>Consent of Wilson Sonsini Goodrich &amp; Rosati, Professional</w:t>
            </w:r>
          </w:p>
        </w:tc>
        <w:tc>
          <w:tcPr>
            <w:tcW w:w="2300" w:type="dxa"/>
            <w:vAlign w:val="bottom"/>
          </w:tcPr>
          <w:p>
            <w:pPr>
              <w:spacing w:after="0"/>
              <w:rPr>
                <w:sz w:val="22"/>
                <w:szCs w:val="22"/>
                <w:color w:val="auto"/>
              </w:rPr>
            </w:pPr>
          </w:p>
        </w:tc>
      </w:tr>
      <w:tr>
        <w:trPr>
          <w:trHeight w:val="20"/>
        </w:trPr>
        <w:tc>
          <w:tcPr>
            <w:tcW w:w="7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62"/>
        </w:trPr>
        <w:tc>
          <w:tcPr>
            <w:tcW w:w="740" w:type="dxa"/>
            <w:vAlign w:val="bottom"/>
          </w:tcPr>
          <w:p>
            <w:pPr>
              <w:spacing w:after="0"/>
              <w:rPr>
                <w:sz w:val="14"/>
                <w:szCs w:val="14"/>
                <w:color w:val="auto"/>
              </w:rPr>
            </w:pPr>
          </w:p>
        </w:tc>
        <w:tc>
          <w:tcPr>
            <w:tcW w:w="6020" w:type="dxa"/>
            <w:vAlign w:val="bottom"/>
            <w:gridSpan w:val="6"/>
          </w:tcPr>
          <w:p>
            <w:pPr>
              <w:spacing w:after="0" w:line="162" w:lineRule="exact"/>
              <w:rPr>
                <w:sz w:val="20"/>
                <w:szCs w:val="20"/>
                <w:color w:val="auto"/>
              </w:rPr>
            </w:pPr>
            <w:r>
              <w:rPr>
                <w:rFonts w:ascii="Times New Roman" w:cs="Times New Roman" w:eastAsia="Times New Roman" w:hAnsi="Times New Roman"/>
                <w:sz w:val="15"/>
                <w:szCs w:val="15"/>
                <w:color w:val="0000EE"/>
              </w:rPr>
              <w:t>Corporation (included in the opinion filed as Exhibit 5.1 to this</w:t>
            </w:r>
          </w:p>
        </w:tc>
        <w:tc>
          <w:tcPr>
            <w:tcW w:w="2300" w:type="dxa"/>
            <w:vAlign w:val="bottom"/>
          </w:tcPr>
          <w:p>
            <w:pPr>
              <w:spacing w:after="0"/>
              <w:rPr>
                <w:sz w:val="14"/>
                <w:szCs w:val="14"/>
                <w:color w:val="auto"/>
              </w:rPr>
            </w:pPr>
          </w:p>
        </w:tc>
      </w:tr>
      <w:tr>
        <w:trPr>
          <w:trHeight w:val="162"/>
        </w:trPr>
        <w:tc>
          <w:tcPr>
            <w:tcW w:w="740" w:type="dxa"/>
            <w:vAlign w:val="bottom"/>
          </w:tcPr>
          <w:p>
            <w:pPr>
              <w:spacing w:after="0"/>
              <w:rPr>
                <w:sz w:val="14"/>
                <w:szCs w:val="14"/>
                <w:color w:val="auto"/>
              </w:rPr>
            </w:pPr>
          </w:p>
        </w:tc>
        <w:tc>
          <w:tcPr>
            <w:tcW w:w="1440" w:type="dxa"/>
            <w:vAlign w:val="bottom"/>
            <w:tcBorders>
              <w:top w:val="single" w:sz="8" w:color="0000EE"/>
              <w:bottom w:val="single" w:sz="8" w:color="0000EE"/>
            </w:tcBorders>
            <w:gridSpan w:val="2"/>
          </w:tcPr>
          <w:p>
            <w:pPr>
              <w:spacing w:after="0" w:line="162" w:lineRule="exact"/>
              <w:rPr>
                <w:sz w:val="20"/>
                <w:szCs w:val="20"/>
                <w:color w:val="auto"/>
              </w:rPr>
            </w:pPr>
            <w:r>
              <w:rPr>
                <w:rFonts w:ascii="Times New Roman" w:cs="Times New Roman" w:eastAsia="Times New Roman" w:hAnsi="Times New Roman"/>
                <w:sz w:val="15"/>
                <w:szCs w:val="15"/>
                <w:color w:val="0000EE"/>
                <w:w w:val="99"/>
              </w:rPr>
              <w:t>Registration Statement)</w:t>
            </w:r>
          </w:p>
        </w:tc>
        <w:tc>
          <w:tcPr>
            <w:tcW w:w="2380" w:type="dxa"/>
            <w:vAlign w:val="bottom"/>
            <w:tcBorders>
              <w:top w:val="single" w:sz="8" w:color="0000EE"/>
            </w:tcBorders>
            <w:gridSpan w:val="3"/>
          </w:tcPr>
          <w:p>
            <w:pPr>
              <w:spacing w:after="0"/>
              <w:rPr>
                <w:sz w:val="14"/>
                <w:szCs w:val="14"/>
                <w:color w:val="auto"/>
              </w:rPr>
            </w:pPr>
          </w:p>
        </w:tc>
        <w:tc>
          <w:tcPr>
            <w:tcW w:w="2200" w:type="dxa"/>
            <w:vAlign w:val="bottom"/>
          </w:tcPr>
          <w:p>
            <w:pPr>
              <w:spacing w:after="0"/>
              <w:rPr>
                <w:sz w:val="14"/>
                <w:szCs w:val="14"/>
                <w:color w:val="auto"/>
              </w:rPr>
            </w:pPr>
          </w:p>
        </w:tc>
        <w:tc>
          <w:tcPr>
            <w:tcW w:w="2300" w:type="dxa"/>
            <w:vAlign w:val="bottom"/>
          </w:tcPr>
          <w:p>
            <w:pPr>
              <w:ind w:left="2180"/>
              <w:spacing w:after="0" w:line="162" w:lineRule="exact"/>
              <w:rPr>
                <w:sz w:val="20"/>
                <w:szCs w:val="20"/>
                <w:color w:val="auto"/>
              </w:rPr>
            </w:pPr>
            <w:r>
              <w:rPr>
                <w:rFonts w:ascii="Times New Roman" w:cs="Times New Roman" w:eastAsia="Times New Roman" w:hAnsi="Times New Roman"/>
                <w:sz w:val="15"/>
                <w:szCs w:val="15"/>
                <w:color w:val="auto"/>
                <w:w w:val="91"/>
              </w:rPr>
              <w:t>X</w:t>
            </w:r>
          </w:p>
        </w:tc>
      </w:tr>
      <w:tr>
        <w:trPr>
          <w:trHeight w:val="25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auto"/>
              </w:rPr>
              <w:t>  24.1</w:t>
            </w:r>
          </w:p>
        </w:tc>
        <w:tc>
          <w:tcPr>
            <w:tcW w:w="6020" w:type="dxa"/>
            <w:vAlign w:val="bottom"/>
            <w:gridSpan w:val="6"/>
          </w:tcPr>
          <w:p>
            <w:pPr>
              <w:spacing w:after="0"/>
              <w:rPr>
                <w:sz w:val="20"/>
                <w:szCs w:val="20"/>
                <w:color w:val="auto"/>
              </w:rPr>
            </w:pPr>
            <w:r>
              <w:rPr>
                <w:rFonts w:ascii="Times New Roman" w:cs="Times New Roman" w:eastAsia="Times New Roman" w:hAnsi="Times New Roman"/>
                <w:sz w:val="15"/>
                <w:szCs w:val="15"/>
                <w:color w:val="0000EE"/>
              </w:rPr>
              <w:t>Power of Attorney (included on the signature page to this</w:t>
            </w:r>
          </w:p>
        </w:tc>
        <w:tc>
          <w:tcPr>
            <w:tcW w:w="2300" w:type="dxa"/>
            <w:vAlign w:val="bottom"/>
          </w:tcPr>
          <w:p>
            <w:pPr>
              <w:spacing w:after="0"/>
              <w:rPr>
                <w:sz w:val="22"/>
                <w:szCs w:val="22"/>
                <w:color w:val="auto"/>
              </w:rPr>
            </w:pPr>
          </w:p>
        </w:tc>
      </w:tr>
      <w:tr>
        <w:trPr>
          <w:trHeight w:val="162"/>
        </w:trPr>
        <w:tc>
          <w:tcPr>
            <w:tcW w:w="740" w:type="dxa"/>
            <w:vAlign w:val="bottom"/>
          </w:tcPr>
          <w:p>
            <w:pPr>
              <w:spacing w:after="0"/>
              <w:rPr>
                <w:sz w:val="14"/>
                <w:szCs w:val="14"/>
                <w:color w:val="auto"/>
              </w:rPr>
            </w:pPr>
          </w:p>
        </w:tc>
        <w:tc>
          <w:tcPr>
            <w:tcW w:w="1440" w:type="dxa"/>
            <w:vAlign w:val="bottom"/>
            <w:tcBorders>
              <w:top w:val="single" w:sz="8" w:color="0000EE"/>
              <w:bottom w:val="single" w:sz="8" w:color="0000EE"/>
            </w:tcBorders>
            <w:gridSpan w:val="2"/>
          </w:tcPr>
          <w:p>
            <w:pPr>
              <w:spacing w:after="0" w:line="162" w:lineRule="exact"/>
              <w:rPr>
                <w:sz w:val="20"/>
                <w:szCs w:val="20"/>
                <w:color w:val="auto"/>
              </w:rPr>
            </w:pPr>
            <w:r>
              <w:rPr>
                <w:rFonts w:ascii="Times New Roman" w:cs="Times New Roman" w:eastAsia="Times New Roman" w:hAnsi="Times New Roman"/>
                <w:sz w:val="15"/>
                <w:szCs w:val="15"/>
                <w:color w:val="0000EE"/>
                <w:w w:val="99"/>
              </w:rPr>
              <w:t>Registration Statement)</w:t>
            </w:r>
          </w:p>
        </w:tc>
        <w:tc>
          <w:tcPr>
            <w:tcW w:w="2040" w:type="dxa"/>
            <w:vAlign w:val="bottom"/>
            <w:tcBorders>
              <w:top w:val="single" w:sz="8" w:color="0000EE"/>
            </w:tcBorders>
          </w:tcPr>
          <w:p>
            <w:pPr>
              <w:spacing w:after="0"/>
              <w:rPr>
                <w:sz w:val="14"/>
                <w:szCs w:val="14"/>
                <w:color w:val="auto"/>
              </w:rPr>
            </w:pPr>
          </w:p>
        </w:tc>
        <w:tc>
          <w:tcPr>
            <w:tcW w:w="2540" w:type="dxa"/>
            <w:vAlign w:val="bottom"/>
            <w:gridSpan w:val="3"/>
          </w:tcPr>
          <w:p>
            <w:pPr>
              <w:spacing w:after="0"/>
              <w:rPr>
                <w:sz w:val="14"/>
                <w:szCs w:val="14"/>
                <w:color w:val="auto"/>
              </w:rPr>
            </w:pPr>
          </w:p>
        </w:tc>
        <w:tc>
          <w:tcPr>
            <w:tcW w:w="2300" w:type="dxa"/>
            <w:vAlign w:val="bottom"/>
          </w:tcPr>
          <w:p>
            <w:pPr>
              <w:ind w:left="2180"/>
              <w:spacing w:after="0" w:line="162" w:lineRule="exact"/>
              <w:rPr>
                <w:sz w:val="20"/>
                <w:szCs w:val="20"/>
                <w:color w:val="auto"/>
              </w:rPr>
            </w:pPr>
            <w:r>
              <w:rPr>
                <w:rFonts w:ascii="Times New Roman" w:cs="Times New Roman" w:eastAsia="Times New Roman" w:hAnsi="Times New Roman"/>
                <w:sz w:val="15"/>
                <w:szCs w:val="15"/>
                <w:color w:val="auto"/>
                <w:w w:val="91"/>
              </w:rPr>
              <w:t>X</w:t>
            </w:r>
          </w:p>
        </w:tc>
      </w:tr>
    </w:tbl>
    <w:p>
      <w:pPr>
        <w:spacing w:after="0" w:line="99" w:lineRule="exact"/>
        <w:rPr>
          <w:sz w:val="20"/>
          <w:szCs w:val="20"/>
          <w:color w:val="auto"/>
        </w:rPr>
      </w:pPr>
    </w:p>
    <w:p>
      <w:pPr>
        <w:ind w:left="1720" w:right="5020" w:hanging="739"/>
        <w:spacing w:after="0" w:line="287" w:lineRule="auto"/>
        <w:tabs>
          <w:tab w:leader="none" w:pos="1056"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25.1** Form T-1 Statement of Eligibility of Trustee for Indenture under the Trust Indenture Act of 1939</w:t>
      </w:r>
    </w:p>
    <w:p>
      <w:pPr>
        <w:spacing w:after="0" w:line="43" w:lineRule="exact"/>
        <w:rPr>
          <w:sz w:val="20"/>
          <w:szCs w:val="20"/>
          <w:color w:val="auto"/>
        </w:rPr>
      </w:pPr>
    </w:p>
    <w:p>
      <w:pPr>
        <w:ind w:left="980"/>
        <w:spacing w:after="0"/>
        <w:tabs>
          <w:tab w:leader="none" w:pos="1700" w:val="left"/>
          <w:tab w:leader="none" w:pos="9900" w:val="left"/>
        </w:tabs>
        <w:rPr>
          <w:sz w:val="20"/>
          <w:szCs w:val="20"/>
          <w:color w:val="auto"/>
        </w:rPr>
      </w:pPr>
      <w:r>
        <w:rPr>
          <w:rFonts w:ascii="Times New Roman" w:cs="Times New Roman" w:eastAsia="Times New Roman" w:hAnsi="Times New Roman"/>
          <w:sz w:val="15"/>
          <w:szCs w:val="15"/>
          <w:color w:val="auto"/>
        </w:rPr>
        <w:t>  107</w:t>
      </w:r>
      <w:r>
        <w:rPr>
          <w:sz w:val="20"/>
          <w:szCs w:val="20"/>
          <w:color w:val="auto"/>
        </w:rPr>
        <w:tab/>
      </w:r>
      <w:r>
        <w:rPr>
          <w:rFonts w:ascii="Times New Roman" w:cs="Times New Roman" w:eastAsia="Times New Roman" w:hAnsi="Times New Roman"/>
          <w:sz w:val="15"/>
          <w:szCs w:val="15"/>
          <w:u w:val="single" w:color="auto"/>
          <w:color w:val="0000EE"/>
        </w:rPr>
        <w:t>Filing Fee Table</w:t>
      </w:r>
      <w:r>
        <w:rPr>
          <w:sz w:val="20"/>
          <w:szCs w:val="20"/>
          <w:color w:val="auto"/>
        </w:rPr>
        <w:tab/>
      </w:r>
      <w:r>
        <w:rPr>
          <w:rFonts w:ascii="Times New Roman" w:cs="Times New Roman" w:eastAsia="Times New Roman" w:hAnsi="Times New Roman"/>
          <w:sz w:val="15"/>
          <w:szCs w:val="15"/>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87630</wp:posOffset>
            </wp:positionV>
            <wp:extent cx="65024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650240" cy="6985"/>
                    </a:xfrm>
                    <a:prstGeom prst="rect">
                      <a:avLst/>
                    </a:prstGeom>
                    <a:noFill/>
                  </pic:spPr>
                </pic:pic>
              </a:graphicData>
            </a:graphic>
          </wp:anchor>
        </w:drawing>
      </w:r>
    </w:p>
    <w:p>
      <w:pPr>
        <w:spacing w:after="0" w:line="149" w:lineRule="exact"/>
        <w:rPr>
          <w:sz w:val="20"/>
          <w:szCs w:val="20"/>
          <w:color w:val="auto"/>
        </w:rPr>
      </w:pPr>
    </w:p>
    <w:p>
      <w:pPr>
        <w:ind w:left="980" w:right="3140" w:firstLine="1"/>
        <w:spacing w:after="0" w:line="287" w:lineRule="auto"/>
        <w:tabs>
          <w:tab w:leader="none" w:pos="1344"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be filed by amendment or as an exhibit to a Form 8-K and incorporated by reference herein. ** To be filed pursuant to Section 305(b)(2) of the Trust Indenture Act of 1939, as amended.</w:t>
      </w:r>
    </w:p>
    <w:p>
      <w:pPr>
        <w:spacing w:after="0" w:line="7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II-3</w:t>
      </w:r>
    </w:p>
    <w:p>
      <w:pPr>
        <w:sectPr>
          <w:pgSz w:w="11900" w:h="16838" w:orient="portrait"/>
          <w:cols w:equalWidth="0" w:num="1">
            <w:col w:w="10260"/>
          </w:cols>
          <w:pgMar w:left="320" w:top="405" w:right="1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ind w:left="980"/>
        <w:spacing w:after="0"/>
        <w:tabs>
          <w:tab w:leader="none" w:pos="1880" w:val="left"/>
        </w:tabs>
        <w:rPr>
          <w:sz w:val="20"/>
          <w:szCs w:val="20"/>
          <w:color w:val="auto"/>
        </w:rPr>
      </w:pPr>
      <w:r>
        <w:rPr>
          <w:rFonts w:ascii="Times New Roman" w:cs="Times New Roman" w:eastAsia="Times New Roman" w:hAnsi="Times New Roman"/>
          <w:sz w:val="15"/>
          <w:szCs w:val="15"/>
          <w:b w:val="1"/>
          <w:bCs w:val="1"/>
          <w:color w:val="auto"/>
        </w:rPr>
        <w:t>Item 17.</w:t>
      </w:r>
      <w:r>
        <w:rPr>
          <w:sz w:val="20"/>
          <w:szCs w:val="20"/>
          <w:color w:val="auto"/>
        </w:rPr>
        <w:tab/>
      </w:r>
      <w:r>
        <w:rPr>
          <w:rFonts w:ascii="Times New Roman" w:cs="Times New Roman" w:eastAsia="Times New Roman" w:hAnsi="Times New Roman"/>
          <w:sz w:val="15"/>
          <w:szCs w:val="15"/>
          <w:b w:val="1"/>
          <w:bCs w:val="1"/>
          <w:color w:val="auto"/>
        </w:rPr>
        <w:t>Undertakings</w:t>
      </w:r>
    </w:p>
    <w:p>
      <w:pPr>
        <w:spacing w:after="0" w:line="105" w:lineRule="exact"/>
        <w:rPr>
          <w:sz w:val="20"/>
          <w:szCs w:val="20"/>
          <w:color w:val="auto"/>
        </w:rPr>
      </w:pPr>
    </w:p>
    <w:p>
      <w:pPr>
        <w:ind w:left="1560" w:hanging="208"/>
        <w:spacing w:after="0"/>
        <w:tabs>
          <w:tab w:leader="none" w:pos="156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registrant hereby undertakes:</w:t>
      </w:r>
    </w:p>
    <w:p>
      <w:pPr>
        <w:spacing w:after="0" w:line="100" w:lineRule="exact"/>
        <w:rPr>
          <w:rFonts w:ascii="Times New Roman" w:cs="Times New Roman" w:eastAsia="Times New Roman" w:hAnsi="Times New Roman"/>
          <w:sz w:val="15"/>
          <w:szCs w:val="15"/>
          <w:color w:val="auto"/>
        </w:rPr>
      </w:pPr>
    </w:p>
    <w:p>
      <w:pPr>
        <w:ind w:left="2040" w:hanging="223"/>
        <w:spacing w:after="0"/>
        <w:tabs>
          <w:tab w:leader="none" w:pos="2040"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file, during any period in which offers or sales are being made, a post-effective amendment to this registration statement:</w:t>
      </w:r>
    </w:p>
    <w:p>
      <w:pPr>
        <w:spacing w:after="0" w:line="100" w:lineRule="exact"/>
        <w:rPr>
          <w:rFonts w:ascii="Times New Roman" w:cs="Times New Roman" w:eastAsia="Times New Roman" w:hAnsi="Times New Roman"/>
          <w:sz w:val="15"/>
          <w:szCs w:val="15"/>
          <w:color w:val="auto"/>
        </w:rPr>
      </w:pPr>
    </w:p>
    <w:p>
      <w:pPr>
        <w:ind w:left="2360" w:hanging="172"/>
        <w:spacing w:after="0"/>
        <w:tabs>
          <w:tab w:leader="none" w:pos="2360" w:val="left"/>
        </w:tabs>
        <w:numPr>
          <w:ilvl w:val="2"/>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prospectus required by Section 10(a)(3) of the Securities Act;</w:t>
      </w:r>
    </w:p>
    <w:p>
      <w:pPr>
        <w:spacing w:after="0" w:line="191" w:lineRule="exact"/>
        <w:rPr>
          <w:rFonts w:ascii="Times New Roman" w:cs="Times New Roman" w:eastAsia="Times New Roman" w:hAnsi="Times New Roman"/>
          <w:sz w:val="15"/>
          <w:szCs w:val="15"/>
          <w:color w:val="auto"/>
        </w:rPr>
      </w:pPr>
    </w:p>
    <w:p>
      <w:pPr>
        <w:ind w:left="980" w:firstLine="1208"/>
        <w:spacing w:after="0" w:line="259" w:lineRule="auto"/>
        <w:tabs>
          <w:tab w:leader="none" w:pos="2410" w:val="left"/>
        </w:tabs>
        <w:numPr>
          <w:ilvl w:val="2"/>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spacing w:after="0" w:line="153" w:lineRule="exact"/>
        <w:rPr>
          <w:rFonts w:ascii="Times New Roman" w:cs="Times New Roman" w:eastAsia="Times New Roman" w:hAnsi="Times New Roman"/>
          <w:sz w:val="15"/>
          <w:szCs w:val="15"/>
          <w:color w:val="auto"/>
        </w:rPr>
      </w:pPr>
    </w:p>
    <w:p>
      <w:pPr>
        <w:ind w:left="980" w:right="60" w:firstLine="1208"/>
        <w:spacing w:after="0" w:line="287" w:lineRule="auto"/>
        <w:tabs>
          <w:tab w:leader="none" w:pos="2453" w:val="left"/>
        </w:tabs>
        <w:numPr>
          <w:ilvl w:val="2"/>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30" w:lineRule="exact"/>
        <w:rPr>
          <w:sz w:val="20"/>
          <w:szCs w:val="20"/>
          <w:color w:val="auto"/>
        </w:rPr>
      </w:pPr>
    </w:p>
    <w:p>
      <w:pPr>
        <w:ind w:left="980" w:right="680"/>
        <w:spacing w:after="0" w:line="266" w:lineRule="auto"/>
        <w:rPr>
          <w:sz w:val="20"/>
          <w:szCs w:val="20"/>
          <w:color w:val="auto"/>
        </w:rPr>
      </w:pP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however</w:t>
      </w:r>
      <w:r>
        <w:rPr>
          <w:rFonts w:ascii="Times New Roman" w:cs="Times New Roman" w:eastAsia="Times New Roman" w:hAnsi="Times New Roman"/>
          <w:sz w:val="15"/>
          <w:szCs w:val="15"/>
          <w:color w:val="auto"/>
        </w:rPr>
        <w:t>, that paragraphs (a)(1)(i), (a)(1)(ii) and (a)(1)(iii) do not apply if the information required to be included in a post-effective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amendment by those paragraphs is contained in reports filed with or furnished to the Commission by the registrant pursuant to Section 13 or</w:t>
      </w:r>
    </w:p>
    <w:p>
      <w:pPr>
        <w:spacing w:after="0" w:line="1" w:lineRule="exact"/>
        <w:rPr>
          <w:sz w:val="20"/>
          <w:szCs w:val="20"/>
          <w:color w:val="auto"/>
        </w:rPr>
      </w:pPr>
    </w:p>
    <w:p>
      <w:pPr>
        <w:ind w:left="980" w:right="80"/>
        <w:spacing w:after="0" w:line="266" w:lineRule="auto"/>
        <w:rPr>
          <w:sz w:val="20"/>
          <w:szCs w:val="20"/>
          <w:color w:val="auto"/>
        </w:rPr>
      </w:pPr>
      <w:r>
        <w:rPr>
          <w:rFonts w:ascii="Times New Roman" w:cs="Times New Roman" w:eastAsia="Times New Roman" w:hAnsi="Times New Roman"/>
          <w:sz w:val="15"/>
          <w:szCs w:val="15"/>
          <w:color w:val="auto"/>
        </w:rPr>
        <w:t>Section 15(d) of the Exchange Act that are incorporated by reference in the registration statement, or is contained in a form of prospectus filed pursuant to Rule 424(b) that is part of the registration statement.</w:t>
      </w:r>
    </w:p>
    <w:p>
      <w:pPr>
        <w:spacing w:after="0" w:line="149" w:lineRule="exact"/>
        <w:rPr>
          <w:sz w:val="20"/>
          <w:szCs w:val="20"/>
          <w:color w:val="auto"/>
        </w:rPr>
      </w:pPr>
    </w:p>
    <w:p>
      <w:pPr>
        <w:jc w:val="both"/>
        <w:ind w:left="980" w:right="60" w:firstLine="837"/>
        <w:spacing w:after="0" w:line="270" w:lineRule="auto"/>
        <w:tabs>
          <w:tab w:leader="none" w:pos="2031"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5"/>
          <w:szCs w:val="15"/>
          <w:i w:val="1"/>
          <w:iCs w:val="1"/>
          <w:color w:val="auto"/>
        </w:rPr>
        <w:t>bona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fide </w:t>
      </w:r>
      <w:r>
        <w:rPr>
          <w:rFonts w:ascii="Times New Roman" w:cs="Times New Roman" w:eastAsia="Times New Roman" w:hAnsi="Times New Roman"/>
          <w:sz w:val="15"/>
          <w:szCs w:val="15"/>
          <w:color w:val="auto"/>
        </w:rPr>
        <w:t>offering thereof.</w:t>
      </w:r>
    </w:p>
    <w:p>
      <w:pPr>
        <w:spacing w:after="0" w:line="146" w:lineRule="exact"/>
        <w:rPr>
          <w:rFonts w:ascii="Times New Roman" w:cs="Times New Roman" w:eastAsia="Times New Roman" w:hAnsi="Times New Roman"/>
          <w:sz w:val="15"/>
          <w:szCs w:val="15"/>
          <w:color w:val="auto"/>
        </w:rPr>
      </w:pPr>
    </w:p>
    <w:p>
      <w:pPr>
        <w:ind w:left="980" w:right="120" w:firstLine="837"/>
        <w:spacing w:after="0" w:line="287" w:lineRule="auto"/>
        <w:tabs>
          <w:tab w:leader="none" w:pos="2031"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remove from registration by means of a post-effective amendment any of the securities being registered which remain unsold at the termination of the offering.</w:t>
      </w:r>
    </w:p>
    <w:p>
      <w:pPr>
        <w:spacing w:after="0" w:line="133" w:lineRule="exact"/>
        <w:rPr>
          <w:rFonts w:ascii="Times New Roman" w:cs="Times New Roman" w:eastAsia="Times New Roman" w:hAnsi="Times New Roman"/>
          <w:sz w:val="15"/>
          <w:szCs w:val="15"/>
          <w:color w:val="auto"/>
        </w:rPr>
      </w:pPr>
    </w:p>
    <w:p>
      <w:pPr>
        <w:ind w:left="2040" w:hanging="223"/>
        <w:spacing w:after="0"/>
        <w:tabs>
          <w:tab w:leader="none" w:pos="20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liability under the Securities Act to any purchaser:</w:t>
      </w:r>
    </w:p>
    <w:p>
      <w:pPr>
        <w:spacing w:after="0" w:line="191" w:lineRule="exact"/>
        <w:rPr>
          <w:rFonts w:ascii="Times New Roman" w:cs="Times New Roman" w:eastAsia="Times New Roman" w:hAnsi="Times New Roman"/>
          <w:sz w:val="15"/>
          <w:szCs w:val="15"/>
          <w:color w:val="auto"/>
        </w:rPr>
      </w:pPr>
    </w:p>
    <w:p>
      <w:pPr>
        <w:ind w:left="980" w:right="20" w:firstLine="1208"/>
        <w:spacing w:after="0" w:line="287" w:lineRule="auto"/>
        <w:tabs>
          <w:tab w:leader="none" w:pos="2368" w:val="left"/>
        </w:tabs>
        <w:numPr>
          <w:ilvl w:val="1"/>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3" w:lineRule="exact"/>
        <w:rPr>
          <w:rFonts w:ascii="Times New Roman" w:cs="Times New Roman" w:eastAsia="Times New Roman" w:hAnsi="Times New Roman"/>
          <w:sz w:val="15"/>
          <w:szCs w:val="15"/>
          <w:color w:val="auto"/>
        </w:rPr>
      </w:pPr>
    </w:p>
    <w:p>
      <w:pPr>
        <w:ind w:left="980" w:right="40" w:firstLine="1208"/>
        <w:spacing w:after="0" w:line="256" w:lineRule="auto"/>
        <w:tabs>
          <w:tab w:leader="none" w:pos="2410" w:val="left"/>
        </w:tabs>
        <w:numPr>
          <w:ilvl w:val="1"/>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offering thereof.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II-4</w:t>
      </w:r>
    </w:p>
    <w:p>
      <w:pPr>
        <w:sectPr>
          <w:pgSz w:w="11900" w:h="16838" w:orient="portrait"/>
          <w:cols w:equalWidth="0" w:num="1">
            <w:col w:w="10260"/>
          </w:cols>
          <w:pgMar w:left="320" w:top="405" w:right="1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5" w:lineRule="exact"/>
        <w:rPr>
          <w:sz w:val="20"/>
          <w:szCs w:val="20"/>
          <w:color w:val="auto"/>
        </w:rPr>
      </w:pPr>
    </w:p>
    <w:p>
      <w:pPr>
        <w:ind w:left="980" w:right="100" w:firstLine="837"/>
        <w:spacing w:after="0" w:line="261" w:lineRule="auto"/>
        <w:tabs>
          <w:tab w:leader="none" w:pos="2031" w:val="left"/>
        </w:tabs>
        <w:numPr>
          <w:ilvl w:val="1"/>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3" w:lineRule="exact"/>
        <w:rPr>
          <w:rFonts w:ascii="Times New Roman" w:cs="Times New Roman" w:eastAsia="Times New Roman" w:hAnsi="Times New Roman"/>
          <w:sz w:val="15"/>
          <w:szCs w:val="15"/>
          <w:color w:val="auto"/>
        </w:rPr>
      </w:pPr>
    </w:p>
    <w:p>
      <w:pPr>
        <w:ind w:left="2360" w:hanging="172"/>
        <w:spacing w:after="0"/>
        <w:tabs>
          <w:tab w:leader="none" w:pos="2360" w:val="left"/>
        </w:tabs>
        <w:numPr>
          <w:ilvl w:val="2"/>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preliminary prospectus or prospectus of the undersigned registrant relating to the offering required to be filed pursuant to</w:t>
      </w:r>
    </w:p>
    <w:p>
      <w:pPr>
        <w:spacing w:after="0" w:line="24" w:lineRule="exact"/>
        <w:rPr>
          <w:rFonts w:ascii="Times New Roman" w:cs="Times New Roman" w:eastAsia="Times New Roman" w:hAnsi="Times New Roman"/>
          <w:sz w:val="15"/>
          <w:szCs w:val="15"/>
          <w:color w:val="auto"/>
        </w:rPr>
      </w:pPr>
    </w:p>
    <w:p>
      <w:pPr>
        <w:ind w:left="9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Rule 424;</w:t>
      </w:r>
    </w:p>
    <w:p>
      <w:pPr>
        <w:spacing w:after="0" w:line="176" w:lineRule="exact"/>
        <w:rPr>
          <w:rFonts w:ascii="Times New Roman" w:cs="Times New Roman" w:eastAsia="Times New Roman" w:hAnsi="Times New Roman"/>
          <w:sz w:val="15"/>
          <w:szCs w:val="15"/>
          <w:color w:val="auto"/>
        </w:rPr>
      </w:pPr>
    </w:p>
    <w:p>
      <w:pPr>
        <w:ind w:left="980" w:right="120" w:firstLine="1208"/>
        <w:spacing w:after="0" w:line="287" w:lineRule="auto"/>
        <w:tabs>
          <w:tab w:leader="none" w:pos="2410" w:val="left"/>
        </w:tabs>
        <w:numPr>
          <w:ilvl w:val="2"/>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free writing prospectus relating to the offering prepared by or on behalf of the undersigned registrant or used or referred to by the undersigned registrant;</w:t>
      </w:r>
    </w:p>
    <w:p>
      <w:pPr>
        <w:spacing w:after="0" w:line="133" w:lineRule="exact"/>
        <w:rPr>
          <w:rFonts w:ascii="Times New Roman" w:cs="Times New Roman" w:eastAsia="Times New Roman" w:hAnsi="Times New Roman"/>
          <w:sz w:val="15"/>
          <w:szCs w:val="15"/>
          <w:color w:val="auto"/>
        </w:rPr>
      </w:pPr>
    </w:p>
    <w:p>
      <w:pPr>
        <w:ind w:left="980" w:right="140" w:firstLine="1208"/>
        <w:spacing w:after="0" w:line="287" w:lineRule="auto"/>
        <w:tabs>
          <w:tab w:leader="none" w:pos="2453" w:val="left"/>
        </w:tabs>
        <w:numPr>
          <w:ilvl w:val="2"/>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portion of any other free writing prospectus relating to the offering containing material information about the undersigned registrant or its securities provided by or on behalf of the undersigned registrant; and</w:t>
      </w:r>
    </w:p>
    <w:p>
      <w:pPr>
        <w:spacing w:after="0" w:line="133" w:lineRule="exact"/>
        <w:rPr>
          <w:rFonts w:ascii="Times New Roman" w:cs="Times New Roman" w:eastAsia="Times New Roman" w:hAnsi="Times New Roman"/>
          <w:sz w:val="15"/>
          <w:szCs w:val="15"/>
          <w:color w:val="auto"/>
        </w:rPr>
      </w:pPr>
    </w:p>
    <w:p>
      <w:pPr>
        <w:ind w:left="2440" w:hanging="252"/>
        <w:spacing w:after="0"/>
        <w:tabs>
          <w:tab w:leader="none" w:pos="2440" w:val="left"/>
        </w:tabs>
        <w:numPr>
          <w:ilvl w:val="2"/>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communication that is an offer in the offering made by the undersigned registrant to the purchaser.</w:t>
      </w:r>
    </w:p>
    <w:p>
      <w:pPr>
        <w:spacing w:after="0" w:line="191" w:lineRule="exact"/>
        <w:rPr>
          <w:rFonts w:ascii="Times New Roman" w:cs="Times New Roman" w:eastAsia="Times New Roman" w:hAnsi="Times New Roman"/>
          <w:sz w:val="15"/>
          <w:szCs w:val="15"/>
          <w:color w:val="auto"/>
        </w:rPr>
      </w:pPr>
    </w:p>
    <w:p>
      <w:pPr>
        <w:ind w:left="980" w:right="60" w:firstLine="837"/>
        <w:spacing w:after="0" w:line="264" w:lineRule="auto"/>
        <w:tabs>
          <w:tab w:leader="none" w:pos="2031" w:val="left"/>
        </w:tabs>
        <w:numPr>
          <w:ilvl w:val="1"/>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offering thereof.</w:t>
      </w:r>
    </w:p>
    <w:p>
      <w:pPr>
        <w:spacing w:after="0" w:line="151" w:lineRule="exact"/>
        <w:rPr>
          <w:rFonts w:ascii="Times New Roman" w:cs="Times New Roman" w:eastAsia="Times New Roman" w:hAnsi="Times New Roman"/>
          <w:sz w:val="15"/>
          <w:szCs w:val="15"/>
          <w:color w:val="auto"/>
        </w:rPr>
      </w:pPr>
    </w:p>
    <w:p>
      <w:pPr>
        <w:ind w:left="980" w:right="60" w:firstLine="837"/>
        <w:spacing w:after="0" w:line="270" w:lineRule="auto"/>
        <w:tabs>
          <w:tab w:leader="none" w:pos="2031" w:val="left"/>
        </w:tabs>
        <w:numPr>
          <w:ilvl w:val="1"/>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file an application for the purpose of determining the eligibility of the trustee to act under subsection (a) of Section 310 of the Trust Indenture Act of 1939, as amended, or the Trust Indenture Act, in accordance with the rules and regulations prescribed by the Commission under Section 305(b)(2) of the Trust Indenture Act.</w:t>
      </w:r>
    </w:p>
    <w:p>
      <w:pPr>
        <w:spacing w:after="0" w:line="146" w:lineRule="exact"/>
        <w:rPr>
          <w:rFonts w:ascii="Times New Roman" w:cs="Times New Roman" w:eastAsia="Times New Roman" w:hAnsi="Times New Roman"/>
          <w:sz w:val="15"/>
          <w:szCs w:val="15"/>
          <w:color w:val="auto"/>
        </w:rPr>
      </w:pPr>
    </w:p>
    <w:p>
      <w:pPr>
        <w:ind w:left="980" w:firstLine="372"/>
        <w:spacing w:after="0" w:line="258" w:lineRule="auto"/>
        <w:tabs>
          <w:tab w:leader="none" w:pos="1566"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II-5</w:t>
      </w:r>
    </w:p>
    <w:p>
      <w:pPr>
        <w:sectPr>
          <w:pgSz w:w="11900" w:h="16838" w:orient="portrait"/>
          <w:cols w:equalWidth="0" w:num="1">
            <w:col w:w="10220"/>
          </w:cols>
          <w:pgMar w:left="320" w:top="405" w:right="1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71"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6" w:lineRule="exact"/>
        <w:rPr>
          <w:sz w:val="20"/>
          <w:szCs w:val="20"/>
          <w:color w:val="auto"/>
        </w:rPr>
      </w:pPr>
    </w:p>
    <w:p>
      <w:pPr>
        <w:ind w:left="980" w:right="160" w:firstLine="371"/>
        <w:spacing w:after="0" w:line="270"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March 21, 2025.</w:t>
      </w:r>
    </w:p>
    <w:p>
      <w:pPr>
        <w:spacing w:after="0" w:line="16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b w:val="1"/>
          <w:bCs w:val="1"/>
          <w:color w:val="auto"/>
        </w:rPr>
        <w:t>TENAYA THERAPEUTICS, INC.</w:t>
      </w:r>
    </w:p>
    <w:p>
      <w:pPr>
        <w:spacing w:after="0" w:line="19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15240</wp:posOffset>
            </wp:positionV>
            <wp:extent cx="216090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2160905" cy="6985"/>
                    </a:xfrm>
                    <a:prstGeom prst="rect">
                      <a:avLst/>
                    </a:prstGeom>
                    <a:noFill/>
                  </pic:spPr>
                </pic:pic>
              </a:graphicData>
            </a:graphic>
          </wp:anchor>
        </w:drawing>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5"/>
          <w:szCs w:val="15"/>
          <w:color w:val="auto"/>
        </w:rPr>
        <w:t>Faraz Ali, M.B.A.</w:t>
      </w:r>
    </w:p>
    <w:p>
      <w:pPr>
        <w:spacing w:after="0" w:line="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5"/>
          <w:szCs w:val="15"/>
          <w:color w:val="auto"/>
        </w:rPr>
        <w:t>Chief Executive Officer</w:t>
      </w:r>
    </w:p>
    <w:p>
      <w:pPr>
        <w:spacing w:after="0" w:line="355"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POWER OF ATTORNEY</w:t>
      </w:r>
    </w:p>
    <w:p>
      <w:pPr>
        <w:spacing w:after="0" w:line="196" w:lineRule="exact"/>
        <w:rPr>
          <w:sz w:val="20"/>
          <w:szCs w:val="20"/>
          <w:color w:val="auto"/>
        </w:rPr>
      </w:pPr>
    </w:p>
    <w:p>
      <w:pPr>
        <w:ind w:left="980" w:firstLine="371"/>
        <w:spacing w:after="0" w:line="258" w:lineRule="auto"/>
        <w:rPr>
          <w:sz w:val="20"/>
          <w:szCs w:val="20"/>
          <w:color w:val="auto"/>
        </w:rPr>
      </w:pPr>
      <w:r>
        <w:rPr>
          <w:rFonts w:ascii="Times New Roman" w:cs="Times New Roman" w:eastAsia="Times New Roman" w:hAnsi="Times New Roman"/>
          <w:sz w:val="15"/>
          <w:szCs w:val="15"/>
          <w:color w:val="auto"/>
        </w:rPr>
        <w:t>KNOW ALL PERSONS BY THESE PRESENTS, that each person whose signature appears below hereby constitutes and appoints Faraz Ali and Tomohiro Higa,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registration statements filed pursuant to Rule 462 under the Securities Act,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w:t>
      </w:r>
    </w:p>
    <w:p>
      <w:pPr>
        <w:spacing w:after="0" w:line="155" w:lineRule="exact"/>
        <w:rPr>
          <w:sz w:val="20"/>
          <w:szCs w:val="20"/>
          <w:color w:val="auto"/>
        </w:rPr>
      </w:pPr>
    </w:p>
    <w:p>
      <w:pPr>
        <w:ind w:left="980" w:right="180" w:firstLine="371"/>
        <w:spacing w:after="0" w:line="287"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980" w:type="dxa"/>
        <w:tblCellMar>
          <w:top w:w="0" w:type="dxa"/>
          <w:left w:w="0" w:type="dxa"/>
          <w:bottom w:w="0" w:type="dxa"/>
          <w:right w:w="0" w:type="dxa"/>
        </w:tblCellMar>
      </w:tblPr>
      <w:tr>
        <w:trPr>
          <w:trHeight w:val="158"/>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Signature</w:t>
            </w:r>
          </w:p>
        </w:tc>
        <w:tc>
          <w:tcPr>
            <w:tcW w:w="120" w:type="dxa"/>
            <w:vAlign w:val="bottom"/>
          </w:tcPr>
          <w:p>
            <w:pPr>
              <w:spacing w:after="0"/>
              <w:rPr>
                <w:sz w:val="13"/>
                <w:szCs w:val="13"/>
                <w:color w:val="auto"/>
              </w:rPr>
            </w:pPr>
          </w:p>
        </w:tc>
        <w:tc>
          <w:tcPr>
            <w:tcW w:w="32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2"/>
                <w:szCs w:val="12"/>
                <w:b w:val="1"/>
                <w:bCs w:val="1"/>
                <w:color w:val="auto"/>
              </w:rPr>
              <w:t>Title</w:t>
            </w:r>
          </w:p>
        </w:tc>
        <w:tc>
          <w:tcPr>
            <w:tcW w:w="180" w:type="dxa"/>
            <w:vAlign w:val="bottom"/>
          </w:tcPr>
          <w:p>
            <w:pPr>
              <w:spacing w:after="0"/>
              <w:rPr>
                <w:sz w:val="13"/>
                <w:szCs w:val="13"/>
                <w:color w:val="auto"/>
              </w:rPr>
            </w:pPr>
          </w:p>
        </w:tc>
        <w:tc>
          <w:tcPr>
            <w:tcW w:w="15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2"/>
                <w:szCs w:val="12"/>
                <w:b w:val="1"/>
                <w:bCs w:val="1"/>
                <w:color w:val="auto"/>
              </w:rPr>
              <w:t>Date</w:t>
            </w:r>
          </w:p>
        </w:tc>
      </w:tr>
      <w:tr>
        <w:trPr>
          <w:trHeight w:val="25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Faraz Ali, M.B.A.</w:t>
            </w: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Chief Executive Officer and Director</w:t>
            </w:r>
          </w:p>
        </w:tc>
        <w:tc>
          <w:tcPr>
            <w:tcW w:w="1560" w:type="dxa"/>
            <w:vAlign w:val="bottom"/>
          </w:tcPr>
          <w:p>
            <w:pPr>
              <w:spacing w:after="0"/>
              <w:rPr>
                <w:sz w:val="20"/>
                <w:szCs w:val="20"/>
                <w:color w:val="auto"/>
              </w:rPr>
            </w:pPr>
            <w:r>
              <w:rPr>
                <w:rFonts w:ascii="Times New Roman" w:cs="Times New Roman" w:eastAsia="Times New Roman" w:hAnsi="Times New Roman"/>
                <w:sz w:val="15"/>
                <w:szCs w:val="15"/>
                <w:color w:val="auto"/>
              </w:rPr>
              <w:t>March 21, 2025</w:t>
            </w:r>
          </w:p>
        </w:tc>
      </w:tr>
      <w:tr>
        <w:trPr>
          <w:trHeight w:val="143"/>
        </w:trPr>
        <w:tc>
          <w:tcPr>
            <w:tcW w:w="4180" w:type="dxa"/>
            <w:vAlign w:val="bottom"/>
          </w:tcPr>
          <w:p>
            <w:pPr>
              <w:jc w:val="center"/>
              <w:spacing w:after="0" w:line="144" w:lineRule="exact"/>
              <w:rPr>
                <w:sz w:val="20"/>
                <w:szCs w:val="20"/>
                <w:color w:val="auto"/>
              </w:rPr>
            </w:pPr>
            <w:r>
              <w:rPr>
                <w:rFonts w:ascii="Times New Roman" w:cs="Times New Roman" w:eastAsia="Times New Roman" w:hAnsi="Times New Roman"/>
                <w:sz w:val="15"/>
                <w:szCs w:val="15"/>
                <w:color w:val="auto"/>
              </w:rPr>
              <w:t>Faraz Ali, M.B.A.</w:t>
            </w:r>
          </w:p>
        </w:tc>
        <w:tc>
          <w:tcPr>
            <w:tcW w:w="3540" w:type="dxa"/>
            <w:vAlign w:val="bottom"/>
            <w:gridSpan w:val="3"/>
          </w:tcPr>
          <w:p>
            <w:pPr>
              <w:ind w:left="120"/>
              <w:spacing w:after="0" w:line="144"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Principal Executive Officer and Interim Principal</w:t>
            </w:r>
          </w:p>
        </w:tc>
        <w:tc>
          <w:tcPr>
            <w:tcW w:w="1560" w:type="dxa"/>
            <w:vAlign w:val="bottom"/>
          </w:tcPr>
          <w:p>
            <w:pPr>
              <w:spacing w:after="0"/>
              <w:rPr>
                <w:sz w:val="12"/>
                <w:szCs w:val="12"/>
                <w:color w:val="auto"/>
              </w:rPr>
            </w:pPr>
          </w:p>
        </w:tc>
      </w:tr>
      <w:tr>
        <w:trPr>
          <w:trHeight w:val="201"/>
        </w:trPr>
        <w:tc>
          <w:tcPr>
            <w:tcW w:w="4180" w:type="dxa"/>
            <w:vAlign w:val="bottom"/>
          </w:tcPr>
          <w:p>
            <w:pPr>
              <w:spacing w:after="0"/>
              <w:rPr>
                <w:sz w:val="17"/>
                <w:szCs w:val="17"/>
                <w:color w:val="auto"/>
              </w:rPr>
            </w:pP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5"/>
                <w:szCs w:val="15"/>
                <w:i w:val="1"/>
                <w:iCs w:val="1"/>
                <w:color w:val="auto"/>
              </w:rPr>
              <w:t>Financial Officer</w:t>
            </w:r>
            <w:r>
              <w:rPr>
                <w:rFonts w:ascii="Times New Roman" w:cs="Times New Roman" w:eastAsia="Times New Roman" w:hAnsi="Times New Roman"/>
                <w:sz w:val="15"/>
                <w:szCs w:val="15"/>
                <w:color w:val="auto"/>
              </w:rPr>
              <w:t>)</w:t>
            </w:r>
          </w:p>
        </w:tc>
        <w:tc>
          <w:tcPr>
            <w:tcW w:w="1560" w:type="dxa"/>
            <w:vAlign w:val="bottom"/>
          </w:tcPr>
          <w:p>
            <w:pPr>
              <w:spacing w:after="0"/>
              <w:rPr>
                <w:sz w:val="17"/>
                <w:szCs w:val="17"/>
                <w:color w:val="auto"/>
              </w:rPr>
            </w:pPr>
          </w:p>
        </w:tc>
      </w:tr>
      <w:tr>
        <w:trPr>
          <w:trHeight w:val="375"/>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Tomohiro Higa, M.B.A.</w:t>
            </w: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Senior Vice President, Finance</w:t>
            </w:r>
          </w:p>
        </w:tc>
        <w:tc>
          <w:tcPr>
            <w:tcW w:w="1560" w:type="dxa"/>
            <w:vAlign w:val="bottom"/>
          </w:tcPr>
          <w:p>
            <w:pPr>
              <w:spacing w:after="0"/>
              <w:rPr>
                <w:sz w:val="20"/>
                <w:szCs w:val="20"/>
                <w:color w:val="auto"/>
              </w:rPr>
            </w:pPr>
            <w:r>
              <w:rPr>
                <w:rFonts w:ascii="Times New Roman" w:cs="Times New Roman" w:eastAsia="Times New Roman" w:hAnsi="Times New Roman"/>
                <w:sz w:val="15"/>
                <w:szCs w:val="15"/>
                <w:color w:val="auto"/>
              </w:rPr>
              <w:t>March 21, 2025</w:t>
            </w:r>
          </w:p>
        </w:tc>
      </w:tr>
      <w:tr>
        <w:trPr>
          <w:trHeight w:val="189"/>
        </w:trPr>
        <w:tc>
          <w:tcPr>
            <w:tcW w:w="41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Tomohiro Higa, M.B.A.</w:t>
            </w: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Interim Principal Accounting Officer</w:t>
            </w:r>
            <w:r>
              <w:rPr>
                <w:rFonts w:ascii="Times New Roman" w:cs="Times New Roman" w:eastAsia="Times New Roman" w:hAnsi="Times New Roman"/>
                <w:sz w:val="15"/>
                <w:szCs w:val="15"/>
                <w:color w:val="auto"/>
              </w:rPr>
              <w:t>)</w:t>
            </w:r>
          </w:p>
        </w:tc>
        <w:tc>
          <w:tcPr>
            <w:tcW w:w="1560" w:type="dxa"/>
            <w:vAlign w:val="bottom"/>
          </w:tcPr>
          <w:p>
            <w:pPr>
              <w:spacing w:after="0"/>
              <w:rPr>
                <w:sz w:val="16"/>
                <w:szCs w:val="16"/>
                <w:color w:val="auto"/>
              </w:rPr>
            </w:pPr>
          </w:p>
        </w:tc>
      </w:tr>
      <w:tr>
        <w:trPr>
          <w:trHeight w:val="360"/>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Amy L. Burroughs, M.B.A.</w:t>
            </w: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Director</w:t>
            </w:r>
          </w:p>
        </w:tc>
        <w:tc>
          <w:tcPr>
            <w:tcW w:w="1560" w:type="dxa"/>
            <w:vAlign w:val="bottom"/>
          </w:tcPr>
          <w:p>
            <w:pPr>
              <w:spacing w:after="0"/>
              <w:rPr>
                <w:sz w:val="20"/>
                <w:szCs w:val="20"/>
                <w:color w:val="auto"/>
              </w:rPr>
            </w:pPr>
            <w:r>
              <w:rPr>
                <w:rFonts w:ascii="Times New Roman" w:cs="Times New Roman" w:eastAsia="Times New Roman" w:hAnsi="Times New Roman"/>
                <w:sz w:val="15"/>
                <w:szCs w:val="15"/>
                <w:color w:val="auto"/>
              </w:rPr>
              <w:t>March 21, 2025</w:t>
            </w:r>
          </w:p>
        </w:tc>
      </w:tr>
      <w:tr>
        <w:trPr>
          <w:trHeight w:val="189"/>
        </w:trPr>
        <w:tc>
          <w:tcPr>
            <w:tcW w:w="41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Amy L. Burroughs, M.B.A.</w:t>
            </w:r>
          </w:p>
        </w:tc>
        <w:tc>
          <w:tcPr>
            <w:tcW w:w="1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60"/>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David V. Goeddel, Ph.D.</w:t>
            </w: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Director</w:t>
            </w:r>
          </w:p>
        </w:tc>
        <w:tc>
          <w:tcPr>
            <w:tcW w:w="1560" w:type="dxa"/>
            <w:vAlign w:val="bottom"/>
          </w:tcPr>
          <w:p>
            <w:pPr>
              <w:spacing w:after="0"/>
              <w:rPr>
                <w:sz w:val="20"/>
                <w:szCs w:val="20"/>
                <w:color w:val="auto"/>
              </w:rPr>
            </w:pPr>
            <w:r>
              <w:rPr>
                <w:rFonts w:ascii="Times New Roman" w:cs="Times New Roman" w:eastAsia="Times New Roman" w:hAnsi="Times New Roman"/>
                <w:sz w:val="15"/>
                <w:szCs w:val="15"/>
                <w:color w:val="auto"/>
              </w:rPr>
              <w:t>March 21, 2025</w:t>
            </w:r>
          </w:p>
        </w:tc>
      </w:tr>
      <w:tr>
        <w:trPr>
          <w:trHeight w:val="189"/>
        </w:trPr>
        <w:tc>
          <w:tcPr>
            <w:tcW w:w="4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David V. Goeddel, Ph.D.</w:t>
            </w:r>
          </w:p>
        </w:tc>
        <w:tc>
          <w:tcPr>
            <w:tcW w:w="1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60"/>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June Lee, M.D.</w:t>
            </w: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Director</w:t>
            </w:r>
          </w:p>
        </w:tc>
        <w:tc>
          <w:tcPr>
            <w:tcW w:w="1560" w:type="dxa"/>
            <w:vAlign w:val="bottom"/>
          </w:tcPr>
          <w:p>
            <w:pPr>
              <w:spacing w:after="0"/>
              <w:rPr>
                <w:sz w:val="20"/>
                <w:szCs w:val="20"/>
                <w:color w:val="auto"/>
              </w:rPr>
            </w:pPr>
            <w:r>
              <w:rPr>
                <w:rFonts w:ascii="Times New Roman" w:cs="Times New Roman" w:eastAsia="Times New Roman" w:hAnsi="Times New Roman"/>
                <w:sz w:val="15"/>
                <w:szCs w:val="15"/>
                <w:color w:val="auto"/>
              </w:rPr>
              <w:t>March 21, 2025</w:t>
            </w:r>
          </w:p>
        </w:tc>
      </w:tr>
      <w:tr>
        <w:trPr>
          <w:trHeight w:val="189"/>
        </w:trPr>
        <w:tc>
          <w:tcPr>
            <w:tcW w:w="41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June Lee, M.D.</w:t>
            </w:r>
          </w:p>
        </w:tc>
        <w:tc>
          <w:tcPr>
            <w:tcW w:w="1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60"/>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Karah Parschauer, J.D.</w:t>
            </w: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Director</w:t>
            </w:r>
          </w:p>
        </w:tc>
        <w:tc>
          <w:tcPr>
            <w:tcW w:w="1560" w:type="dxa"/>
            <w:vAlign w:val="bottom"/>
          </w:tcPr>
          <w:p>
            <w:pPr>
              <w:spacing w:after="0"/>
              <w:rPr>
                <w:sz w:val="20"/>
                <w:szCs w:val="20"/>
                <w:color w:val="auto"/>
              </w:rPr>
            </w:pPr>
            <w:r>
              <w:rPr>
                <w:rFonts w:ascii="Times New Roman" w:cs="Times New Roman" w:eastAsia="Times New Roman" w:hAnsi="Times New Roman"/>
                <w:sz w:val="15"/>
                <w:szCs w:val="15"/>
                <w:color w:val="auto"/>
              </w:rPr>
              <w:t>March 21, 2025</w:t>
            </w:r>
          </w:p>
        </w:tc>
      </w:tr>
      <w:tr>
        <w:trPr>
          <w:trHeight w:val="189"/>
        </w:trPr>
        <w:tc>
          <w:tcPr>
            <w:tcW w:w="41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Karah Parschauer, J.D.</w:t>
            </w:r>
          </w:p>
        </w:tc>
        <w:tc>
          <w:tcPr>
            <w:tcW w:w="1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04"/>
        </w:trPr>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II-6</w:t>
            </w:r>
          </w:p>
        </w:tc>
        <w:tc>
          <w:tcPr>
            <w:tcW w:w="1560" w:type="dxa"/>
            <w:vAlign w:val="bottom"/>
          </w:tcPr>
          <w:p>
            <w:pPr>
              <w:spacing w:after="0"/>
              <w:rPr>
                <w:sz w:val="24"/>
                <w:szCs w:val="24"/>
                <w:color w:val="auto"/>
              </w:rPr>
            </w:pPr>
          </w:p>
        </w:tc>
      </w:tr>
    </w:tbl>
    <w:p>
      <w:pPr>
        <w:sectPr>
          <w:pgSz w:w="11900" w:h="16838" w:orient="portrait"/>
          <w:cols w:equalWidth="0" w:num="1">
            <w:col w:w="10260"/>
          </w:cols>
          <w:pgMar w:left="320" w:top="405" w:right="1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68" w:lineRule="exact"/>
        <w:rPr>
          <w:sz w:val="20"/>
          <w:szCs w:val="20"/>
          <w:color w:val="auto"/>
        </w:rPr>
      </w:pPr>
    </w:p>
    <w:tbl>
      <w:tblPr>
        <w:tblLayout w:type="fixed"/>
        <w:tblInd w:w="980" w:type="dxa"/>
        <w:tblCellMar>
          <w:top w:w="0" w:type="dxa"/>
          <w:left w:w="0" w:type="dxa"/>
          <w:bottom w:w="0" w:type="dxa"/>
          <w:right w:w="0" w:type="dxa"/>
        </w:tblCellMar>
      </w:tblPr>
      <w:tr>
        <w:trPr>
          <w:trHeight w:val="158"/>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Signature</w:t>
            </w:r>
          </w:p>
        </w:tc>
        <w:tc>
          <w:tcPr>
            <w:tcW w:w="120" w:type="dxa"/>
            <w:vAlign w:val="bottom"/>
          </w:tcPr>
          <w:p>
            <w:pPr>
              <w:spacing w:after="0"/>
              <w:rPr>
                <w:sz w:val="13"/>
                <w:szCs w:val="13"/>
                <w:color w:val="auto"/>
              </w:rPr>
            </w:pPr>
          </w:p>
        </w:tc>
        <w:tc>
          <w:tcPr>
            <w:tcW w:w="32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2"/>
                <w:szCs w:val="12"/>
                <w:b w:val="1"/>
                <w:bCs w:val="1"/>
                <w:color w:val="auto"/>
              </w:rPr>
              <w:t>Title</w:t>
            </w:r>
          </w:p>
        </w:tc>
        <w:tc>
          <w:tcPr>
            <w:tcW w:w="180" w:type="dxa"/>
            <w:vAlign w:val="bottom"/>
          </w:tcPr>
          <w:p>
            <w:pPr>
              <w:spacing w:after="0"/>
              <w:rPr>
                <w:sz w:val="13"/>
                <w:szCs w:val="13"/>
                <w:color w:val="auto"/>
              </w:rPr>
            </w:pPr>
          </w:p>
        </w:tc>
        <w:tc>
          <w:tcPr>
            <w:tcW w:w="15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2"/>
                <w:szCs w:val="12"/>
                <w:b w:val="1"/>
                <w:bCs w:val="1"/>
                <w:color w:val="auto"/>
              </w:rPr>
              <w:t>Date</w:t>
            </w:r>
          </w:p>
        </w:tc>
      </w:tr>
      <w:tr>
        <w:trPr>
          <w:trHeight w:val="25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Deepak Srivastava, M.D.</w:t>
            </w: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Director</w:t>
            </w:r>
          </w:p>
        </w:tc>
        <w:tc>
          <w:tcPr>
            <w:tcW w:w="1560" w:type="dxa"/>
            <w:vAlign w:val="bottom"/>
          </w:tcPr>
          <w:p>
            <w:pPr>
              <w:spacing w:after="0"/>
              <w:rPr>
                <w:sz w:val="20"/>
                <w:szCs w:val="20"/>
                <w:color w:val="auto"/>
              </w:rPr>
            </w:pPr>
            <w:r>
              <w:rPr>
                <w:rFonts w:ascii="Times New Roman" w:cs="Times New Roman" w:eastAsia="Times New Roman" w:hAnsi="Times New Roman"/>
                <w:sz w:val="15"/>
                <w:szCs w:val="15"/>
                <w:color w:val="auto"/>
              </w:rPr>
              <w:t>March 21, 2025</w:t>
            </w:r>
          </w:p>
        </w:tc>
      </w:tr>
      <w:tr>
        <w:trPr>
          <w:trHeight w:val="189"/>
        </w:trPr>
        <w:tc>
          <w:tcPr>
            <w:tcW w:w="41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Deepak Srivastava, M.D.</w:t>
            </w:r>
          </w:p>
        </w:tc>
        <w:tc>
          <w:tcPr>
            <w:tcW w:w="1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60"/>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Catherine Stehman-Breen, M.D.</w:t>
            </w: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Director</w:t>
            </w:r>
          </w:p>
        </w:tc>
        <w:tc>
          <w:tcPr>
            <w:tcW w:w="1560" w:type="dxa"/>
            <w:vAlign w:val="bottom"/>
          </w:tcPr>
          <w:p>
            <w:pPr>
              <w:spacing w:after="0"/>
              <w:rPr>
                <w:sz w:val="20"/>
                <w:szCs w:val="20"/>
                <w:color w:val="auto"/>
              </w:rPr>
            </w:pPr>
            <w:r>
              <w:rPr>
                <w:rFonts w:ascii="Times New Roman" w:cs="Times New Roman" w:eastAsia="Times New Roman" w:hAnsi="Times New Roman"/>
                <w:sz w:val="15"/>
                <w:szCs w:val="15"/>
                <w:color w:val="auto"/>
              </w:rPr>
              <w:t>March 21, 2025</w:t>
            </w:r>
          </w:p>
        </w:tc>
      </w:tr>
      <w:tr>
        <w:trPr>
          <w:trHeight w:val="189"/>
        </w:trPr>
        <w:tc>
          <w:tcPr>
            <w:tcW w:w="41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Catherine Stehman-Breen, M.D.</w:t>
            </w:r>
          </w:p>
        </w:tc>
        <w:tc>
          <w:tcPr>
            <w:tcW w:w="1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60"/>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/s/ Jeffrey T. Walsh, M.B.A.</w:t>
            </w: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Director</w:t>
            </w:r>
          </w:p>
        </w:tc>
        <w:tc>
          <w:tcPr>
            <w:tcW w:w="1560" w:type="dxa"/>
            <w:vAlign w:val="bottom"/>
          </w:tcPr>
          <w:p>
            <w:pPr>
              <w:spacing w:after="0"/>
              <w:rPr>
                <w:sz w:val="20"/>
                <w:szCs w:val="20"/>
                <w:color w:val="auto"/>
              </w:rPr>
            </w:pPr>
            <w:r>
              <w:rPr>
                <w:rFonts w:ascii="Times New Roman" w:cs="Times New Roman" w:eastAsia="Times New Roman" w:hAnsi="Times New Roman"/>
                <w:sz w:val="15"/>
                <w:szCs w:val="15"/>
                <w:color w:val="auto"/>
              </w:rPr>
              <w:t>March 21, 2025</w:t>
            </w:r>
          </w:p>
        </w:tc>
      </w:tr>
      <w:tr>
        <w:trPr>
          <w:trHeight w:val="189"/>
        </w:trPr>
        <w:tc>
          <w:tcPr>
            <w:tcW w:w="4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Jeffrey T. Walsh, M.B.A.</w:t>
            </w:r>
          </w:p>
        </w:tc>
        <w:tc>
          <w:tcPr>
            <w:tcW w:w="1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60"/>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R. Sanders (Sandy) Williams, M.D.</w:t>
            </w: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Director</w:t>
            </w:r>
          </w:p>
        </w:tc>
        <w:tc>
          <w:tcPr>
            <w:tcW w:w="1560" w:type="dxa"/>
            <w:vAlign w:val="bottom"/>
          </w:tcPr>
          <w:p>
            <w:pPr>
              <w:spacing w:after="0"/>
              <w:rPr>
                <w:sz w:val="20"/>
                <w:szCs w:val="20"/>
                <w:color w:val="auto"/>
              </w:rPr>
            </w:pPr>
            <w:r>
              <w:rPr>
                <w:rFonts w:ascii="Times New Roman" w:cs="Times New Roman" w:eastAsia="Times New Roman" w:hAnsi="Times New Roman"/>
                <w:sz w:val="15"/>
                <w:szCs w:val="15"/>
                <w:color w:val="auto"/>
              </w:rPr>
              <w:t>March 21, 2025</w:t>
            </w:r>
          </w:p>
        </w:tc>
      </w:tr>
      <w:tr>
        <w:trPr>
          <w:trHeight w:val="189"/>
        </w:trPr>
        <w:tc>
          <w:tcPr>
            <w:tcW w:w="41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 Sanders (Sandy) Williams, M.D.</w:t>
            </w:r>
          </w:p>
        </w:tc>
        <w:tc>
          <w:tcPr>
            <w:tcW w:w="1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04"/>
        </w:trPr>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II-7</w:t>
            </w:r>
          </w:p>
        </w:tc>
        <w:tc>
          <w:tcPr>
            <w:tcW w:w="1560" w:type="dxa"/>
            <w:vAlign w:val="bottom"/>
          </w:tcPr>
          <w:p>
            <w:pPr>
              <w:spacing w:after="0"/>
              <w:rPr>
                <w:sz w:val="24"/>
                <w:szCs w:val="24"/>
                <w:color w:val="auto"/>
              </w:rPr>
            </w:pPr>
          </w:p>
        </w:tc>
      </w:tr>
    </w:tbl>
    <w:p>
      <w:pPr>
        <w:sectPr>
          <w:pgSz w:w="11900" w:h="16838" w:orient="portrait"/>
          <w:cols w:equalWidth="0" w:num="1">
            <w:col w:w="10260"/>
          </w:cols>
          <w:pgMar w:left="320" w:top="405" w:right="131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5"/>
          <w:szCs w:val="15"/>
          <w:b w:val="1"/>
          <w:bCs w:val="1"/>
          <w:color w:val="auto"/>
        </w:rPr>
        <w:t>Exhibit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177165</wp:posOffset>
            </wp:positionV>
            <wp:extent cx="589661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5896610" cy="698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TENAYA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2238375</wp:posOffset>
            </wp:positionH>
            <wp:positionV relativeFrom="paragraph">
              <wp:posOffset>213360</wp:posOffset>
            </wp:positionV>
            <wp:extent cx="124269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1242695" cy="698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INDENTURE</w:t>
      </w:r>
    </w:p>
    <w:p>
      <w:pPr>
        <w:spacing w:after="0" w:line="196" w:lineRule="exact"/>
        <w:rPr>
          <w:sz w:val="20"/>
          <w:szCs w:val="20"/>
          <w:color w:val="auto"/>
        </w:rPr>
      </w:pPr>
    </w:p>
    <w:p>
      <w:pPr>
        <w:jc w:val="center"/>
        <w:ind w:right="140"/>
        <w:spacing w:after="0"/>
        <w:tabs>
          <w:tab w:leader="none" w:pos="120" w:val="left"/>
        </w:tabs>
        <w:rPr>
          <w:sz w:val="20"/>
          <w:szCs w:val="20"/>
          <w:color w:val="auto"/>
        </w:rPr>
      </w:pPr>
      <w:r>
        <w:rPr>
          <w:rFonts w:ascii="Times New Roman" w:cs="Times New Roman" w:eastAsia="Times New Roman" w:hAnsi="Times New Roman"/>
          <w:sz w:val="15"/>
          <w:szCs w:val="15"/>
          <w:color w:val="auto"/>
        </w:rPr>
        <w:t xml:space="preserve">Dated as of       </w:t>
      </w:r>
      <w:r>
        <w:rPr>
          <w:sz w:val="20"/>
          <w:szCs w:val="20"/>
          <w:color w:val="auto"/>
        </w:rPr>
        <w:tab/>
      </w:r>
      <w:r>
        <w:rPr>
          <w:rFonts w:ascii="Times New Roman" w:cs="Times New Roman" w:eastAsia="Times New Roman" w:hAnsi="Times New Roman"/>
          <w:sz w:val="14"/>
          <w:szCs w:val="14"/>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2238375</wp:posOffset>
            </wp:positionH>
            <wp:positionV relativeFrom="paragraph">
              <wp:posOffset>210185</wp:posOffset>
            </wp:positionV>
            <wp:extent cx="124269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1242695" cy="698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5"/>
          <w:szCs w:val="15"/>
          <w:b w:val="1"/>
          <w:bCs w:val="1"/>
          <w:color w:val="auto"/>
        </w:rPr>
        <w:t>[__________]</w:t>
      </w:r>
    </w:p>
    <w:p>
      <w:pPr>
        <w:spacing w:after="0" w:line="19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5"/>
          <w:szCs w:val="15"/>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174625</wp:posOffset>
            </wp:positionV>
            <wp:extent cx="589661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5896610" cy="6985"/>
                    </a:xfrm>
                    <a:prstGeom prst="rect">
                      <a:avLst/>
                    </a:prstGeom>
                    <a:noFill/>
                  </pic:spPr>
                </pic:pic>
              </a:graphicData>
            </a:graphic>
          </wp:anchor>
        </w:drawing>
      </w:r>
    </w:p>
    <w:p>
      <w:pPr>
        <w:sectPr>
          <w:pgSz w:w="11900" w:h="16838" w:orient="portrait"/>
          <w:cols w:equalWidth="0" w:num="1">
            <w:col w:w="9140"/>
          </w:cols>
          <w:pgMar w:left="1440" w:top="121" w:right="1319" w:bottom="1440" w:gutter="0" w:footer="0" w:header="0"/>
        </w:sectPr>
      </w:pPr>
    </w:p>
    <w:bookmarkStart w:id="67" w:name="page68"/>
    <w:bookmarkEnd w:id="67"/>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4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89"/>
              </w:rPr>
              <w:t>Page</w:t>
            </w:r>
          </w:p>
        </w:tc>
      </w:tr>
      <w:tr>
        <w:trPr>
          <w:trHeight w:val="254"/>
        </w:trPr>
        <w:tc>
          <w:tcPr>
            <w:tcW w:w="9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 DEFINITIONS AND INCORPORATION BY REFERENCE</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58"/>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1.1</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Definitions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1.2</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Definitions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1.3</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Incorporation by Reference of Trust Indenture Act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197"/>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1.4</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Rules of Construction</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73"/>
        </w:trPr>
        <w:tc>
          <w:tcPr>
            <w:tcW w:w="9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II THE SECURITIES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58"/>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2.1</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Issuable in Series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2.2</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Establishment of Terms of Series of Securities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2.3</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Execution and Authentication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2.4</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Registrar and Paying Agent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2.5</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Paying Agent to Hold Money in Trust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2.6</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Securityholder Lists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2.7</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Transfer and Exchange</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2.8</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Mutilated, Destroyed, Lost and Stolen Securities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2.9</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Outstanding Securities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2.10</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Treasury Securities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2.11</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Temporary Securities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2.12</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Cancellation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2.13</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Defaulted Interest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2.14</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Global Securities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97"/>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2.15</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CUSIP Numbers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73"/>
        </w:trPr>
        <w:tc>
          <w:tcPr>
            <w:tcW w:w="9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III REDEMPTION</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58"/>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3.1</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Notice to 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3.2</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Selection of Securities to be Redeemed</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3.3</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Notice of Redemption</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3.4</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Effect of Notice of Redemption</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3.5</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Deposit of Redemption Price</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97"/>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3.6</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Securities Redeemed in Part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73"/>
        </w:trPr>
        <w:tc>
          <w:tcPr>
            <w:tcW w:w="9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IV COVENANTS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58"/>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4.1</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Payment of Principal and Interest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4.2</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 Reports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4.3</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Compliance Certificate</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97"/>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4.4</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Stay, Extension and Usury Laws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73"/>
        </w:trPr>
        <w:tc>
          <w:tcPr>
            <w:tcW w:w="9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 SUCCESSORS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58"/>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5.1</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When Company May Merge, Etc.</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97"/>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5.2</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Successor Corporation Substituted</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bl>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w:t>
      </w:r>
    </w:p>
    <w:p>
      <w:pPr>
        <w:sectPr>
          <w:pgSz w:w="11900" w:h="16838" w:orient="portrait"/>
          <w:cols w:equalWidth="0" w:num="1">
            <w:col w:w="9240"/>
          </w:cols>
          <w:pgMar w:left="1300" w:top="246" w:right="1359" w:bottom="1440" w:gutter="0" w:footer="0" w:header="0"/>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(Continued)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4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89"/>
              </w:rPr>
              <w:t>Page</w:t>
            </w:r>
          </w:p>
        </w:tc>
      </w:tr>
      <w:tr>
        <w:trPr>
          <w:trHeight w:val="254"/>
        </w:trPr>
        <w:tc>
          <w:tcPr>
            <w:tcW w:w="9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VI DEFAULTS AND REMEDIES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58"/>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6.1</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Events of Default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6.2</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Acceleration of Maturity; Rescission and Annulment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6.3</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Collection of Indebtedness and Suits for Enforcement by 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6.4</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Trustee May File Proofs of Claim</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6.5</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Trustee May Enforce Claims Without Possession of Securities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6.6</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Application of Money Collected</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6.7</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Limitation on Suits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6.8</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Unconditional Right of Holders to Receive Principal and Interest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6.9</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Restoration of Rights and Remedies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6.10</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Rights and Remedies Cumulative</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6.11</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Delay or Omission Not Waiver</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6.12</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Control by Holders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6.13</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Waiver of Past Defaults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97"/>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6.14</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Undertaking for Costs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273"/>
        </w:trPr>
        <w:tc>
          <w:tcPr>
            <w:tcW w:w="9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VII 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258"/>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7.1</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Duties of 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7.2</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Rights of 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7.3</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Individual Rights of 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7.4</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Trustee’s Disclaimer</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7.5</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Notice of Defaults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7.6</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Reports by Trustee to Holders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7.7</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Compensation and Indemnity</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7.8</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Replacement of 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7.9</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Successor Trustee by Merger, Etc.</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7.10</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Eligibility; Disqualification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97"/>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7.11</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Preferential Collection of Claims Against Company</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273"/>
        </w:trPr>
        <w:tc>
          <w:tcPr>
            <w:tcW w:w="9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VIII SATISFACTION AND DISCHARGE; DEFEASANCE</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258"/>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8.1</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Satisfaction and Discharge of Indenture</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8.2</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Application of Trust Funds; Indemnification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8.3</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Legal Defeasance of Securities of any Series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8.4</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Covenant Defeasance</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8.5</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Repayment to Company</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97"/>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8.6</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Reinstatement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273"/>
        </w:trPr>
        <w:tc>
          <w:tcPr>
            <w:tcW w:w="9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IX AMENDMENTS AND WAIVERS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258"/>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9.1</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Without Consent of Holders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9.2</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With Consent of Holders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9.3</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Limitations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9.4</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Compliance with Trust Indenture Act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9.5</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Revocation and Effect of Consents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182"/>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9.6</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Notation on or Exchange of Securities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97"/>
        </w:trPr>
        <w:tc>
          <w:tcPr>
            <w:tcW w:w="14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9.7</w:t>
            </w:r>
          </w:p>
        </w:tc>
        <w:tc>
          <w:tcPr>
            <w:tcW w:w="7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Trustee Protected</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bl>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-ii-</w:t>
      </w:r>
    </w:p>
    <w:p>
      <w:pPr>
        <w:sectPr>
          <w:pgSz w:w="11900" w:h="16838" w:orient="portrait"/>
          <w:cols w:equalWidth="0" w:num="1">
            <w:col w:w="9240"/>
          </w:cols>
          <w:pgMar w:left="1300" w:top="246" w:right="1359" w:bottom="1440" w:gutter="0" w:footer="0" w:header="0"/>
        </w:sectPr>
      </w:pPr>
    </w:p>
    <w:bookmarkStart w:id="69" w:name="page70"/>
    <w:bookmarkEnd w:id="69"/>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TABLE OF CONTENTS</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(Continued)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46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89"/>
              </w:rPr>
              <w:t>Page</w:t>
            </w:r>
          </w:p>
        </w:tc>
      </w:tr>
      <w:tr>
        <w:trPr>
          <w:trHeight w:val="254"/>
        </w:trPr>
        <w:tc>
          <w:tcPr>
            <w:tcW w:w="9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X MISCELLANEOUS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258"/>
        </w:trPr>
        <w:tc>
          <w:tcPr>
            <w:tcW w:w="1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10.1</w:t>
            </w:r>
          </w:p>
        </w:tc>
        <w:tc>
          <w:tcPr>
            <w:tcW w:w="7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Trust Indenture Act Controls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82"/>
        </w:trPr>
        <w:tc>
          <w:tcPr>
            <w:tcW w:w="1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10.2</w:t>
            </w:r>
          </w:p>
        </w:tc>
        <w:tc>
          <w:tcPr>
            <w:tcW w:w="7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Notices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82"/>
        </w:trPr>
        <w:tc>
          <w:tcPr>
            <w:tcW w:w="1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10.3</w:t>
            </w:r>
          </w:p>
        </w:tc>
        <w:tc>
          <w:tcPr>
            <w:tcW w:w="7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Communication by Holders with Other Holders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82"/>
        </w:trPr>
        <w:tc>
          <w:tcPr>
            <w:tcW w:w="1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10.4</w:t>
            </w:r>
          </w:p>
        </w:tc>
        <w:tc>
          <w:tcPr>
            <w:tcW w:w="7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Certificate and Opinion as to Conditions Precedent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82"/>
        </w:trPr>
        <w:tc>
          <w:tcPr>
            <w:tcW w:w="1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10.5</w:t>
            </w:r>
          </w:p>
        </w:tc>
        <w:tc>
          <w:tcPr>
            <w:tcW w:w="7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Statements Required in Certificate or Opinion</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82"/>
        </w:trPr>
        <w:tc>
          <w:tcPr>
            <w:tcW w:w="1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10.6</w:t>
            </w:r>
          </w:p>
        </w:tc>
        <w:tc>
          <w:tcPr>
            <w:tcW w:w="7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Rules by Trustee and Agents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82"/>
        </w:trPr>
        <w:tc>
          <w:tcPr>
            <w:tcW w:w="1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10.7</w:t>
            </w:r>
          </w:p>
        </w:tc>
        <w:tc>
          <w:tcPr>
            <w:tcW w:w="7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Legal Holidays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82"/>
        </w:trPr>
        <w:tc>
          <w:tcPr>
            <w:tcW w:w="1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10.8</w:t>
            </w:r>
          </w:p>
        </w:tc>
        <w:tc>
          <w:tcPr>
            <w:tcW w:w="7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No Recourse Against Others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182"/>
        </w:trPr>
        <w:tc>
          <w:tcPr>
            <w:tcW w:w="1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10.9</w:t>
            </w:r>
          </w:p>
        </w:tc>
        <w:tc>
          <w:tcPr>
            <w:tcW w:w="7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Counterparts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182"/>
        </w:trPr>
        <w:tc>
          <w:tcPr>
            <w:tcW w:w="1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10.10</w:t>
            </w:r>
          </w:p>
        </w:tc>
        <w:tc>
          <w:tcPr>
            <w:tcW w:w="7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Governing Law; Waiver of Jury Trial; Consent to Jurisdiction</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182"/>
        </w:trPr>
        <w:tc>
          <w:tcPr>
            <w:tcW w:w="1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10.11</w:t>
            </w:r>
          </w:p>
        </w:tc>
        <w:tc>
          <w:tcPr>
            <w:tcW w:w="7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No Adverse Interpretation of Other Agreements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182"/>
        </w:trPr>
        <w:tc>
          <w:tcPr>
            <w:tcW w:w="1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10.12</w:t>
            </w:r>
          </w:p>
        </w:tc>
        <w:tc>
          <w:tcPr>
            <w:tcW w:w="7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Successors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182"/>
        </w:trPr>
        <w:tc>
          <w:tcPr>
            <w:tcW w:w="1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10.13</w:t>
            </w:r>
          </w:p>
        </w:tc>
        <w:tc>
          <w:tcPr>
            <w:tcW w:w="7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Severability</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182"/>
        </w:trPr>
        <w:tc>
          <w:tcPr>
            <w:tcW w:w="1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10.14</w:t>
            </w:r>
          </w:p>
        </w:tc>
        <w:tc>
          <w:tcPr>
            <w:tcW w:w="7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Table of Contents, Headings, Etc.</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182"/>
        </w:trPr>
        <w:tc>
          <w:tcPr>
            <w:tcW w:w="1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10.15</w:t>
            </w:r>
          </w:p>
        </w:tc>
        <w:tc>
          <w:tcPr>
            <w:tcW w:w="7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Securities in a Foreign Currency</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182"/>
        </w:trPr>
        <w:tc>
          <w:tcPr>
            <w:tcW w:w="1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10.16</w:t>
            </w:r>
          </w:p>
        </w:tc>
        <w:tc>
          <w:tcPr>
            <w:tcW w:w="7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Judgment Currency</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182"/>
        </w:trPr>
        <w:tc>
          <w:tcPr>
            <w:tcW w:w="1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10.17</w:t>
            </w:r>
          </w:p>
        </w:tc>
        <w:tc>
          <w:tcPr>
            <w:tcW w:w="7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Force Majeure</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197"/>
        </w:trPr>
        <w:tc>
          <w:tcPr>
            <w:tcW w:w="1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10.18</w:t>
            </w:r>
          </w:p>
        </w:tc>
        <w:tc>
          <w:tcPr>
            <w:tcW w:w="7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U.S.A. Patriot Act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273"/>
        </w:trPr>
        <w:tc>
          <w:tcPr>
            <w:tcW w:w="9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XI SINKING FUNDS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258"/>
        </w:trPr>
        <w:tc>
          <w:tcPr>
            <w:tcW w:w="1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11.1</w:t>
            </w:r>
          </w:p>
        </w:tc>
        <w:tc>
          <w:tcPr>
            <w:tcW w:w="7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Applicability of Article</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182"/>
        </w:trPr>
        <w:tc>
          <w:tcPr>
            <w:tcW w:w="1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11.2</w:t>
            </w:r>
          </w:p>
        </w:tc>
        <w:tc>
          <w:tcPr>
            <w:tcW w:w="7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Satisfaction of Sinking Fund Payments with Securities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197"/>
        </w:trPr>
        <w:tc>
          <w:tcPr>
            <w:tcW w:w="1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11.3</w:t>
            </w:r>
          </w:p>
        </w:tc>
        <w:tc>
          <w:tcPr>
            <w:tcW w:w="7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Redemption of Securities for Sinking Fund</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bl>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-iii-</w:t>
      </w:r>
    </w:p>
    <w:p>
      <w:pPr>
        <w:sectPr>
          <w:pgSz w:w="11900" w:h="16838" w:orient="portrait"/>
          <w:cols w:equalWidth="0" w:num="1">
            <w:col w:w="9240"/>
          </w:cols>
          <w:pgMar w:left="1300" w:top="246" w:right="1359" w:bottom="1440" w:gutter="0" w:footer="0" w:header="0"/>
        </w:sectPr>
      </w:pPr>
    </w:p>
    <w:bookmarkStart w:id="70" w:name="page71"/>
    <w:bookmarkEnd w:id="70"/>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TENAYA THERAPEUTICS, INC.</w:t>
      </w:r>
    </w:p>
    <w:p>
      <w:pPr>
        <w:spacing w:after="0" w:line="19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Reconciliation and tie between Trust Indenture Act of 1939 and Indenture, dated as of   , 20</w:t>
      </w:r>
    </w:p>
    <w:p>
      <w:pPr>
        <w:spacing w:after="0" w:line="226" w:lineRule="exact"/>
        <w:rPr>
          <w:sz w:val="20"/>
          <w:szCs w:val="20"/>
          <w:color w:val="auto"/>
        </w:rPr>
      </w:pPr>
    </w:p>
    <w:tbl>
      <w:tblPr>
        <w:tblLayout w:type="fixed"/>
        <w:tblInd w:w="3140" w:type="dxa"/>
        <w:tblCellMar>
          <w:top w:w="0" w:type="dxa"/>
          <w:left w:w="0" w:type="dxa"/>
          <w:bottom w:w="0" w:type="dxa"/>
          <w:right w:w="0" w:type="dxa"/>
        </w:tblCellMar>
      </w:tblP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w w:val="97"/>
              </w:rPr>
              <w:t>§ 310(a)(1)</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7.10</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(a)(2)</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7.10</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(a)(3)</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w w:val="97"/>
              </w:rPr>
              <w:t>Not Applicable</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(a)(4)</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w w:val="97"/>
              </w:rPr>
              <w:t>Not Applicable</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(a)(5)</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7.10</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(b)</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7.10</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 311(a)</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7.11</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(b)</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7.11</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(c)</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w w:val="97"/>
              </w:rPr>
              <w:t>Not Applicable</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 312(a)</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2.6</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(b)</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10.3</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(c)</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10.3</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 313(a)</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7.6</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(b)(1)</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7.6</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(b)(2)</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7.6</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(c)(1)</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7.6</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(d)</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7.6</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 314(a)</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4.2, 10.5</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(b)</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w w:val="97"/>
              </w:rPr>
              <w:t>Not Applicable</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(c)(1)</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10.4</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(c)(2)</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10.4</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(c)(3)</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w w:val="97"/>
              </w:rPr>
              <w:t>Not Applicable</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(d)</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w w:val="97"/>
              </w:rPr>
              <w:t>Not Applicable</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(e)</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10.5</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(f)</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w w:val="97"/>
              </w:rPr>
              <w:t>Not Applicable</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 315(a)</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7.1</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(b)</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7.5</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(c)</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7.1</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(d)</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7.1</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(e)</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6.14</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 316(a)</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2.10</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(a)(1)(A)</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6.12</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(a)(1)(B)</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6.13</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(b)</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6.8</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w w:val="97"/>
              </w:rPr>
              <w:t>§ 317(a)(1)</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6.3</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(a)(2)</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6.4</w:t>
            </w:r>
          </w:p>
        </w:tc>
      </w:tr>
      <w:tr>
        <w:trPr>
          <w:trHeight w:val="182"/>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(b)</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2.5</w:t>
            </w:r>
          </w:p>
        </w:tc>
      </w:tr>
      <w:tr>
        <w:trPr>
          <w:trHeight w:val="197"/>
        </w:trPr>
        <w:tc>
          <w:tcPr>
            <w:tcW w:w="16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rPr>
              <w:t>§ 318(a)</w:t>
            </w:r>
          </w:p>
        </w:tc>
        <w:tc>
          <w:tcPr>
            <w:tcW w:w="19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209550</wp:posOffset>
            </wp:positionV>
            <wp:extent cx="65024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650240" cy="6985"/>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 This reconciliation and tie shall not, for any purpose, be deemed to be part of the Indenture.</w:t>
      </w:r>
    </w:p>
    <w:p>
      <w:pPr>
        <w:spacing w:after="0" w:line="13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5"/>
          <w:szCs w:val="15"/>
          <w:color w:val="auto"/>
        </w:rPr>
        <w:t>-iv-</w:t>
      </w:r>
    </w:p>
    <w:p>
      <w:pPr>
        <w:sectPr>
          <w:pgSz w:w="11900" w:h="16838" w:orient="portrait"/>
          <w:cols w:equalWidth="0" w:num="1">
            <w:col w:w="9159"/>
          </w:cols>
          <w:pgMar w:left="1300" w:top="246" w:right="1440" w:bottom="1440" w:gutter="0" w:footer="0" w:header="0"/>
        </w:sectPr>
      </w:pPr>
    </w:p>
    <w:bookmarkStart w:id="71" w:name="page72"/>
    <w:bookmarkEnd w:id="71"/>
    <w:p>
      <w:pPr>
        <w:ind w:right="160" w:firstLine="836"/>
        <w:spacing w:after="0" w:line="29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93915" cy="34290"/>
                    </a:xfrm>
                    <a:prstGeom prst="rect">
                      <a:avLst/>
                    </a:prstGeom>
                    <a:noFill/>
                  </pic:spPr>
                </pic:pic>
              </a:graphicData>
            </a:graphic>
          </wp:anchor>
        </w:drawing>
        <w:t>Indenture dated as of  , 20  between Tenaya Therapeutics, Inc., a company incorporated under the laws of Delaware (the “</w:t>
      </w:r>
      <w:r>
        <w:rPr>
          <w:rFonts w:ascii="Times New Roman" w:cs="Times New Roman" w:eastAsia="Times New Roman" w:hAnsi="Times New Roman"/>
          <w:sz w:val="15"/>
          <w:szCs w:val="15"/>
          <w:i w:val="1"/>
          <w:iCs w:val="1"/>
          <w:color w:val="auto"/>
        </w:rPr>
        <w:t>Company</w:t>
      </w:r>
      <w:r>
        <w:rPr>
          <w:rFonts w:ascii="Times New Roman" w:cs="Times New Roman" w:eastAsia="Times New Roman" w:hAnsi="Times New Roman"/>
          <w:sz w:val="15"/>
          <w:szCs w:val="15"/>
          <w:color w:val="auto"/>
        </w:rPr>
        <w:t>”), and [          ], a national banking association organized under the laws of the United States, as trustee (the “</w:t>
      </w:r>
      <w:r>
        <w:rPr>
          <w:rFonts w:ascii="Times New Roman" w:cs="Times New Roman" w:eastAsia="Times New Roman" w:hAnsi="Times New Roman"/>
          <w:sz w:val="15"/>
          <w:szCs w:val="15"/>
          <w:i w:val="1"/>
          <w:iCs w:val="1"/>
          <w:color w:val="auto"/>
        </w:rPr>
        <w:t>Trustee</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-45720</wp:posOffset>
            </wp:positionV>
            <wp:extent cx="48133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481330" cy="6985"/>
                    </a:xfrm>
                    <a:prstGeom prst="rect">
                      <a:avLst/>
                    </a:prstGeom>
                    <a:noFill/>
                  </pic:spPr>
                </pic:pic>
              </a:graphicData>
            </a:graphic>
          </wp:anchor>
        </w:drawing>
      </w:r>
    </w:p>
    <w:p>
      <w:pPr>
        <w:spacing w:after="0" w:line="109" w:lineRule="exact"/>
        <w:rPr>
          <w:sz w:val="20"/>
          <w:szCs w:val="20"/>
          <w:color w:val="auto"/>
        </w:rPr>
      </w:pPr>
    </w:p>
    <w:p>
      <w:pPr>
        <w:ind w:right="160" w:firstLine="836"/>
        <w:spacing w:after="0" w:line="287" w:lineRule="auto"/>
        <w:rPr>
          <w:sz w:val="20"/>
          <w:szCs w:val="20"/>
          <w:color w:val="auto"/>
        </w:rPr>
      </w:pPr>
      <w:r>
        <w:rPr>
          <w:rFonts w:ascii="Times New Roman" w:cs="Times New Roman" w:eastAsia="Times New Roman" w:hAnsi="Times New Roman"/>
          <w:sz w:val="15"/>
          <w:szCs w:val="15"/>
          <w:color w:val="auto"/>
        </w:rPr>
        <w:t>Each party agrees as follows for the benefit of the other party and for the equal and ratable benefit of the Holders of the Securities issued under this Indenture.</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DEFINITIONS AND INCORPORATION BY REFERENCE</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1.1 </w:t>
      </w: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right="140" w:firstLine="836"/>
        <w:spacing w:after="0" w:line="29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Additional Amounts</w:t>
      </w:r>
      <w:r>
        <w:rPr>
          <w:rFonts w:ascii="Times New Roman" w:cs="Times New Roman" w:eastAsia="Times New Roman" w:hAnsi="Times New Roman"/>
          <w:sz w:val="15"/>
          <w:szCs w:val="15"/>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25" w:lineRule="exact"/>
        <w:rPr>
          <w:sz w:val="20"/>
          <w:szCs w:val="20"/>
          <w:color w:val="auto"/>
        </w:rPr>
      </w:pPr>
    </w:p>
    <w:p>
      <w:pPr>
        <w:ind w:firstLine="836"/>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Affiliate</w:t>
      </w:r>
      <w:r>
        <w:rPr>
          <w:rFonts w:ascii="Times New Roman" w:cs="Times New Roman" w:eastAsia="Times New Roman" w:hAnsi="Times New Roman"/>
          <w:sz w:val="15"/>
          <w:szCs w:val="15"/>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Agent</w:t>
      </w:r>
      <w:r>
        <w:rPr>
          <w:rFonts w:ascii="Times New Roman" w:cs="Times New Roman" w:eastAsia="Times New Roman" w:hAnsi="Times New Roman"/>
          <w:sz w:val="15"/>
          <w:szCs w:val="15"/>
          <w:color w:val="auto"/>
        </w:rPr>
        <w:t>” means any Registrar, Paying Agent or Notice Agent.</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Board of Directors</w:t>
      </w:r>
      <w:r>
        <w:rPr>
          <w:rFonts w:ascii="Times New Roman" w:cs="Times New Roman" w:eastAsia="Times New Roman" w:hAnsi="Times New Roman"/>
          <w:sz w:val="15"/>
          <w:szCs w:val="15"/>
          <w:color w:val="auto"/>
        </w:rPr>
        <w:t>” means the board of directors of the Company or any duly authorized committee thereof.</w:t>
      </w:r>
    </w:p>
    <w:p>
      <w:pPr>
        <w:spacing w:after="0" w:line="192" w:lineRule="exact"/>
        <w:rPr>
          <w:sz w:val="20"/>
          <w:szCs w:val="20"/>
          <w:color w:val="auto"/>
        </w:rPr>
      </w:pPr>
    </w:p>
    <w:p>
      <w:pPr>
        <w:ind w:right="20" w:firstLine="836"/>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Board Resolution</w:t>
      </w:r>
      <w:r>
        <w:rPr>
          <w:rFonts w:ascii="Times New Roman" w:cs="Times New Roman" w:eastAsia="Times New Roman" w:hAnsi="Times New Roman"/>
          <w:sz w:val="15"/>
          <w:szCs w:val="15"/>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40" w:lineRule="exact"/>
        <w:rPr>
          <w:sz w:val="20"/>
          <w:szCs w:val="20"/>
          <w:color w:val="auto"/>
        </w:rPr>
      </w:pPr>
    </w:p>
    <w:p>
      <w:pPr>
        <w:ind w:right="60" w:firstLine="836"/>
        <w:spacing w:after="0" w:line="29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Business Day</w:t>
      </w:r>
      <w:r>
        <w:rPr>
          <w:rFonts w:ascii="Times New Roman" w:cs="Times New Roman" w:eastAsia="Times New Roman" w:hAnsi="Times New Roman"/>
          <w:sz w:val="15"/>
          <w:szCs w:val="15"/>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Capital Stock</w:t>
      </w:r>
      <w:r>
        <w:rPr>
          <w:rFonts w:ascii="Times New Roman" w:cs="Times New Roman" w:eastAsia="Times New Roman" w:hAnsi="Times New Roman"/>
          <w:sz w:val="15"/>
          <w:szCs w:val="15"/>
          <w:color w:val="auto"/>
        </w:rPr>
        <w:t>” means any and all shares, interests, participations, rights or other equivalents (however designated) of corporate stock.</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Company</w:t>
      </w:r>
      <w:r>
        <w:rPr>
          <w:rFonts w:ascii="Times New Roman" w:cs="Times New Roman" w:eastAsia="Times New Roman" w:hAnsi="Times New Roman"/>
          <w:sz w:val="15"/>
          <w:szCs w:val="15"/>
          <w:color w:val="auto"/>
        </w:rPr>
        <w:t>” means the party named as such above until a successor replaces it and thereafter means the successor.</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Company Order</w:t>
      </w:r>
      <w:r>
        <w:rPr>
          <w:rFonts w:ascii="Times New Roman" w:cs="Times New Roman" w:eastAsia="Times New Roman" w:hAnsi="Times New Roman"/>
          <w:sz w:val="15"/>
          <w:szCs w:val="15"/>
          <w:color w:val="auto"/>
        </w:rPr>
        <w:t>” means a written order signed in the name of the Company by an Officer.</w:t>
      </w:r>
    </w:p>
    <w:p>
      <w:pPr>
        <w:sectPr>
          <w:pgSz w:w="11900" w:h="16838" w:orient="portrait"/>
          <w:cols w:equalWidth="0" w:num="1">
            <w:col w:w="9280"/>
          </w:cols>
          <w:pgMar w:left="1300" w:top="246" w:right="1319" w:bottom="1440" w:gutter="0" w:footer="0" w:header="0"/>
        </w:sectPr>
      </w:pPr>
    </w:p>
    <w:bookmarkStart w:id="72" w:name="page73"/>
    <w:bookmarkEnd w:id="72"/>
    <w:p>
      <w:pPr>
        <w:ind w:right="40" w:firstLine="836"/>
        <w:spacing w:after="0" w:line="26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93915" cy="34290"/>
                    </a:xfrm>
                    <a:prstGeom prst="rect">
                      <a:avLst/>
                    </a:prstGeom>
                    <a:noFill/>
                  </pic:spPr>
                </pic:pic>
              </a:graphicData>
            </a:graphic>
          </wp:anchor>
        </w:drawing>
        <w:t>“</w:t>
      </w:r>
      <w:r>
        <w:rPr>
          <w:rFonts w:ascii="Times New Roman" w:cs="Times New Roman" w:eastAsia="Times New Roman" w:hAnsi="Times New Roman"/>
          <w:sz w:val="15"/>
          <w:szCs w:val="15"/>
          <w:i w:val="1"/>
          <w:iCs w:val="1"/>
          <w:color w:val="auto"/>
        </w:rPr>
        <w:t>Corporate Trust Office</w:t>
      </w:r>
      <w:r>
        <w:rPr>
          <w:rFonts w:ascii="Times New Roman" w:cs="Times New Roman" w:eastAsia="Times New Roman" w:hAnsi="Times New Roman"/>
          <w:sz w:val="15"/>
          <w:szCs w:val="15"/>
          <w:color w:val="auto"/>
        </w:rPr>
        <w:t>” means the principal office of the Trustee at which at any time this Indenture shall be administered, which office as of the date hereof is located at the address specified in Section 10.2. With respect to presentation for transfer or exchange, conversions or principal payment, such address shall be at the address specified in Section 10.2, or such other address as the Trustee may designate from time to time by written notice to the Holders and the Company, or the principal corporate trust office of any successor Trustee (or such other address as such successor Trustee may designate from time to time by written notice to the Holders and the Company).</w:t>
      </w:r>
    </w:p>
    <w:p>
      <w:pPr>
        <w:spacing w:after="0" w:line="1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Default</w:t>
      </w:r>
      <w:r>
        <w:rPr>
          <w:rFonts w:ascii="Times New Roman" w:cs="Times New Roman" w:eastAsia="Times New Roman" w:hAnsi="Times New Roman"/>
          <w:sz w:val="15"/>
          <w:szCs w:val="15"/>
          <w:color w:val="auto"/>
        </w:rPr>
        <w:t>” means any event which is, or after notice or passage of time or both would be, an Event of Default.</w:t>
      </w:r>
    </w:p>
    <w:p>
      <w:pPr>
        <w:spacing w:after="0" w:line="192" w:lineRule="exact"/>
        <w:rPr>
          <w:sz w:val="20"/>
          <w:szCs w:val="20"/>
          <w:color w:val="auto"/>
        </w:rPr>
      </w:pPr>
    </w:p>
    <w:p>
      <w:pPr>
        <w:ind w:right="120" w:firstLine="836"/>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Depositary</w:t>
      </w:r>
      <w:r>
        <w:rPr>
          <w:rFonts w:ascii="Times New Roman" w:cs="Times New Roman" w:eastAsia="Times New Roman" w:hAnsi="Times New Roman"/>
          <w:sz w:val="15"/>
          <w:szCs w:val="15"/>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46" w:lineRule="exact"/>
        <w:rPr>
          <w:sz w:val="20"/>
          <w:szCs w:val="20"/>
          <w:color w:val="auto"/>
        </w:rPr>
      </w:pPr>
    </w:p>
    <w:p>
      <w:pPr>
        <w:ind w:right="140" w:firstLine="836"/>
        <w:spacing w:after="0" w:line="29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Discount Security</w:t>
      </w:r>
      <w:r>
        <w:rPr>
          <w:rFonts w:ascii="Times New Roman" w:cs="Times New Roman" w:eastAsia="Times New Roman" w:hAnsi="Times New Roman"/>
          <w:sz w:val="15"/>
          <w:szCs w:val="15"/>
          <w:color w:val="auto"/>
        </w:rPr>
        <w:t>” means any Security that provides for an amount less than the stated principal amount thereof to be due and payable upon declaration of acceleration of the maturity thereof pursuant to Section 6.2.</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Dollars</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means the currency of The United States of America.</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Exchange Act</w:t>
      </w:r>
      <w:r>
        <w:rPr>
          <w:rFonts w:ascii="Times New Roman" w:cs="Times New Roman" w:eastAsia="Times New Roman" w:hAnsi="Times New Roman"/>
          <w:sz w:val="15"/>
          <w:szCs w:val="15"/>
          <w:color w:val="auto"/>
        </w:rPr>
        <w:t>” means the Securities Exchange Act of 1934, as amended.</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Foreign Currency</w:t>
      </w:r>
      <w:r>
        <w:rPr>
          <w:rFonts w:ascii="Times New Roman" w:cs="Times New Roman" w:eastAsia="Times New Roman" w:hAnsi="Times New Roman"/>
          <w:sz w:val="15"/>
          <w:szCs w:val="15"/>
          <w:color w:val="auto"/>
        </w:rPr>
        <w:t>” means any currency or currency unit issued by a government other than the government of The United States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America.</w:t>
      </w:r>
    </w:p>
    <w:p>
      <w:pPr>
        <w:spacing w:after="0" w:line="173" w:lineRule="exact"/>
        <w:rPr>
          <w:sz w:val="20"/>
          <w:szCs w:val="20"/>
          <w:color w:val="auto"/>
        </w:rPr>
      </w:pPr>
    </w:p>
    <w:p>
      <w:pPr>
        <w:ind w:right="160" w:firstLine="836"/>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Foreign Government Obligations</w:t>
      </w:r>
      <w:r>
        <w:rPr>
          <w:rFonts w:ascii="Times New Roman" w:cs="Times New Roman" w:eastAsia="Times New Roman" w:hAnsi="Times New Roman"/>
          <w:sz w:val="15"/>
          <w:szCs w:val="15"/>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40" w:lineRule="exact"/>
        <w:rPr>
          <w:sz w:val="20"/>
          <w:szCs w:val="20"/>
          <w:color w:val="auto"/>
        </w:rPr>
      </w:pPr>
    </w:p>
    <w:p>
      <w:pPr>
        <w:ind w:firstLine="836"/>
        <w:spacing w:after="0" w:line="266" w:lineRule="auto"/>
        <w:rPr>
          <w:sz w:val="20"/>
          <w:szCs w:val="20"/>
          <w:color w:val="auto"/>
        </w:rPr>
      </w:pPr>
      <w:r>
        <w:rPr>
          <w:rFonts w:ascii="Times New Roman" w:cs="Times New Roman" w:eastAsia="Times New Roman" w:hAnsi="Times New Roman"/>
          <w:sz w:val="15"/>
          <w:szCs w:val="15"/>
          <w:i w:val="1"/>
          <w:iCs w:val="1"/>
          <w:color w:val="auto"/>
        </w:rPr>
        <w:t xml:space="preserve">“GAAP” </w:t>
      </w:r>
      <w:r>
        <w:rPr>
          <w:rFonts w:ascii="Times New Roman" w:cs="Times New Roman" w:eastAsia="Times New Roman" w:hAnsi="Times New Roman"/>
          <w:sz w:val="15"/>
          <w:szCs w:val="15"/>
          <w:color w:val="auto"/>
        </w:rPr>
        <w:t>means accounting principles generally accepted in the United States of America set forth in the opinions and pronouncements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46" w:lineRule="exact"/>
        <w:rPr>
          <w:sz w:val="20"/>
          <w:szCs w:val="20"/>
          <w:color w:val="auto"/>
        </w:rPr>
      </w:pPr>
    </w:p>
    <w:p>
      <w:pPr>
        <w:ind w:right="180" w:firstLine="836"/>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Global Security</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i w:val="1"/>
          <w:iCs w:val="1"/>
          <w:color w:val="auto"/>
        </w:rPr>
        <w:t>Global Securities</w:t>
      </w:r>
      <w:r>
        <w:rPr>
          <w:rFonts w:ascii="Times New Roman" w:cs="Times New Roman" w:eastAsia="Times New Roman" w:hAnsi="Times New Roman"/>
          <w:sz w:val="15"/>
          <w:szCs w:val="15"/>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9220"/>
          </w:cols>
          <w:pgMar w:left="1300" w:top="246" w:right="1379" w:bottom="1440" w:gutter="0" w:footer="0" w:header="0"/>
        </w:sectPr>
      </w:pPr>
    </w:p>
    <w:bookmarkStart w:id="73" w:name="page74"/>
    <w:bookmarkEnd w:id="73"/>
    <w:p>
      <w:pPr>
        <w:ind w:left="8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93915" cy="34290"/>
                    </a:xfrm>
                    <a:prstGeom prst="rect">
                      <a:avLst/>
                    </a:prstGeom>
                    <a:noFill/>
                  </pic:spPr>
                </pic:pic>
              </a:graphicData>
            </a:graphic>
          </wp:anchor>
        </w:drawing>
        <w:t>“</w:t>
      </w:r>
      <w:r>
        <w:rPr>
          <w:rFonts w:ascii="Times New Roman" w:cs="Times New Roman" w:eastAsia="Times New Roman" w:hAnsi="Times New Roman"/>
          <w:sz w:val="15"/>
          <w:szCs w:val="15"/>
          <w:i w:val="1"/>
          <w:iCs w:val="1"/>
          <w:color w:val="auto"/>
        </w:rPr>
        <w:t>Holder</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i w:val="1"/>
          <w:iCs w:val="1"/>
          <w:color w:val="auto"/>
        </w:rPr>
        <w:t>Securityholder</w:t>
      </w:r>
      <w:r>
        <w:rPr>
          <w:rFonts w:ascii="Times New Roman" w:cs="Times New Roman" w:eastAsia="Times New Roman" w:hAnsi="Times New Roman"/>
          <w:sz w:val="15"/>
          <w:szCs w:val="15"/>
          <w:color w:val="auto"/>
        </w:rPr>
        <w:t>” means a person in whose name a Security is registered on the books of the Registrar.</w:t>
      </w:r>
    </w:p>
    <w:p>
      <w:pPr>
        <w:spacing w:after="0" w:line="192" w:lineRule="exact"/>
        <w:rPr>
          <w:sz w:val="20"/>
          <w:szCs w:val="20"/>
          <w:color w:val="auto"/>
        </w:rPr>
      </w:pPr>
    </w:p>
    <w:p>
      <w:pPr>
        <w:ind w:right="80" w:firstLine="836"/>
        <w:spacing w:after="0" w:line="29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Indenture</w:t>
      </w:r>
      <w:r>
        <w:rPr>
          <w:rFonts w:ascii="Times New Roman" w:cs="Times New Roman" w:eastAsia="Times New Roman" w:hAnsi="Times New Roman"/>
          <w:sz w:val="15"/>
          <w:szCs w:val="15"/>
          <w:color w:val="auto"/>
        </w:rPr>
        <w:t>” means this Indenture as amended or supplemented from time to time and shall include the form and terms of particular Series of Securities established as contemplated hereunder.</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interest</w:t>
      </w:r>
      <w:r>
        <w:rPr>
          <w:rFonts w:ascii="Times New Roman" w:cs="Times New Roman" w:eastAsia="Times New Roman" w:hAnsi="Times New Roman"/>
          <w:sz w:val="15"/>
          <w:szCs w:val="15"/>
          <w:color w:val="auto"/>
        </w:rPr>
        <w:t>” with respect to any Discount Security which by its terms bears interest only after Maturity, means interest payable after Maturity.</w:t>
      </w:r>
    </w:p>
    <w:p>
      <w:pPr>
        <w:spacing w:after="0" w:line="192" w:lineRule="exact"/>
        <w:rPr>
          <w:sz w:val="20"/>
          <w:szCs w:val="20"/>
          <w:color w:val="auto"/>
        </w:rPr>
      </w:pPr>
    </w:p>
    <w:p>
      <w:pPr>
        <w:ind w:right="180" w:firstLine="836"/>
        <w:spacing w:after="0" w:line="29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Maturity</w:t>
      </w:r>
      <w:r>
        <w:rPr>
          <w:rFonts w:ascii="Times New Roman" w:cs="Times New Roman" w:eastAsia="Times New Roman" w:hAnsi="Times New Roman"/>
          <w:sz w:val="15"/>
          <w:szCs w:val="15"/>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25" w:lineRule="exact"/>
        <w:rPr>
          <w:sz w:val="20"/>
          <w:szCs w:val="20"/>
          <w:color w:val="auto"/>
        </w:rPr>
      </w:pPr>
    </w:p>
    <w:p>
      <w:pPr>
        <w:ind w:right="40" w:firstLine="836"/>
        <w:spacing w:after="0" w:line="29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Officer</w:t>
      </w:r>
      <w:r>
        <w:rPr>
          <w:rFonts w:ascii="Times New Roman" w:cs="Times New Roman" w:eastAsia="Times New Roman" w:hAnsi="Times New Roman"/>
          <w:sz w:val="15"/>
          <w:szCs w:val="15"/>
          <w:color w:val="auto"/>
        </w:rPr>
        <w:t>” means the Chief Executive Officer, President, the Chief Financial Officer, the Treasurer or any Assistant Treasurer, the Secretary or any Assistant Secretary, and any Vice President of the Company.</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Officer’s Certificate</w:t>
      </w:r>
      <w:r>
        <w:rPr>
          <w:rFonts w:ascii="Times New Roman" w:cs="Times New Roman" w:eastAsia="Times New Roman" w:hAnsi="Times New Roman"/>
          <w:sz w:val="15"/>
          <w:szCs w:val="15"/>
          <w:color w:val="auto"/>
        </w:rPr>
        <w:t>” means a certificate signed by any Officer that meets the requirements of Section 10.5.</w:t>
      </w:r>
    </w:p>
    <w:p>
      <w:pPr>
        <w:spacing w:after="0" w:line="192" w:lineRule="exact"/>
        <w:rPr>
          <w:sz w:val="20"/>
          <w:szCs w:val="20"/>
          <w:color w:val="auto"/>
        </w:rPr>
      </w:pPr>
    </w:p>
    <w:p>
      <w:pPr>
        <w:ind w:right="380" w:firstLine="836"/>
        <w:spacing w:after="0" w:line="29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Opinion of Counsel</w:t>
      </w:r>
      <w:r>
        <w:rPr>
          <w:rFonts w:ascii="Times New Roman" w:cs="Times New Roman" w:eastAsia="Times New Roman" w:hAnsi="Times New Roman"/>
          <w:sz w:val="15"/>
          <w:szCs w:val="15"/>
          <w:color w:val="auto"/>
        </w:rPr>
        <w:t>” means a written opinion of legal counsel who is acceptable to the Trustee. The opinion may contain customary limitations, qualifications, conditions and exceptions. The counsel may be an employee of or counsel to the Company.</w:t>
      </w:r>
    </w:p>
    <w:p>
      <w:pPr>
        <w:spacing w:after="0" w:line="125" w:lineRule="exact"/>
        <w:rPr>
          <w:sz w:val="20"/>
          <w:szCs w:val="20"/>
          <w:color w:val="auto"/>
        </w:rPr>
      </w:pPr>
    </w:p>
    <w:p>
      <w:pPr>
        <w:ind w:right="140" w:firstLine="836"/>
        <w:spacing w:after="0" w:line="29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person</w:t>
      </w:r>
      <w:r>
        <w:rPr>
          <w:rFonts w:ascii="Times New Roman" w:cs="Times New Roman" w:eastAsia="Times New Roman" w:hAnsi="Times New Roman"/>
          <w:sz w:val="15"/>
          <w:szCs w:val="15"/>
          <w:color w:val="auto"/>
        </w:rPr>
        <w:t>” means any individual, corporation, partnership, joint venture, association, limited liability company, joint-stock company, trust, unincorporated organization or government or any agency or political subdivision thereof.</w:t>
      </w:r>
    </w:p>
    <w:p>
      <w:pPr>
        <w:spacing w:after="0" w:line="125" w:lineRule="exact"/>
        <w:rPr>
          <w:sz w:val="20"/>
          <w:szCs w:val="20"/>
          <w:color w:val="auto"/>
        </w:rPr>
      </w:pPr>
    </w:p>
    <w:p>
      <w:pPr>
        <w:ind w:right="40" w:firstLine="836"/>
        <w:spacing w:after="0" w:line="29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principal</w:t>
      </w:r>
      <w:r>
        <w:rPr>
          <w:rFonts w:ascii="Times New Roman" w:cs="Times New Roman" w:eastAsia="Times New Roman" w:hAnsi="Times New Roman"/>
          <w:sz w:val="15"/>
          <w:szCs w:val="15"/>
          <w:color w:val="auto"/>
        </w:rPr>
        <w:t>” of a Security means the principal of the Security plus, when appropriate, the premium, if any, on, and any Additional Amounts in respect of, the Security.</w:t>
      </w:r>
    </w:p>
    <w:p>
      <w:pPr>
        <w:spacing w:after="0" w:line="125" w:lineRule="exact"/>
        <w:rPr>
          <w:sz w:val="20"/>
          <w:szCs w:val="20"/>
          <w:color w:val="auto"/>
        </w:rPr>
      </w:pPr>
    </w:p>
    <w:p>
      <w:pPr>
        <w:ind w:right="20" w:firstLine="836"/>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Responsible Officer</w:t>
      </w:r>
      <w:r>
        <w:rPr>
          <w:rFonts w:ascii="Times New Roman" w:cs="Times New Roman" w:eastAsia="Times New Roman" w:hAnsi="Times New Roman"/>
          <w:sz w:val="15"/>
          <w:szCs w:val="15"/>
          <w:color w:val="auto"/>
        </w:rPr>
        <w:t>” means any officer of the Trustee in its Corporate Trust Office having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4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SEC</w:t>
      </w:r>
      <w:r>
        <w:rPr>
          <w:rFonts w:ascii="Times New Roman" w:cs="Times New Roman" w:eastAsia="Times New Roman" w:hAnsi="Times New Roman"/>
          <w:sz w:val="15"/>
          <w:szCs w:val="15"/>
          <w:color w:val="auto"/>
        </w:rPr>
        <w:t>” means the Securities and Exchange Commission.</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Securities</w:t>
      </w:r>
      <w:r>
        <w:rPr>
          <w:rFonts w:ascii="Times New Roman" w:cs="Times New Roman" w:eastAsia="Times New Roman" w:hAnsi="Times New Roman"/>
          <w:sz w:val="15"/>
          <w:szCs w:val="15"/>
          <w:color w:val="auto"/>
        </w:rPr>
        <w:t>” means the debentures, notes or other debt instruments of the Company of any Series authenticated and delivered under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Indenture.</w:t>
      </w:r>
    </w:p>
    <w:p>
      <w:pPr>
        <w:spacing w:after="0" w:line="173" w:lineRule="exact"/>
        <w:rPr>
          <w:sz w:val="20"/>
          <w:szCs w:val="20"/>
          <w:color w:val="auto"/>
        </w:rPr>
      </w:pPr>
    </w:p>
    <w:p>
      <w:pPr>
        <w:ind w:right="300" w:firstLine="836"/>
        <w:spacing w:after="0" w:line="29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Series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i w:val="1"/>
          <w:iCs w:val="1"/>
          <w:color w:val="auto"/>
        </w:rPr>
        <w:t>Series of Securities</w:t>
      </w:r>
      <w:r>
        <w:rPr>
          <w:rFonts w:ascii="Times New Roman" w:cs="Times New Roman" w:eastAsia="Times New Roman" w:hAnsi="Times New Roman"/>
          <w:sz w:val="15"/>
          <w:szCs w:val="15"/>
          <w:color w:val="auto"/>
        </w:rPr>
        <w:t>” means each series of debentures, notes or other debt instruments of the Company created pursuant to Sections 2.1 and 2.2 hereof.</w:t>
      </w:r>
    </w:p>
    <w:p>
      <w:pPr>
        <w:spacing w:after="0" w:line="125" w:lineRule="exact"/>
        <w:rPr>
          <w:sz w:val="20"/>
          <w:szCs w:val="20"/>
          <w:color w:val="auto"/>
        </w:rPr>
      </w:pPr>
    </w:p>
    <w:p>
      <w:pPr>
        <w:ind w:right="540" w:firstLine="836"/>
        <w:spacing w:after="0" w:line="29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Stated Maturity</w:t>
      </w:r>
      <w:r>
        <w:rPr>
          <w:rFonts w:ascii="Times New Roman" w:cs="Times New Roman" w:eastAsia="Times New Roman" w:hAnsi="Times New Roman"/>
          <w:sz w:val="15"/>
          <w:szCs w:val="15"/>
          <w:color w:val="auto"/>
        </w:rPr>
        <w:t>” when used with respect to any Security, means the date specified in such Security as the fixed date on which the principal of such Security or interest is due and payable.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9280"/>
          </w:cols>
          <w:pgMar w:left="1300" w:top="246" w:right="1319" w:bottom="1440" w:gutter="0" w:footer="0" w:header="0"/>
        </w:sectPr>
      </w:pPr>
    </w:p>
    <w:bookmarkStart w:id="74" w:name="page75"/>
    <w:bookmarkEnd w:id="74"/>
    <w:p>
      <w:pPr>
        <w:ind w:right="140" w:firstLine="836"/>
        <w:spacing w:after="0" w:line="26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93915" cy="34290"/>
                    </a:xfrm>
                    <a:prstGeom prst="rect">
                      <a:avLst/>
                    </a:prstGeom>
                    <a:noFill/>
                  </pic:spPr>
                </pic:pic>
              </a:graphicData>
            </a:graphic>
          </wp:anchor>
        </w:drawing>
        <w:t>“</w:t>
      </w:r>
      <w:r>
        <w:rPr>
          <w:rFonts w:ascii="Times New Roman" w:cs="Times New Roman" w:eastAsia="Times New Roman" w:hAnsi="Times New Roman"/>
          <w:sz w:val="15"/>
          <w:szCs w:val="15"/>
          <w:i w:val="1"/>
          <w:iCs w:val="1"/>
          <w:color w:val="auto"/>
        </w:rPr>
        <w:t>Subsidiary</w:t>
      </w:r>
      <w:r>
        <w:rPr>
          <w:rFonts w:ascii="Times New Roman" w:cs="Times New Roman" w:eastAsia="Times New Roman" w:hAnsi="Times New Roman"/>
          <w:sz w:val="15"/>
          <w:szCs w:val="15"/>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46" w:lineRule="exact"/>
        <w:rPr>
          <w:sz w:val="20"/>
          <w:szCs w:val="20"/>
          <w:color w:val="auto"/>
        </w:rPr>
      </w:pPr>
    </w:p>
    <w:p>
      <w:pPr>
        <w:ind w:right="60" w:firstLine="836"/>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TIA</w:t>
      </w:r>
      <w:r>
        <w:rPr>
          <w:rFonts w:ascii="Times New Roman" w:cs="Times New Roman" w:eastAsia="Times New Roman" w:hAnsi="Times New Roman"/>
          <w:sz w:val="15"/>
          <w:szCs w:val="15"/>
          <w:color w:val="auto"/>
        </w:rPr>
        <w:t xml:space="preserve">” means the Trust Indenture Act of 1939 (15 U.S. Code §§ 77aaa-77bbbb) as in effect on the date of this Indenture;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in the event the Trust Indenture Act of 1939 is amended after such date, “TIA” means, to the extent required by any such amendment, the Trust Indenture Act as so amended.</w:t>
      </w:r>
    </w:p>
    <w:p>
      <w:pPr>
        <w:spacing w:after="0" w:line="140" w:lineRule="exact"/>
        <w:rPr>
          <w:sz w:val="20"/>
          <w:szCs w:val="20"/>
          <w:color w:val="auto"/>
        </w:rPr>
      </w:pPr>
    </w:p>
    <w:p>
      <w:pPr>
        <w:ind w:right="40" w:firstLine="836"/>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Trustee</w:t>
      </w:r>
      <w:r>
        <w:rPr>
          <w:rFonts w:ascii="Times New Roman" w:cs="Times New Roman" w:eastAsia="Times New Roman" w:hAnsi="Times New Roman"/>
          <w:sz w:val="15"/>
          <w:szCs w:val="15"/>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46" w:lineRule="exact"/>
        <w:rPr>
          <w:sz w:val="20"/>
          <w:szCs w:val="20"/>
          <w:color w:val="auto"/>
        </w:rPr>
      </w:pPr>
    </w:p>
    <w:p>
      <w:pPr>
        <w:ind w:firstLine="836"/>
        <w:spacing w:after="0" w:line="26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U.S. Government Obligations</w:t>
      </w:r>
      <w:r>
        <w:rPr>
          <w:rFonts w:ascii="Times New Roman" w:cs="Times New Roman" w:eastAsia="Times New Roman" w:hAnsi="Times New Roman"/>
          <w:sz w:val="15"/>
          <w:szCs w:val="15"/>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1.2 </w:t>
      </w:r>
      <w:r>
        <w:rPr>
          <w:rFonts w:ascii="Times New Roman" w:cs="Times New Roman" w:eastAsia="Times New Roman" w:hAnsi="Times New Roman"/>
          <w:sz w:val="15"/>
          <w:szCs w:val="15"/>
          <w:u w:val="single" w:color="auto"/>
          <w:color w:val="auto"/>
        </w:rPr>
        <w:t>Other Definitions</w:t>
      </w:r>
      <w:r>
        <w:rPr>
          <w:rFonts w:ascii="Times New Roman" w:cs="Times New Roman" w:eastAsia="Times New Roman" w:hAnsi="Times New Roman"/>
          <w:sz w:val="15"/>
          <w:szCs w:val="15"/>
          <w:color w:val="auto"/>
        </w:rPr>
        <w:t>.</w:t>
      </w:r>
    </w:p>
    <w:p>
      <w:pPr>
        <w:spacing w:after="0" w:line="209" w:lineRule="exact"/>
        <w:rPr>
          <w:sz w:val="20"/>
          <w:szCs w:val="20"/>
          <w:color w:val="auto"/>
        </w:rPr>
      </w:pPr>
    </w:p>
    <w:tbl>
      <w:tblPr>
        <w:tblLayout w:type="fixed"/>
        <w:tblInd w:w="1500" w:type="dxa"/>
        <w:tblCellMar>
          <w:top w:w="0" w:type="dxa"/>
          <w:left w:w="0" w:type="dxa"/>
          <w:bottom w:w="0" w:type="dxa"/>
          <w:right w:w="0" w:type="dxa"/>
        </w:tblCellMar>
      </w:tblPr>
      <w:tr>
        <w:trPr>
          <w:trHeight w:val="165"/>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5"/>
              </w:rPr>
              <w:t>TERM</w:t>
            </w:r>
          </w:p>
        </w:tc>
        <w:tc>
          <w:tcPr>
            <w:tcW w:w="2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w w:val="99"/>
              </w:rPr>
              <w:t>DEFINED IN SECTION</w:t>
            </w:r>
          </w:p>
        </w:tc>
      </w:tr>
      <w:tr>
        <w:trPr>
          <w:trHeight w:val="146"/>
        </w:trPr>
        <w:tc>
          <w:tcPr>
            <w:tcW w:w="2580" w:type="dxa"/>
            <w:vAlign w:val="bottom"/>
            <w:gridSpan w:val="2"/>
          </w:tcPr>
          <w:p>
            <w:pPr>
              <w:spacing w:after="0" w:line="14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Bankruptcy Law</w:t>
            </w:r>
            <w:r>
              <w:rPr>
                <w:rFonts w:ascii="Times New Roman" w:cs="Times New Roman" w:eastAsia="Times New Roman" w:hAnsi="Times New Roman"/>
                <w:sz w:val="15"/>
                <w:szCs w:val="15"/>
                <w:color w:val="auto"/>
              </w:rPr>
              <w:t>”</w:t>
            </w:r>
          </w:p>
        </w:tc>
        <w:tc>
          <w:tcPr>
            <w:tcW w:w="248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auto"/>
              </w:rPr>
              <w:t>6.1</w:t>
            </w:r>
          </w:p>
        </w:tc>
      </w:tr>
      <w:tr>
        <w:trPr>
          <w:trHeight w:val="182"/>
        </w:trPr>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Custodian</w:t>
            </w:r>
            <w:r>
              <w:rPr>
                <w:rFonts w:ascii="Times New Roman" w:cs="Times New Roman" w:eastAsia="Times New Roman" w:hAnsi="Times New Roman"/>
                <w:sz w:val="15"/>
                <w:szCs w:val="15"/>
                <w:color w:val="auto"/>
              </w:rPr>
              <w:t>”</w:t>
            </w:r>
          </w:p>
        </w:tc>
        <w:tc>
          <w:tcPr>
            <w:tcW w:w="3720" w:type="dxa"/>
            <w:vAlign w:val="bottom"/>
            <w:gridSpan w:val="2"/>
          </w:tcPr>
          <w:p>
            <w:pPr>
              <w:jc w:val="center"/>
              <w:ind w:left="2404"/>
              <w:spacing w:after="0"/>
              <w:rPr>
                <w:sz w:val="20"/>
                <w:szCs w:val="20"/>
                <w:color w:val="auto"/>
              </w:rPr>
            </w:pPr>
            <w:r>
              <w:rPr>
                <w:rFonts w:ascii="Times New Roman" w:cs="Times New Roman" w:eastAsia="Times New Roman" w:hAnsi="Times New Roman"/>
                <w:sz w:val="15"/>
                <w:szCs w:val="15"/>
                <w:color w:val="auto"/>
              </w:rPr>
              <w:t>6.1</w:t>
            </w:r>
          </w:p>
        </w:tc>
      </w:tr>
      <w:tr>
        <w:trPr>
          <w:trHeight w:val="182"/>
        </w:trPr>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Event of Default</w:t>
            </w:r>
            <w:r>
              <w:rPr>
                <w:rFonts w:ascii="Times New Roman" w:cs="Times New Roman" w:eastAsia="Times New Roman" w:hAnsi="Times New Roman"/>
                <w:sz w:val="15"/>
                <w:szCs w:val="15"/>
                <w:color w:val="auto"/>
              </w:rPr>
              <w:t>”</w:t>
            </w:r>
          </w:p>
        </w:tc>
        <w:tc>
          <w:tcPr>
            <w:tcW w:w="3720" w:type="dxa"/>
            <w:vAlign w:val="bottom"/>
            <w:gridSpan w:val="2"/>
          </w:tcPr>
          <w:p>
            <w:pPr>
              <w:jc w:val="center"/>
              <w:ind w:left="2404"/>
              <w:spacing w:after="0"/>
              <w:rPr>
                <w:sz w:val="20"/>
                <w:szCs w:val="20"/>
                <w:color w:val="auto"/>
              </w:rPr>
            </w:pPr>
            <w:r>
              <w:rPr>
                <w:rFonts w:ascii="Times New Roman" w:cs="Times New Roman" w:eastAsia="Times New Roman" w:hAnsi="Times New Roman"/>
                <w:sz w:val="15"/>
                <w:szCs w:val="15"/>
                <w:color w:val="auto"/>
              </w:rPr>
              <w:t>6.1</w:t>
            </w:r>
          </w:p>
        </w:tc>
      </w:tr>
      <w:tr>
        <w:trPr>
          <w:trHeight w:val="182"/>
        </w:trPr>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Judgment Currency</w:t>
            </w:r>
            <w:r>
              <w:rPr>
                <w:rFonts w:ascii="Times New Roman" w:cs="Times New Roman" w:eastAsia="Times New Roman" w:hAnsi="Times New Roman"/>
                <w:sz w:val="15"/>
                <w:szCs w:val="15"/>
                <w:color w:val="auto"/>
              </w:rPr>
              <w:t>”</w:t>
            </w:r>
          </w:p>
        </w:tc>
        <w:tc>
          <w:tcPr>
            <w:tcW w:w="3720" w:type="dxa"/>
            <w:vAlign w:val="bottom"/>
            <w:gridSpan w:val="2"/>
          </w:tcPr>
          <w:p>
            <w:pPr>
              <w:jc w:val="center"/>
              <w:ind w:left="2424"/>
              <w:spacing w:after="0"/>
              <w:rPr>
                <w:sz w:val="20"/>
                <w:szCs w:val="20"/>
                <w:color w:val="auto"/>
              </w:rPr>
            </w:pPr>
            <w:r>
              <w:rPr>
                <w:rFonts w:ascii="Times New Roman" w:cs="Times New Roman" w:eastAsia="Times New Roman" w:hAnsi="Times New Roman"/>
                <w:sz w:val="15"/>
                <w:szCs w:val="15"/>
                <w:color w:val="auto"/>
              </w:rPr>
              <w:t>10.16</w:t>
            </w:r>
          </w:p>
        </w:tc>
      </w:tr>
      <w:tr>
        <w:trPr>
          <w:trHeight w:val="182"/>
        </w:trPr>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Legal Holiday</w:t>
            </w:r>
            <w:r>
              <w:rPr>
                <w:rFonts w:ascii="Times New Roman" w:cs="Times New Roman" w:eastAsia="Times New Roman" w:hAnsi="Times New Roman"/>
                <w:sz w:val="15"/>
                <w:szCs w:val="15"/>
                <w:color w:val="auto"/>
              </w:rPr>
              <w:t>”</w:t>
            </w:r>
          </w:p>
        </w:tc>
        <w:tc>
          <w:tcPr>
            <w:tcW w:w="3720" w:type="dxa"/>
            <w:vAlign w:val="bottom"/>
            <w:gridSpan w:val="2"/>
          </w:tcPr>
          <w:p>
            <w:pPr>
              <w:jc w:val="center"/>
              <w:ind w:left="2404"/>
              <w:spacing w:after="0"/>
              <w:rPr>
                <w:sz w:val="20"/>
                <w:szCs w:val="20"/>
                <w:color w:val="auto"/>
              </w:rPr>
            </w:pPr>
            <w:r>
              <w:rPr>
                <w:rFonts w:ascii="Times New Roman" w:cs="Times New Roman" w:eastAsia="Times New Roman" w:hAnsi="Times New Roman"/>
                <w:sz w:val="15"/>
                <w:szCs w:val="15"/>
                <w:color w:val="auto"/>
              </w:rPr>
              <w:t>10.7</w:t>
            </w:r>
          </w:p>
        </w:tc>
      </w:tr>
      <w:tr>
        <w:trPr>
          <w:trHeight w:val="182"/>
        </w:trPr>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mandatory sinking fund payment</w:t>
            </w:r>
            <w:r>
              <w:rPr>
                <w:rFonts w:ascii="Times New Roman" w:cs="Times New Roman" w:eastAsia="Times New Roman" w:hAnsi="Times New Roman"/>
                <w:sz w:val="15"/>
                <w:szCs w:val="15"/>
                <w:color w:val="auto"/>
              </w:rPr>
              <w:t>”</w:t>
            </w:r>
          </w:p>
        </w:tc>
        <w:tc>
          <w:tcPr>
            <w:tcW w:w="3720" w:type="dxa"/>
            <w:vAlign w:val="bottom"/>
            <w:gridSpan w:val="2"/>
          </w:tcPr>
          <w:p>
            <w:pPr>
              <w:jc w:val="center"/>
              <w:ind w:left="2424"/>
              <w:spacing w:after="0"/>
              <w:rPr>
                <w:sz w:val="20"/>
                <w:szCs w:val="20"/>
                <w:color w:val="auto"/>
              </w:rPr>
            </w:pPr>
            <w:r>
              <w:rPr>
                <w:rFonts w:ascii="Times New Roman" w:cs="Times New Roman" w:eastAsia="Times New Roman" w:hAnsi="Times New Roman"/>
                <w:sz w:val="15"/>
                <w:szCs w:val="15"/>
                <w:color w:val="auto"/>
                <w:w w:val="98"/>
              </w:rPr>
              <w:t>11.1</w:t>
            </w:r>
          </w:p>
        </w:tc>
      </w:tr>
      <w:tr>
        <w:trPr>
          <w:trHeight w:val="182"/>
        </w:trPr>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New York Banking Day</w:t>
            </w:r>
            <w:r>
              <w:rPr>
                <w:rFonts w:ascii="Times New Roman" w:cs="Times New Roman" w:eastAsia="Times New Roman" w:hAnsi="Times New Roman"/>
                <w:sz w:val="15"/>
                <w:szCs w:val="15"/>
                <w:color w:val="auto"/>
              </w:rPr>
              <w:t>”</w:t>
            </w:r>
          </w:p>
        </w:tc>
        <w:tc>
          <w:tcPr>
            <w:tcW w:w="3720" w:type="dxa"/>
            <w:vAlign w:val="bottom"/>
            <w:gridSpan w:val="2"/>
          </w:tcPr>
          <w:p>
            <w:pPr>
              <w:jc w:val="center"/>
              <w:ind w:left="2424"/>
              <w:spacing w:after="0"/>
              <w:rPr>
                <w:sz w:val="20"/>
                <w:szCs w:val="20"/>
                <w:color w:val="auto"/>
              </w:rPr>
            </w:pPr>
            <w:r>
              <w:rPr>
                <w:rFonts w:ascii="Times New Roman" w:cs="Times New Roman" w:eastAsia="Times New Roman" w:hAnsi="Times New Roman"/>
                <w:sz w:val="15"/>
                <w:szCs w:val="15"/>
                <w:color w:val="auto"/>
              </w:rPr>
              <w:t>10.16</w:t>
            </w:r>
          </w:p>
        </w:tc>
      </w:tr>
      <w:tr>
        <w:trPr>
          <w:trHeight w:val="182"/>
        </w:trPr>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Notice Agent</w:t>
            </w:r>
            <w:r>
              <w:rPr>
                <w:rFonts w:ascii="Times New Roman" w:cs="Times New Roman" w:eastAsia="Times New Roman" w:hAnsi="Times New Roman"/>
                <w:sz w:val="15"/>
                <w:szCs w:val="15"/>
                <w:color w:val="auto"/>
              </w:rPr>
              <w:t>”</w:t>
            </w:r>
          </w:p>
        </w:tc>
        <w:tc>
          <w:tcPr>
            <w:tcW w:w="3720" w:type="dxa"/>
            <w:vAlign w:val="bottom"/>
            <w:gridSpan w:val="2"/>
          </w:tcPr>
          <w:p>
            <w:pPr>
              <w:jc w:val="center"/>
              <w:ind w:left="2404"/>
              <w:spacing w:after="0"/>
              <w:rPr>
                <w:sz w:val="20"/>
                <w:szCs w:val="20"/>
                <w:color w:val="auto"/>
              </w:rPr>
            </w:pPr>
            <w:r>
              <w:rPr>
                <w:rFonts w:ascii="Times New Roman" w:cs="Times New Roman" w:eastAsia="Times New Roman" w:hAnsi="Times New Roman"/>
                <w:sz w:val="15"/>
                <w:szCs w:val="15"/>
                <w:color w:val="auto"/>
              </w:rPr>
              <w:t>2.4</w:t>
            </w:r>
          </w:p>
        </w:tc>
      </w:tr>
      <w:tr>
        <w:trPr>
          <w:trHeight w:val="182"/>
        </w:trPr>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optional sinking fund payment</w:t>
            </w:r>
            <w:r>
              <w:rPr>
                <w:rFonts w:ascii="Times New Roman" w:cs="Times New Roman" w:eastAsia="Times New Roman" w:hAnsi="Times New Roman"/>
                <w:sz w:val="15"/>
                <w:szCs w:val="15"/>
                <w:color w:val="auto"/>
              </w:rPr>
              <w:t>”</w:t>
            </w:r>
          </w:p>
        </w:tc>
        <w:tc>
          <w:tcPr>
            <w:tcW w:w="3720" w:type="dxa"/>
            <w:vAlign w:val="bottom"/>
            <w:gridSpan w:val="2"/>
          </w:tcPr>
          <w:p>
            <w:pPr>
              <w:jc w:val="center"/>
              <w:ind w:left="2424"/>
              <w:spacing w:after="0"/>
              <w:rPr>
                <w:sz w:val="20"/>
                <w:szCs w:val="20"/>
                <w:color w:val="auto"/>
              </w:rPr>
            </w:pPr>
            <w:r>
              <w:rPr>
                <w:rFonts w:ascii="Times New Roman" w:cs="Times New Roman" w:eastAsia="Times New Roman" w:hAnsi="Times New Roman"/>
                <w:sz w:val="15"/>
                <w:szCs w:val="15"/>
                <w:color w:val="auto"/>
                <w:w w:val="98"/>
              </w:rPr>
              <w:t>11.1</w:t>
            </w:r>
          </w:p>
        </w:tc>
      </w:tr>
      <w:tr>
        <w:trPr>
          <w:trHeight w:val="182"/>
        </w:trPr>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Paying Agent</w:t>
            </w:r>
            <w:r>
              <w:rPr>
                <w:rFonts w:ascii="Times New Roman" w:cs="Times New Roman" w:eastAsia="Times New Roman" w:hAnsi="Times New Roman"/>
                <w:sz w:val="15"/>
                <w:szCs w:val="15"/>
                <w:color w:val="auto"/>
              </w:rPr>
              <w:t>”</w:t>
            </w:r>
          </w:p>
        </w:tc>
        <w:tc>
          <w:tcPr>
            <w:tcW w:w="3720" w:type="dxa"/>
            <w:vAlign w:val="bottom"/>
            <w:gridSpan w:val="2"/>
          </w:tcPr>
          <w:p>
            <w:pPr>
              <w:jc w:val="center"/>
              <w:ind w:left="2404"/>
              <w:spacing w:after="0"/>
              <w:rPr>
                <w:sz w:val="20"/>
                <w:szCs w:val="20"/>
                <w:color w:val="auto"/>
              </w:rPr>
            </w:pPr>
            <w:r>
              <w:rPr>
                <w:rFonts w:ascii="Times New Roman" w:cs="Times New Roman" w:eastAsia="Times New Roman" w:hAnsi="Times New Roman"/>
                <w:sz w:val="15"/>
                <w:szCs w:val="15"/>
                <w:color w:val="auto"/>
              </w:rPr>
              <w:t>2.4</w:t>
            </w:r>
          </w:p>
        </w:tc>
      </w:tr>
      <w:tr>
        <w:trPr>
          <w:trHeight w:val="182"/>
        </w:trPr>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Registrar</w:t>
            </w:r>
            <w:r>
              <w:rPr>
                <w:rFonts w:ascii="Times New Roman" w:cs="Times New Roman" w:eastAsia="Times New Roman" w:hAnsi="Times New Roman"/>
                <w:sz w:val="15"/>
                <w:szCs w:val="15"/>
                <w:color w:val="auto"/>
              </w:rPr>
              <w:t>”</w:t>
            </w:r>
          </w:p>
        </w:tc>
        <w:tc>
          <w:tcPr>
            <w:tcW w:w="3720" w:type="dxa"/>
            <w:vAlign w:val="bottom"/>
            <w:gridSpan w:val="2"/>
          </w:tcPr>
          <w:p>
            <w:pPr>
              <w:jc w:val="center"/>
              <w:ind w:left="2404"/>
              <w:spacing w:after="0"/>
              <w:rPr>
                <w:sz w:val="20"/>
                <w:szCs w:val="20"/>
                <w:color w:val="auto"/>
              </w:rPr>
            </w:pPr>
            <w:r>
              <w:rPr>
                <w:rFonts w:ascii="Times New Roman" w:cs="Times New Roman" w:eastAsia="Times New Roman" w:hAnsi="Times New Roman"/>
                <w:sz w:val="15"/>
                <w:szCs w:val="15"/>
                <w:color w:val="auto"/>
              </w:rPr>
              <w:t>2.4</w:t>
            </w:r>
          </w:p>
        </w:tc>
      </w:tr>
      <w:tr>
        <w:trPr>
          <w:trHeight w:val="182"/>
        </w:trPr>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Required Currency</w:t>
            </w:r>
            <w:r>
              <w:rPr>
                <w:rFonts w:ascii="Times New Roman" w:cs="Times New Roman" w:eastAsia="Times New Roman" w:hAnsi="Times New Roman"/>
                <w:sz w:val="15"/>
                <w:szCs w:val="15"/>
                <w:color w:val="auto"/>
              </w:rPr>
              <w:t>”</w:t>
            </w:r>
          </w:p>
        </w:tc>
        <w:tc>
          <w:tcPr>
            <w:tcW w:w="3720" w:type="dxa"/>
            <w:vAlign w:val="bottom"/>
            <w:gridSpan w:val="2"/>
          </w:tcPr>
          <w:p>
            <w:pPr>
              <w:jc w:val="center"/>
              <w:ind w:left="2424"/>
              <w:spacing w:after="0"/>
              <w:rPr>
                <w:sz w:val="20"/>
                <w:szCs w:val="20"/>
                <w:color w:val="auto"/>
              </w:rPr>
            </w:pPr>
            <w:r>
              <w:rPr>
                <w:rFonts w:ascii="Times New Roman" w:cs="Times New Roman" w:eastAsia="Times New Roman" w:hAnsi="Times New Roman"/>
                <w:sz w:val="15"/>
                <w:szCs w:val="15"/>
                <w:color w:val="auto"/>
              </w:rPr>
              <w:t>10.16</w:t>
            </w:r>
          </w:p>
        </w:tc>
      </w:tr>
      <w:tr>
        <w:trPr>
          <w:trHeight w:val="182"/>
        </w:trPr>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Specified Courts</w:t>
            </w:r>
            <w:r>
              <w:rPr>
                <w:rFonts w:ascii="Times New Roman" w:cs="Times New Roman" w:eastAsia="Times New Roman" w:hAnsi="Times New Roman"/>
                <w:sz w:val="15"/>
                <w:szCs w:val="15"/>
                <w:color w:val="auto"/>
              </w:rPr>
              <w:t>”</w:t>
            </w:r>
          </w:p>
        </w:tc>
        <w:tc>
          <w:tcPr>
            <w:tcW w:w="3720" w:type="dxa"/>
            <w:vAlign w:val="bottom"/>
            <w:gridSpan w:val="2"/>
          </w:tcPr>
          <w:p>
            <w:pPr>
              <w:jc w:val="center"/>
              <w:ind w:left="2424"/>
              <w:spacing w:after="0"/>
              <w:rPr>
                <w:sz w:val="20"/>
                <w:szCs w:val="20"/>
                <w:color w:val="auto"/>
              </w:rPr>
            </w:pPr>
            <w:r>
              <w:rPr>
                <w:rFonts w:ascii="Times New Roman" w:cs="Times New Roman" w:eastAsia="Times New Roman" w:hAnsi="Times New Roman"/>
                <w:sz w:val="15"/>
                <w:szCs w:val="15"/>
                <w:color w:val="auto"/>
              </w:rPr>
              <w:t>10.10</w:t>
            </w:r>
          </w:p>
        </w:tc>
      </w:tr>
      <w:tr>
        <w:trPr>
          <w:trHeight w:val="201"/>
        </w:trPr>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successor person</w:t>
            </w:r>
            <w:r>
              <w:rPr>
                <w:rFonts w:ascii="Times New Roman" w:cs="Times New Roman" w:eastAsia="Times New Roman" w:hAnsi="Times New Roman"/>
                <w:sz w:val="15"/>
                <w:szCs w:val="15"/>
                <w:color w:val="auto"/>
              </w:rPr>
              <w:t>”</w:t>
            </w:r>
          </w:p>
        </w:tc>
        <w:tc>
          <w:tcPr>
            <w:tcW w:w="3720" w:type="dxa"/>
            <w:vAlign w:val="bottom"/>
            <w:gridSpan w:val="2"/>
          </w:tcPr>
          <w:p>
            <w:pPr>
              <w:jc w:val="center"/>
              <w:ind w:left="2404"/>
              <w:spacing w:after="0"/>
              <w:rPr>
                <w:sz w:val="20"/>
                <w:szCs w:val="20"/>
                <w:color w:val="auto"/>
              </w:rPr>
            </w:pPr>
            <w:r>
              <w:rPr>
                <w:rFonts w:ascii="Times New Roman" w:cs="Times New Roman" w:eastAsia="Times New Roman" w:hAnsi="Times New Roman"/>
                <w:sz w:val="15"/>
                <w:szCs w:val="15"/>
                <w:color w:val="auto"/>
              </w:rPr>
              <w:t>5.1</w:t>
            </w:r>
          </w:p>
        </w:tc>
      </w:tr>
      <w:tr>
        <w:trPr>
          <w:trHeight w:val="307"/>
        </w:trPr>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80" w:type="dxa"/>
            <w:vAlign w:val="bottom"/>
          </w:tcPr>
          <w:p>
            <w:pPr>
              <w:jc w:val="right"/>
              <w:ind w:right="1744"/>
              <w:spacing w:after="0"/>
              <w:rPr>
                <w:sz w:val="20"/>
                <w:szCs w:val="20"/>
                <w:color w:val="auto"/>
              </w:rPr>
            </w:pPr>
            <w:r>
              <w:rPr>
                <w:rFonts w:ascii="Times New Roman" w:cs="Times New Roman" w:eastAsia="Times New Roman" w:hAnsi="Times New Roman"/>
                <w:sz w:val="15"/>
                <w:szCs w:val="15"/>
                <w:color w:val="auto"/>
              </w:rPr>
              <w:t>-4-</w:t>
            </w:r>
          </w:p>
        </w:tc>
        <w:tc>
          <w:tcPr>
            <w:tcW w:w="1240" w:type="dxa"/>
            <w:vAlign w:val="bottom"/>
          </w:tcPr>
          <w:p>
            <w:pPr>
              <w:spacing w:after="0"/>
              <w:rPr>
                <w:sz w:val="24"/>
                <w:szCs w:val="24"/>
                <w:color w:val="auto"/>
              </w:rPr>
            </w:pPr>
          </w:p>
        </w:tc>
      </w:tr>
    </w:tbl>
    <w:p>
      <w:pPr>
        <w:sectPr>
          <w:pgSz w:w="11900" w:h="16838" w:orient="portrait"/>
          <w:cols w:equalWidth="0" w:num="1">
            <w:col w:w="9260"/>
          </w:cols>
          <w:pgMar w:left="1300" w:top="246" w:right="1339" w:bottom="1440" w:gutter="0" w:footer="0" w:header="0"/>
        </w:sectPr>
      </w:pPr>
    </w:p>
    <w:bookmarkStart w:id="75" w:name="page76"/>
    <w:bookmarkEnd w:id="75"/>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93915" cy="34290"/>
                    </a:xfrm>
                    <a:prstGeom prst="rect">
                      <a:avLst/>
                    </a:prstGeom>
                    <a:noFill/>
                  </pic:spPr>
                </pic:pic>
              </a:graphicData>
            </a:graphic>
          </wp:anchor>
        </w:drawing>
        <w:t xml:space="preserve">Section 1.3 </w:t>
      </w:r>
      <w:r>
        <w:rPr>
          <w:rFonts w:ascii="Times New Roman" w:cs="Times New Roman" w:eastAsia="Times New Roman" w:hAnsi="Times New Roman"/>
          <w:sz w:val="15"/>
          <w:szCs w:val="15"/>
          <w:u w:val="single" w:color="auto"/>
          <w:color w:val="auto"/>
        </w:rPr>
        <w:t>Incorporation by Reference of Trust Indenture Act</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Whenever this Indenture refers to a provision of the TIA, the provision is incorporated by reference in and made a part of this Indenture.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TIA terms used in this Indenture have the following meanings: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Commission</w:t>
      </w:r>
      <w:r>
        <w:rPr>
          <w:rFonts w:ascii="Times New Roman" w:cs="Times New Roman" w:eastAsia="Times New Roman" w:hAnsi="Times New Roman"/>
          <w:sz w:val="15"/>
          <w:szCs w:val="15"/>
          <w:color w:val="auto"/>
        </w:rPr>
        <w:t>” means the SEC.</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indenture securities</w:t>
      </w:r>
      <w:r>
        <w:rPr>
          <w:rFonts w:ascii="Times New Roman" w:cs="Times New Roman" w:eastAsia="Times New Roman" w:hAnsi="Times New Roman"/>
          <w:sz w:val="15"/>
          <w:szCs w:val="15"/>
          <w:color w:val="auto"/>
        </w:rPr>
        <w:t>” means the Securities.</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indenture security holder</w:t>
      </w:r>
      <w:r>
        <w:rPr>
          <w:rFonts w:ascii="Times New Roman" w:cs="Times New Roman" w:eastAsia="Times New Roman" w:hAnsi="Times New Roman"/>
          <w:sz w:val="15"/>
          <w:szCs w:val="15"/>
          <w:color w:val="auto"/>
        </w:rPr>
        <w:t>” means a Securityholder.</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indenture to be qualified”</w:t>
      </w:r>
      <w:r>
        <w:rPr>
          <w:rFonts w:ascii="Times New Roman" w:cs="Times New Roman" w:eastAsia="Times New Roman" w:hAnsi="Times New Roman"/>
          <w:sz w:val="15"/>
          <w:szCs w:val="15"/>
          <w:color w:val="auto"/>
        </w:rPr>
        <w:t xml:space="preserve"> means this Indenture.</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indenture trustee</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i w:val="1"/>
          <w:iCs w:val="1"/>
          <w:color w:val="auto"/>
        </w:rPr>
        <w:t>institutional trustee</w:t>
      </w:r>
      <w:r>
        <w:rPr>
          <w:rFonts w:ascii="Times New Roman" w:cs="Times New Roman" w:eastAsia="Times New Roman" w:hAnsi="Times New Roman"/>
          <w:sz w:val="15"/>
          <w:szCs w:val="15"/>
          <w:color w:val="auto"/>
        </w:rPr>
        <w:t>” means the Trustee.</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obligor</w:t>
      </w:r>
      <w:r>
        <w:rPr>
          <w:rFonts w:ascii="Times New Roman" w:cs="Times New Roman" w:eastAsia="Times New Roman" w:hAnsi="Times New Roman"/>
          <w:sz w:val="15"/>
          <w:szCs w:val="15"/>
          <w:color w:val="auto"/>
        </w:rPr>
        <w:t>” on the indenture securities means the Company and any successor obligor upon the Securities.</w:t>
      </w:r>
    </w:p>
    <w:p>
      <w:pPr>
        <w:spacing w:after="0" w:line="196" w:lineRule="exact"/>
        <w:rPr>
          <w:sz w:val="20"/>
          <w:szCs w:val="20"/>
          <w:color w:val="auto"/>
        </w:rPr>
      </w:pPr>
    </w:p>
    <w:p>
      <w:pPr>
        <w:ind w:right="360" w:firstLine="836"/>
        <w:spacing w:after="0" w:line="287" w:lineRule="auto"/>
        <w:rPr>
          <w:sz w:val="20"/>
          <w:szCs w:val="20"/>
          <w:color w:val="auto"/>
        </w:rPr>
      </w:pPr>
      <w:r>
        <w:rPr>
          <w:rFonts w:ascii="Times New Roman" w:cs="Times New Roman" w:eastAsia="Times New Roman" w:hAnsi="Times New Roman"/>
          <w:sz w:val="15"/>
          <w:szCs w:val="15"/>
          <w:color w:val="auto"/>
        </w:rPr>
        <w:t>All other terms used in this Indenture that are defined by the TIA, defined by TIA reference to another statute or defined by SEC rule under the TIA and not otherwise defined herein are used herein as so defined.</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1.4 </w:t>
      </w:r>
      <w:r>
        <w:rPr>
          <w:rFonts w:ascii="Times New Roman" w:cs="Times New Roman" w:eastAsia="Times New Roman" w:hAnsi="Times New Roman"/>
          <w:sz w:val="15"/>
          <w:szCs w:val="15"/>
          <w:u w:val="single" w:color="auto"/>
          <w:color w:val="auto"/>
        </w:rPr>
        <w:t>Rules of Construction</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Unless the context otherwise requires:</w:t>
      </w:r>
    </w:p>
    <w:p>
      <w:pPr>
        <w:spacing w:after="0" w:line="101" w:lineRule="exact"/>
        <w:rPr>
          <w:sz w:val="20"/>
          <w:szCs w:val="20"/>
          <w:color w:val="auto"/>
        </w:rPr>
      </w:pPr>
    </w:p>
    <w:p>
      <w:pPr>
        <w:ind w:left="1420" w:hanging="212"/>
        <w:spacing w:after="0"/>
        <w:tabs>
          <w:tab w:leader="none" w:pos="14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term has the meaning assigned to it;</w:t>
      </w:r>
    </w:p>
    <w:p>
      <w:pPr>
        <w:spacing w:after="0" w:line="191"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accounting term not otherwise defined has the meaning assigned to it in accordance with GAAP;</w:t>
      </w:r>
    </w:p>
    <w:p>
      <w:pPr>
        <w:spacing w:after="0" w:line="187"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or</w:t>
      </w:r>
      <w:r>
        <w:rPr>
          <w:rFonts w:ascii="Times New Roman" w:cs="Times New Roman" w:eastAsia="Times New Roman" w:hAnsi="Times New Roman"/>
          <w:sz w:val="15"/>
          <w:szCs w:val="15"/>
          <w:color w:val="auto"/>
        </w:rPr>
        <w:t>” is not exclusive;</w:t>
      </w:r>
    </w:p>
    <w:p>
      <w:pPr>
        <w:spacing w:after="0" w:line="195"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words in the singular include the plural, and in the plural include the singular; and</w:t>
      </w:r>
    </w:p>
    <w:p>
      <w:pPr>
        <w:spacing w:after="0" w:line="191"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provisions apply to successive events and transactions.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SECURITIES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2.1 </w:t>
      </w:r>
      <w:r>
        <w:rPr>
          <w:rFonts w:ascii="Times New Roman" w:cs="Times New Roman" w:eastAsia="Times New Roman" w:hAnsi="Times New Roman"/>
          <w:sz w:val="15"/>
          <w:szCs w:val="15"/>
          <w:u w:val="single" w:color="auto"/>
          <w:color w:val="auto"/>
        </w:rPr>
        <w:t>Issuable in Series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70" w:lineRule="auto"/>
        <w:rPr>
          <w:sz w:val="20"/>
          <w:szCs w:val="20"/>
          <w:color w:val="auto"/>
        </w:rPr>
      </w:pPr>
      <w:r>
        <w:rPr>
          <w:rFonts w:ascii="Times New Roman" w:cs="Times New Roman" w:eastAsia="Times New Roman" w:hAnsi="Times New Roman"/>
          <w:sz w:val="15"/>
          <w:szCs w:val="15"/>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9280"/>
          </w:cols>
          <w:pgMar w:left="1300" w:top="250" w:right="1319" w:bottom="1440" w:gutter="0" w:footer="0" w:header="0"/>
        </w:sectPr>
      </w:pPr>
    </w:p>
    <w:bookmarkStart w:id="76" w:name="page77"/>
    <w:bookmarkEnd w:id="76"/>
    <w:p>
      <w:pPr>
        <w:ind w:right="200"/>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2.2 </w:t>
      </w:r>
      <w:r>
        <w:rPr>
          <w:rFonts w:ascii="Times New Roman" w:cs="Times New Roman" w:eastAsia="Times New Roman" w:hAnsi="Times New Roman"/>
          <w:sz w:val="15"/>
          <w:szCs w:val="15"/>
          <w:u w:val="single" w:color="auto"/>
          <w:color w:val="auto"/>
        </w:rPr>
        <w:t>Establishment of Terms of Series of Securities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200" w:firstLine="836"/>
        <w:spacing w:after="0" w:line="264" w:lineRule="auto"/>
        <w:rPr>
          <w:sz w:val="20"/>
          <w:szCs w:val="20"/>
          <w:color w:val="auto"/>
        </w:rPr>
      </w:pPr>
      <w:r>
        <w:rPr>
          <w:rFonts w:ascii="Times New Roman" w:cs="Times New Roman" w:eastAsia="Times New Roman" w:hAnsi="Times New Roman"/>
          <w:sz w:val="15"/>
          <w:szCs w:val="15"/>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60" w:lineRule="exact"/>
        <w:rPr>
          <w:sz w:val="20"/>
          <w:szCs w:val="20"/>
          <w:color w:val="auto"/>
        </w:rPr>
      </w:pPr>
    </w:p>
    <w:p>
      <w:pPr>
        <w:ind w:right="620" w:firstLine="836"/>
        <w:spacing w:after="0" w:line="287" w:lineRule="auto"/>
        <w:rPr>
          <w:sz w:val="20"/>
          <w:szCs w:val="20"/>
          <w:color w:val="auto"/>
        </w:rPr>
      </w:pPr>
      <w:r>
        <w:rPr>
          <w:rFonts w:ascii="Times New Roman" w:cs="Times New Roman" w:eastAsia="Times New Roman" w:hAnsi="Times New Roman"/>
          <w:sz w:val="15"/>
          <w:szCs w:val="15"/>
          <w:color w:val="auto"/>
        </w:rPr>
        <w:t>2.2.1. the title (which shall distinguish the Securities of that particular Series from the Securities of any other Series) and ranking (including the terms of any subordination provisions) of the Series;</w:t>
      </w:r>
    </w:p>
    <w:p>
      <w:pPr>
        <w:spacing w:after="0" w:line="13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2.2.2. the price or prices (expressed as a percentage of the principal amount thereof) at which the Securities of the Series will be issued;</w:t>
      </w:r>
    </w:p>
    <w:p>
      <w:pPr>
        <w:spacing w:after="0" w:line="192" w:lineRule="exact"/>
        <w:rPr>
          <w:sz w:val="20"/>
          <w:szCs w:val="20"/>
          <w:color w:val="auto"/>
        </w:rPr>
      </w:pPr>
    </w:p>
    <w:p>
      <w:pPr>
        <w:ind w:right="200" w:firstLine="836"/>
        <w:spacing w:after="0" w:line="270" w:lineRule="auto"/>
        <w:rPr>
          <w:sz w:val="20"/>
          <w:szCs w:val="20"/>
          <w:color w:val="auto"/>
        </w:rPr>
      </w:pPr>
      <w:r>
        <w:rPr>
          <w:rFonts w:ascii="Times New Roman" w:cs="Times New Roman" w:eastAsia="Times New Roman" w:hAnsi="Times New Roman"/>
          <w:sz w:val="15"/>
          <w:szCs w:val="15"/>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2.2.4. the date or dates on which the principal of the Securities of the Series is payable;</w:t>
      </w:r>
    </w:p>
    <w:p>
      <w:pPr>
        <w:spacing w:after="0" w:line="192" w:lineRule="exact"/>
        <w:rPr>
          <w:sz w:val="20"/>
          <w:szCs w:val="20"/>
          <w:color w:val="auto"/>
        </w:rPr>
      </w:pPr>
    </w:p>
    <w:p>
      <w:pPr>
        <w:ind w:firstLine="836"/>
        <w:spacing w:after="0" w:line="264" w:lineRule="auto"/>
        <w:rPr>
          <w:sz w:val="20"/>
          <w:szCs w:val="20"/>
          <w:color w:val="auto"/>
        </w:rPr>
      </w:pPr>
      <w:r>
        <w:rPr>
          <w:rFonts w:ascii="Times New Roman" w:cs="Times New Roman" w:eastAsia="Times New Roman" w:hAnsi="Times New Roman"/>
          <w:sz w:val="15"/>
          <w:szCs w:val="15"/>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51" w:lineRule="exact"/>
        <w:rPr>
          <w:sz w:val="20"/>
          <w:szCs w:val="20"/>
          <w:color w:val="auto"/>
        </w:rPr>
      </w:pPr>
    </w:p>
    <w:p>
      <w:pPr>
        <w:ind w:right="40" w:firstLine="836"/>
        <w:spacing w:after="0" w:line="270" w:lineRule="auto"/>
        <w:rPr>
          <w:sz w:val="20"/>
          <w:szCs w:val="20"/>
          <w:color w:val="auto"/>
        </w:rPr>
      </w:pPr>
      <w:r>
        <w:rPr>
          <w:rFonts w:ascii="Times New Roman" w:cs="Times New Roman" w:eastAsia="Times New Roman" w:hAnsi="Times New Roman"/>
          <w:sz w:val="15"/>
          <w:szCs w:val="15"/>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46" w:lineRule="exact"/>
        <w:rPr>
          <w:sz w:val="20"/>
          <w:szCs w:val="20"/>
          <w:color w:val="auto"/>
        </w:rPr>
      </w:pPr>
    </w:p>
    <w:p>
      <w:pPr>
        <w:ind w:right="20" w:firstLine="836"/>
        <w:spacing w:after="0" w:line="287" w:lineRule="auto"/>
        <w:rPr>
          <w:sz w:val="20"/>
          <w:szCs w:val="20"/>
          <w:color w:val="auto"/>
        </w:rPr>
      </w:pPr>
      <w:r>
        <w:rPr>
          <w:rFonts w:ascii="Times New Roman" w:cs="Times New Roman" w:eastAsia="Times New Roman" w:hAnsi="Times New Roman"/>
          <w:sz w:val="15"/>
          <w:szCs w:val="15"/>
          <w:color w:val="auto"/>
        </w:rPr>
        <w:t>2.2.7. if applicable, the period or periods within which, the price or prices at which and the terms and conditions upon which the Securities of the Series may be redeemed, in whole or in part, at the option of the Company;</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9280"/>
          </w:cols>
          <w:pgMar w:left="1300" w:top="250" w:right="1319" w:bottom="1440" w:gutter="0" w:footer="0" w:header="0"/>
        </w:sectPr>
      </w:pPr>
    </w:p>
    <w:bookmarkStart w:id="77" w:name="page78"/>
    <w:bookmarkEnd w:id="77"/>
    <w:p>
      <w:pPr>
        <w:ind w:right="60" w:firstLine="836"/>
        <w:spacing w:after="0" w:line="27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93915" cy="34290"/>
                    </a:xfrm>
                    <a:prstGeom prst="rect">
                      <a:avLst/>
                    </a:prstGeom>
                    <a:noFill/>
                  </pic:spPr>
                </pic:pic>
              </a:graphicData>
            </a:graphic>
          </wp:anchor>
        </w:drawing>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46" w:lineRule="exact"/>
        <w:rPr>
          <w:sz w:val="20"/>
          <w:szCs w:val="20"/>
          <w:color w:val="auto"/>
        </w:rPr>
      </w:pPr>
    </w:p>
    <w:p>
      <w:pPr>
        <w:ind w:right="180" w:firstLine="836"/>
        <w:spacing w:after="0" w:line="287" w:lineRule="auto"/>
        <w:rPr>
          <w:sz w:val="20"/>
          <w:szCs w:val="20"/>
          <w:color w:val="auto"/>
        </w:rPr>
      </w:pPr>
      <w:r>
        <w:rPr>
          <w:rFonts w:ascii="Times New Roman" w:cs="Times New Roman" w:eastAsia="Times New Roman" w:hAnsi="Times New Roman"/>
          <w:sz w:val="15"/>
          <w:szCs w:val="15"/>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34" w:lineRule="exact"/>
        <w:rPr>
          <w:sz w:val="20"/>
          <w:szCs w:val="20"/>
          <w:color w:val="auto"/>
        </w:rPr>
      </w:pPr>
    </w:p>
    <w:p>
      <w:pPr>
        <w:ind w:right="200" w:firstLine="836"/>
        <w:spacing w:after="0" w:line="287" w:lineRule="auto"/>
        <w:rPr>
          <w:sz w:val="20"/>
          <w:szCs w:val="20"/>
          <w:color w:val="auto"/>
        </w:rPr>
      </w:pPr>
      <w:r>
        <w:rPr>
          <w:rFonts w:ascii="Times New Roman" w:cs="Times New Roman" w:eastAsia="Times New Roman" w:hAnsi="Times New Roman"/>
          <w:sz w:val="15"/>
          <w:szCs w:val="15"/>
          <w:color w:val="auto"/>
        </w:rPr>
        <w:t>2.2.10. if other than denominations of $1,000 and any integral multiple thereof, the denominations in which the Securities of the Series shall be issuable;</w:t>
      </w:r>
    </w:p>
    <w:p>
      <w:pPr>
        <w:spacing w:after="0" w:line="13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2.2.11. the forms of the Securities of the Series and whether the Securities will be issuable as Global Securities;</w:t>
      </w:r>
    </w:p>
    <w:p>
      <w:pPr>
        <w:spacing w:after="0" w:line="192" w:lineRule="exact"/>
        <w:rPr>
          <w:sz w:val="20"/>
          <w:szCs w:val="20"/>
          <w:color w:val="auto"/>
        </w:rPr>
      </w:pPr>
    </w:p>
    <w:p>
      <w:pPr>
        <w:jc w:val="both"/>
        <w:ind w:right="140" w:firstLine="836"/>
        <w:spacing w:after="0" w:line="287" w:lineRule="auto"/>
        <w:rPr>
          <w:sz w:val="20"/>
          <w:szCs w:val="20"/>
          <w:color w:val="auto"/>
        </w:rPr>
      </w:pPr>
      <w:r>
        <w:rPr>
          <w:rFonts w:ascii="Times New Roman" w:cs="Times New Roman" w:eastAsia="Times New Roman" w:hAnsi="Times New Roman"/>
          <w:sz w:val="15"/>
          <w:szCs w:val="15"/>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34" w:lineRule="exact"/>
        <w:rPr>
          <w:sz w:val="20"/>
          <w:szCs w:val="20"/>
          <w:color w:val="auto"/>
        </w:rPr>
      </w:pPr>
    </w:p>
    <w:p>
      <w:pPr>
        <w:ind w:right="80" w:firstLine="836"/>
        <w:spacing w:after="0" w:line="287" w:lineRule="auto"/>
        <w:rPr>
          <w:sz w:val="20"/>
          <w:szCs w:val="20"/>
          <w:color w:val="auto"/>
        </w:rPr>
      </w:pPr>
      <w:r>
        <w:rPr>
          <w:rFonts w:ascii="Times New Roman" w:cs="Times New Roman" w:eastAsia="Times New Roman" w:hAnsi="Times New Roman"/>
          <w:sz w:val="15"/>
          <w:szCs w:val="15"/>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34" w:lineRule="exact"/>
        <w:rPr>
          <w:sz w:val="20"/>
          <w:szCs w:val="20"/>
          <w:color w:val="auto"/>
        </w:rPr>
      </w:pPr>
    </w:p>
    <w:p>
      <w:pPr>
        <w:ind w:right="440" w:firstLine="836"/>
        <w:spacing w:after="0" w:line="287" w:lineRule="auto"/>
        <w:rPr>
          <w:sz w:val="20"/>
          <w:szCs w:val="20"/>
          <w:color w:val="auto"/>
        </w:rPr>
      </w:pPr>
      <w:r>
        <w:rPr>
          <w:rFonts w:ascii="Times New Roman" w:cs="Times New Roman" w:eastAsia="Times New Roman" w:hAnsi="Times New Roman"/>
          <w:sz w:val="15"/>
          <w:szCs w:val="15"/>
          <w:color w:val="auto"/>
        </w:rPr>
        <w:t>2.2.14. the designation of the currency, currencies or currency units in which payment of the principal of and interest, if any, on the Securities of the Series will be made;</w:t>
      </w:r>
    </w:p>
    <w:p>
      <w:pPr>
        <w:spacing w:after="0" w:line="134" w:lineRule="exact"/>
        <w:rPr>
          <w:sz w:val="20"/>
          <w:szCs w:val="20"/>
          <w:color w:val="auto"/>
        </w:rPr>
      </w:pPr>
    </w:p>
    <w:p>
      <w:pPr>
        <w:jc w:val="both"/>
        <w:ind w:right="120" w:firstLine="836"/>
        <w:spacing w:after="0" w:line="270" w:lineRule="auto"/>
        <w:rPr>
          <w:sz w:val="20"/>
          <w:szCs w:val="20"/>
          <w:color w:val="auto"/>
        </w:rPr>
      </w:pPr>
      <w:r>
        <w:rPr>
          <w:rFonts w:ascii="Times New Roman" w:cs="Times New Roman" w:eastAsia="Times New Roman" w:hAnsi="Times New Roman"/>
          <w:sz w:val="15"/>
          <w:szCs w:val="15"/>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46" w:lineRule="exact"/>
        <w:rPr>
          <w:sz w:val="20"/>
          <w:szCs w:val="20"/>
          <w:color w:val="auto"/>
        </w:rPr>
      </w:pPr>
    </w:p>
    <w:p>
      <w:pPr>
        <w:ind w:firstLine="836"/>
        <w:spacing w:after="0" w:line="270" w:lineRule="auto"/>
        <w:rPr>
          <w:sz w:val="20"/>
          <w:szCs w:val="20"/>
          <w:color w:val="auto"/>
        </w:rPr>
      </w:pPr>
      <w:r>
        <w:rPr>
          <w:rFonts w:ascii="Times New Roman" w:cs="Times New Roman" w:eastAsia="Times New Roman" w:hAnsi="Times New Roman"/>
          <w:sz w:val="15"/>
          <w:szCs w:val="15"/>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2.2.17. the provisions, if any, relating to any security provided for the Securities of the Series;</w:t>
      </w:r>
    </w:p>
    <w:p>
      <w:pPr>
        <w:spacing w:after="0" w:line="192" w:lineRule="exact"/>
        <w:rPr>
          <w:sz w:val="20"/>
          <w:szCs w:val="20"/>
          <w:color w:val="auto"/>
        </w:rPr>
      </w:pPr>
    </w:p>
    <w:p>
      <w:pPr>
        <w:ind w:right="80" w:firstLine="836"/>
        <w:spacing w:after="0" w:line="287" w:lineRule="auto"/>
        <w:rPr>
          <w:sz w:val="20"/>
          <w:szCs w:val="20"/>
          <w:color w:val="auto"/>
        </w:rPr>
      </w:pPr>
      <w:r>
        <w:rPr>
          <w:rFonts w:ascii="Times New Roman" w:cs="Times New Roman" w:eastAsia="Times New Roman" w:hAnsi="Times New Roman"/>
          <w:sz w:val="15"/>
          <w:szCs w:val="15"/>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34" w:lineRule="exact"/>
        <w:rPr>
          <w:sz w:val="20"/>
          <w:szCs w:val="20"/>
          <w:color w:val="auto"/>
        </w:rPr>
      </w:pPr>
    </w:p>
    <w:p>
      <w:pPr>
        <w:jc w:val="center"/>
        <w:ind w:left="1740" w:right="400"/>
        <w:spacing w:after="0" w:line="461" w:lineRule="auto"/>
        <w:rPr>
          <w:sz w:val="20"/>
          <w:szCs w:val="20"/>
          <w:color w:val="auto"/>
        </w:rPr>
      </w:pPr>
      <w:r>
        <w:rPr>
          <w:rFonts w:ascii="Times New Roman" w:cs="Times New Roman" w:eastAsia="Times New Roman" w:hAnsi="Times New Roman"/>
          <w:sz w:val="15"/>
          <w:szCs w:val="15"/>
          <w:color w:val="auto"/>
        </w:rPr>
        <w:t>2.2.19. any addition to, deletion of or change in the covenants set forth in Articles IV or V which applies to Securities of the Series; -7-</w:t>
      </w:r>
    </w:p>
    <w:p>
      <w:pPr>
        <w:sectPr>
          <w:pgSz w:w="11900" w:h="16838" w:orient="portrait"/>
          <w:cols w:equalWidth="0" w:num="1">
            <w:col w:w="9220"/>
          </w:cols>
          <w:pgMar w:left="1300" w:top="250" w:right="1379" w:bottom="1440" w:gutter="0" w:footer="0" w:header="0"/>
        </w:sectPr>
      </w:pPr>
    </w:p>
    <w:bookmarkStart w:id="78" w:name="page79"/>
    <w:bookmarkEnd w:id="78"/>
    <w:p>
      <w:pPr>
        <w:ind w:right="120" w:firstLine="836"/>
        <w:spacing w:after="0" w:line="28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93915" cy="34290"/>
                    </a:xfrm>
                    <a:prstGeom prst="rect">
                      <a:avLst/>
                    </a:prstGeom>
                    <a:noFill/>
                  </pic:spPr>
                </pic:pic>
              </a:graphicData>
            </a:graphic>
          </wp:anchor>
        </w:drawing>
        <w:t>2.2.20. any Depositaries, interest rate calculation agents, exchange rate calculation agents, conversion agents or other agents with respect to Securities of such Series if other than those appointed herein;</w:t>
      </w:r>
    </w:p>
    <w:p>
      <w:pPr>
        <w:spacing w:after="0" w:line="134" w:lineRule="exact"/>
        <w:rPr>
          <w:sz w:val="20"/>
          <w:szCs w:val="20"/>
          <w:color w:val="auto"/>
        </w:rPr>
      </w:pPr>
    </w:p>
    <w:p>
      <w:pPr>
        <w:ind w:firstLine="836"/>
        <w:spacing w:after="0" w:line="264" w:lineRule="auto"/>
        <w:rPr>
          <w:sz w:val="20"/>
          <w:szCs w:val="20"/>
          <w:color w:val="auto"/>
        </w:rPr>
      </w:pPr>
      <w:r>
        <w:rPr>
          <w:rFonts w:ascii="Times New Roman" w:cs="Times New Roman" w:eastAsia="Times New Roman" w:hAnsi="Times New Roman"/>
          <w:sz w:val="15"/>
          <w:szCs w:val="15"/>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51" w:lineRule="exact"/>
        <w:rPr>
          <w:sz w:val="20"/>
          <w:szCs w:val="20"/>
          <w:color w:val="auto"/>
        </w:rPr>
      </w:pPr>
    </w:p>
    <w:p>
      <w:pPr>
        <w:jc w:val="both"/>
        <w:ind w:right="40" w:firstLine="836"/>
        <w:spacing w:after="0" w:line="270" w:lineRule="auto"/>
        <w:rPr>
          <w:sz w:val="20"/>
          <w:szCs w:val="20"/>
          <w:color w:val="auto"/>
        </w:rPr>
      </w:pPr>
      <w:r>
        <w:rPr>
          <w:rFonts w:ascii="Times New Roman" w:cs="Times New Roman" w:eastAsia="Times New Roman" w:hAnsi="Times New Roman"/>
          <w:sz w:val="15"/>
          <w:szCs w:val="15"/>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46" w:lineRule="exact"/>
        <w:rPr>
          <w:sz w:val="20"/>
          <w:szCs w:val="20"/>
          <w:color w:val="auto"/>
        </w:rPr>
      </w:pPr>
    </w:p>
    <w:p>
      <w:pPr>
        <w:ind w:right="260" w:firstLine="836"/>
        <w:spacing w:after="0" w:line="287" w:lineRule="auto"/>
        <w:rPr>
          <w:sz w:val="20"/>
          <w:szCs w:val="20"/>
          <w:color w:val="auto"/>
        </w:rPr>
      </w:pPr>
      <w:r>
        <w:rPr>
          <w:rFonts w:ascii="Times New Roman" w:cs="Times New Roman" w:eastAsia="Times New Roman" w:hAnsi="Times New Roman"/>
          <w:sz w:val="15"/>
          <w:szCs w:val="15"/>
          <w:color w:val="auto"/>
        </w:rPr>
        <w:t>2.2.23. whether any of the Company’s direct or indirect Subsidiaries will guarantee the Securities of that Series, including the terms of subordination, if any, of such guarantees.</w:t>
      </w:r>
    </w:p>
    <w:p>
      <w:pPr>
        <w:spacing w:after="0" w:line="134" w:lineRule="exact"/>
        <w:rPr>
          <w:sz w:val="20"/>
          <w:szCs w:val="20"/>
          <w:color w:val="auto"/>
        </w:rPr>
      </w:pPr>
    </w:p>
    <w:p>
      <w:pPr>
        <w:ind w:right="60" w:firstLine="836"/>
        <w:spacing w:after="0" w:line="264" w:lineRule="auto"/>
        <w:rPr>
          <w:sz w:val="20"/>
          <w:szCs w:val="20"/>
          <w:color w:val="auto"/>
        </w:rPr>
      </w:pPr>
      <w:r>
        <w:rPr>
          <w:rFonts w:ascii="Times New Roman" w:cs="Times New Roman" w:eastAsia="Times New Roman" w:hAnsi="Times New Roman"/>
          <w:sz w:val="15"/>
          <w:szCs w:val="15"/>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No Board Resolution, supplemental indenture hereto or Officer’s Certificate may affect the Trustee’s own rights, duties or immunities under this Indenture or otherwise with respect to any Series of Securities except as the Trustee may agree in writing.</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2.3 </w:t>
      </w:r>
      <w:r>
        <w:rPr>
          <w:rFonts w:ascii="Times New Roman" w:cs="Times New Roman" w:eastAsia="Times New Roman" w:hAnsi="Times New Roman"/>
          <w:sz w:val="15"/>
          <w:szCs w:val="15"/>
          <w:u w:val="single" w:color="auto"/>
          <w:color w:val="auto"/>
        </w:rPr>
        <w:t>Execution and Authentication</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An Officer shall sign the Securities for the Company by manual or facsimile signature.</w:t>
      </w:r>
    </w:p>
    <w:p>
      <w:pPr>
        <w:spacing w:after="0" w:line="192" w:lineRule="exact"/>
        <w:rPr>
          <w:sz w:val="20"/>
          <w:szCs w:val="20"/>
          <w:color w:val="auto"/>
        </w:rPr>
      </w:pPr>
    </w:p>
    <w:p>
      <w:pPr>
        <w:ind w:right="480" w:firstLine="836"/>
        <w:spacing w:after="0" w:line="287" w:lineRule="auto"/>
        <w:rPr>
          <w:sz w:val="20"/>
          <w:szCs w:val="20"/>
          <w:color w:val="auto"/>
        </w:rPr>
      </w:pPr>
      <w:r>
        <w:rPr>
          <w:rFonts w:ascii="Times New Roman" w:cs="Times New Roman" w:eastAsia="Times New Roman" w:hAnsi="Times New Roman"/>
          <w:sz w:val="15"/>
          <w:szCs w:val="15"/>
          <w:color w:val="auto"/>
        </w:rPr>
        <w:t>If an Officer whose signature is on a Security no longer holds that office at the time the Security is authenticated, the Security shall nevertheless be valid.</w:t>
      </w:r>
    </w:p>
    <w:p>
      <w:pPr>
        <w:spacing w:after="0" w:line="134" w:lineRule="exact"/>
        <w:rPr>
          <w:sz w:val="20"/>
          <w:szCs w:val="20"/>
          <w:color w:val="auto"/>
        </w:rPr>
      </w:pPr>
    </w:p>
    <w:p>
      <w:pPr>
        <w:ind w:right="140" w:firstLine="836"/>
        <w:spacing w:after="0" w:line="287" w:lineRule="auto"/>
        <w:rPr>
          <w:sz w:val="20"/>
          <w:szCs w:val="20"/>
          <w:color w:val="auto"/>
        </w:rPr>
      </w:pPr>
      <w:r>
        <w:rPr>
          <w:rFonts w:ascii="Times New Roman" w:cs="Times New Roman" w:eastAsia="Times New Roman" w:hAnsi="Times New Roman"/>
          <w:sz w:val="15"/>
          <w:szCs w:val="15"/>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34" w:lineRule="exact"/>
        <w:rPr>
          <w:sz w:val="20"/>
          <w:szCs w:val="20"/>
          <w:color w:val="auto"/>
        </w:rPr>
      </w:pPr>
    </w:p>
    <w:p>
      <w:pPr>
        <w:ind w:right="60" w:firstLine="836"/>
        <w:spacing w:after="0" w:line="270" w:lineRule="auto"/>
        <w:rPr>
          <w:sz w:val="20"/>
          <w:szCs w:val="20"/>
          <w:color w:val="auto"/>
        </w:rPr>
      </w:pPr>
      <w:r>
        <w:rPr>
          <w:rFonts w:ascii="Times New Roman" w:cs="Times New Roman" w:eastAsia="Times New Roman" w:hAnsi="Times New Roman"/>
          <w:sz w:val="15"/>
          <w:szCs w:val="15"/>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46" w:lineRule="exact"/>
        <w:rPr>
          <w:sz w:val="20"/>
          <w:szCs w:val="20"/>
          <w:color w:val="auto"/>
        </w:rPr>
      </w:pPr>
    </w:p>
    <w:p>
      <w:pPr>
        <w:jc w:val="both"/>
        <w:ind w:firstLine="836"/>
        <w:spacing w:after="0" w:line="270" w:lineRule="auto"/>
        <w:rPr>
          <w:sz w:val="20"/>
          <w:szCs w:val="20"/>
          <w:color w:val="auto"/>
        </w:rPr>
      </w:pPr>
      <w:r>
        <w:rPr>
          <w:rFonts w:ascii="Times New Roman" w:cs="Times New Roman" w:eastAsia="Times New Roman" w:hAnsi="Times New Roman"/>
          <w:sz w:val="15"/>
          <w:szCs w:val="15"/>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9260"/>
          </w:cols>
          <w:pgMar w:left="1300" w:top="250" w:right="1339" w:bottom="1440" w:gutter="0" w:footer="0" w:header="0"/>
        </w:sectPr>
      </w:pPr>
    </w:p>
    <w:bookmarkStart w:id="79" w:name="page80"/>
    <w:bookmarkEnd w:id="79"/>
    <w:p>
      <w:pPr>
        <w:ind w:left="8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93915" cy="34290"/>
                    </a:xfrm>
                    <a:prstGeom prst="rect">
                      <a:avLst/>
                    </a:prstGeom>
                    <a:noFill/>
                  </pic:spPr>
                </pic:pic>
              </a:graphicData>
            </a:graphic>
          </wp:anchor>
        </w:drawing>
        <w:t>Prior to the issuance of Securities of any Series, the Trustee shall have received and (subject to Section 7.2) shall be fully protected in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relying on: (a) the Board Resolution, supplemental indenture hereto or Officer’s Certificate establishing the form of the Securities of that Series or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Securities within that Series and the terms of the Securities of that Series or of Securities within that Series, (b) an Officer’s Certificate complying with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10.4, (c) an Opinion of Counsel complying with Section 10.4 and (d) an Opinion of Counsel (which may be the same Opinion of Counsel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referred to in the preceding clause (c)) that such Securities, when they have been duly executed, issued, and authenticated in accordance with the terms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 the Indenture and delivered against payment therefor in the circumstances described in such Opinion of Counsel, will be legally valid and binding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obligations of the Company, enforceable against the Company in accordance with their terms.</w:t>
      </w:r>
    </w:p>
    <w:p>
      <w:pPr>
        <w:spacing w:after="0" w:line="177" w:lineRule="exact"/>
        <w:rPr>
          <w:sz w:val="20"/>
          <w:szCs w:val="20"/>
          <w:color w:val="auto"/>
        </w:rPr>
      </w:pPr>
    </w:p>
    <w:p>
      <w:pPr>
        <w:jc w:val="both"/>
        <w:ind w:right="280" w:firstLine="836"/>
        <w:spacing w:after="0" w:line="270" w:lineRule="auto"/>
        <w:rPr>
          <w:sz w:val="20"/>
          <w:szCs w:val="20"/>
          <w:color w:val="auto"/>
        </w:rPr>
      </w:pPr>
      <w:r>
        <w:rPr>
          <w:rFonts w:ascii="Times New Roman" w:cs="Times New Roman" w:eastAsia="Times New Roman" w:hAnsi="Times New Roman"/>
          <w:sz w:val="15"/>
          <w:szCs w:val="15"/>
          <w:color w:val="auto"/>
        </w:rPr>
        <w:t>The Trustee shall have the right to decline to authenticate and deliver any Securities of such Series: (a) if the Trustee, being advised by counsel, determines that such action may not be taken lawfully; or (b) if the Trustee in good faith shall determine that such action would expose the Trustee to personal liability to Holders of any then-outstanding Series of Securities.</w:t>
      </w:r>
    </w:p>
    <w:p>
      <w:pPr>
        <w:spacing w:after="0" w:line="146" w:lineRule="exact"/>
        <w:rPr>
          <w:sz w:val="20"/>
          <w:szCs w:val="20"/>
          <w:color w:val="auto"/>
        </w:rPr>
      </w:pPr>
    </w:p>
    <w:p>
      <w:pPr>
        <w:ind w:firstLine="836"/>
        <w:spacing w:after="0" w:line="270" w:lineRule="auto"/>
        <w:rPr>
          <w:sz w:val="20"/>
          <w:szCs w:val="20"/>
          <w:color w:val="auto"/>
        </w:rPr>
      </w:pPr>
      <w:r>
        <w:rPr>
          <w:rFonts w:ascii="Times New Roman" w:cs="Times New Roman" w:eastAsia="Times New Roman" w:hAnsi="Times New Roman"/>
          <w:sz w:val="15"/>
          <w:szCs w:val="15"/>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2.4 </w:t>
      </w:r>
      <w:r>
        <w:rPr>
          <w:rFonts w:ascii="Times New Roman" w:cs="Times New Roman" w:eastAsia="Times New Roman" w:hAnsi="Times New Roman"/>
          <w:sz w:val="15"/>
          <w:szCs w:val="15"/>
          <w:u w:val="single" w:color="auto"/>
          <w:color w:val="auto"/>
        </w:rPr>
        <w:t>Registrar and Paying Agent</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20" w:firstLine="836"/>
        <w:spacing w:after="0" w:line="257" w:lineRule="auto"/>
        <w:rPr>
          <w:sz w:val="20"/>
          <w:szCs w:val="20"/>
          <w:color w:val="auto"/>
        </w:rPr>
      </w:pPr>
      <w:r>
        <w:rPr>
          <w:rFonts w:ascii="Times New Roman" w:cs="Times New Roman" w:eastAsia="Times New Roman" w:hAnsi="Times New Roman"/>
          <w:sz w:val="15"/>
          <w:szCs w:val="15"/>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cs="Times New Roman" w:eastAsia="Times New Roman" w:hAnsi="Times New Roman"/>
          <w:sz w:val="15"/>
          <w:szCs w:val="15"/>
          <w:i w:val="1"/>
          <w:iCs w:val="1"/>
          <w:color w:val="auto"/>
        </w:rPr>
        <w:t>Paying Agent</w:t>
      </w:r>
      <w:r>
        <w:rPr>
          <w:rFonts w:ascii="Times New Roman" w:cs="Times New Roman" w:eastAsia="Times New Roman" w:hAnsi="Times New Roman"/>
          <w:sz w:val="15"/>
          <w:szCs w:val="15"/>
          <w:color w:val="auto"/>
        </w:rPr>
        <w:t>”), where Securities of such Series may be surrendered for registration of transfer or exchange (“</w:t>
      </w:r>
      <w:r>
        <w:rPr>
          <w:rFonts w:ascii="Times New Roman" w:cs="Times New Roman" w:eastAsia="Times New Roman" w:hAnsi="Times New Roman"/>
          <w:sz w:val="15"/>
          <w:szCs w:val="15"/>
          <w:i w:val="1"/>
          <w:iCs w:val="1"/>
          <w:color w:val="auto"/>
        </w:rPr>
        <w:t>Registrar</w:t>
      </w:r>
      <w:r>
        <w:rPr>
          <w:rFonts w:ascii="Times New Roman" w:cs="Times New Roman" w:eastAsia="Times New Roman" w:hAnsi="Times New Roman"/>
          <w:sz w:val="15"/>
          <w:szCs w:val="15"/>
          <w:color w:val="auto"/>
        </w:rPr>
        <w:t>”) and where notices and demands to or upon the Company in respect of the Securities of such Series and this Indenture may be delivered (“</w:t>
      </w:r>
      <w:r>
        <w:rPr>
          <w:rFonts w:ascii="Times New Roman" w:cs="Times New Roman" w:eastAsia="Times New Roman" w:hAnsi="Times New Roman"/>
          <w:sz w:val="15"/>
          <w:szCs w:val="15"/>
          <w:i w:val="1"/>
          <w:iCs w:val="1"/>
          <w:color w:val="auto"/>
        </w:rPr>
        <w:t>Notice Agent</w:t>
      </w:r>
      <w:r>
        <w:rPr>
          <w:rFonts w:ascii="Times New Roman" w:cs="Times New Roman" w:eastAsia="Times New Roman" w:hAnsi="Times New Roman"/>
          <w:sz w:val="15"/>
          <w:szCs w:val="15"/>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any appointment of the Trustee as the Notice Agent shall exclude the appointment of the Trustee or any office of the Trustee as an agent to receive the service of legal process on the Company.</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9280"/>
          </w:cols>
          <w:pgMar w:left="1300" w:top="250" w:right="1319" w:bottom="1440" w:gutter="0" w:footer="0" w:header="0"/>
        </w:sectPr>
      </w:pPr>
    </w:p>
    <w:bookmarkStart w:id="80" w:name="page81"/>
    <w:bookmarkEnd w:id="80"/>
    <w:p>
      <w:pPr>
        <w:ind w:right="60" w:firstLine="836"/>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93915" cy="34290"/>
                    </a:xfrm>
                    <a:prstGeom prst="rect">
                      <a:avLst/>
                    </a:prstGeom>
                    <a:noFill/>
                  </pic:spPr>
                </pic:pic>
              </a:graphicData>
            </a:graphic>
          </wp:anchor>
        </w:drawing>
        <w:t xml:space="preserve">The Company may also from time to time designate one or more co-registrars, additional paying agents or additional notice agents and may from time to time rescind such designations;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cs="Times New Roman" w:eastAsia="Times New Roman" w:hAnsi="Times New Roman"/>
          <w:sz w:val="15"/>
          <w:szCs w:val="15"/>
          <w:i w:val="1"/>
          <w:iCs w:val="1"/>
          <w:color w:val="auto"/>
        </w:rPr>
        <w:t>Registrar</w:t>
      </w:r>
      <w:r>
        <w:rPr>
          <w:rFonts w:ascii="Times New Roman" w:cs="Times New Roman" w:eastAsia="Times New Roman" w:hAnsi="Times New Roman"/>
          <w:sz w:val="15"/>
          <w:szCs w:val="15"/>
          <w:color w:val="auto"/>
        </w:rPr>
        <w:t>” includes any co-registrar; the term “</w:t>
      </w:r>
      <w:r>
        <w:rPr>
          <w:rFonts w:ascii="Times New Roman" w:cs="Times New Roman" w:eastAsia="Times New Roman" w:hAnsi="Times New Roman"/>
          <w:sz w:val="15"/>
          <w:szCs w:val="15"/>
          <w:i w:val="1"/>
          <w:iCs w:val="1"/>
          <w:color w:val="auto"/>
        </w:rPr>
        <w:t>Paying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Agent</w:t>
      </w:r>
      <w:r>
        <w:rPr>
          <w:rFonts w:ascii="Times New Roman" w:cs="Times New Roman" w:eastAsia="Times New Roman" w:hAnsi="Times New Roman"/>
          <w:sz w:val="15"/>
          <w:szCs w:val="15"/>
          <w:color w:val="auto"/>
        </w:rPr>
        <w:t>” includes any additional paying agent; and the term “</w:t>
      </w:r>
      <w:r>
        <w:rPr>
          <w:rFonts w:ascii="Times New Roman" w:cs="Times New Roman" w:eastAsia="Times New Roman" w:hAnsi="Times New Roman"/>
          <w:sz w:val="15"/>
          <w:szCs w:val="15"/>
          <w:i w:val="1"/>
          <w:iCs w:val="1"/>
          <w:color w:val="auto"/>
        </w:rPr>
        <w:t>Notice Agent</w:t>
      </w:r>
      <w:r>
        <w:rPr>
          <w:rFonts w:ascii="Times New Roman" w:cs="Times New Roman" w:eastAsia="Times New Roman" w:hAnsi="Times New Roman"/>
          <w:sz w:val="15"/>
          <w:szCs w:val="15"/>
          <w:color w:val="auto"/>
        </w:rPr>
        <w:t>” includes any additional notice agent. The Company or any of its Affiliates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may serve as Registrar or Paying Agent.</w:t>
      </w:r>
    </w:p>
    <w:p>
      <w:pPr>
        <w:spacing w:after="0" w:line="154" w:lineRule="exact"/>
        <w:rPr>
          <w:sz w:val="20"/>
          <w:szCs w:val="20"/>
          <w:color w:val="auto"/>
        </w:rPr>
      </w:pPr>
    </w:p>
    <w:p>
      <w:pPr>
        <w:ind w:right="180" w:firstLine="836"/>
        <w:spacing w:after="0" w:line="287" w:lineRule="auto"/>
        <w:rPr>
          <w:sz w:val="20"/>
          <w:szCs w:val="20"/>
          <w:color w:val="auto"/>
        </w:rPr>
      </w:pPr>
      <w:r>
        <w:rPr>
          <w:rFonts w:ascii="Times New Roman" w:cs="Times New Roman" w:eastAsia="Times New Roman" w:hAnsi="Times New Roman"/>
          <w:sz w:val="15"/>
          <w:szCs w:val="15"/>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2.5 </w:t>
      </w:r>
      <w:r>
        <w:rPr>
          <w:rFonts w:ascii="Times New Roman" w:cs="Times New Roman" w:eastAsia="Times New Roman" w:hAnsi="Times New Roman"/>
          <w:sz w:val="15"/>
          <w:szCs w:val="15"/>
          <w:u w:val="single" w:color="auto"/>
          <w:color w:val="auto"/>
        </w:rPr>
        <w:t>Paying Agent to Hold Money in Trust</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58" w:lineRule="auto"/>
        <w:rPr>
          <w:sz w:val="20"/>
          <w:szCs w:val="20"/>
          <w:color w:val="auto"/>
        </w:rPr>
      </w:pPr>
      <w:r>
        <w:rPr>
          <w:rFonts w:ascii="Times New Roman" w:cs="Times New Roman" w:eastAsia="Times New Roman" w:hAnsi="Times New Roman"/>
          <w:sz w:val="15"/>
          <w:szCs w:val="15"/>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2.6 </w:t>
      </w:r>
      <w:r>
        <w:rPr>
          <w:rFonts w:ascii="Times New Roman" w:cs="Times New Roman" w:eastAsia="Times New Roman" w:hAnsi="Times New Roman"/>
          <w:sz w:val="15"/>
          <w:szCs w:val="15"/>
          <w:u w:val="single" w:color="auto"/>
          <w:color w:val="auto"/>
        </w:rPr>
        <w:t>Securityholder Lists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jc w:val="both"/>
        <w:ind w:right="20" w:firstLine="836"/>
        <w:spacing w:after="0" w:line="264" w:lineRule="auto"/>
        <w:rPr>
          <w:sz w:val="20"/>
          <w:szCs w:val="20"/>
          <w:color w:val="auto"/>
        </w:rPr>
      </w:pPr>
      <w:r>
        <w:rPr>
          <w:rFonts w:ascii="Times New Roman" w:cs="Times New Roman" w:eastAsia="Times New Roman" w:hAnsi="Times New Roman"/>
          <w:sz w:val="15"/>
          <w:szCs w:val="15"/>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2.7 </w:t>
      </w:r>
      <w:r>
        <w:rPr>
          <w:rFonts w:ascii="Times New Roman" w:cs="Times New Roman" w:eastAsia="Times New Roman" w:hAnsi="Times New Roman"/>
          <w:sz w:val="15"/>
          <w:szCs w:val="15"/>
          <w:u w:val="single" w:color="auto"/>
          <w:color w:val="auto"/>
        </w:rPr>
        <w:t>Transfer and Exchange</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60" w:lineRule="auto"/>
        <w:rPr>
          <w:sz w:val="20"/>
          <w:szCs w:val="20"/>
          <w:color w:val="auto"/>
        </w:rPr>
      </w:pPr>
      <w:r>
        <w:rPr>
          <w:rFonts w:ascii="Times New Roman" w:cs="Times New Roman" w:eastAsia="Times New Roman" w:hAnsi="Times New Roman"/>
          <w:sz w:val="15"/>
          <w:szCs w:val="15"/>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9280"/>
          </w:cols>
          <w:pgMar w:left="1300" w:top="250" w:right="1319" w:bottom="1440" w:gutter="0" w:footer="0" w:header="0"/>
        </w:sectPr>
      </w:pPr>
    </w:p>
    <w:bookmarkStart w:id="81" w:name="page82"/>
    <w:bookmarkEnd w:id="81"/>
    <w:p>
      <w:pPr>
        <w:ind w:right="20" w:firstLine="836"/>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93915" cy="34290"/>
                    </a:xfrm>
                    <a:prstGeom prst="rect">
                      <a:avLst/>
                    </a:prstGeom>
                    <a:noFill/>
                  </pic:spPr>
                </pic:pic>
              </a:graphicData>
            </a:graphic>
          </wp:anchor>
        </w:drawing>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2.8 </w:t>
      </w:r>
      <w:r>
        <w:rPr>
          <w:rFonts w:ascii="Times New Roman" w:cs="Times New Roman" w:eastAsia="Times New Roman" w:hAnsi="Times New Roman"/>
          <w:sz w:val="15"/>
          <w:szCs w:val="15"/>
          <w:u w:val="single" w:color="auto"/>
          <w:color w:val="auto"/>
        </w:rPr>
        <w:t>Mutilated, Destroyed, Lost and Stolen Securities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140" w:firstLine="836"/>
        <w:spacing w:after="0" w:line="287" w:lineRule="auto"/>
        <w:rPr>
          <w:sz w:val="20"/>
          <w:szCs w:val="20"/>
          <w:color w:val="auto"/>
        </w:rPr>
      </w:pPr>
      <w:r>
        <w:rPr>
          <w:rFonts w:ascii="Times New Roman" w:cs="Times New Roman" w:eastAsia="Times New Roman" w:hAnsi="Times New Roman"/>
          <w:sz w:val="15"/>
          <w:szCs w:val="15"/>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34" w:lineRule="exact"/>
        <w:rPr>
          <w:sz w:val="20"/>
          <w:szCs w:val="20"/>
          <w:color w:val="auto"/>
        </w:rPr>
      </w:pPr>
    </w:p>
    <w:p>
      <w:pPr>
        <w:ind w:firstLine="836"/>
        <w:spacing w:after="0" w:line="261" w:lineRule="auto"/>
        <w:rPr>
          <w:sz w:val="20"/>
          <w:szCs w:val="20"/>
          <w:color w:val="auto"/>
        </w:rPr>
      </w:pPr>
      <w:r>
        <w:rPr>
          <w:rFonts w:ascii="Times New Roman" w:cs="Times New Roman" w:eastAsia="Times New Roman" w:hAnsi="Times New Roman"/>
          <w:sz w:val="15"/>
          <w:szCs w:val="15"/>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55" w:lineRule="exact"/>
        <w:rPr>
          <w:sz w:val="20"/>
          <w:szCs w:val="20"/>
          <w:color w:val="auto"/>
        </w:rPr>
      </w:pPr>
    </w:p>
    <w:p>
      <w:pPr>
        <w:ind w:right="420" w:firstLine="836"/>
        <w:spacing w:after="0" w:line="287" w:lineRule="auto"/>
        <w:rPr>
          <w:sz w:val="20"/>
          <w:szCs w:val="20"/>
          <w:color w:val="auto"/>
        </w:rPr>
      </w:pPr>
      <w:r>
        <w:rPr>
          <w:rFonts w:ascii="Times New Roman" w:cs="Times New Roman" w:eastAsia="Times New Roman" w:hAnsi="Times New Roman"/>
          <w:sz w:val="15"/>
          <w:szCs w:val="15"/>
          <w:color w:val="auto"/>
        </w:rPr>
        <w:t>In case any such mutilated, destroyed, lost or stolen Security has become or is about to become due and payable, the Company in its discretion may, instead of issuing a new Security, pay such Security.</w:t>
      </w:r>
    </w:p>
    <w:p>
      <w:pPr>
        <w:spacing w:after="0" w:line="134" w:lineRule="exact"/>
        <w:rPr>
          <w:sz w:val="20"/>
          <w:szCs w:val="20"/>
          <w:color w:val="auto"/>
        </w:rPr>
      </w:pPr>
    </w:p>
    <w:p>
      <w:pPr>
        <w:jc w:val="both"/>
        <w:ind w:right="160" w:firstLine="836"/>
        <w:spacing w:after="0" w:line="270" w:lineRule="auto"/>
        <w:rPr>
          <w:sz w:val="20"/>
          <w:szCs w:val="20"/>
          <w:color w:val="auto"/>
        </w:rPr>
      </w:pPr>
      <w:r>
        <w:rPr>
          <w:rFonts w:ascii="Times New Roman" w:cs="Times New Roman" w:eastAsia="Times New Roman" w:hAnsi="Times New Roman"/>
          <w:sz w:val="15"/>
          <w:szCs w:val="15"/>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46" w:lineRule="exact"/>
        <w:rPr>
          <w:sz w:val="20"/>
          <w:szCs w:val="20"/>
          <w:color w:val="auto"/>
        </w:rPr>
      </w:pPr>
    </w:p>
    <w:p>
      <w:pPr>
        <w:ind w:right="20" w:firstLine="836"/>
        <w:spacing w:after="0" w:line="270" w:lineRule="auto"/>
        <w:rPr>
          <w:sz w:val="20"/>
          <w:szCs w:val="20"/>
          <w:color w:val="auto"/>
        </w:rPr>
      </w:pPr>
      <w:r>
        <w:rPr>
          <w:rFonts w:ascii="Times New Roman" w:cs="Times New Roman" w:eastAsia="Times New Roman" w:hAnsi="Times New Roman"/>
          <w:sz w:val="15"/>
          <w:szCs w:val="15"/>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6" w:lineRule="exact"/>
        <w:rPr>
          <w:sz w:val="20"/>
          <w:szCs w:val="20"/>
          <w:color w:val="auto"/>
        </w:rPr>
      </w:pPr>
    </w:p>
    <w:p>
      <w:pPr>
        <w:ind w:right="420" w:firstLine="836"/>
        <w:spacing w:after="0" w:line="287" w:lineRule="auto"/>
        <w:rPr>
          <w:sz w:val="20"/>
          <w:szCs w:val="20"/>
          <w:color w:val="auto"/>
        </w:rPr>
      </w:pPr>
      <w:r>
        <w:rPr>
          <w:rFonts w:ascii="Times New Roman" w:cs="Times New Roman" w:eastAsia="Times New Roman" w:hAnsi="Times New Roman"/>
          <w:sz w:val="15"/>
          <w:szCs w:val="15"/>
          <w:color w:val="auto"/>
        </w:rPr>
        <w:t>The provisions of this Section are exclusive and shall preclude (to the extent lawful) all other rights and remedies with respect to the replacement or payment of mutilated, destroyed, lost or stolen Securities.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9280"/>
          </w:cols>
          <w:pgMar w:left="1300" w:top="250" w:right="1319" w:bottom="1440" w:gutter="0" w:footer="0" w:header="0"/>
        </w:sectPr>
      </w:pPr>
    </w:p>
    <w:bookmarkStart w:id="82" w:name="page83"/>
    <w:bookmarkEnd w:id="82"/>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93915" cy="34290"/>
                    </a:xfrm>
                    <a:prstGeom prst="rect">
                      <a:avLst/>
                    </a:prstGeom>
                    <a:noFill/>
                  </pic:spPr>
                </pic:pic>
              </a:graphicData>
            </a:graphic>
          </wp:anchor>
        </w:drawing>
        <w:t xml:space="preserve">Section 2.9 </w:t>
      </w:r>
      <w:r>
        <w:rPr>
          <w:rFonts w:ascii="Times New Roman" w:cs="Times New Roman" w:eastAsia="Times New Roman" w:hAnsi="Times New Roman"/>
          <w:sz w:val="15"/>
          <w:szCs w:val="15"/>
          <w:u w:val="single" w:color="auto"/>
          <w:color w:val="auto"/>
        </w:rPr>
        <w:t>Outstanding Securities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60" w:firstLine="836"/>
        <w:spacing w:after="0" w:line="270" w:lineRule="auto"/>
        <w:rPr>
          <w:sz w:val="20"/>
          <w:szCs w:val="20"/>
          <w:color w:val="auto"/>
        </w:rPr>
      </w:pPr>
      <w:r>
        <w:rPr>
          <w:rFonts w:ascii="Times New Roman" w:cs="Times New Roman" w:eastAsia="Times New Roman" w:hAnsi="Times New Roman"/>
          <w:sz w:val="15"/>
          <w:szCs w:val="15"/>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46" w:lineRule="exact"/>
        <w:rPr>
          <w:sz w:val="20"/>
          <w:szCs w:val="20"/>
          <w:color w:val="auto"/>
        </w:rPr>
      </w:pPr>
    </w:p>
    <w:p>
      <w:pPr>
        <w:ind w:right="460" w:firstLine="836"/>
        <w:spacing w:after="0" w:line="287" w:lineRule="auto"/>
        <w:rPr>
          <w:sz w:val="20"/>
          <w:szCs w:val="20"/>
          <w:color w:val="auto"/>
        </w:rPr>
      </w:pPr>
      <w:r>
        <w:rPr>
          <w:rFonts w:ascii="Times New Roman" w:cs="Times New Roman" w:eastAsia="Times New Roman" w:hAnsi="Times New Roman"/>
          <w:sz w:val="15"/>
          <w:szCs w:val="15"/>
          <w:color w:val="auto"/>
        </w:rPr>
        <w:t>If a Security is replaced pursuant to Section 2.8, it ceases to be outstanding until the Trustee receives proof satisfactory to it that the replaced Security is held by a bona fide purchaser.</w:t>
      </w:r>
    </w:p>
    <w:p>
      <w:pPr>
        <w:spacing w:after="0" w:line="134" w:lineRule="exact"/>
        <w:rPr>
          <w:sz w:val="20"/>
          <w:szCs w:val="20"/>
          <w:color w:val="auto"/>
        </w:rPr>
      </w:pPr>
    </w:p>
    <w:p>
      <w:pPr>
        <w:ind w:right="220" w:firstLine="836"/>
        <w:spacing w:after="0" w:line="270" w:lineRule="auto"/>
        <w:rPr>
          <w:sz w:val="20"/>
          <w:szCs w:val="20"/>
          <w:color w:val="auto"/>
        </w:rPr>
      </w:pPr>
      <w:r>
        <w:rPr>
          <w:rFonts w:ascii="Times New Roman" w:cs="Times New Roman" w:eastAsia="Times New Roman" w:hAnsi="Times New Roman"/>
          <w:sz w:val="15"/>
          <w:szCs w:val="15"/>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The Company may purchase or otherwise acquire the Securities, whether by open market purchases, negotiated transactions or otherwise.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Security does not cease to be outstanding because the Company or an Affiliate of the Company holds the Security (but see Section 2.10 below).</w:t>
      </w:r>
    </w:p>
    <w:p>
      <w:pPr>
        <w:spacing w:after="0" w:line="177" w:lineRule="exact"/>
        <w:rPr>
          <w:sz w:val="20"/>
          <w:szCs w:val="20"/>
          <w:color w:val="auto"/>
        </w:rPr>
      </w:pPr>
    </w:p>
    <w:p>
      <w:pPr>
        <w:ind w:firstLine="836"/>
        <w:spacing w:after="0" w:line="264" w:lineRule="auto"/>
        <w:rPr>
          <w:sz w:val="20"/>
          <w:szCs w:val="20"/>
          <w:color w:val="auto"/>
        </w:rPr>
      </w:pPr>
      <w:r>
        <w:rPr>
          <w:rFonts w:ascii="Times New Roman" w:cs="Times New Roman" w:eastAsia="Times New Roman" w:hAnsi="Times New Roman"/>
          <w:sz w:val="15"/>
          <w:szCs w:val="15"/>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2.10 </w:t>
      </w:r>
      <w:r>
        <w:rPr>
          <w:rFonts w:ascii="Times New Roman" w:cs="Times New Roman" w:eastAsia="Times New Roman" w:hAnsi="Times New Roman"/>
          <w:sz w:val="15"/>
          <w:szCs w:val="15"/>
          <w:u w:val="single" w:color="auto"/>
          <w:color w:val="auto"/>
        </w:rPr>
        <w:t>Treasury Securities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160" w:firstLine="836"/>
        <w:spacing w:after="0" w:line="264" w:lineRule="auto"/>
        <w:rPr>
          <w:sz w:val="20"/>
          <w:szCs w:val="20"/>
          <w:color w:val="auto"/>
        </w:rPr>
      </w:pPr>
      <w:r>
        <w:rPr>
          <w:rFonts w:ascii="Times New Roman" w:cs="Times New Roman" w:eastAsia="Times New Roman" w:hAnsi="Times New Roman"/>
          <w:sz w:val="15"/>
          <w:szCs w:val="15"/>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2.11 </w:t>
      </w:r>
      <w:r>
        <w:rPr>
          <w:rFonts w:ascii="Times New Roman" w:cs="Times New Roman" w:eastAsia="Times New Roman" w:hAnsi="Times New Roman"/>
          <w:sz w:val="15"/>
          <w:szCs w:val="15"/>
          <w:u w:val="single" w:color="auto"/>
          <w:color w:val="auto"/>
        </w:rPr>
        <w:t>Temporary Securities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40" w:firstLine="836"/>
        <w:spacing w:after="0" w:line="261" w:lineRule="auto"/>
        <w:rPr>
          <w:sz w:val="20"/>
          <w:szCs w:val="20"/>
          <w:color w:val="auto"/>
        </w:rPr>
      </w:pPr>
      <w:r>
        <w:rPr>
          <w:rFonts w:ascii="Times New Roman" w:cs="Times New Roman" w:eastAsia="Times New Roman" w:hAnsi="Times New Roman"/>
          <w:sz w:val="15"/>
          <w:szCs w:val="15"/>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9280"/>
          </w:cols>
          <w:pgMar w:left="1300" w:top="250" w:right="1319" w:bottom="1440" w:gutter="0" w:footer="0" w:header="0"/>
        </w:sectPr>
      </w:pPr>
    </w:p>
    <w:bookmarkStart w:id="83" w:name="page84"/>
    <w:bookmarkEnd w:id="83"/>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93915" cy="34290"/>
                    </a:xfrm>
                    <a:prstGeom prst="rect">
                      <a:avLst/>
                    </a:prstGeom>
                    <a:noFill/>
                  </pic:spPr>
                </pic:pic>
              </a:graphicData>
            </a:graphic>
          </wp:anchor>
        </w:drawing>
        <w:t xml:space="preserve">Section 2.12 </w:t>
      </w:r>
      <w:r>
        <w:rPr>
          <w:rFonts w:ascii="Times New Roman" w:cs="Times New Roman" w:eastAsia="Times New Roman" w:hAnsi="Times New Roman"/>
          <w:sz w:val="15"/>
          <w:szCs w:val="15"/>
          <w:u w:val="single" w:color="auto"/>
          <w:color w:val="auto"/>
        </w:rPr>
        <w:t>Cancellation</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61" w:lineRule="auto"/>
        <w:rPr>
          <w:sz w:val="20"/>
          <w:szCs w:val="20"/>
          <w:color w:val="auto"/>
        </w:rPr>
      </w:pPr>
      <w:r>
        <w:rPr>
          <w:rFonts w:ascii="Times New Roman" w:cs="Times New Roman" w:eastAsia="Times New Roman" w:hAnsi="Times New Roman"/>
          <w:sz w:val="15"/>
          <w:szCs w:val="15"/>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in accordance with its customary procedures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2.13 </w:t>
      </w:r>
      <w:r>
        <w:rPr>
          <w:rFonts w:ascii="Times New Roman" w:cs="Times New Roman" w:eastAsia="Times New Roman" w:hAnsi="Times New Roman"/>
          <w:sz w:val="15"/>
          <w:szCs w:val="15"/>
          <w:u w:val="single" w:color="auto"/>
          <w:color w:val="auto"/>
        </w:rPr>
        <w:t>Defaulted Interest</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100" w:firstLine="836"/>
        <w:spacing w:after="0" w:line="261" w:lineRule="auto"/>
        <w:rPr>
          <w:sz w:val="20"/>
          <w:szCs w:val="20"/>
          <w:color w:val="auto"/>
        </w:rPr>
      </w:pPr>
      <w:r>
        <w:rPr>
          <w:rFonts w:ascii="Times New Roman" w:cs="Times New Roman" w:eastAsia="Times New Roman" w:hAnsi="Times New Roman"/>
          <w:sz w:val="15"/>
          <w:szCs w:val="15"/>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2.14 </w:t>
      </w:r>
      <w:r>
        <w:rPr>
          <w:rFonts w:ascii="Times New Roman" w:cs="Times New Roman" w:eastAsia="Times New Roman" w:hAnsi="Times New Roman"/>
          <w:sz w:val="15"/>
          <w:szCs w:val="15"/>
          <w:u w:val="single" w:color="auto"/>
          <w:color w:val="auto"/>
        </w:rPr>
        <w:t>Global Securities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jc w:val="both"/>
        <w:ind w:right="240" w:firstLine="836"/>
        <w:spacing w:after="0" w:line="270" w:lineRule="auto"/>
        <w:rPr>
          <w:sz w:val="20"/>
          <w:szCs w:val="20"/>
          <w:color w:val="auto"/>
        </w:rPr>
      </w:pPr>
      <w:r>
        <w:rPr>
          <w:rFonts w:ascii="Times New Roman" w:cs="Times New Roman" w:eastAsia="Times New Roman" w:hAnsi="Times New Roman"/>
          <w:sz w:val="15"/>
          <w:szCs w:val="15"/>
          <w:color w:val="auto"/>
        </w:rPr>
        <w:t xml:space="preserve">2.14.1. </w:t>
      </w:r>
      <w:r>
        <w:rPr>
          <w:rFonts w:ascii="Times New Roman" w:cs="Times New Roman" w:eastAsia="Times New Roman" w:hAnsi="Times New Roman"/>
          <w:sz w:val="15"/>
          <w:szCs w:val="15"/>
          <w:u w:val="single" w:color="auto"/>
          <w:color w:val="auto"/>
        </w:rPr>
        <w:t>Terms of Securities</w:t>
      </w:r>
      <w:r>
        <w:rPr>
          <w:rFonts w:ascii="Times New Roman" w:cs="Times New Roman" w:eastAsia="Times New Roman" w:hAnsi="Times New Roman"/>
          <w:sz w:val="15"/>
          <w:szCs w:val="15"/>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46" w:lineRule="exact"/>
        <w:rPr>
          <w:sz w:val="20"/>
          <w:szCs w:val="20"/>
          <w:color w:val="auto"/>
        </w:rPr>
      </w:pPr>
    </w:p>
    <w:p>
      <w:pPr>
        <w:ind w:right="80" w:firstLine="836"/>
        <w:spacing w:after="0" w:line="260" w:lineRule="auto"/>
        <w:rPr>
          <w:sz w:val="20"/>
          <w:szCs w:val="20"/>
          <w:color w:val="auto"/>
        </w:rPr>
      </w:pPr>
      <w:r>
        <w:rPr>
          <w:rFonts w:ascii="Times New Roman" w:cs="Times New Roman" w:eastAsia="Times New Roman" w:hAnsi="Times New Roman"/>
          <w:sz w:val="15"/>
          <w:szCs w:val="15"/>
          <w:color w:val="auto"/>
        </w:rPr>
        <w:t xml:space="preserve">2.14.2. </w:t>
      </w:r>
      <w:r>
        <w:rPr>
          <w:rFonts w:ascii="Times New Roman" w:cs="Times New Roman" w:eastAsia="Times New Roman" w:hAnsi="Times New Roman"/>
          <w:sz w:val="15"/>
          <w:szCs w:val="15"/>
          <w:u w:val="single" w:color="auto"/>
          <w:color w:val="auto"/>
        </w:rPr>
        <w:t>Transfer and Exchange</w:t>
      </w:r>
      <w:r>
        <w:rPr>
          <w:rFonts w:ascii="Times New Roman" w:cs="Times New Roman" w:eastAsia="Times New Roman" w:hAnsi="Times New Roman"/>
          <w:sz w:val="15"/>
          <w:szCs w:val="15"/>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w:t>
      </w:r>
    </w:p>
    <w:p>
      <w:pPr>
        <w:spacing w:after="0" w:line="153"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5"/>
          <w:szCs w:val="15"/>
          <w:color w:val="auto"/>
        </w:rPr>
        <w:t>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46" w:lineRule="exact"/>
        <w:rPr>
          <w:sz w:val="20"/>
          <w:szCs w:val="20"/>
          <w:color w:val="auto"/>
        </w:rPr>
      </w:pPr>
    </w:p>
    <w:p>
      <w:pPr>
        <w:ind w:right="80" w:firstLine="371"/>
        <w:spacing w:after="0" w:line="270" w:lineRule="auto"/>
        <w:rPr>
          <w:sz w:val="20"/>
          <w:szCs w:val="20"/>
          <w:color w:val="auto"/>
        </w:rPr>
      </w:pPr>
      <w:r>
        <w:rPr>
          <w:rFonts w:ascii="Times New Roman" w:cs="Times New Roman" w:eastAsia="Times New Roman" w:hAnsi="Times New Roman"/>
          <w:sz w:val="15"/>
          <w:szCs w:val="15"/>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9260"/>
          </w:cols>
          <w:pgMar w:left="1300" w:top="250" w:right="1339" w:bottom="1440" w:gutter="0" w:footer="0" w:header="0"/>
        </w:sectPr>
      </w:pPr>
    </w:p>
    <w:bookmarkStart w:id="84" w:name="page85"/>
    <w:bookmarkEnd w:id="84"/>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93915" cy="34290"/>
                    </a:xfrm>
                    <a:prstGeom prst="rect">
                      <a:avLst/>
                    </a:prstGeom>
                    <a:noFill/>
                  </pic:spPr>
                </pic:pic>
              </a:graphicData>
            </a:graphic>
          </wp:anchor>
        </w:drawing>
        <w:t>Neither the Trustee nor any Agent shall have any responsibility for any actions taken or not taken by the Depositary.</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 xml:space="preserve">2.14.3. </w:t>
      </w:r>
      <w:r>
        <w:rPr>
          <w:rFonts w:ascii="Times New Roman" w:cs="Times New Roman" w:eastAsia="Times New Roman" w:hAnsi="Times New Roman"/>
          <w:sz w:val="15"/>
          <w:szCs w:val="15"/>
          <w:u w:val="single" w:color="auto"/>
          <w:color w:val="auto"/>
        </w:rPr>
        <w:t>Legends</w:t>
      </w:r>
      <w:r>
        <w:rPr>
          <w:rFonts w:ascii="Times New Roman" w:cs="Times New Roman" w:eastAsia="Times New Roman" w:hAnsi="Times New Roman"/>
          <w:sz w:val="15"/>
          <w:szCs w:val="15"/>
          <w:color w:val="auto"/>
        </w:rPr>
        <w:t>. Any Global Security issued hereunder shall bear a legend in substantially the following form:</w:t>
      </w:r>
    </w:p>
    <w:p>
      <w:pPr>
        <w:spacing w:after="0" w:line="101" w:lineRule="exact"/>
        <w:rPr>
          <w:sz w:val="20"/>
          <w:szCs w:val="20"/>
          <w:color w:val="auto"/>
        </w:rPr>
      </w:pPr>
    </w:p>
    <w:p>
      <w:pPr>
        <w:ind w:firstLine="836"/>
        <w:spacing w:after="0" w:line="259" w:lineRule="auto"/>
        <w:rPr>
          <w:sz w:val="20"/>
          <w:szCs w:val="20"/>
          <w:color w:val="auto"/>
        </w:rPr>
      </w:pPr>
      <w:r>
        <w:rPr>
          <w:rFonts w:ascii="Times New Roman" w:cs="Times New Roman" w:eastAsia="Times New Roman" w:hAnsi="Times New Roman"/>
          <w:sz w:val="15"/>
          <w:szCs w:val="15"/>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50" w:lineRule="exact"/>
        <w:rPr>
          <w:sz w:val="20"/>
          <w:szCs w:val="20"/>
          <w:color w:val="auto"/>
        </w:rPr>
      </w:pPr>
    </w:p>
    <w:p>
      <w:pPr>
        <w:ind w:right="180" w:firstLine="836"/>
        <w:spacing w:after="0" w:line="293" w:lineRule="auto"/>
        <w:rPr>
          <w:sz w:val="20"/>
          <w:szCs w:val="20"/>
          <w:color w:val="auto"/>
        </w:rPr>
      </w:pPr>
      <w:r>
        <w:rPr>
          <w:rFonts w:ascii="Times New Roman" w:cs="Times New Roman" w:eastAsia="Times New Roman" w:hAnsi="Times New Roman"/>
          <w:sz w:val="15"/>
          <w:szCs w:val="15"/>
          <w:color w:val="auto"/>
        </w:rPr>
        <w:t>In addition, so long as the Depository Trust Company (“</w:t>
      </w:r>
      <w:r>
        <w:rPr>
          <w:rFonts w:ascii="Times New Roman" w:cs="Times New Roman" w:eastAsia="Times New Roman" w:hAnsi="Times New Roman"/>
          <w:sz w:val="15"/>
          <w:szCs w:val="15"/>
          <w:i w:val="1"/>
          <w:iCs w:val="1"/>
          <w:color w:val="auto"/>
        </w:rPr>
        <w:t>DTC</w:t>
      </w:r>
      <w:r>
        <w:rPr>
          <w:rFonts w:ascii="Times New Roman" w:cs="Times New Roman" w:eastAsia="Times New Roman" w:hAnsi="Times New Roman"/>
          <w:sz w:val="15"/>
          <w:szCs w:val="15"/>
          <w:color w:val="auto"/>
        </w:rPr>
        <w:t>”) is the Depositary, each Global Note registered in the name of DTC or its nominee shall bear a legend in substantially the following form:</w:t>
      </w:r>
    </w:p>
    <w:p>
      <w:pPr>
        <w:spacing w:after="0" w:line="38" w:lineRule="exact"/>
        <w:rPr>
          <w:sz w:val="20"/>
          <w:szCs w:val="20"/>
          <w:color w:val="auto"/>
        </w:rPr>
      </w:pPr>
    </w:p>
    <w:p>
      <w:pPr>
        <w:ind w:right="160" w:firstLine="836"/>
        <w:spacing w:after="0" w:line="259" w:lineRule="auto"/>
        <w:rPr>
          <w:sz w:val="20"/>
          <w:szCs w:val="20"/>
          <w:color w:val="auto"/>
        </w:rPr>
      </w:pPr>
      <w:r>
        <w:rPr>
          <w:rFonts w:ascii="Times New Roman" w:cs="Times New Roman" w:eastAsia="Times New Roman" w:hAnsi="Times New Roman"/>
          <w:sz w:val="15"/>
          <w:szCs w:val="15"/>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THE REGISTERED OWNER HEREOF, CEDE &amp; CO., HAS AN INTEREST HEREIN.”</w:t>
      </w:r>
    </w:p>
    <w:p>
      <w:pPr>
        <w:spacing w:after="0" w:line="154" w:lineRule="exact"/>
        <w:rPr>
          <w:sz w:val="20"/>
          <w:szCs w:val="20"/>
          <w:color w:val="auto"/>
        </w:rPr>
      </w:pPr>
    </w:p>
    <w:p>
      <w:pPr>
        <w:ind w:right="100" w:firstLine="836"/>
        <w:spacing w:after="0" w:line="287" w:lineRule="auto"/>
        <w:rPr>
          <w:sz w:val="20"/>
          <w:szCs w:val="20"/>
          <w:color w:val="auto"/>
        </w:rPr>
      </w:pPr>
      <w:r>
        <w:rPr>
          <w:rFonts w:ascii="Times New Roman" w:cs="Times New Roman" w:eastAsia="Times New Roman" w:hAnsi="Times New Roman"/>
          <w:sz w:val="15"/>
          <w:szCs w:val="15"/>
          <w:color w:val="auto"/>
        </w:rPr>
        <w:t xml:space="preserve">2.14.4. </w:t>
      </w:r>
      <w:r>
        <w:rPr>
          <w:rFonts w:ascii="Times New Roman" w:cs="Times New Roman" w:eastAsia="Times New Roman" w:hAnsi="Times New Roman"/>
          <w:sz w:val="15"/>
          <w:szCs w:val="15"/>
          <w:u w:val="single" w:color="auto"/>
          <w:color w:val="auto"/>
        </w:rPr>
        <w:t>Acts of Holders</w:t>
      </w:r>
      <w:r>
        <w:rPr>
          <w:rFonts w:ascii="Times New Roman" w:cs="Times New Roman" w:eastAsia="Times New Roman" w:hAnsi="Times New Roman"/>
          <w:sz w:val="15"/>
          <w:szCs w:val="15"/>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34" w:lineRule="exact"/>
        <w:rPr>
          <w:sz w:val="20"/>
          <w:szCs w:val="20"/>
          <w:color w:val="auto"/>
        </w:rPr>
      </w:pPr>
    </w:p>
    <w:p>
      <w:pPr>
        <w:ind w:right="120" w:firstLine="1208"/>
        <w:spacing w:after="0" w:line="259" w:lineRule="auto"/>
        <w:tabs>
          <w:tab w:leader="none" w:pos="1413"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9280"/>
          </w:cols>
          <w:pgMar w:left="1300" w:top="250" w:right="1319" w:bottom="1440" w:gutter="0" w:footer="0" w:header="0"/>
        </w:sectPr>
      </w:pPr>
    </w:p>
    <w:bookmarkStart w:id="85" w:name="page86"/>
    <w:bookmarkEnd w:id="85"/>
    <w:p>
      <w:pPr>
        <w:ind w:firstLine="1208"/>
        <w:spacing w:after="0" w:line="260" w:lineRule="auto"/>
        <w:tabs>
          <w:tab w:leader="none" w:pos="1422"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w:t>
      </w:r>
    </w:p>
    <w:p>
      <w:pPr>
        <w:spacing w:after="0" w:line="153"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ownership of Global Securities or any Securities issued in certificated form shall be proved by the Registrar.</w:t>
      </w:r>
    </w:p>
    <w:p>
      <w:pPr>
        <w:spacing w:after="0" w:line="191" w:lineRule="exact"/>
        <w:rPr>
          <w:rFonts w:ascii="Times New Roman" w:cs="Times New Roman" w:eastAsia="Times New Roman" w:hAnsi="Times New Roman"/>
          <w:sz w:val="15"/>
          <w:szCs w:val="15"/>
          <w:color w:val="auto"/>
        </w:rPr>
      </w:pPr>
    </w:p>
    <w:p>
      <w:pPr>
        <w:ind w:right="20" w:firstLine="1208"/>
        <w:spacing w:after="0" w:line="264" w:lineRule="auto"/>
        <w:tabs>
          <w:tab w:leader="none" w:pos="1422"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51" w:lineRule="exact"/>
        <w:rPr>
          <w:rFonts w:ascii="Times New Roman" w:cs="Times New Roman" w:eastAsia="Times New Roman" w:hAnsi="Times New Roman"/>
          <w:sz w:val="15"/>
          <w:szCs w:val="15"/>
          <w:color w:val="auto"/>
        </w:rPr>
      </w:pPr>
    </w:p>
    <w:p>
      <w:pPr>
        <w:ind w:right="40" w:firstLine="1208"/>
        <w:spacing w:after="0" w:line="257" w:lineRule="auto"/>
        <w:tabs>
          <w:tab w:leader="none" w:pos="1413"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Company shall solicit from the Holders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spacing w:after="0" w:line="158" w:lineRule="exact"/>
        <w:rPr>
          <w:sz w:val="20"/>
          <w:szCs w:val="20"/>
          <w:color w:val="auto"/>
        </w:rPr>
      </w:pPr>
    </w:p>
    <w:p>
      <w:pPr>
        <w:ind w:right="400" w:firstLine="836"/>
        <w:spacing w:after="0" w:line="287" w:lineRule="auto"/>
        <w:rPr>
          <w:sz w:val="20"/>
          <w:szCs w:val="20"/>
          <w:color w:val="auto"/>
        </w:rPr>
      </w:pPr>
      <w:r>
        <w:rPr>
          <w:rFonts w:ascii="Times New Roman" w:cs="Times New Roman" w:eastAsia="Times New Roman" w:hAnsi="Times New Roman"/>
          <w:sz w:val="15"/>
          <w:szCs w:val="15"/>
          <w:color w:val="auto"/>
        </w:rPr>
        <w:t xml:space="preserve">2.14.5. </w:t>
      </w:r>
      <w:r>
        <w:rPr>
          <w:rFonts w:ascii="Times New Roman" w:cs="Times New Roman" w:eastAsia="Times New Roman" w:hAnsi="Times New Roman"/>
          <w:sz w:val="15"/>
          <w:szCs w:val="15"/>
          <w:u w:val="single" w:color="auto"/>
          <w:color w:val="auto"/>
        </w:rPr>
        <w:t>Payments</w:t>
      </w:r>
      <w:r>
        <w:rPr>
          <w:rFonts w:ascii="Times New Roman" w:cs="Times New Roman" w:eastAsia="Times New Roman" w:hAnsi="Times New Roman"/>
          <w:sz w:val="15"/>
          <w:szCs w:val="15"/>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34" w:lineRule="exact"/>
        <w:rPr>
          <w:sz w:val="20"/>
          <w:szCs w:val="20"/>
          <w:color w:val="auto"/>
        </w:rPr>
      </w:pPr>
    </w:p>
    <w:p>
      <w:pPr>
        <w:ind w:right="40" w:firstLine="836"/>
        <w:spacing w:after="0" w:line="264" w:lineRule="auto"/>
        <w:rPr>
          <w:sz w:val="20"/>
          <w:szCs w:val="20"/>
          <w:color w:val="auto"/>
        </w:rPr>
      </w:pPr>
      <w:r>
        <w:rPr>
          <w:rFonts w:ascii="Times New Roman" w:cs="Times New Roman" w:eastAsia="Times New Roman" w:hAnsi="Times New Roman"/>
          <w:sz w:val="15"/>
          <w:szCs w:val="15"/>
          <w:color w:val="auto"/>
        </w:rPr>
        <w:t xml:space="preserve">2.14.6. </w:t>
      </w:r>
      <w:r>
        <w:rPr>
          <w:rFonts w:ascii="Times New Roman" w:cs="Times New Roman" w:eastAsia="Times New Roman" w:hAnsi="Times New Roman"/>
          <w:sz w:val="15"/>
          <w:szCs w:val="15"/>
          <w:u w:val="single" w:color="auto"/>
          <w:color w:val="auto"/>
        </w:rPr>
        <w:t>Consents, Declaration and Directions</w:t>
      </w:r>
      <w:r>
        <w:rPr>
          <w:rFonts w:ascii="Times New Roman" w:cs="Times New Roman" w:eastAsia="Times New Roman" w:hAnsi="Times New Roman"/>
          <w:sz w:val="15"/>
          <w:szCs w:val="15"/>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9280"/>
          </w:cols>
          <w:pgMar w:left="1300" w:top="250" w:right="1319" w:bottom="1440" w:gutter="0" w:footer="0" w:header="0"/>
        </w:sectPr>
      </w:pPr>
    </w:p>
    <w:bookmarkStart w:id="86" w:name="page87"/>
    <w:bookmarkEnd w:id="86"/>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93915" cy="34290"/>
                    </a:xfrm>
                    <a:prstGeom prst="rect">
                      <a:avLst/>
                    </a:prstGeom>
                    <a:noFill/>
                  </pic:spPr>
                </pic:pic>
              </a:graphicData>
            </a:graphic>
          </wp:anchor>
        </w:drawing>
        <w:t xml:space="preserve">Section 2.15 </w:t>
      </w:r>
      <w:r>
        <w:rPr>
          <w:rFonts w:ascii="Times New Roman" w:cs="Times New Roman" w:eastAsia="Times New Roman" w:hAnsi="Times New Roman"/>
          <w:sz w:val="15"/>
          <w:szCs w:val="15"/>
          <w:u w:val="single" w:color="auto"/>
          <w:color w:val="auto"/>
        </w:rPr>
        <w:t>CUSIP Numbers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40" w:firstLine="836"/>
        <w:spacing w:after="0" w:line="261" w:lineRule="auto"/>
        <w:rPr>
          <w:sz w:val="20"/>
          <w:szCs w:val="20"/>
          <w:color w:val="auto"/>
        </w:rPr>
      </w:pPr>
      <w:r>
        <w:rPr>
          <w:rFonts w:ascii="Times New Roman" w:cs="Times New Roman" w:eastAsia="Times New Roman" w:hAnsi="Times New Roman"/>
          <w:sz w:val="15"/>
          <w:szCs w:val="15"/>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that the Company is aware of in the CUSIP numbers.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III</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REDEMPTION</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3.1 </w:t>
      </w:r>
      <w:r>
        <w:rPr>
          <w:rFonts w:ascii="Times New Roman" w:cs="Times New Roman" w:eastAsia="Times New Roman" w:hAnsi="Times New Roman"/>
          <w:sz w:val="15"/>
          <w:szCs w:val="15"/>
          <w:u w:val="single" w:color="auto"/>
          <w:color w:val="auto"/>
        </w:rPr>
        <w:t>Notice to Trustee</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60" w:lineRule="auto"/>
        <w:rPr>
          <w:sz w:val="20"/>
          <w:szCs w:val="20"/>
          <w:color w:val="auto"/>
        </w:rPr>
      </w:pPr>
      <w:r>
        <w:rPr>
          <w:rFonts w:ascii="Times New Roman" w:cs="Times New Roman" w:eastAsia="Times New Roman" w:hAnsi="Times New Roman"/>
          <w:sz w:val="15"/>
          <w:szCs w:val="15"/>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5 days before the notice is delivered to the Holders, unless a shorter period is satisfactory to the Trustee.</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3.2 </w:t>
      </w:r>
      <w:r>
        <w:rPr>
          <w:rFonts w:ascii="Times New Roman" w:cs="Times New Roman" w:eastAsia="Times New Roman" w:hAnsi="Times New Roman"/>
          <w:sz w:val="15"/>
          <w:szCs w:val="15"/>
          <w:u w:val="single" w:color="auto"/>
          <w:color w:val="auto"/>
        </w:rPr>
        <w:t>Selection of Securities to be Redeemed</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56" w:lineRule="auto"/>
        <w:rPr>
          <w:sz w:val="20"/>
          <w:szCs w:val="20"/>
          <w:color w:val="auto"/>
        </w:rPr>
      </w:pPr>
      <w:r>
        <w:rPr>
          <w:rFonts w:ascii="Times New Roman" w:cs="Times New Roman" w:eastAsia="Times New Roman" w:hAnsi="Times New Roman"/>
          <w:sz w:val="15"/>
          <w:szCs w:val="15"/>
          <w:color w:val="auto"/>
        </w:rPr>
        <w:t xml:space="preserve">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w:t>
      </w:r>
      <w:r>
        <w:rPr>
          <w:rFonts w:ascii="Times New Roman" w:cs="Times New Roman" w:eastAsia="Times New Roman" w:hAnsi="Times New Roman"/>
          <w:sz w:val="15"/>
          <w:szCs w:val="15"/>
          <w:i w:val="1"/>
          <w:iCs w:val="1"/>
          <w:color w:val="auto"/>
        </w:rPr>
        <w:t>pro rata,</w:t>
      </w:r>
      <w:r>
        <w:rPr>
          <w:rFonts w:ascii="Times New Roman" w:cs="Times New Roman" w:eastAsia="Times New Roman" w:hAnsi="Times New Roman"/>
          <w:sz w:val="15"/>
          <w:szCs w:val="15"/>
          <w:color w:val="auto"/>
        </w:rPr>
        <w:t xml:space="preserve">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9280"/>
          </w:cols>
          <w:pgMar w:left="1300" w:top="250" w:right="1319" w:bottom="1440" w:gutter="0" w:footer="0" w:header="0"/>
        </w:sectPr>
      </w:pPr>
    </w:p>
    <w:bookmarkStart w:id="87" w:name="page88"/>
    <w:bookmarkEnd w:id="87"/>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93915" cy="34290"/>
                    </a:xfrm>
                    <a:prstGeom prst="rect">
                      <a:avLst/>
                    </a:prstGeom>
                    <a:noFill/>
                  </pic:spPr>
                </pic:pic>
              </a:graphicData>
            </a:graphic>
          </wp:anchor>
        </w:drawing>
        <w:t xml:space="preserve">Section 3.3 </w:t>
      </w:r>
      <w:r>
        <w:rPr>
          <w:rFonts w:ascii="Times New Roman" w:cs="Times New Roman" w:eastAsia="Times New Roman" w:hAnsi="Times New Roman"/>
          <w:sz w:val="15"/>
          <w:szCs w:val="15"/>
          <w:u w:val="single" w:color="auto"/>
          <w:color w:val="auto"/>
        </w:rPr>
        <w:t>Notice of Redemption</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20" w:firstLine="836"/>
        <w:spacing w:after="0" w:line="270" w:lineRule="auto"/>
        <w:rPr>
          <w:sz w:val="20"/>
          <w:szCs w:val="20"/>
          <w:color w:val="auto"/>
        </w:rPr>
      </w:pPr>
      <w:r>
        <w:rPr>
          <w:rFonts w:ascii="Times New Roman" w:cs="Times New Roman" w:eastAsia="Times New Roman" w:hAnsi="Times New Roman"/>
          <w:sz w:val="15"/>
          <w:szCs w:val="15"/>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The notice shall identify the Securities of the Series to be redeemed and shall state:</w:t>
      </w:r>
    </w:p>
    <w:p>
      <w:pPr>
        <w:spacing w:after="0" w:line="101" w:lineRule="exact"/>
        <w:rPr>
          <w:sz w:val="20"/>
          <w:szCs w:val="20"/>
          <w:color w:val="auto"/>
        </w:rPr>
      </w:pPr>
    </w:p>
    <w:p>
      <w:pPr>
        <w:ind w:left="1420" w:hanging="212"/>
        <w:spacing w:after="0"/>
        <w:tabs>
          <w:tab w:leader="none" w:pos="14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redemption date;</w:t>
      </w:r>
    </w:p>
    <w:p>
      <w:pPr>
        <w:spacing w:after="0" w:line="191"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redemption price (or manner of calculation if not then known);</w:t>
      </w:r>
    </w:p>
    <w:p>
      <w:pPr>
        <w:spacing w:after="0" w:line="191"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and address of the Paying Agent;</w:t>
      </w:r>
    </w:p>
    <w:p>
      <w:pPr>
        <w:spacing w:after="0" w:line="191" w:lineRule="exact"/>
        <w:rPr>
          <w:rFonts w:ascii="Times New Roman" w:cs="Times New Roman" w:eastAsia="Times New Roman" w:hAnsi="Times New Roman"/>
          <w:sz w:val="15"/>
          <w:szCs w:val="15"/>
          <w:color w:val="auto"/>
        </w:rPr>
      </w:pPr>
    </w:p>
    <w:p>
      <w:pPr>
        <w:ind w:right="40" w:firstLine="1208"/>
        <w:spacing w:after="0" w:line="270" w:lineRule="auto"/>
        <w:tabs>
          <w:tab w:leader="none" w:pos="1422"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46"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Securities of the Series called for redemption must be surrendered to the Paying Agent to collect the redemption price;</w:t>
      </w:r>
    </w:p>
    <w:p>
      <w:pPr>
        <w:spacing w:after="0" w:line="191" w:lineRule="exact"/>
        <w:rPr>
          <w:rFonts w:ascii="Times New Roman" w:cs="Times New Roman" w:eastAsia="Times New Roman" w:hAnsi="Times New Roman"/>
          <w:sz w:val="15"/>
          <w:szCs w:val="15"/>
          <w:color w:val="auto"/>
        </w:rPr>
      </w:pPr>
    </w:p>
    <w:p>
      <w:pPr>
        <w:ind w:right="520" w:firstLine="1208"/>
        <w:spacing w:after="0" w:line="287" w:lineRule="auto"/>
        <w:tabs>
          <w:tab w:leader="none" w:pos="1397"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interest on Securities of the Series called for redemption ceases to accrue on and after the redemption date unless the Company defaults in the deposit of the redemption price;</w:t>
      </w:r>
    </w:p>
    <w:p>
      <w:pPr>
        <w:spacing w:after="0" w:line="133"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CUSIP number, if any; and</w:t>
      </w:r>
    </w:p>
    <w:p>
      <w:pPr>
        <w:spacing w:after="0" w:line="191"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information as may be required by the terms of the particular Series or the Securities of a Series being redeemed.</w:t>
      </w:r>
    </w:p>
    <w:p>
      <w:pPr>
        <w:spacing w:after="0" w:line="192" w:lineRule="exact"/>
        <w:rPr>
          <w:sz w:val="20"/>
          <w:szCs w:val="20"/>
          <w:color w:val="auto"/>
        </w:rPr>
      </w:pPr>
    </w:p>
    <w:p>
      <w:pPr>
        <w:ind w:right="120" w:firstLine="836"/>
        <w:spacing w:after="0" w:line="270" w:lineRule="auto"/>
        <w:rPr>
          <w:sz w:val="20"/>
          <w:szCs w:val="20"/>
          <w:color w:val="auto"/>
        </w:rPr>
      </w:pPr>
      <w:r>
        <w:rPr>
          <w:rFonts w:ascii="Times New Roman" w:cs="Times New Roman" w:eastAsia="Times New Roman" w:hAnsi="Times New Roman"/>
          <w:sz w:val="15"/>
          <w:szCs w:val="15"/>
          <w:color w:val="auto"/>
        </w:rPr>
        <w:t>At the Company’s request, the Trustee shall give the notice of redemption in the Company’s name and at its expense, provided, however, that the Company has delivered to the Trustee, at least 5 days (unless a shorter time shall be acceptable to the Trustee) prior to the notice date, an Officer’s Certificate requesting that the Trustee give such notice and setting forth the information to be stated in such notice.</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3.4 </w:t>
      </w:r>
      <w:r>
        <w:rPr>
          <w:rFonts w:ascii="Times New Roman" w:cs="Times New Roman" w:eastAsia="Times New Roman" w:hAnsi="Times New Roman"/>
          <w:sz w:val="15"/>
          <w:szCs w:val="15"/>
          <w:u w:val="single" w:color="auto"/>
          <w:color w:val="auto"/>
        </w:rPr>
        <w:t>Effect of Notice of Redemption</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64" w:lineRule="auto"/>
        <w:rPr>
          <w:sz w:val="20"/>
          <w:szCs w:val="20"/>
          <w:color w:val="auto"/>
        </w:rPr>
      </w:pPr>
      <w:r>
        <w:rPr>
          <w:rFonts w:ascii="Times New Roman" w:cs="Times New Roman" w:eastAsia="Times New Roman" w:hAnsi="Times New Roman"/>
          <w:sz w:val="15"/>
          <w:szCs w:val="15"/>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9260"/>
          </w:cols>
          <w:pgMar w:left="1300" w:top="250" w:right="1339" w:bottom="1440" w:gutter="0" w:footer="0" w:header="0"/>
        </w:sectPr>
      </w:pPr>
    </w:p>
    <w:bookmarkStart w:id="88" w:name="page89"/>
    <w:bookmarkEnd w:id="88"/>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93915" cy="34290"/>
                    </a:xfrm>
                    <a:prstGeom prst="rect">
                      <a:avLst/>
                    </a:prstGeom>
                    <a:noFill/>
                  </pic:spPr>
                </pic:pic>
              </a:graphicData>
            </a:graphic>
          </wp:anchor>
        </w:drawing>
        <w:t xml:space="preserve">Section 3.5 </w:t>
      </w:r>
      <w:r>
        <w:rPr>
          <w:rFonts w:ascii="Times New Roman" w:cs="Times New Roman" w:eastAsia="Times New Roman" w:hAnsi="Times New Roman"/>
          <w:sz w:val="15"/>
          <w:szCs w:val="15"/>
          <w:u w:val="single" w:color="auto"/>
          <w:color w:val="auto"/>
        </w:rPr>
        <w:t>Deposit of Redemption Price</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220" w:firstLine="836"/>
        <w:spacing w:after="0" w:line="270" w:lineRule="auto"/>
        <w:rPr>
          <w:sz w:val="20"/>
          <w:szCs w:val="20"/>
          <w:color w:val="auto"/>
        </w:rPr>
      </w:pPr>
      <w:r>
        <w:rPr>
          <w:rFonts w:ascii="Times New Roman" w:cs="Times New Roman" w:eastAsia="Times New Roman" w:hAnsi="Times New Roman"/>
          <w:sz w:val="15"/>
          <w:szCs w:val="15"/>
          <w:color w:val="auto"/>
        </w:rPr>
        <w:t>On or before 11:00 a.m., New York City time, on the redemption date, the Company shall irrevocably deposit with the Paying Agent money sufficient (as determined by the Company) to pay the redemption price of and accrued interest, if any, on all Securities to be redeemed on that date.</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3.6 </w:t>
      </w:r>
      <w:r>
        <w:rPr>
          <w:rFonts w:ascii="Times New Roman" w:cs="Times New Roman" w:eastAsia="Times New Roman" w:hAnsi="Times New Roman"/>
          <w:sz w:val="15"/>
          <w:szCs w:val="15"/>
          <w:u w:val="single" w:color="auto"/>
          <w:color w:val="auto"/>
        </w:rPr>
        <w:t>Securities Redeemed in Part</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140" w:firstLine="836"/>
        <w:spacing w:after="0" w:line="287" w:lineRule="auto"/>
        <w:rPr>
          <w:sz w:val="20"/>
          <w:szCs w:val="20"/>
          <w:color w:val="auto"/>
        </w:rPr>
      </w:pPr>
      <w:r>
        <w:rPr>
          <w:rFonts w:ascii="Times New Roman" w:cs="Times New Roman" w:eastAsia="Times New Roman" w:hAnsi="Times New Roman"/>
          <w:sz w:val="15"/>
          <w:szCs w:val="15"/>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3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5"/>
          <w:szCs w:val="15"/>
          <w:b w:val="1"/>
          <w:bCs w:val="1"/>
          <w:color w:val="auto"/>
        </w:rPr>
        <w:t>ARTICLE IV</w:t>
      </w:r>
    </w:p>
    <w:p>
      <w:pPr>
        <w:spacing w:after="0" w:line="2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b w:val="1"/>
          <w:bCs w:val="1"/>
          <w:color w:val="auto"/>
        </w:rPr>
        <w:t>COVENANTS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4.1 </w:t>
      </w:r>
      <w:r>
        <w:rPr>
          <w:rFonts w:ascii="Times New Roman" w:cs="Times New Roman" w:eastAsia="Times New Roman" w:hAnsi="Times New Roman"/>
          <w:sz w:val="15"/>
          <w:szCs w:val="15"/>
          <w:u w:val="single" w:color="auto"/>
          <w:color w:val="auto"/>
        </w:rPr>
        <w:t>Payment of Principal and Interest</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220" w:firstLine="836"/>
        <w:spacing w:after="0" w:line="264" w:lineRule="auto"/>
        <w:rPr>
          <w:sz w:val="20"/>
          <w:szCs w:val="20"/>
          <w:color w:val="auto"/>
        </w:rPr>
      </w:pPr>
      <w:r>
        <w:rPr>
          <w:rFonts w:ascii="Times New Roman" w:cs="Times New Roman" w:eastAsia="Times New Roman" w:hAnsi="Times New Roman"/>
          <w:sz w:val="15"/>
          <w:szCs w:val="15"/>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4.2 </w:t>
      </w:r>
      <w:r>
        <w:rPr>
          <w:rFonts w:ascii="Times New Roman" w:cs="Times New Roman" w:eastAsia="Times New Roman" w:hAnsi="Times New Roman"/>
          <w:sz w:val="15"/>
          <w:szCs w:val="15"/>
          <w:u w:val="single" w:color="auto"/>
          <w:color w:val="auto"/>
        </w:rPr>
        <w:t>SEC Reports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59" w:lineRule="auto"/>
        <w:rPr>
          <w:sz w:val="20"/>
          <w:szCs w:val="20"/>
          <w:color w:val="auto"/>
        </w:rPr>
      </w:pPr>
      <w:r>
        <w:rPr>
          <w:rFonts w:ascii="Times New Roman" w:cs="Times New Roman" w:eastAsia="Times New Roman" w:hAnsi="Times New Roman"/>
          <w:sz w:val="15"/>
          <w:szCs w:val="15"/>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(or any successor system thereto) will be deemed to be delivered to the Trustee as of the time of such filing via EDGAR for purposes of this Section 4.2, it being understood that the Trustee shall have no responsibility whatsoever to determine if such filings have been made, and that the Trustee shall not be deemed to have knowledge of the information contained therein.</w:t>
      </w:r>
    </w:p>
    <w:p>
      <w:pPr>
        <w:spacing w:after="0" w:line="154" w:lineRule="exact"/>
        <w:rPr>
          <w:sz w:val="20"/>
          <w:szCs w:val="20"/>
          <w:color w:val="auto"/>
        </w:rPr>
      </w:pPr>
    </w:p>
    <w:p>
      <w:pPr>
        <w:ind w:right="60" w:firstLine="836"/>
        <w:spacing w:after="0" w:line="264" w:lineRule="auto"/>
        <w:rPr>
          <w:sz w:val="20"/>
          <w:szCs w:val="20"/>
          <w:color w:val="auto"/>
        </w:rPr>
      </w:pPr>
      <w:r>
        <w:rPr>
          <w:rFonts w:ascii="Times New Roman" w:cs="Times New Roman" w:eastAsia="Times New Roman" w:hAnsi="Times New Roman"/>
          <w:sz w:val="15"/>
          <w:szCs w:val="15"/>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4.3 </w:t>
      </w:r>
      <w:r>
        <w:rPr>
          <w:rFonts w:ascii="Times New Roman" w:cs="Times New Roman" w:eastAsia="Times New Roman" w:hAnsi="Times New Roman"/>
          <w:sz w:val="15"/>
          <w:szCs w:val="15"/>
          <w:u w:val="single" w:color="auto"/>
          <w:color w:val="auto"/>
        </w:rPr>
        <w:t>Compliance Certificate</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20" w:firstLine="836"/>
        <w:spacing w:after="0" w:line="259" w:lineRule="auto"/>
        <w:rPr>
          <w:sz w:val="20"/>
          <w:szCs w:val="20"/>
          <w:color w:val="auto"/>
        </w:rPr>
      </w:pPr>
      <w:r>
        <w:rPr>
          <w:rFonts w:ascii="Times New Roman" w:cs="Times New Roman" w:eastAsia="Times New Roman" w:hAnsi="Times New Roman"/>
          <w:sz w:val="15"/>
          <w:szCs w:val="15"/>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9280"/>
          </w:cols>
          <w:pgMar w:left="1300" w:top="250" w:right="1319" w:bottom="1440" w:gutter="0" w:footer="0" w:header="0"/>
        </w:sectPr>
      </w:pPr>
    </w:p>
    <w:bookmarkStart w:id="89" w:name="page90"/>
    <w:bookmarkEnd w:id="89"/>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93915" cy="34290"/>
                    </a:xfrm>
                    <a:prstGeom prst="rect">
                      <a:avLst/>
                    </a:prstGeom>
                    <a:noFill/>
                  </pic:spPr>
                </pic:pic>
              </a:graphicData>
            </a:graphic>
          </wp:anchor>
        </w:drawing>
        <w:t xml:space="preserve">Section 4.4 </w:t>
      </w:r>
      <w:r>
        <w:rPr>
          <w:rFonts w:ascii="Times New Roman" w:cs="Times New Roman" w:eastAsia="Times New Roman" w:hAnsi="Times New Roman"/>
          <w:sz w:val="15"/>
          <w:szCs w:val="15"/>
          <w:u w:val="single" w:color="auto"/>
          <w:color w:val="auto"/>
        </w:rPr>
        <w:t>Stay, Extension and Usury Laws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61" w:lineRule="auto"/>
        <w:rPr>
          <w:sz w:val="20"/>
          <w:szCs w:val="20"/>
          <w:color w:val="auto"/>
        </w:rPr>
      </w:pPr>
      <w:r>
        <w:rPr>
          <w:rFonts w:ascii="Times New Roman" w:cs="Times New Roman" w:eastAsia="Times New Roman" w:hAnsi="Times New Roman"/>
          <w:sz w:val="15"/>
          <w:szCs w:val="15"/>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ARTICLE V</w:t>
      </w:r>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SUCCESSORS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5.1 </w:t>
      </w:r>
      <w:r>
        <w:rPr>
          <w:rFonts w:ascii="Times New Roman" w:cs="Times New Roman" w:eastAsia="Times New Roman" w:hAnsi="Times New Roman"/>
          <w:sz w:val="15"/>
          <w:szCs w:val="15"/>
          <w:u w:val="single" w:color="auto"/>
          <w:color w:val="auto"/>
        </w:rPr>
        <w:t>When Company May Merge, Etc</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280" w:firstLine="836"/>
        <w:spacing w:after="0" w:line="287" w:lineRule="auto"/>
        <w:rPr>
          <w:sz w:val="20"/>
          <w:szCs w:val="20"/>
          <w:color w:val="auto"/>
        </w:rPr>
      </w:pPr>
      <w:r>
        <w:rPr>
          <w:rFonts w:ascii="Times New Roman" w:cs="Times New Roman" w:eastAsia="Times New Roman" w:hAnsi="Times New Roman"/>
          <w:sz w:val="15"/>
          <w:szCs w:val="15"/>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15"/>
          <w:szCs w:val="15"/>
          <w:i w:val="1"/>
          <w:iCs w:val="1"/>
          <w:color w:val="auto"/>
        </w:rPr>
        <w:t>successor person</w:t>
      </w:r>
      <w:r>
        <w:rPr>
          <w:rFonts w:ascii="Times New Roman" w:cs="Times New Roman" w:eastAsia="Times New Roman" w:hAnsi="Times New Roman"/>
          <w:sz w:val="15"/>
          <w:szCs w:val="15"/>
          <w:color w:val="auto"/>
        </w:rPr>
        <w:t>”) unless:</w:t>
      </w:r>
    </w:p>
    <w:p>
      <w:pPr>
        <w:spacing w:after="0" w:line="43" w:lineRule="exact"/>
        <w:rPr>
          <w:sz w:val="20"/>
          <w:szCs w:val="20"/>
          <w:color w:val="auto"/>
        </w:rPr>
      </w:pPr>
    </w:p>
    <w:p>
      <w:pPr>
        <w:jc w:val="both"/>
        <w:ind w:right="220" w:firstLine="1208"/>
        <w:spacing w:after="0" w:line="270" w:lineRule="auto"/>
        <w:tabs>
          <w:tab w:leader="none" w:pos="1413"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is the surviving corporation or the successor person (if other than the Company) is a corporation organized and validly existing under the laws of any U.S. domestic jurisdiction and expressly assumes, by a supplemental indenture, executed and delivered to the Trustee, the Company’s obligations on the Securities and under this Indenture; and</w:t>
      </w:r>
    </w:p>
    <w:p>
      <w:pPr>
        <w:spacing w:after="0" w:line="146"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after giving effect to the transaction, no Default or Event of Default, shall have occurred and be continuing.</w:t>
      </w:r>
    </w:p>
    <w:p>
      <w:pPr>
        <w:spacing w:after="0" w:line="192" w:lineRule="exact"/>
        <w:rPr>
          <w:sz w:val="20"/>
          <w:szCs w:val="20"/>
          <w:color w:val="auto"/>
        </w:rPr>
      </w:pPr>
    </w:p>
    <w:p>
      <w:pPr>
        <w:ind w:firstLine="836"/>
        <w:spacing w:after="0" w:line="270" w:lineRule="auto"/>
        <w:rPr>
          <w:sz w:val="20"/>
          <w:szCs w:val="20"/>
          <w:color w:val="auto"/>
        </w:rPr>
      </w:pPr>
      <w:r>
        <w:rPr>
          <w:rFonts w:ascii="Times New Roman" w:cs="Times New Roman" w:eastAsia="Times New Roman" w:hAnsi="Times New Roman"/>
          <w:sz w:val="15"/>
          <w:szCs w:val="15"/>
          <w:color w:val="auto"/>
        </w:rPr>
        <w:t>Where the Company is not the surviving corporation, 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46" w:lineRule="exact"/>
        <w:rPr>
          <w:sz w:val="20"/>
          <w:szCs w:val="20"/>
          <w:color w:val="auto"/>
        </w:rPr>
      </w:pPr>
    </w:p>
    <w:p>
      <w:pPr>
        <w:ind w:firstLine="836"/>
        <w:spacing w:after="0" w:line="287" w:lineRule="auto"/>
        <w:rPr>
          <w:sz w:val="20"/>
          <w:szCs w:val="20"/>
          <w:color w:val="auto"/>
        </w:rPr>
      </w:pPr>
      <w:r>
        <w:rPr>
          <w:rFonts w:ascii="Times New Roman" w:cs="Times New Roman" w:eastAsia="Times New Roman" w:hAnsi="Times New Roman"/>
          <w:sz w:val="15"/>
          <w:szCs w:val="15"/>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5.2 </w:t>
      </w:r>
      <w:r>
        <w:rPr>
          <w:rFonts w:ascii="Times New Roman" w:cs="Times New Roman" w:eastAsia="Times New Roman" w:hAnsi="Times New Roman"/>
          <w:sz w:val="15"/>
          <w:szCs w:val="15"/>
          <w:u w:val="single" w:color="auto"/>
          <w:color w:val="auto"/>
        </w:rPr>
        <w:t>Successor Corporation Substituted</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40" w:firstLine="836"/>
        <w:spacing w:after="0" w:line="260" w:lineRule="auto"/>
        <w:rPr>
          <w:sz w:val="20"/>
          <w:szCs w:val="20"/>
          <w:color w:val="auto"/>
        </w:rPr>
      </w:pPr>
      <w:r>
        <w:rPr>
          <w:rFonts w:ascii="Times New Roman" w:cs="Times New Roman" w:eastAsia="Times New Roman" w:hAnsi="Times New Roman"/>
          <w:sz w:val="15"/>
          <w:szCs w:val="15"/>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predecessor Company in the case of a sale, conveyance or other disposition (other than a lease) shall be released from all obligations and covenants under this Indenture and the Securities.</w:t>
      </w:r>
    </w:p>
    <w:p>
      <w:pPr>
        <w:spacing w:after="0" w:line="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9200"/>
          </w:cols>
          <w:pgMar w:left="1300" w:top="250" w:right="1399" w:bottom="1440" w:gutter="0" w:footer="0" w:header="0"/>
        </w:sectPr>
      </w:pPr>
    </w:p>
    <w:bookmarkStart w:id="90" w:name="page91"/>
    <w:bookmarkEnd w:id="90"/>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93915" cy="34290"/>
                    </a:xfrm>
                    <a:prstGeom prst="rect">
                      <a:avLst/>
                    </a:prstGeom>
                    <a:noFill/>
                  </pic:spPr>
                </pic:pic>
              </a:graphicData>
            </a:graphic>
          </wp:anchor>
        </w:drawing>
        <w:t>ARTICLE VI</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DEFAULTS AND REMEDIES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6.1 </w:t>
      </w:r>
      <w:r>
        <w:rPr>
          <w:rFonts w:ascii="Times New Roman" w:cs="Times New Roman" w:eastAsia="Times New Roman" w:hAnsi="Times New Roman"/>
          <w:sz w:val="15"/>
          <w:szCs w:val="15"/>
          <w:u w:val="single" w:color="auto"/>
          <w:color w:val="auto"/>
        </w:rPr>
        <w:t>Events of Default</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ind w:right="40" w:firstLine="836"/>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Event of Default</w:t>
      </w:r>
      <w:r>
        <w:rPr>
          <w:rFonts w:ascii="Times New Roman" w:cs="Times New Roman" w:eastAsia="Times New Roman" w:hAnsi="Times New Roman"/>
          <w:sz w:val="15"/>
          <w:szCs w:val="15"/>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53" w:lineRule="exact"/>
        <w:rPr>
          <w:sz w:val="20"/>
          <w:szCs w:val="20"/>
          <w:color w:val="auto"/>
        </w:rPr>
      </w:pPr>
    </w:p>
    <w:p>
      <w:pPr>
        <w:ind w:right="20" w:firstLine="1208"/>
        <w:spacing w:after="0" w:line="279" w:lineRule="auto"/>
        <w:tabs>
          <w:tab w:leader="none" w:pos="1413"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day of such period); or</w:t>
      </w:r>
    </w:p>
    <w:p>
      <w:pPr>
        <w:spacing w:after="0" w:line="33"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principal of any Security of that Series at its Maturity; or</w:t>
      </w:r>
    </w:p>
    <w:p>
      <w:pPr>
        <w:spacing w:after="0" w:line="191" w:lineRule="exact"/>
        <w:rPr>
          <w:rFonts w:ascii="Times New Roman" w:cs="Times New Roman" w:eastAsia="Times New Roman" w:hAnsi="Times New Roman"/>
          <w:sz w:val="15"/>
          <w:szCs w:val="15"/>
          <w:color w:val="auto"/>
        </w:rPr>
      </w:pPr>
    </w:p>
    <w:p>
      <w:pPr>
        <w:ind w:firstLine="1208"/>
        <w:spacing w:after="0" w:line="261" w:lineRule="auto"/>
        <w:tabs>
          <w:tab w:leader="none" w:pos="1413"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336"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pursuant to or within the meaning of any Bankruptcy Law:</w:t>
      </w:r>
    </w:p>
    <w:p>
      <w:pPr>
        <w:spacing w:after="0" w:line="100" w:lineRule="exact"/>
        <w:rPr>
          <w:rFonts w:ascii="Times New Roman" w:cs="Times New Roman" w:eastAsia="Times New Roman" w:hAnsi="Times New Roman"/>
          <w:sz w:val="15"/>
          <w:szCs w:val="15"/>
          <w:color w:val="auto"/>
        </w:rPr>
      </w:pPr>
    </w:p>
    <w:p>
      <w:pPr>
        <w:ind w:left="1860" w:hanging="188"/>
        <w:spacing w:after="0"/>
        <w:tabs>
          <w:tab w:leader="none" w:pos="1860"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commences a voluntary case,</w:t>
      </w:r>
    </w:p>
    <w:p>
      <w:pPr>
        <w:spacing w:after="0" w:line="191" w:lineRule="exact"/>
        <w:rPr>
          <w:rFonts w:ascii="Times New Roman" w:cs="Times New Roman" w:eastAsia="Times New Roman" w:hAnsi="Times New Roman"/>
          <w:sz w:val="15"/>
          <w:szCs w:val="15"/>
          <w:color w:val="auto"/>
        </w:rPr>
      </w:pPr>
    </w:p>
    <w:p>
      <w:pPr>
        <w:ind w:left="1900" w:hanging="228"/>
        <w:spacing w:after="0"/>
        <w:tabs>
          <w:tab w:leader="none" w:pos="1900"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consents to the entry of an order for relief against it in an involuntary case,</w:t>
      </w:r>
    </w:p>
    <w:p>
      <w:pPr>
        <w:spacing w:after="0" w:line="191" w:lineRule="exact"/>
        <w:rPr>
          <w:rFonts w:ascii="Times New Roman" w:cs="Times New Roman" w:eastAsia="Times New Roman" w:hAnsi="Times New Roman"/>
          <w:sz w:val="15"/>
          <w:szCs w:val="15"/>
          <w:color w:val="auto"/>
        </w:rPr>
      </w:pPr>
    </w:p>
    <w:p>
      <w:pPr>
        <w:ind w:left="1940" w:hanging="268"/>
        <w:spacing w:after="0"/>
        <w:tabs>
          <w:tab w:leader="none" w:pos="1940"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consents to the appointment of a Custodian of it or for all or substantially all of its property,</w:t>
      </w:r>
    </w:p>
    <w:p>
      <w:pPr>
        <w:spacing w:after="0" w:line="191" w:lineRule="exact"/>
        <w:rPr>
          <w:rFonts w:ascii="Times New Roman" w:cs="Times New Roman" w:eastAsia="Times New Roman" w:hAnsi="Times New Roman"/>
          <w:sz w:val="15"/>
          <w:szCs w:val="15"/>
          <w:color w:val="auto"/>
        </w:rPr>
      </w:pPr>
    </w:p>
    <w:p>
      <w:pPr>
        <w:ind w:left="1920" w:hanging="248"/>
        <w:spacing w:after="0"/>
        <w:tabs>
          <w:tab w:leader="none" w:pos="1920"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makes a general assignment for the benefit of its creditors, or</w:t>
      </w:r>
    </w:p>
    <w:p>
      <w:pPr>
        <w:spacing w:after="0" w:line="191" w:lineRule="exact"/>
        <w:rPr>
          <w:rFonts w:ascii="Times New Roman" w:cs="Times New Roman" w:eastAsia="Times New Roman" w:hAnsi="Times New Roman"/>
          <w:sz w:val="15"/>
          <w:szCs w:val="15"/>
          <w:color w:val="auto"/>
        </w:rPr>
      </w:pPr>
    </w:p>
    <w:p>
      <w:pPr>
        <w:ind w:left="1880" w:hanging="208"/>
        <w:spacing w:after="0"/>
        <w:tabs>
          <w:tab w:leader="none" w:pos="1880"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generally is unable to pay its debts as the same become due; or</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9220"/>
          </w:cols>
          <w:pgMar w:left="1300" w:top="246" w:right="1379" w:bottom="1440" w:gutter="0" w:footer="0" w:header="0"/>
        </w:sectPr>
      </w:pPr>
    </w:p>
    <w:bookmarkStart w:id="91" w:name="page92"/>
    <w:bookmarkEnd w:id="91"/>
    <w:p>
      <w:pPr>
        <w:ind w:left="1420" w:hanging="212"/>
        <w:spacing w:after="0"/>
        <w:tabs>
          <w:tab w:leader="none" w:pos="14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93915" cy="34290"/>
                    </a:xfrm>
                    <a:prstGeom prst="rect">
                      <a:avLst/>
                    </a:prstGeom>
                    <a:noFill/>
                  </pic:spPr>
                </pic:pic>
              </a:graphicData>
            </a:graphic>
          </wp:anchor>
        </w:drawing>
        <w:t>a court of competent jurisdiction enters an order or decree under any Bankruptcy Law that:</w:t>
      </w:r>
    </w:p>
    <w:p>
      <w:pPr>
        <w:spacing w:after="0" w:line="100" w:lineRule="exact"/>
        <w:rPr>
          <w:rFonts w:ascii="Times New Roman" w:cs="Times New Roman" w:eastAsia="Times New Roman" w:hAnsi="Times New Roman"/>
          <w:sz w:val="15"/>
          <w:szCs w:val="15"/>
          <w:color w:val="auto"/>
        </w:rPr>
      </w:pPr>
    </w:p>
    <w:p>
      <w:pPr>
        <w:ind w:left="1860" w:hanging="188"/>
        <w:spacing w:after="0"/>
        <w:tabs>
          <w:tab w:leader="none" w:pos="186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for relief against the Company in an involuntary case,</w:t>
      </w:r>
    </w:p>
    <w:p>
      <w:pPr>
        <w:spacing w:after="0" w:line="191" w:lineRule="exact"/>
        <w:rPr>
          <w:rFonts w:ascii="Times New Roman" w:cs="Times New Roman" w:eastAsia="Times New Roman" w:hAnsi="Times New Roman"/>
          <w:sz w:val="15"/>
          <w:szCs w:val="15"/>
          <w:color w:val="auto"/>
        </w:rPr>
      </w:pPr>
    </w:p>
    <w:p>
      <w:pPr>
        <w:ind w:left="1900" w:hanging="228"/>
        <w:spacing w:after="0"/>
        <w:tabs>
          <w:tab w:leader="none" w:pos="190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appoints a Custodian of the Company or for all or substantially all of its property, or</w:t>
      </w:r>
    </w:p>
    <w:p>
      <w:pPr>
        <w:spacing w:after="0" w:line="191" w:lineRule="exact"/>
        <w:rPr>
          <w:rFonts w:ascii="Times New Roman" w:cs="Times New Roman" w:eastAsia="Times New Roman" w:hAnsi="Times New Roman"/>
          <w:sz w:val="15"/>
          <w:szCs w:val="15"/>
          <w:color w:val="auto"/>
        </w:rPr>
      </w:pPr>
    </w:p>
    <w:p>
      <w:pPr>
        <w:ind w:left="1940" w:hanging="268"/>
        <w:spacing w:after="0"/>
        <w:tabs>
          <w:tab w:leader="none" w:pos="194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orders the liquidation of the Company, and the order or decree remains unstayed and in effect for 60 days; or</w:t>
      </w:r>
    </w:p>
    <w:p>
      <w:pPr>
        <w:spacing w:after="0" w:line="191" w:lineRule="exact"/>
        <w:rPr>
          <w:rFonts w:ascii="Times New Roman" w:cs="Times New Roman" w:eastAsia="Times New Roman" w:hAnsi="Times New Roman"/>
          <w:sz w:val="15"/>
          <w:szCs w:val="15"/>
          <w:color w:val="auto"/>
        </w:rPr>
      </w:pPr>
    </w:p>
    <w:p>
      <w:pPr>
        <w:ind w:right="560" w:firstLine="1208"/>
        <w:spacing w:after="0" w:line="287" w:lineRule="auto"/>
        <w:tabs>
          <w:tab w:leader="none" w:pos="1397"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Event of Default provided with respect to Securities of that Series, which is specified in a Board Resolution, a supplemental indenture hereto or an Officer’s Certificate, in accordance with Section 2.2.18.</w:t>
      </w:r>
    </w:p>
    <w:p>
      <w:pPr>
        <w:spacing w:after="0" w:line="130" w:lineRule="exact"/>
        <w:rPr>
          <w:sz w:val="20"/>
          <w:szCs w:val="20"/>
          <w:color w:val="auto"/>
        </w:rPr>
      </w:pPr>
    </w:p>
    <w:p>
      <w:pPr>
        <w:ind w:right="580" w:firstLine="836"/>
        <w:spacing w:after="0" w:line="293" w:lineRule="auto"/>
        <w:rPr>
          <w:sz w:val="20"/>
          <w:szCs w:val="20"/>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i w:val="1"/>
          <w:iCs w:val="1"/>
          <w:color w:val="auto"/>
        </w:rPr>
        <w:t>Bankruptcy Law</w:t>
      </w:r>
      <w:r>
        <w:rPr>
          <w:rFonts w:ascii="Times New Roman" w:cs="Times New Roman" w:eastAsia="Times New Roman" w:hAnsi="Times New Roman"/>
          <w:sz w:val="15"/>
          <w:szCs w:val="15"/>
          <w:color w:val="auto"/>
        </w:rPr>
        <w:t>” means title 11, U.S. Code or any similar U.S. Federal or State law for the relief of debtors. The term “</w:t>
      </w:r>
      <w:r>
        <w:rPr>
          <w:rFonts w:ascii="Times New Roman" w:cs="Times New Roman" w:eastAsia="Times New Roman" w:hAnsi="Times New Roman"/>
          <w:sz w:val="15"/>
          <w:szCs w:val="15"/>
          <w:i w:val="1"/>
          <w:iCs w:val="1"/>
          <w:color w:val="auto"/>
        </w:rPr>
        <w:t>Custodian</w:t>
      </w:r>
      <w:r>
        <w:rPr>
          <w:rFonts w:ascii="Times New Roman" w:cs="Times New Roman" w:eastAsia="Times New Roman" w:hAnsi="Times New Roman"/>
          <w:sz w:val="15"/>
          <w:szCs w:val="15"/>
          <w:color w:val="auto"/>
        </w:rPr>
        <w:t>” means any receiver, trustee, assignee, liquidator or similar official under any Bankruptcy Law.</w:t>
      </w:r>
    </w:p>
    <w:p>
      <w:pPr>
        <w:spacing w:after="0" w:line="129" w:lineRule="exact"/>
        <w:rPr>
          <w:sz w:val="20"/>
          <w:szCs w:val="20"/>
          <w:color w:val="auto"/>
        </w:rPr>
      </w:pPr>
    </w:p>
    <w:p>
      <w:pPr>
        <w:ind w:right="120" w:firstLine="836"/>
        <w:spacing w:after="0" w:line="270" w:lineRule="auto"/>
        <w:rPr>
          <w:sz w:val="20"/>
          <w:szCs w:val="20"/>
          <w:color w:val="auto"/>
        </w:rPr>
      </w:pPr>
      <w:r>
        <w:rPr>
          <w:rFonts w:ascii="Times New Roman" w:cs="Times New Roman" w:eastAsia="Times New Roman" w:hAnsi="Times New Roman"/>
          <w:sz w:val="15"/>
          <w:szCs w:val="15"/>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6.2 </w:t>
      </w:r>
      <w:r>
        <w:rPr>
          <w:rFonts w:ascii="Times New Roman" w:cs="Times New Roman" w:eastAsia="Times New Roman" w:hAnsi="Times New Roman"/>
          <w:sz w:val="15"/>
          <w:szCs w:val="15"/>
          <w:u w:val="single" w:color="auto"/>
          <w:color w:val="auto"/>
        </w:rPr>
        <w:t>Acceleration of Maturity; Rescission and Annulment</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80" w:firstLine="836"/>
        <w:spacing w:after="0" w:line="258" w:lineRule="auto"/>
        <w:rPr>
          <w:sz w:val="20"/>
          <w:szCs w:val="20"/>
          <w:color w:val="auto"/>
        </w:rPr>
      </w:pPr>
      <w:r>
        <w:rPr>
          <w:rFonts w:ascii="Times New Roman" w:cs="Times New Roman" w:eastAsia="Times New Roman" w:hAnsi="Times New Roman"/>
          <w:sz w:val="15"/>
          <w:szCs w:val="15"/>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cs="Times New Roman" w:eastAsia="Times New Roman" w:hAnsi="Times New Roman"/>
          <w:sz w:val="15"/>
          <w:szCs w:val="15"/>
          <w:i w:val="1"/>
          <w:iCs w:val="1"/>
          <w:color w:val="auto"/>
        </w:rPr>
        <w:t>ipso facto</w:t>
      </w:r>
      <w:r>
        <w:rPr>
          <w:rFonts w:ascii="Times New Roman" w:cs="Times New Roman" w:eastAsia="Times New Roman" w:hAnsi="Times New Roman"/>
          <w:sz w:val="15"/>
          <w:szCs w:val="15"/>
          <w:color w:val="auto"/>
        </w:rPr>
        <w:t xml:space="preserve"> become and be immediately due and payable without any declaration or other act on the part of the Trustee or any Holder.</w:t>
      </w:r>
    </w:p>
    <w:p>
      <w:pPr>
        <w:spacing w:after="0" w:line="155" w:lineRule="exact"/>
        <w:rPr>
          <w:sz w:val="20"/>
          <w:szCs w:val="20"/>
          <w:color w:val="auto"/>
        </w:rPr>
      </w:pPr>
    </w:p>
    <w:p>
      <w:pPr>
        <w:ind w:firstLine="836"/>
        <w:spacing w:after="0" w:line="261" w:lineRule="auto"/>
        <w:rPr>
          <w:sz w:val="20"/>
          <w:szCs w:val="20"/>
          <w:color w:val="auto"/>
        </w:rPr>
      </w:pPr>
      <w:r>
        <w:rPr>
          <w:rFonts w:ascii="Times New Roman" w:cs="Times New Roman" w:eastAsia="Times New Roman" w:hAnsi="Times New Roman"/>
          <w:sz w:val="15"/>
          <w:szCs w:val="15"/>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9240"/>
          </w:cols>
          <w:pgMar w:left="1300" w:top="250" w:right="1359" w:bottom="1440" w:gutter="0" w:footer="0" w:header="0"/>
        </w:sectPr>
      </w:pPr>
    </w:p>
    <w:bookmarkStart w:id="92" w:name="page93"/>
    <w:bookmarkEnd w:id="92"/>
    <w:p>
      <w:pPr>
        <w:ind w:left="8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93915" cy="34290"/>
                    </a:xfrm>
                    <a:prstGeom prst="rect">
                      <a:avLst/>
                    </a:prstGeom>
                    <a:noFill/>
                  </pic:spPr>
                </pic:pic>
              </a:graphicData>
            </a:graphic>
          </wp:anchor>
        </w:drawing>
        <w:t>No such rescission shall affect any subsequent Default or impair any right consequent thereon.</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6.3 </w:t>
      </w:r>
      <w:r>
        <w:rPr>
          <w:rFonts w:ascii="Times New Roman" w:cs="Times New Roman" w:eastAsia="Times New Roman" w:hAnsi="Times New Roman"/>
          <w:sz w:val="15"/>
          <w:szCs w:val="15"/>
          <w:u w:val="single" w:color="auto"/>
          <w:color w:val="auto"/>
        </w:rPr>
        <w:t>Collection of Indebtedness and Suits for Enforcement by Trustee</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The Company covenants that if</w:t>
      </w:r>
    </w:p>
    <w:p>
      <w:pPr>
        <w:spacing w:after="0" w:line="192" w:lineRule="exact"/>
        <w:rPr>
          <w:sz w:val="20"/>
          <w:szCs w:val="20"/>
          <w:color w:val="auto"/>
        </w:rPr>
      </w:pPr>
    </w:p>
    <w:p>
      <w:pPr>
        <w:ind w:right="60" w:firstLine="837"/>
        <w:spacing w:after="0" w:line="287" w:lineRule="auto"/>
        <w:tabs>
          <w:tab w:leader="none" w:pos="1042"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is made in the payment of any interest on any Security when such interest becomes due and payable and such default continues for a period of 30 days, or</w:t>
      </w:r>
    </w:p>
    <w:p>
      <w:pPr>
        <w:spacing w:after="0" w:line="133" w:lineRule="exact"/>
        <w:rPr>
          <w:rFonts w:ascii="Times New Roman" w:cs="Times New Roman" w:eastAsia="Times New Roman" w:hAnsi="Times New Roman"/>
          <w:sz w:val="15"/>
          <w:szCs w:val="15"/>
          <w:color w:val="auto"/>
        </w:rPr>
      </w:pPr>
    </w:p>
    <w:p>
      <w:pPr>
        <w:ind w:left="1060" w:hanging="223"/>
        <w:spacing w:after="0"/>
        <w:tabs>
          <w:tab w:leader="none" w:pos="106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is made in the payment of principal of any Security at the Maturity thereof, or</w:t>
      </w:r>
    </w:p>
    <w:p>
      <w:pPr>
        <w:spacing w:after="0" w:line="191" w:lineRule="exact"/>
        <w:rPr>
          <w:rFonts w:ascii="Times New Roman" w:cs="Times New Roman" w:eastAsia="Times New Roman" w:hAnsi="Times New Roman"/>
          <w:sz w:val="15"/>
          <w:szCs w:val="15"/>
          <w:color w:val="auto"/>
        </w:rPr>
      </w:pPr>
    </w:p>
    <w:p>
      <w:pPr>
        <w:ind w:left="1040" w:hanging="203"/>
        <w:spacing w:after="0"/>
        <w:tabs>
          <w:tab w:leader="none" w:pos="10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is made in the deposit of any sinking fund payment, if any, when and as due by the terms of a Security,</w:t>
      </w:r>
    </w:p>
    <w:p>
      <w:pPr>
        <w:spacing w:after="0" w:line="18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5"/>
          <w:szCs w:val="15"/>
          <w:i w:val="1"/>
          <w:iCs w:val="1"/>
          <w:color w:val="auto"/>
        </w:rPr>
        <w:t>then</w:t>
      </w:r>
      <w:r>
        <w:rPr>
          <w:rFonts w:ascii="Times New Roman" w:cs="Times New Roman" w:eastAsia="Times New Roman" w:hAnsi="Times New Roman"/>
          <w:sz w:val="15"/>
          <w:szCs w:val="15"/>
          <w:color w:val="auto"/>
        </w:rPr>
        <w:t>, the Company will, upon demand of the Trustee, pay to it, for the benefit of the Holders of such Securities, the whole amount then due and payable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51" w:lineRule="exact"/>
        <w:rPr>
          <w:sz w:val="20"/>
          <w:szCs w:val="20"/>
          <w:color w:val="auto"/>
        </w:rPr>
      </w:pPr>
    </w:p>
    <w:p>
      <w:pPr>
        <w:ind w:firstLine="836"/>
        <w:spacing w:after="0" w:line="264" w:lineRule="auto"/>
        <w:rPr>
          <w:sz w:val="20"/>
          <w:szCs w:val="20"/>
          <w:color w:val="auto"/>
        </w:rPr>
      </w:pPr>
      <w:r>
        <w:rPr>
          <w:rFonts w:ascii="Times New Roman" w:cs="Times New Roman" w:eastAsia="Times New Roman" w:hAnsi="Times New Roman"/>
          <w:sz w:val="15"/>
          <w:szCs w:val="15"/>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51" w:lineRule="exact"/>
        <w:rPr>
          <w:sz w:val="20"/>
          <w:szCs w:val="20"/>
          <w:color w:val="auto"/>
        </w:rPr>
      </w:pPr>
    </w:p>
    <w:p>
      <w:pPr>
        <w:ind w:right="20" w:firstLine="836"/>
        <w:spacing w:after="0" w:line="264" w:lineRule="auto"/>
        <w:rPr>
          <w:sz w:val="20"/>
          <w:szCs w:val="20"/>
          <w:color w:val="auto"/>
        </w:rPr>
      </w:pPr>
      <w:r>
        <w:rPr>
          <w:rFonts w:ascii="Times New Roman" w:cs="Times New Roman" w:eastAsia="Times New Roman" w:hAnsi="Times New Roman"/>
          <w:sz w:val="15"/>
          <w:szCs w:val="15"/>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6.4 </w:t>
      </w:r>
      <w:r>
        <w:rPr>
          <w:rFonts w:ascii="Times New Roman" w:cs="Times New Roman" w:eastAsia="Times New Roman" w:hAnsi="Times New Roman"/>
          <w:sz w:val="15"/>
          <w:szCs w:val="15"/>
          <w:u w:val="single" w:color="auto"/>
          <w:color w:val="auto"/>
        </w:rPr>
        <w:t>Trustee May File Proofs of Claim</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60" w:firstLine="836"/>
        <w:spacing w:after="0" w:line="261" w:lineRule="auto"/>
        <w:rPr>
          <w:sz w:val="20"/>
          <w:szCs w:val="20"/>
          <w:color w:val="auto"/>
        </w:rPr>
      </w:pPr>
      <w:r>
        <w:rPr>
          <w:rFonts w:ascii="Times New Roman" w:cs="Times New Roman" w:eastAsia="Times New Roman" w:hAnsi="Times New Roman"/>
          <w:sz w:val="15"/>
          <w:szCs w:val="15"/>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9280"/>
          </w:cols>
          <w:pgMar w:left="1300" w:top="250" w:right="1319" w:bottom="1440" w:gutter="0" w:footer="0" w:header="0"/>
        </w:sectPr>
      </w:pPr>
    </w:p>
    <w:bookmarkStart w:id="93" w:name="page94"/>
    <w:bookmarkEnd w:id="93"/>
    <w:p>
      <w:pPr>
        <w:jc w:val="both"/>
        <w:ind w:right="140" w:firstLine="1208"/>
        <w:spacing w:after="0" w:line="270" w:lineRule="auto"/>
        <w:tabs>
          <w:tab w:leader="none" w:pos="1413"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46" w:lineRule="exact"/>
        <w:rPr>
          <w:rFonts w:ascii="Times New Roman" w:cs="Times New Roman" w:eastAsia="Times New Roman" w:hAnsi="Times New Roman"/>
          <w:sz w:val="15"/>
          <w:szCs w:val="15"/>
          <w:color w:val="auto"/>
        </w:rPr>
      </w:pPr>
    </w:p>
    <w:p>
      <w:pPr>
        <w:ind w:firstLine="1208"/>
        <w:spacing w:after="0" w:line="261" w:lineRule="auto"/>
        <w:tabs>
          <w:tab w:leader="none" w:pos="1422"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55" w:lineRule="exact"/>
        <w:rPr>
          <w:sz w:val="20"/>
          <w:szCs w:val="20"/>
          <w:color w:val="auto"/>
        </w:rPr>
      </w:pPr>
    </w:p>
    <w:p>
      <w:pPr>
        <w:ind w:right="220" w:firstLine="836"/>
        <w:spacing w:after="0" w:line="270" w:lineRule="auto"/>
        <w:rPr>
          <w:sz w:val="20"/>
          <w:szCs w:val="20"/>
          <w:color w:val="auto"/>
        </w:rPr>
      </w:pPr>
      <w:r>
        <w:rPr>
          <w:rFonts w:ascii="Times New Roman" w:cs="Times New Roman" w:eastAsia="Times New Roman" w:hAnsi="Times New Roman"/>
          <w:sz w:val="15"/>
          <w:szCs w:val="15"/>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6.5 </w:t>
      </w:r>
      <w:r>
        <w:rPr>
          <w:rFonts w:ascii="Times New Roman" w:cs="Times New Roman" w:eastAsia="Times New Roman" w:hAnsi="Times New Roman"/>
          <w:sz w:val="15"/>
          <w:szCs w:val="15"/>
          <w:u w:val="single" w:color="auto"/>
          <w:color w:val="auto"/>
        </w:rPr>
        <w:t>Trustee May Enforce Claims Without Possession of Securities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61" w:lineRule="auto"/>
        <w:rPr>
          <w:sz w:val="20"/>
          <w:szCs w:val="20"/>
          <w:color w:val="auto"/>
        </w:rPr>
      </w:pPr>
      <w:r>
        <w:rPr>
          <w:rFonts w:ascii="Times New Roman" w:cs="Times New Roman" w:eastAsia="Times New Roman" w:hAnsi="Times New Roman"/>
          <w:sz w:val="15"/>
          <w:szCs w:val="15"/>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6.6 </w:t>
      </w:r>
      <w:r>
        <w:rPr>
          <w:rFonts w:ascii="Times New Roman" w:cs="Times New Roman" w:eastAsia="Times New Roman" w:hAnsi="Times New Roman"/>
          <w:sz w:val="15"/>
          <w:szCs w:val="15"/>
          <w:u w:val="single" w:color="auto"/>
          <w:color w:val="auto"/>
        </w:rPr>
        <w:t>Application of Money Collected</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70" w:lineRule="auto"/>
        <w:rPr>
          <w:sz w:val="20"/>
          <w:szCs w:val="20"/>
          <w:color w:val="auto"/>
        </w:rPr>
      </w:pPr>
      <w:r>
        <w:rPr>
          <w:rFonts w:ascii="Times New Roman" w:cs="Times New Roman" w:eastAsia="Times New Roman" w:hAnsi="Times New Roman"/>
          <w:sz w:val="15"/>
          <w:szCs w:val="15"/>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First: To the payment of all amounts due the Trustee under Section 7.7; and</w:t>
      </w:r>
    </w:p>
    <w:p>
      <w:pPr>
        <w:spacing w:after="0" w:line="192" w:lineRule="exact"/>
        <w:rPr>
          <w:sz w:val="20"/>
          <w:szCs w:val="20"/>
          <w:color w:val="auto"/>
        </w:rPr>
      </w:pPr>
    </w:p>
    <w:p>
      <w:pPr>
        <w:ind w:right="140" w:firstLine="836"/>
        <w:spacing w:after="0" w:line="270" w:lineRule="auto"/>
        <w:rPr>
          <w:sz w:val="20"/>
          <w:szCs w:val="20"/>
          <w:color w:val="auto"/>
        </w:rPr>
      </w:pPr>
      <w:r>
        <w:rPr>
          <w:rFonts w:ascii="Times New Roman" w:cs="Times New Roman" w:eastAsia="Times New Roman" w:hAnsi="Times New Roman"/>
          <w:sz w:val="15"/>
          <w:szCs w:val="15"/>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Third: To the Company.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9280"/>
          </w:cols>
          <w:pgMar w:left="1300" w:top="250" w:right="1319" w:bottom="1440" w:gutter="0" w:footer="0" w:header="0"/>
        </w:sectPr>
      </w:pPr>
    </w:p>
    <w:bookmarkStart w:id="94" w:name="page95"/>
    <w:bookmarkEnd w:id="94"/>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93915" cy="34290"/>
                    </a:xfrm>
                    <a:prstGeom prst="rect">
                      <a:avLst/>
                    </a:prstGeom>
                    <a:noFill/>
                  </pic:spPr>
                </pic:pic>
              </a:graphicData>
            </a:graphic>
          </wp:anchor>
        </w:drawing>
        <w:t xml:space="preserve">Section 6.7 </w:t>
      </w:r>
      <w:r>
        <w:rPr>
          <w:rFonts w:ascii="Times New Roman" w:cs="Times New Roman" w:eastAsia="Times New Roman" w:hAnsi="Times New Roman"/>
          <w:sz w:val="15"/>
          <w:szCs w:val="15"/>
          <w:u w:val="single" w:color="auto"/>
          <w:color w:val="auto"/>
        </w:rPr>
        <w:t>Limitation on Suits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580" w:firstLine="836"/>
        <w:spacing w:after="0" w:line="287" w:lineRule="auto"/>
        <w:rPr>
          <w:sz w:val="20"/>
          <w:szCs w:val="20"/>
          <w:color w:val="auto"/>
        </w:rPr>
      </w:pPr>
      <w:r>
        <w:rPr>
          <w:rFonts w:ascii="Times New Roman" w:cs="Times New Roman" w:eastAsia="Times New Roman" w:hAnsi="Times New Roman"/>
          <w:sz w:val="15"/>
          <w:szCs w:val="15"/>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3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(a) such Holder has previously given written notice to the Trustee of a continuing Event of Default with respect to the Securities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that Series;</w:t>
      </w:r>
    </w:p>
    <w:p>
      <w:pPr>
        <w:spacing w:after="0" w:line="177" w:lineRule="exact"/>
        <w:rPr>
          <w:sz w:val="20"/>
          <w:szCs w:val="20"/>
          <w:color w:val="auto"/>
        </w:rPr>
      </w:pPr>
    </w:p>
    <w:p>
      <w:pPr>
        <w:ind w:right="80" w:firstLine="1208"/>
        <w:spacing w:after="0" w:line="287" w:lineRule="auto"/>
        <w:tabs>
          <w:tab w:leader="none" w:pos="1422"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33" w:lineRule="exact"/>
        <w:rPr>
          <w:rFonts w:ascii="Times New Roman" w:cs="Times New Roman" w:eastAsia="Times New Roman" w:hAnsi="Times New Roman"/>
          <w:sz w:val="15"/>
          <w:szCs w:val="15"/>
          <w:color w:val="auto"/>
        </w:rPr>
      </w:pPr>
    </w:p>
    <w:p>
      <w:pPr>
        <w:ind w:right="180" w:firstLine="1208"/>
        <w:spacing w:after="0" w:line="287" w:lineRule="auto"/>
        <w:tabs>
          <w:tab w:leader="none" w:pos="1413"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Holder or Holders have offered to the Trustee indemnity or security satisfactory to the Trustee against the costs, expenses and liabilities which might be incurred by the Trustee in compliance with such request;</w:t>
      </w:r>
    </w:p>
    <w:p>
      <w:pPr>
        <w:spacing w:after="0" w:line="133"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for 60 days after its receipt of such notice, request and offer of indemnity has failed to institute any such proceeding;</w:t>
      </w:r>
    </w:p>
    <w:p>
      <w:pPr>
        <w:spacing w:after="0" w:line="24"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w:t>
      </w:r>
    </w:p>
    <w:p>
      <w:pPr>
        <w:spacing w:after="0" w:line="176" w:lineRule="exact"/>
        <w:rPr>
          <w:rFonts w:ascii="Times New Roman" w:cs="Times New Roman" w:eastAsia="Times New Roman" w:hAnsi="Times New Roman"/>
          <w:sz w:val="15"/>
          <w:szCs w:val="15"/>
          <w:color w:val="auto"/>
        </w:rPr>
      </w:pPr>
    </w:p>
    <w:p>
      <w:pPr>
        <w:ind w:right="160" w:firstLine="1208"/>
        <w:spacing w:after="0" w:line="287" w:lineRule="auto"/>
        <w:tabs>
          <w:tab w:leader="none" w:pos="1413"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direction inconsistent with such written request has been given to the Trustee during such 60-day period by the Holders of a majority in principal amount of the outstanding Securities of that Series;</w:t>
      </w:r>
    </w:p>
    <w:p>
      <w:pPr>
        <w:spacing w:after="0" w:line="13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5"/>
          <w:szCs w:val="15"/>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6.8 </w:t>
      </w:r>
      <w:r>
        <w:rPr>
          <w:rFonts w:ascii="Times New Roman" w:cs="Times New Roman" w:eastAsia="Times New Roman" w:hAnsi="Times New Roman"/>
          <w:sz w:val="15"/>
          <w:szCs w:val="15"/>
          <w:u w:val="single" w:color="auto"/>
          <w:color w:val="auto"/>
        </w:rPr>
        <w:t>Unconditional Right of Holders to Receive Principal and Interest</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64" w:lineRule="auto"/>
        <w:rPr>
          <w:sz w:val="20"/>
          <w:szCs w:val="20"/>
          <w:color w:val="auto"/>
        </w:rPr>
      </w:pPr>
      <w:r>
        <w:rPr>
          <w:rFonts w:ascii="Times New Roman" w:cs="Times New Roman" w:eastAsia="Times New Roman" w:hAnsi="Times New Roman"/>
          <w:sz w:val="15"/>
          <w:szCs w:val="15"/>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6.9 </w:t>
      </w:r>
      <w:r>
        <w:rPr>
          <w:rFonts w:ascii="Times New Roman" w:cs="Times New Roman" w:eastAsia="Times New Roman" w:hAnsi="Times New Roman"/>
          <w:sz w:val="15"/>
          <w:szCs w:val="15"/>
          <w:u w:val="single" w:color="auto"/>
          <w:color w:val="auto"/>
        </w:rPr>
        <w:t>Restoration of Rights and Remedies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60" w:firstLine="836"/>
        <w:spacing w:after="0" w:line="264" w:lineRule="auto"/>
        <w:rPr>
          <w:sz w:val="20"/>
          <w:szCs w:val="20"/>
          <w:color w:val="auto"/>
        </w:rPr>
      </w:pPr>
      <w:r>
        <w:rPr>
          <w:rFonts w:ascii="Times New Roman" w:cs="Times New Roman" w:eastAsia="Times New Roman" w:hAnsi="Times New Roman"/>
          <w:sz w:val="15"/>
          <w:szCs w:val="15"/>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9280"/>
          </w:cols>
          <w:pgMar w:left="1300" w:top="250" w:right="1319" w:bottom="1440" w:gutter="0" w:footer="0" w:header="0"/>
        </w:sectPr>
      </w:pPr>
    </w:p>
    <w:bookmarkStart w:id="95" w:name="page96"/>
    <w:bookmarkEnd w:id="95"/>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7193915" cy="34290"/>
                    </a:xfrm>
                    <a:prstGeom prst="rect">
                      <a:avLst/>
                    </a:prstGeom>
                    <a:noFill/>
                  </pic:spPr>
                </pic:pic>
              </a:graphicData>
            </a:graphic>
          </wp:anchor>
        </w:drawing>
        <w:t xml:space="preserve">Section 6.10 </w:t>
      </w:r>
      <w:r>
        <w:rPr>
          <w:rFonts w:ascii="Times New Roman" w:cs="Times New Roman" w:eastAsia="Times New Roman" w:hAnsi="Times New Roman"/>
          <w:sz w:val="15"/>
          <w:szCs w:val="15"/>
          <w:u w:val="single" w:color="auto"/>
          <w:color w:val="auto"/>
        </w:rPr>
        <w:t>Rights and Remedies Cumulative</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40" w:firstLine="836"/>
        <w:spacing w:after="0" w:line="261" w:lineRule="auto"/>
        <w:rPr>
          <w:sz w:val="20"/>
          <w:szCs w:val="20"/>
          <w:color w:val="auto"/>
        </w:rPr>
      </w:pPr>
      <w:r>
        <w:rPr>
          <w:rFonts w:ascii="Times New Roman" w:cs="Times New Roman" w:eastAsia="Times New Roman" w:hAnsi="Times New Roman"/>
          <w:sz w:val="15"/>
          <w:szCs w:val="15"/>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6.11 </w:t>
      </w:r>
      <w:r>
        <w:rPr>
          <w:rFonts w:ascii="Times New Roman" w:cs="Times New Roman" w:eastAsia="Times New Roman" w:hAnsi="Times New Roman"/>
          <w:sz w:val="15"/>
          <w:szCs w:val="15"/>
          <w:u w:val="single" w:color="auto"/>
          <w:color w:val="auto"/>
        </w:rPr>
        <w:t>Delay or Omission Not Waiver</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64" w:lineRule="auto"/>
        <w:rPr>
          <w:sz w:val="20"/>
          <w:szCs w:val="20"/>
          <w:color w:val="auto"/>
        </w:rPr>
      </w:pPr>
      <w:r>
        <w:rPr>
          <w:rFonts w:ascii="Times New Roman" w:cs="Times New Roman" w:eastAsia="Times New Roman" w:hAnsi="Times New Roman"/>
          <w:sz w:val="15"/>
          <w:szCs w:val="15"/>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6.12 </w:t>
      </w:r>
      <w:r>
        <w:rPr>
          <w:rFonts w:ascii="Times New Roman" w:cs="Times New Roman" w:eastAsia="Times New Roman" w:hAnsi="Times New Roman"/>
          <w:sz w:val="15"/>
          <w:szCs w:val="15"/>
          <w:u w:val="single" w:color="auto"/>
          <w:color w:val="auto"/>
        </w:rPr>
        <w:t>Control by Holders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80" w:firstLine="836"/>
        <w:spacing w:after="0" w:line="270" w:lineRule="auto"/>
        <w:rPr>
          <w:sz w:val="20"/>
          <w:szCs w:val="20"/>
          <w:color w:val="auto"/>
        </w:rPr>
      </w:pPr>
      <w:r>
        <w:rPr>
          <w:rFonts w:ascii="Times New Roman" w:cs="Times New Roman" w:eastAsia="Times New Roman" w:hAnsi="Times New Roman"/>
          <w:sz w:val="15"/>
          <w:szCs w:val="15"/>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46" w:lineRule="exact"/>
        <w:rPr>
          <w:sz w:val="20"/>
          <w:szCs w:val="20"/>
          <w:color w:val="auto"/>
        </w:rPr>
      </w:pPr>
    </w:p>
    <w:p>
      <w:pPr>
        <w:ind w:left="1420" w:hanging="212"/>
        <w:spacing w:after="0"/>
        <w:tabs>
          <w:tab w:leader="none" w:pos="142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direction shall not be in conflict with any rule of law or with this Indenture,</w:t>
      </w:r>
    </w:p>
    <w:p>
      <w:pPr>
        <w:spacing w:after="0" w:line="191"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take any other action deemed proper by the Trustee which is not inconsistent with such direction,</w:t>
      </w:r>
    </w:p>
    <w:p>
      <w:pPr>
        <w:spacing w:after="0" w:line="191" w:lineRule="exact"/>
        <w:rPr>
          <w:rFonts w:ascii="Times New Roman" w:cs="Times New Roman" w:eastAsia="Times New Roman" w:hAnsi="Times New Roman"/>
          <w:sz w:val="15"/>
          <w:szCs w:val="15"/>
          <w:color w:val="auto"/>
        </w:rPr>
      </w:pPr>
    </w:p>
    <w:p>
      <w:pPr>
        <w:jc w:val="both"/>
        <w:ind w:right="160" w:firstLine="1208"/>
        <w:spacing w:after="0" w:line="287" w:lineRule="auto"/>
        <w:tabs>
          <w:tab w:leader="none" w:pos="1413"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33" w:lineRule="exact"/>
        <w:rPr>
          <w:rFonts w:ascii="Times New Roman" w:cs="Times New Roman" w:eastAsia="Times New Roman" w:hAnsi="Times New Roman"/>
          <w:sz w:val="15"/>
          <w:szCs w:val="15"/>
          <w:color w:val="auto"/>
        </w:rPr>
      </w:pPr>
    </w:p>
    <w:p>
      <w:pPr>
        <w:ind w:right="140" w:firstLine="1208"/>
        <w:spacing w:after="0" w:line="287" w:lineRule="auto"/>
        <w:tabs>
          <w:tab w:leader="none" w:pos="1422"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taking any action as directed under this Section 6.12, the Trustee shall be entitled to indemnity satisfactory to it against the losses, costs, expenses and liabilities which might be incurred by it in compliance with such request or direction.</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9260"/>
          </w:cols>
          <w:pgMar w:left="1300" w:top="250" w:right="1339" w:bottom="1440" w:gutter="0" w:footer="0" w:header="0"/>
        </w:sectPr>
      </w:pPr>
    </w:p>
    <w:bookmarkStart w:id="96" w:name="page97"/>
    <w:bookmarkEnd w:id="96"/>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7193915" cy="34290"/>
                    </a:xfrm>
                    <a:prstGeom prst="rect">
                      <a:avLst/>
                    </a:prstGeom>
                    <a:noFill/>
                  </pic:spPr>
                </pic:pic>
              </a:graphicData>
            </a:graphic>
          </wp:anchor>
        </w:drawing>
        <w:t xml:space="preserve">Section 6.13 </w:t>
      </w:r>
      <w:r>
        <w:rPr>
          <w:rFonts w:ascii="Times New Roman" w:cs="Times New Roman" w:eastAsia="Times New Roman" w:hAnsi="Times New Roman"/>
          <w:sz w:val="15"/>
          <w:szCs w:val="15"/>
          <w:u w:val="single" w:color="auto"/>
          <w:color w:val="auto"/>
        </w:rPr>
        <w:t>Waiver of Past Defaults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59" w:lineRule="auto"/>
        <w:rPr>
          <w:sz w:val="20"/>
          <w:szCs w:val="20"/>
          <w:color w:val="auto"/>
        </w:rPr>
      </w:pPr>
      <w:r>
        <w:rPr>
          <w:rFonts w:ascii="Times New Roman" w:cs="Times New Roman" w:eastAsia="Times New Roman" w:hAnsi="Times New Roman"/>
          <w:sz w:val="15"/>
          <w:szCs w:val="15"/>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6.14 </w:t>
      </w:r>
      <w:r>
        <w:rPr>
          <w:rFonts w:ascii="Times New Roman" w:cs="Times New Roman" w:eastAsia="Times New Roman" w:hAnsi="Times New Roman"/>
          <w:sz w:val="15"/>
          <w:szCs w:val="15"/>
          <w:u w:val="single" w:color="auto"/>
          <w:color w:val="auto"/>
        </w:rPr>
        <w:t>Undertaking for Costs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20" w:firstLine="836"/>
        <w:spacing w:after="0" w:line="257" w:lineRule="auto"/>
        <w:rPr>
          <w:sz w:val="20"/>
          <w:szCs w:val="20"/>
          <w:color w:val="auto"/>
        </w:rPr>
      </w:pPr>
      <w:r>
        <w:rPr>
          <w:rFonts w:ascii="Times New Roman" w:cs="Times New Roman" w:eastAsia="Times New Roman" w:hAnsi="Times New Roman"/>
          <w:sz w:val="15"/>
          <w:szCs w:val="15"/>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VII</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TRUSTEE</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7.1 </w:t>
      </w:r>
      <w:r>
        <w:rPr>
          <w:rFonts w:ascii="Times New Roman" w:cs="Times New Roman" w:eastAsia="Times New Roman" w:hAnsi="Times New Roman"/>
          <w:sz w:val="15"/>
          <w:szCs w:val="15"/>
          <w:u w:val="single" w:color="auto"/>
          <w:color w:val="auto"/>
        </w:rPr>
        <w:t>Duties of Trustee</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jc w:val="both"/>
        <w:ind w:right="40" w:firstLine="837"/>
        <w:spacing w:after="0" w:line="270" w:lineRule="auto"/>
        <w:tabs>
          <w:tab w:leader="none" w:pos="1042"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46" w:lineRule="exact"/>
        <w:rPr>
          <w:rFonts w:ascii="Times New Roman" w:cs="Times New Roman" w:eastAsia="Times New Roman" w:hAnsi="Times New Roman"/>
          <w:sz w:val="15"/>
          <w:szCs w:val="15"/>
          <w:color w:val="auto"/>
        </w:rPr>
      </w:pPr>
    </w:p>
    <w:p>
      <w:pPr>
        <w:ind w:left="1060" w:hanging="223"/>
        <w:spacing w:after="0"/>
        <w:tabs>
          <w:tab w:leader="none" w:pos="106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during the continuance of an Event of Default:</w:t>
      </w:r>
    </w:p>
    <w:p>
      <w:pPr>
        <w:spacing w:after="0" w:line="100" w:lineRule="exact"/>
        <w:rPr>
          <w:rFonts w:ascii="Times New Roman" w:cs="Times New Roman" w:eastAsia="Times New Roman" w:hAnsi="Times New Roman"/>
          <w:sz w:val="15"/>
          <w:szCs w:val="15"/>
          <w:color w:val="auto"/>
        </w:rPr>
      </w:pPr>
    </w:p>
    <w:p>
      <w:pPr>
        <w:ind w:right="620" w:firstLine="1208"/>
        <w:spacing w:after="0" w:line="287" w:lineRule="auto"/>
        <w:tabs>
          <w:tab w:leader="none" w:pos="1388"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need perform only those duties that are specifically set forth in this Indenture and no others, and no implied covenants or obligations shall be read into this Indenture against the Trustee.</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9280"/>
          </w:cols>
          <w:pgMar w:left="1300" w:top="250" w:right="1319" w:bottom="1440" w:gutter="0" w:footer="0" w:header="0"/>
        </w:sectPr>
      </w:pPr>
    </w:p>
    <w:bookmarkStart w:id="97" w:name="page98"/>
    <w:bookmarkEnd w:id="97"/>
    <w:p>
      <w:pPr>
        <w:jc w:val="both"/>
        <w:ind w:left="-40" w:right="60" w:firstLine="1208"/>
        <w:spacing w:after="0" w:line="261" w:lineRule="auto"/>
        <w:tabs>
          <w:tab w:leader="none" w:pos="1390"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193915" cy="34290"/>
                    </a:xfrm>
                    <a:prstGeom prst="rect">
                      <a:avLst/>
                    </a:prstGeom>
                    <a:noFill/>
                  </pic:spPr>
                </pic:pic>
              </a:graphicData>
            </a:graphic>
          </wp:anchor>
        </w:drawing>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(but need not confirm or investigate the accuracy of mathematical calculations or other facts stated therein).</w:t>
      </w:r>
    </w:p>
    <w:p>
      <w:pPr>
        <w:spacing w:after="0" w:line="154" w:lineRule="exact"/>
        <w:rPr>
          <w:rFonts w:ascii="Times New Roman" w:cs="Times New Roman" w:eastAsia="Times New Roman" w:hAnsi="Times New Roman"/>
          <w:sz w:val="15"/>
          <w:szCs w:val="15"/>
          <w:color w:val="auto"/>
        </w:rPr>
      </w:pPr>
    </w:p>
    <w:p>
      <w:pPr>
        <w:ind w:left="-40" w:right="700" w:firstLine="837"/>
        <w:spacing w:after="0" w:line="287" w:lineRule="auto"/>
        <w:tabs>
          <w:tab w:leader="none" w:pos="1002"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not be relieved from liability for its own negligent action, its own negligent failure to act or its own willful misconduct, except that:</w:t>
      </w:r>
    </w:p>
    <w:p>
      <w:pPr>
        <w:spacing w:after="0" w:line="42" w:lineRule="exact"/>
        <w:rPr>
          <w:rFonts w:ascii="Times New Roman" w:cs="Times New Roman" w:eastAsia="Times New Roman" w:hAnsi="Times New Roman"/>
          <w:sz w:val="15"/>
          <w:szCs w:val="15"/>
          <w:color w:val="auto"/>
        </w:rPr>
      </w:pPr>
    </w:p>
    <w:p>
      <w:pPr>
        <w:ind w:left="1340" w:hanging="172"/>
        <w:spacing w:after="0"/>
        <w:tabs>
          <w:tab w:leader="none" w:pos="1340" w:val="left"/>
        </w:tabs>
        <w:numPr>
          <w:ilvl w:val="1"/>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paragraph does not limit the effect of paragraph (b) of this Section.</w:t>
      </w:r>
    </w:p>
    <w:p>
      <w:pPr>
        <w:spacing w:after="0" w:line="192" w:lineRule="exact"/>
        <w:rPr>
          <w:sz w:val="20"/>
          <w:szCs w:val="20"/>
          <w:color w:val="auto"/>
        </w:rPr>
      </w:pPr>
    </w:p>
    <w:p>
      <w:pPr>
        <w:ind w:left="-40" w:right="260" w:firstLine="1208"/>
        <w:spacing w:after="0" w:line="287" w:lineRule="auto"/>
        <w:tabs>
          <w:tab w:leader="none" w:pos="1390"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for any error of judgment made in good faith by a Responsible Officer, unless it is proved in a court of competent jurisdiction that the Trustee was negligent in ascertaining the pertinent facts.</w:t>
      </w:r>
    </w:p>
    <w:p>
      <w:pPr>
        <w:spacing w:after="0" w:line="133" w:lineRule="exact"/>
        <w:rPr>
          <w:rFonts w:ascii="Times New Roman" w:cs="Times New Roman" w:eastAsia="Times New Roman" w:hAnsi="Times New Roman"/>
          <w:sz w:val="15"/>
          <w:szCs w:val="15"/>
          <w:color w:val="auto"/>
        </w:rPr>
      </w:pPr>
    </w:p>
    <w:p>
      <w:pPr>
        <w:ind w:left="-40" w:firstLine="1208"/>
        <w:spacing w:after="0" w:line="264" w:lineRule="auto"/>
        <w:tabs>
          <w:tab w:leader="none" w:pos="1433"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51" w:lineRule="exact"/>
        <w:rPr>
          <w:rFonts w:ascii="Times New Roman" w:cs="Times New Roman" w:eastAsia="Times New Roman" w:hAnsi="Times New Roman"/>
          <w:sz w:val="15"/>
          <w:szCs w:val="15"/>
          <w:color w:val="auto"/>
        </w:rPr>
      </w:pPr>
    </w:p>
    <w:p>
      <w:pPr>
        <w:ind w:left="1020" w:hanging="223"/>
        <w:spacing w:after="0"/>
        <w:tabs>
          <w:tab w:leader="none" w:pos="102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Every provision of this Indenture that in any way relates to the Trustee is subject to paragraph (a), (b) and (c) of this Section.</w:t>
      </w:r>
    </w:p>
    <w:p>
      <w:pPr>
        <w:spacing w:after="0" w:line="191" w:lineRule="exact"/>
        <w:rPr>
          <w:rFonts w:ascii="Times New Roman" w:cs="Times New Roman" w:eastAsia="Times New Roman" w:hAnsi="Times New Roman"/>
          <w:sz w:val="15"/>
          <w:szCs w:val="15"/>
          <w:color w:val="auto"/>
        </w:rPr>
      </w:pPr>
    </w:p>
    <w:p>
      <w:pPr>
        <w:ind w:left="-40" w:right="240" w:firstLine="837"/>
        <w:spacing w:after="0" w:line="287" w:lineRule="auto"/>
        <w:tabs>
          <w:tab w:leader="none" w:pos="1002"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refuse to perform any duty or exercise any right or power unless it receives indemnity satisfactory to it against the losses, costs, expenses and liabilities which might be incurred by it in performing such duty or exercising such right or power.</w:t>
      </w:r>
    </w:p>
    <w:p>
      <w:pPr>
        <w:spacing w:after="0" w:line="133" w:lineRule="exact"/>
        <w:rPr>
          <w:rFonts w:ascii="Times New Roman" w:cs="Times New Roman" w:eastAsia="Times New Roman" w:hAnsi="Times New Roman"/>
          <w:sz w:val="15"/>
          <w:szCs w:val="15"/>
          <w:color w:val="auto"/>
        </w:rPr>
      </w:pPr>
    </w:p>
    <w:p>
      <w:pPr>
        <w:ind w:left="-40" w:right="160" w:firstLine="837"/>
        <w:spacing w:after="0" w:line="287" w:lineRule="auto"/>
        <w:tabs>
          <w:tab w:leader="none" w:pos="985"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for interest or investment on any money received by it except as the Trustee may agree in writing with the Company. Money held in trust by the Trustee need not be segregated from other funds except to the extent required by law.</w:t>
      </w:r>
    </w:p>
    <w:p>
      <w:pPr>
        <w:spacing w:after="0" w:line="133" w:lineRule="exact"/>
        <w:rPr>
          <w:rFonts w:ascii="Times New Roman" w:cs="Times New Roman" w:eastAsia="Times New Roman" w:hAnsi="Times New Roman"/>
          <w:sz w:val="15"/>
          <w:szCs w:val="15"/>
          <w:color w:val="auto"/>
        </w:rPr>
      </w:pPr>
    </w:p>
    <w:p>
      <w:pPr>
        <w:ind w:left="-40" w:right="100" w:firstLine="837"/>
        <w:spacing w:after="0" w:line="287" w:lineRule="auto"/>
        <w:tabs>
          <w:tab w:leader="none" w:pos="1011"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provision of this Indenture shall require the Trustee to expend or risk its own funds or otherwise incur any financial liability in the performance of any of its duties, or in the exercise of any of its rights or powers.</w:t>
      </w:r>
    </w:p>
    <w:p>
      <w:pPr>
        <w:spacing w:after="0" w:line="133" w:lineRule="exact"/>
        <w:rPr>
          <w:rFonts w:ascii="Times New Roman" w:cs="Times New Roman" w:eastAsia="Times New Roman" w:hAnsi="Times New Roman"/>
          <w:sz w:val="15"/>
          <w:szCs w:val="15"/>
          <w:color w:val="auto"/>
        </w:rPr>
      </w:pPr>
    </w:p>
    <w:p>
      <w:pPr>
        <w:ind w:left="-40" w:right="320" w:firstLine="837"/>
        <w:spacing w:after="0" w:line="287" w:lineRule="auto"/>
        <w:tabs>
          <w:tab w:leader="none" w:pos="1011"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 xml:space="preserve">Section 7.2 </w:t>
      </w:r>
      <w:r>
        <w:rPr>
          <w:rFonts w:ascii="Times New Roman" w:cs="Times New Roman" w:eastAsia="Times New Roman" w:hAnsi="Times New Roman"/>
          <w:sz w:val="15"/>
          <w:szCs w:val="15"/>
          <w:u w:val="single" w:color="auto"/>
          <w:color w:val="auto"/>
        </w:rPr>
        <w:t>Rights of Trustee</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left="-40" w:right="60" w:firstLine="837"/>
        <w:spacing w:after="0" w:line="270" w:lineRule="auto"/>
        <w:tabs>
          <w:tab w:leader="none" w:pos="1002"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9220"/>
          </w:cols>
          <w:pgMar w:left="1340" w:top="250" w:right="1339" w:bottom="1440" w:gutter="0" w:footer="0" w:header="0"/>
        </w:sectPr>
      </w:pPr>
    </w:p>
    <w:bookmarkStart w:id="98" w:name="page99"/>
    <w:bookmarkEnd w:id="98"/>
    <w:p>
      <w:pPr>
        <w:ind w:right="200" w:firstLine="837"/>
        <w:spacing w:after="0" w:line="287" w:lineRule="auto"/>
        <w:tabs>
          <w:tab w:leader="none" w:pos="1051"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193915" cy="34290"/>
                    </a:xfrm>
                    <a:prstGeom prst="rect">
                      <a:avLst/>
                    </a:prstGeom>
                    <a:noFill/>
                  </pic:spPr>
                </pic:pic>
              </a:graphicData>
            </a:graphic>
          </wp:anchor>
        </w:drawing>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33" w:lineRule="exact"/>
        <w:rPr>
          <w:rFonts w:ascii="Times New Roman" w:cs="Times New Roman" w:eastAsia="Times New Roman" w:hAnsi="Times New Roman"/>
          <w:sz w:val="15"/>
          <w:szCs w:val="15"/>
          <w:color w:val="auto"/>
        </w:rPr>
      </w:pPr>
    </w:p>
    <w:p>
      <w:pPr>
        <w:ind w:firstLine="837"/>
        <w:spacing w:after="0" w:line="270" w:lineRule="auto"/>
        <w:tabs>
          <w:tab w:leader="none" w:pos="1042"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act through its attorneys and agents and shall not be responsible for the misconduct or negligence of any attorney or agent appointed with due care. No Depositary shall be deemed an agent of the Trustee and the Trustee shall not be responsible for any act or omission by any Depositary.</w:t>
      </w:r>
    </w:p>
    <w:p>
      <w:pPr>
        <w:spacing w:after="0" w:line="146" w:lineRule="exact"/>
        <w:rPr>
          <w:rFonts w:ascii="Times New Roman" w:cs="Times New Roman" w:eastAsia="Times New Roman" w:hAnsi="Times New Roman"/>
          <w:sz w:val="15"/>
          <w:szCs w:val="15"/>
          <w:color w:val="auto"/>
        </w:rPr>
      </w:pPr>
    </w:p>
    <w:p>
      <w:pPr>
        <w:ind w:firstLine="837"/>
        <w:spacing w:after="0" w:line="287" w:lineRule="auto"/>
        <w:tabs>
          <w:tab w:leader="none" w:pos="1051"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133" w:lineRule="exact"/>
        <w:rPr>
          <w:rFonts w:ascii="Times New Roman" w:cs="Times New Roman" w:eastAsia="Times New Roman" w:hAnsi="Times New Roman"/>
          <w:sz w:val="15"/>
          <w:szCs w:val="15"/>
          <w:color w:val="auto"/>
        </w:rPr>
      </w:pPr>
    </w:p>
    <w:p>
      <w:pPr>
        <w:ind w:right="40" w:firstLine="837"/>
        <w:spacing w:after="0" w:line="270" w:lineRule="auto"/>
        <w:tabs>
          <w:tab w:leader="none" w:pos="1042"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146" w:lineRule="exact"/>
        <w:rPr>
          <w:rFonts w:ascii="Times New Roman" w:cs="Times New Roman" w:eastAsia="Times New Roman" w:hAnsi="Times New Roman"/>
          <w:sz w:val="15"/>
          <w:szCs w:val="15"/>
          <w:color w:val="auto"/>
        </w:rPr>
      </w:pPr>
    </w:p>
    <w:p>
      <w:pPr>
        <w:jc w:val="both"/>
        <w:ind w:right="80" w:firstLine="837"/>
        <w:spacing w:after="0" w:line="270" w:lineRule="auto"/>
        <w:tabs>
          <w:tab w:leader="none" w:pos="1025"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be under no obligation to exercise any of the rights or powers vested in it by this Indenture at the request or direction of any of the Holders of Securities unless such Holders shall have offered (and, if requested, provided) to the Trustee security or indemnity satisfactory to it against the losses, costs, expenses and liabilities which might be incurred by it in compliance with such request or direction.</w:t>
      </w:r>
    </w:p>
    <w:p>
      <w:pPr>
        <w:spacing w:after="0" w:line="146" w:lineRule="exact"/>
        <w:rPr>
          <w:rFonts w:ascii="Times New Roman" w:cs="Times New Roman" w:eastAsia="Times New Roman" w:hAnsi="Times New Roman"/>
          <w:sz w:val="15"/>
          <w:szCs w:val="15"/>
          <w:color w:val="auto"/>
        </w:rPr>
      </w:pPr>
    </w:p>
    <w:p>
      <w:pPr>
        <w:ind w:right="80" w:firstLine="837"/>
        <w:spacing w:after="0" w:line="270" w:lineRule="auto"/>
        <w:tabs>
          <w:tab w:leader="none" w:pos="1051"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46" w:lineRule="exact"/>
        <w:rPr>
          <w:rFonts w:ascii="Times New Roman" w:cs="Times New Roman" w:eastAsia="Times New Roman" w:hAnsi="Times New Roman"/>
          <w:sz w:val="15"/>
          <w:szCs w:val="15"/>
          <w:color w:val="auto"/>
        </w:rPr>
      </w:pPr>
    </w:p>
    <w:p>
      <w:pPr>
        <w:ind w:right="40" w:firstLine="837"/>
        <w:spacing w:after="0" w:line="264" w:lineRule="auto"/>
        <w:tabs>
          <w:tab w:leader="none" w:pos="1051"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Securities generally or the Securities of a particular Series and this Indenture.</w:t>
      </w:r>
    </w:p>
    <w:p>
      <w:pPr>
        <w:spacing w:after="0" w:line="151" w:lineRule="exact"/>
        <w:rPr>
          <w:rFonts w:ascii="Times New Roman" w:cs="Times New Roman" w:eastAsia="Times New Roman" w:hAnsi="Times New Roman"/>
          <w:sz w:val="15"/>
          <w:szCs w:val="15"/>
          <w:color w:val="auto"/>
        </w:rPr>
      </w:pPr>
    </w:p>
    <w:p>
      <w:pPr>
        <w:ind w:right="120" w:firstLine="837"/>
        <w:spacing w:after="0" w:line="270" w:lineRule="auto"/>
        <w:tabs>
          <w:tab w:leader="none" w:pos="1017"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no event shall the Trustee be responsible or liable to any person for special, punitive, indirect, consequential or incidental loss or damage of any kind whatsoever (including but not limited to lost profits), even if the Trustee has been advised of the likelihood of such loss or damage and regardless of the form of action.</w:t>
      </w:r>
    </w:p>
    <w:p>
      <w:pPr>
        <w:spacing w:after="0" w:line="146" w:lineRule="exact"/>
        <w:rPr>
          <w:rFonts w:ascii="Times New Roman" w:cs="Times New Roman" w:eastAsia="Times New Roman" w:hAnsi="Times New Roman"/>
          <w:sz w:val="15"/>
          <w:szCs w:val="15"/>
          <w:color w:val="auto"/>
        </w:rPr>
      </w:pPr>
    </w:p>
    <w:p>
      <w:pPr>
        <w:ind w:left="1020" w:hanging="183"/>
        <w:spacing w:after="0"/>
        <w:tabs>
          <w:tab w:leader="none" w:pos="102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permissive right of the Trustee to take the actions permitted by this Indenture shall not be construed as an obligation or duty to do</w:t>
      </w:r>
    </w:p>
    <w:p>
      <w:pPr>
        <w:spacing w:after="0" w:line="24"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9280"/>
          </w:cols>
          <w:pgMar w:left="1300" w:top="250" w:right="1319" w:bottom="1440" w:gutter="0" w:footer="0" w:header="0"/>
        </w:sectPr>
      </w:pPr>
    </w:p>
    <w:bookmarkStart w:id="99" w:name="page100"/>
    <w:bookmarkEnd w:id="99"/>
    <w:p>
      <w:pPr>
        <w:ind w:left="1060" w:hanging="223"/>
        <w:spacing w:after="0"/>
        <w:tabs>
          <w:tab w:leader="none" w:pos="106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193915" cy="34290"/>
                    </a:xfrm>
                    <a:prstGeom prst="rect">
                      <a:avLst/>
                    </a:prstGeom>
                    <a:noFill/>
                  </pic:spPr>
                </pic:pic>
              </a:graphicData>
            </a:graphic>
          </wp:anchor>
        </w:drawing>
        <w:t>No bond or surety shall be required with respect to performance of Trustee’s duties and powers.</w:t>
      </w:r>
    </w:p>
    <w:p>
      <w:pPr>
        <w:spacing w:after="0" w:line="191" w:lineRule="exact"/>
        <w:rPr>
          <w:rFonts w:ascii="Times New Roman" w:cs="Times New Roman" w:eastAsia="Times New Roman" w:hAnsi="Times New Roman"/>
          <w:sz w:val="15"/>
          <w:szCs w:val="15"/>
          <w:color w:val="auto"/>
        </w:rPr>
      </w:pPr>
    </w:p>
    <w:p>
      <w:pPr>
        <w:ind w:left="1020" w:hanging="183"/>
        <w:spacing w:after="0"/>
        <w:tabs>
          <w:tab w:leader="none" w:pos="102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no circumstances shall the Trustee be liable in its individual capacity for the obligations evidenced by the Securities.</w:t>
      </w:r>
    </w:p>
    <w:p>
      <w:pPr>
        <w:spacing w:after="0" w:line="191" w:lineRule="exact"/>
        <w:rPr>
          <w:rFonts w:ascii="Times New Roman" w:cs="Times New Roman" w:eastAsia="Times New Roman" w:hAnsi="Times New Roman"/>
          <w:sz w:val="15"/>
          <w:szCs w:val="15"/>
          <w:color w:val="auto"/>
        </w:rPr>
      </w:pPr>
    </w:p>
    <w:p>
      <w:pPr>
        <w:ind w:right="80" w:firstLine="837"/>
        <w:spacing w:after="0" w:line="287" w:lineRule="auto"/>
        <w:tabs>
          <w:tab w:leader="none" w:pos="1093"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request or direction of the Company mentioned herein shall be sufficiently evidenced by a Company Order and any resolution of the Board of Directors may be sufficiently evidenced by a Board Resolution.</w:t>
      </w:r>
    </w:p>
    <w:p>
      <w:pPr>
        <w:spacing w:after="0" w:line="133" w:lineRule="exact"/>
        <w:rPr>
          <w:rFonts w:ascii="Times New Roman" w:cs="Times New Roman" w:eastAsia="Times New Roman" w:hAnsi="Times New Roman"/>
          <w:sz w:val="15"/>
          <w:szCs w:val="15"/>
          <w:color w:val="auto"/>
        </w:rPr>
      </w:pPr>
    </w:p>
    <w:p>
      <w:pPr>
        <w:ind w:firstLine="837"/>
        <w:spacing w:after="0" w:line="287" w:lineRule="auto"/>
        <w:tabs>
          <w:tab w:leader="none" w:pos="1051"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request that the Company deliver a certificate setting forth the names of individuals and/or titles of officers authorized at such time to take specified actions pursuant to this Indenture.</w:t>
      </w:r>
    </w:p>
    <w:p>
      <w:pPr>
        <w:spacing w:after="0" w:line="133" w:lineRule="exact"/>
        <w:rPr>
          <w:rFonts w:ascii="Times New Roman" w:cs="Times New Roman" w:eastAsia="Times New Roman" w:hAnsi="Times New Roman"/>
          <w:sz w:val="15"/>
          <w:szCs w:val="15"/>
          <w:color w:val="auto"/>
        </w:rPr>
      </w:pPr>
    </w:p>
    <w:p>
      <w:pPr>
        <w:ind w:right="280" w:firstLine="837"/>
        <w:spacing w:after="0" w:line="270" w:lineRule="auto"/>
        <w:tabs>
          <w:tab w:leader="none" w:pos="1051"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7.3 </w:t>
      </w:r>
      <w:r>
        <w:rPr>
          <w:rFonts w:ascii="Times New Roman" w:cs="Times New Roman" w:eastAsia="Times New Roman" w:hAnsi="Times New Roman"/>
          <w:sz w:val="15"/>
          <w:szCs w:val="15"/>
          <w:u w:val="single" w:color="auto"/>
          <w:color w:val="auto"/>
        </w:rPr>
        <w:t>Individual Rights of Trustee</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280" w:firstLine="836"/>
        <w:spacing w:after="0" w:line="270" w:lineRule="auto"/>
        <w:rPr>
          <w:sz w:val="20"/>
          <w:szCs w:val="20"/>
          <w:color w:val="auto"/>
        </w:rPr>
      </w:pPr>
      <w:r>
        <w:rPr>
          <w:rFonts w:ascii="Times New Roman" w:cs="Times New Roman" w:eastAsia="Times New Roman" w:hAnsi="Times New Roman"/>
          <w:sz w:val="15"/>
          <w:szCs w:val="15"/>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7.4 </w:t>
      </w:r>
      <w:r>
        <w:rPr>
          <w:rFonts w:ascii="Times New Roman" w:cs="Times New Roman" w:eastAsia="Times New Roman" w:hAnsi="Times New Roman"/>
          <w:sz w:val="15"/>
          <w:szCs w:val="15"/>
          <w:u w:val="single" w:color="auto"/>
          <w:color w:val="auto"/>
        </w:rPr>
        <w:t>Trustee’s Disclaimer</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60" w:lineRule="auto"/>
        <w:rPr>
          <w:sz w:val="20"/>
          <w:szCs w:val="20"/>
          <w:color w:val="auto"/>
        </w:rPr>
      </w:pPr>
      <w:r>
        <w:rPr>
          <w:rFonts w:ascii="Times New Roman" w:cs="Times New Roman" w:eastAsia="Times New Roman" w:hAnsi="Times New Roman"/>
          <w:sz w:val="15"/>
          <w:szCs w:val="15"/>
          <w:color w:val="auto"/>
        </w:rPr>
        <w:t>The Trustee shall not be responsible for and makes no representation as to the validity or adequacy of this Indenture or the Securities, it shall not be accountable for the Company’s use of the proceeds from the Securities, or any money paid to the Company or upon the Company’s direction under any provision of this Indenture, it shall not be responsible for the use or application of any money received by any Paying Agent other than the Trustee, and it shall not be responsible for any statement herein or in the Securities or any other document in connection with the sale of the Securities other than its authentication. The recitals contained herein and in the Securities, except the Trustee’s certificates of authentication, shall be taken as the statements of the Company, and the Trustee or any Authenticating Agent assumes no responsibility for their correctness.</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7.5 </w:t>
      </w:r>
      <w:r>
        <w:rPr>
          <w:rFonts w:ascii="Times New Roman" w:cs="Times New Roman" w:eastAsia="Times New Roman" w:hAnsi="Times New Roman"/>
          <w:sz w:val="15"/>
          <w:szCs w:val="15"/>
          <w:u w:val="single" w:color="auto"/>
          <w:color w:val="auto"/>
        </w:rPr>
        <w:t>Notice of Defaults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61" w:lineRule="auto"/>
        <w:rPr>
          <w:sz w:val="20"/>
          <w:szCs w:val="20"/>
          <w:color w:val="auto"/>
        </w:rPr>
      </w:pPr>
      <w:r>
        <w:rPr>
          <w:rFonts w:ascii="Times New Roman" w:cs="Times New Roman" w:eastAsia="Times New Roman" w:hAnsi="Times New Roman"/>
          <w:sz w:val="15"/>
          <w:szCs w:val="15"/>
          <w:color w:val="auto"/>
        </w:rPr>
        <w:t>If a Default or Event of Default occurs and is continuing with respect to the Securities of any Series and if it is actually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9280"/>
          </w:cols>
          <w:pgMar w:left="1300" w:top="250" w:right="1319" w:bottom="1440" w:gutter="0" w:footer="0" w:header="0"/>
        </w:sectPr>
      </w:pPr>
    </w:p>
    <w:bookmarkStart w:id="100" w:name="page101"/>
    <w:bookmarkEnd w:id="100"/>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193915" cy="34290"/>
                    </a:xfrm>
                    <a:prstGeom prst="rect">
                      <a:avLst/>
                    </a:prstGeom>
                    <a:noFill/>
                  </pic:spPr>
                </pic:pic>
              </a:graphicData>
            </a:graphic>
          </wp:anchor>
        </w:drawing>
        <w:t xml:space="preserve">Section 7.6 </w:t>
      </w:r>
      <w:r>
        <w:rPr>
          <w:rFonts w:ascii="Times New Roman" w:cs="Times New Roman" w:eastAsia="Times New Roman" w:hAnsi="Times New Roman"/>
          <w:sz w:val="15"/>
          <w:szCs w:val="15"/>
          <w:u w:val="single" w:color="auto"/>
          <w:color w:val="auto"/>
        </w:rPr>
        <w:t>Reports by Trustee to Holders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40" w:firstLine="836"/>
        <w:spacing w:after="0" w:line="270" w:lineRule="auto"/>
        <w:rPr>
          <w:sz w:val="20"/>
          <w:szCs w:val="20"/>
          <w:color w:val="auto"/>
        </w:rPr>
      </w:pPr>
      <w:r>
        <w:rPr>
          <w:rFonts w:ascii="Times New Roman" w:cs="Times New Roman" w:eastAsia="Times New Roman" w:hAnsi="Times New Roman"/>
          <w:sz w:val="15"/>
          <w:szCs w:val="15"/>
          <w:color w:val="auto"/>
        </w:rPr>
        <w:t>Within 60 days after each      , commencing      , 20  ,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46" w:lineRule="exact"/>
        <w:rPr>
          <w:sz w:val="20"/>
          <w:szCs w:val="20"/>
          <w:color w:val="auto"/>
        </w:rPr>
      </w:pPr>
    </w:p>
    <w:p>
      <w:pPr>
        <w:jc w:val="both"/>
        <w:ind w:right="140" w:firstLine="836"/>
        <w:spacing w:after="0" w:line="270" w:lineRule="auto"/>
        <w:rPr>
          <w:sz w:val="20"/>
          <w:szCs w:val="20"/>
          <w:color w:val="auto"/>
        </w:rPr>
      </w:pPr>
      <w:r>
        <w:rPr>
          <w:rFonts w:ascii="Times New Roman" w:cs="Times New Roman" w:eastAsia="Times New Roman" w:hAnsi="Times New Roman"/>
          <w:sz w:val="15"/>
          <w:szCs w:val="15"/>
          <w:color w:val="auto"/>
        </w:rPr>
        <w:t>A copy of each report at the time of its sending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delisted from any national securities exchange.</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7.7 </w:t>
      </w:r>
      <w:r>
        <w:rPr>
          <w:rFonts w:ascii="Times New Roman" w:cs="Times New Roman" w:eastAsia="Times New Roman" w:hAnsi="Times New Roman"/>
          <w:sz w:val="15"/>
          <w:szCs w:val="15"/>
          <w:u w:val="single" w:color="auto"/>
          <w:color w:val="auto"/>
        </w:rPr>
        <w:t>Compensation and Indemnity</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100" w:firstLine="836"/>
        <w:spacing w:after="0" w:line="264" w:lineRule="auto"/>
        <w:rPr>
          <w:sz w:val="20"/>
          <w:szCs w:val="20"/>
          <w:color w:val="auto"/>
        </w:rPr>
      </w:pPr>
      <w:r>
        <w:rPr>
          <w:rFonts w:ascii="Times New Roman" w:cs="Times New Roman" w:eastAsia="Times New Roman" w:hAnsi="Times New Roman"/>
          <w:sz w:val="15"/>
          <w:szCs w:val="15"/>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51" w:lineRule="exact"/>
        <w:rPr>
          <w:sz w:val="20"/>
          <w:szCs w:val="20"/>
          <w:color w:val="auto"/>
        </w:rPr>
      </w:pPr>
    </w:p>
    <w:p>
      <w:pPr>
        <w:ind w:firstLine="836"/>
        <w:spacing w:after="0" w:line="258" w:lineRule="auto"/>
        <w:rPr>
          <w:sz w:val="20"/>
          <w:szCs w:val="20"/>
          <w:color w:val="auto"/>
        </w:rPr>
      </w:pPr>
      <w:r>
        <w:rPr>
          <w:rFonts w:ascii="Times New Roman" w:cs="Times New Roman" w:eastAsia="Times New Roman" w:hAnsi="Times New Roman"/>
          <w:sz w:val="15"/>
          <w:szCs w:val="15"/>
          <w:color w:val="auto"/>
        </w:rPr>
        <w:t>The Company shall indemnify each of the Trustee and any predecessor Trustee (including for the cost of defending itself) against any cost, damages, losses, expense or liability, including taxes (other than taxes based upon, measured by or determined by the income of the Trustee) incurred by it except as set forth in the next paragraph in the performance of its duties under this Indenture or in connection with its acceptance of its obligations hereunder,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55" w:lineRule="exact"/>
        <w:rPr>
          <w:sz w:val="20"/>
          <w:szCs w:val="20"/>
          <w:color w:val="auto"/>
        </w:rPr>
      </w:pPr>
    </w:p>
    <w:p>
      <w:pPr>
        <w:ind w:right="20" w:firstLine="836"/>
        <w:spacing w:after="0" w:line="287" w:lineRule="auto"/>
        <w:rPr>
          <w:sz w:val="20"/>
          <w:szCs w:val="20"/>
          <w:color w:val="auto"/>
        </w:rPr>
      </w:pPr>
      <w:r>
        <w:rPr>
          <w:rFonts w:ascii="Times New Roman" w:cs="Times New Roman" w:eastAsia="Times New Roman" w:hAnsi="Times New Roman"/>
          <w:sz w:val="15"/>
          <w:szCs w:val="15"/>
          <w:color w:val="auto"/>
        </w:rPr>
        <w:t>The Company need not reimburse any expense or indemnify against any loss or liability incurred by the Trustee or by any officer, director, employee, shareholder or agent of the Trustee through willful misconduct or negligence, as finally adjudicated by a court of competent jurisdiction.</w:t>
      </w:r>
    </w:p>
    <w:p>
      <w:pPr>
        <w:spacing w:after="0" w:line="134" w:lineRule="exact"/>
        <w:rPr>
          <w:sz w:val="20"/>
          <w:szCs w:val="20"/>
          <w:color w:val="auto"/>
        </w:rPr>
      </w:pPr>
    </w:p>
    <w:p>
      <w:pPr>
        <w:ind w:right="380" w:firstLine="836"/>
        <w:spacing w:after="0" w:line="287" w:lineRule="auto"/>
        <w:rPr>
          <w:sz w:val="20"/>
          <w:szCs w:val="20"/>
          <w:color w:val="auto"/>
        </w:rPr>
      </w:pPr>
      <w:r>
        <w:rPr>
          <w:rFonts w:ascii="Times New Roman" w:cs="Times New Roman" w:eastAsia="Times New Roman" w:hAnsi="Times New Roman"/>
          <w:sz w:val="15"/>
          <w:szCs w:val="15"/>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9260"/>
          </w:cols>
          <w:pgMar w:left="1300" w:top="250" w:right="1339" w:bottom="1440" w:gutter="0" w:footer="0" w:header="0"/>
        </w:sectPr>
      </w:pPr>
    </w:p>
    <w:bookmarkStart w:id="101" w:name="page102"/>
    <w:bookmarkEnd w:id="101"/>
    <w:p>
      <w:pPr>
        <w:ind w:right="80" w:firstLine="836"/>
        <w:spacing w:after="0" w:line="28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93915" cy="34290"/>
                    </a:xfrm>
                    <a:prstGeom prst="rect">
                      <a:avLst/>
                    </a:prstGeom>
                    <a:noFill/>
                  </pic:spPr>
                </pic:pic>
              </a:graphicData>
            </a:graphic>
          </wp:anchor>
        </w:drawing>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3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The provisions of this Section shall survive the termination of this Indenture or the resignation or removal of the Trustee.</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7.8 </w:t>
      </w:r>
      <w:r>
        <w:rPr>
          <w:rFonts w:ascii="Times New Roman" w:cs="Times New Roman" w:eastAsia="Times New Roman" w:hAnsi="Times New Roman"/>
          <w:sz w:val="15"/>
          <w:szCs w:val="15"/>
          <w:u w:val="single" w:color="auto"/>
          <w:color w:val="auto"/>
        </w:rPr>
        <w:t>Replacement of Trustee</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120" w:firstLine="836"/>
        <w:spacing w:after="0" w:line="287" w:lineRule="auto"/>
        <w:rPr>
          <w:sz w:val="20"/>
          <w:szCs w:val="20"/>
          <w:color w:val="auto"/>
        </w:rPr>
      </w:pPr>
      <w:r>
        <w:rPr>
          <w:rFonts w:ascii="Times New Roman" w:cs="Times New Roman" w:eastAsia="Times New Roman" w:hAnsi="Times New Roman"/>
          <w:sz w:val="15"/>
          <w:szCs w:val="15"/>
          <w:color w:val="auto"/>
        </w:rPr>
        <w:t>A resignation or removal of the Trustee and appointment of a successor Trustee shall become effective only upon the successor Trustee’s acceptance of appointment as provided in this Section.</w:t>
      </w:r>
    </w:p>
    <w:p>
      <w:pPr>
        <w:spacing w:after="0" w:line="134" w:lineRule="exact"/>
        <w:rPr>
          <w:sz w:val="20"/>
          <w:szCs w:val="20"/>
          <w:color w:val="auto"/>
        </w:rPr>
      </w:pPr>
    </w:p>
    <w:p>
      <w:pPr>
        <w:ind w:right="80" w:firstLine="836"/>
        <w:spacing w:after="0" w:line="264" w:lineRule="auto"/>
        <w:rPr>
          <w:sz w:val="20"/>
          <w:szCs w:val="20"/>
          <w:color w:val="auto"/>
        </w:rPr>
      </w:pPr>
      <w:r>
        <w:rPr>
          <w:rFonts w:ascii="Times New Roman" w:cs="Times New Roman" w:eastAsia="Times New Roman" w:hAnsi="Times New Roman"/>
          <w:sz w:val="15"/>
          <w:szCs w:val="15"/>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at least 30 days prior to such removal. The Company may remove the Trustee with respect to Securities of one or more Series with at least 30 days written notice if:</w:t>
      </w:r>
    </w:p>
    <w:p>
      <w:pPr>
        <w:spacing w:after="0" w:line="60" w:lineRule="exact"/>
        <w:rPr>
          <w:sz w:val="20"/>
          <w:szCs w:val="20"/>
          <w:color w:val="auto"/>
        </w:rPr>
      </w:pPr>
    </w:p>
    <w:p>
      <w:pPr>
        <w:ind w:left="1420" w:hanging="212"/>
        <w:spacing w:after="0"/>
        <w:tabs>
          <w:tab w:leader="none" w:pos="142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fails to comply with Section 7.10;</w:t>
      </w:r>
    </w:p>
    <w:p>
      <w:pPr>
        <w:spacing w:after="0" w:line="191"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is adjudged a bankrupt or an insolvent or an order for relief is entered with respect to the Trustee under 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Bankruptcy Law;</w:t>
      </w:r>
    </w:p>
    <w:p>
      <w:pPr>
        <w:spacing w:after="0" w:line="177" w:lineRule="exact"/>
        <w:rPr>
          <w:sz w:val="20"/>
          <w:szCs w:val="20"/>
          <w:color w:val="auto"/>
        </w:rPr>
      </w:pPr>
    </w:p>
    <w:p>
      <w:pPr>
        <w:ind w:left="1420" w:hanging="212"/>
        <w:spacing w:after="0"/>
        <w:tabs>
          <w:tab w:leader="none" w:pos="142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Custodian or public officer takes charge of the Trustee or its property; or</w:t>
      </w:r>
    </w:p>
    <w:p>
      <w:pPr>
        <w:spacing w:after="0" w:line="191"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becomes incapable of acting.</w:t>
      </w:r>
    </w:p>
    <w:p>
      <w:pPr>
        <w:spacing w:after="0" w:line="192" w:lineRule="exact"/>
        <w:rPr>
          <w:sz w:val="20"/>
          <w:szCs w:val="20"/>
          <w:color w:val="auto"/>
        </w:rPr>
      </w:pPr>
    </w:p>
    <w:p>
      <w:pPr>
        <w:ind w:right="220" w:firstLine="836"/>
        <w:spacing w:after="0" w:line="270" w:lineRule="auto"/>
        <w:rPr>
          <w:sz w:val="20"/>
          <w:szCs w:val="20"/>
          <w:color w:val="auto"/>
        </w:rPr>
      </w:pPr>
      <w:r>
        <w:rPr>
          <w:rFonts w:ascii="Times New Roman" w:cs="Times New Roman" w:eastAsia="Times New Roman" w:hAnsi="Times New Roman"/>
          <w:sz w:val="15"/>
          <w:szCs w:val="15"/>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then-outstanding Securities may appoint a successor Trustee to replace the successor Trustee appointed by the Company.</w:t>
      </w:r>
    </w:p>
    <w:p>
      <w:pPr>
        <w:spacing w:after="0" w:line="146" w:lineRule="exact"/>
        <w:rPr>
          <w:sz w:val="20"/>
          <w:szCs w:val="20"/>
          <w:color w:val="auto"/>
        </w:rPr>
      </w:pPr>
    </w:p>
    <w:p>
      <w:pPr>
        <w:ind w:right="60" w:firstLine="836"/>
        <w:spacing w:after="0" w:line="270" w:lineRule="auto"/>
        <w:rPr>
          <w:sz w:val="20"/>
          <w:szCs w:val="20"/>
          <w:color w:val="auto"/>
        </w:rPr>
      </w:pPr>
      <w:r>
        <w:rPr>
          <w:rFonts w:ascii="Times New Roman" w:cs="Times New Roman" w:eastAsia="Times New Roman" w:hAnsi="Times New Roman"/>
          <w:sz w:val="15"/>
          <w:szCs w:val="15"/>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A successor Trustee shall deliver a written acceptance of its appointment to the retiring Trustee and to the Company. Promptly after that,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retiring Trustee shall transfer all property held by it as Trustee to the successor Trustee subject to the lien provided for in Section 7.7, the resignation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or removal of the retiring Trustee shall become effective, and the successor Trustee shall have all the rights, powers and duties of the Trustee with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respect to each Series of Securities for which it is acting as Trustee under this Indenture. A successor Trustee shall send a notice of its succession to each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Securityholder of each such Series. Notwithstanding replacement of the Trustee pursuant to this Section 7.8, the Company’s obligations under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7.7 hereof shall continue for the benefit of the retiring Trustee with respect to expenses and liabilities incurred by it for actions taken or omitted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be taken in accordance with its rights, powers and duties under this Indenture prior to such replacement.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9260"/>
          </w:cols>
          <w:pgMar w:left="1300" w:top="250" w:right="1339" w:bottom="1440" w:gutter="0" w:footer="0" w:header="0"/>
        </w:sectPr>
      </w:pPr>
    </w:p>
    <w:bookmarkStart w:id="102" w:name="page103"/>
    <w:bookmarkEnd w:id="102"/>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93915" cy="34290"/>
                    </a:xfrm>
                    <a:prstGeom prst="rect">
                      <a:avLst/>
                    </a:prstGeom>
                    <a:noFill/>
                  </pic:spPr>
                </pic:pic>
              </a:graphicData>
            </a:graphic>
          </wp:anchor>
        </w:drawing>
        <w:t xml:space="preserve">Section 7.9 </w:t>
      </w:r>
      <w:r>
        <w:rPr>
          <w:rFonts w:ascii="Times New Roman" w:cs="Times New Roman" w:eastAsia="Times New Roman" w:hAnsi="Times New Roman"/>
          <w:sz w:val="15"/>
          <w:szCs w:val="15"/>
          <w:u w:val="single" w:color="auto"/>
          <w:color w:val="auto"/>
        </w:rPr>
        <w:t>Successor Trustee by Merger, Etc</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300" w:firstLine="836"/>
        <w:spacing w:after="0" w:line="270" w:lineRule="auto"/>
        <w:rPr>
          <w:sz w:val="20"/>
          <w:szCs w:val="20"/>
          <w:color w:val="auto"/>
        </w:rPr>
      </w:pPr>
      <w:r>
        <w:rPr>
          <w:rFonts w:ascii="Times New Roman" w:cs="Times New Roman" w:eastAsia="Times New Roman" w:hAnsi="Times New Roman"/>
          <w:sz w:val="15"/>
          <w:szCs w:val="15"/>
          <w:color w:val="auto"/>
        </w:rPr>
        <w:t>If the Trustee consolidates with,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7.10 </w:t>
      </w:r>
      <w:r>
        <w:rPr>
          <w:rFonts w:ascii="Times New Roman" w:cs="Times New Roman" w:eastAsia="Times New Roman" w:hAnsi="Times New Roman"/>
          <w:sz w:val="15"/>
          <w:szCs w:val="15"/>
          <w:u w:val="single" w:color="auto"/>
          <w:color w:val="auto"/>
        </w:rPr>
        <w:t>Eligibility; Disqualification</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jc w:val="both"/>
        <w:ind w:right="60" w:firstLine="836"/>
        <w:spacing w:after="0" w:line="270" w:lineRule="auto"/>
        <w:rPr>
          <w:sz w:val="20"/>
          <w:szCs w:val="20"/>
          <w:color w:val="auto"/>
        </w:rPr>
      </w:pPr>
      <w:r>
        <w:rPr>
          <w:rFonts w:ascii="Times New Roman" w:cs="Times New Roman" w:eastAsia="Times New Roman" w:hAnsi="Times New Roman"/>
          <w:sz w:val="15"/>
          <w:szCs w:val="15"/>
          <w:color w:val="auto"/>
        </w:rPr>
        <w:t>This Indenture shall always have a Trustee who satisfies the requirements of TIA § 310(a)(1), (2) and (5). The Trustee shall always have a combined capital and surplus of at least $50,000,000 as set forth in its most recent published annual report of condition. The Trustee shall comply with TIA § 310(b).</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7.11 </w:t>
      </w:r>
      <w:r>
        <w:rPr>
          <w:rFonts w:ascii="Times New Roman" w:cs="Times New Roman" w:eastAsia="Times New Roman" w:hAnsi="Times New Roman"/>
          <w:sz w:val="15"/>
          <w:szCs w:val="15"/>
          <w:u w:val="single" w:color="auto"/>
          <w:color w:val="auto"/>
        </w:rPr>
        <w:t>Preferential Collection of Claims Against Company</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320" w:firstLine="836"/>
        <w:spacing w:after="0" w:line="287" w:lineRule="auto"/>
        <w:rPr>
          <w:sz w:val="20"/>
          <w:szCs w:val="20"/>
          <w:color w:val="auto"/>
        </w:rPr>
      </w:pPr>
      <w:r>
        <w:rPr>
          <w:rFonts w:ascii="Times New Roman" w:cs="Times New Roman" w:eastAsia="Times New Roman" w:hAnsi="Times New Roman"/>
          <w:sz w:val="15"/>
          <w:szCs w:val="15"/>
          <w:color w:val="auto"/>
        </w:rPr>
        <w:t>The Trustee is subject to TIA § 311(a), excluding any creditor relationship listed in TIA § 311(b). A Trustee who has resigned or been removed shall be subject to TIA § 311(a) to the extent indicated.</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VIII</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SATISFACTION AND DISCHARGE; DEFEASANCE</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8.1 </w:t>
      </w:r>
      <w:r>
        <w:rPr>
          <w:rFonts w:ascii="Times New Roman" w:cs="Times New Roman" w:eastAsia="Times New Roman" w:hAnsi="Times New Roman"/>
          <w:sz w:val="15"/>
          <w:szCs w:val="15"/>
          <w:u w:val="single" w:color="auto"/>
          <w:color w:val="auto"/>
        </w:rPr>
        <w:t>Satisfaction and Discharge of Indenture</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100" w:firstLine="836"/>
        <w:spacing w:after="0" w:line="270" w:lineRule="auto"/>
        <w:rPr>
          <w:sz w:val="20"/>
          <w:szCs w:val="20"/>
          <w:color w:val="auto"/>
        </w:rPr>
      </w:pPr>
      <w:r>
        <w:rPr>
          <w:rFonts w:ascii="Times New Roman" w:cs="Times New Roman" w:eastAsia="Times New Roman" w:hAnsi="Times New Roman"/>
          <w:sz w:val="15"/>
          <w:szCs w:val="15"/>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146" w:lineRule="exact"/>
        <w:rPr>
          <w:sz w:val="20"/>
          <w:szCs w:val="20"/>
          <w:color w:val="auto"/>
        </w:rPr>
      </w:pPr>
    </w:p>
    <w:p>
      <w:pPr>
        <w:ind w:left="1420" w:hanging="212"/>
        <w:spacing w:after="0"/>
        <w:tabs>
          <w:tab w:leader="none" w:pos="142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either</w:t>
      </w:r>
    </w:p>
    <w:p>
      <w:pPr>
        <w:spacing w:after="0" w:line="191" w:lineRule="exact"/>
        <w:rPr>
          <w:rFonts w:ascii="Times New Roman" w:cs="Times New Roman" w:eastAsia="Times New Roman" w:hAnsi="Times New Roman"/>
          <w:sz w:val="15"/>
          <w:szCs w:val="15"/>
          <w:color w:val="auto"/>
        </w:rPr>
      </w:pPr>
    </w:p>
    <w:p>
      <w:pPr>
        <w:ind w:firstLine="1672"/>
        <w:spacing w:after="0" w:line="287" w:lineRule="auto"/>
        <w:tabs>
          <w:tab w:leader="none" w:pos="1853" w:val="left"/>
        </w:tabs>
        <w:numPr>
          <w:ilvl w:val="1"/>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33" w:lineRule="exact"/>
        <w:rPr>
          <w:rFonts w:ascii="Times New Roman" w:cs="Times New Roman" w:eastAsia="Times New Roman" w:hAnsi="Times New Roman"/>
          <w:sz w:val="15"/>
          <w:szCs w:val="15"/>
          <w:color w:val="auto"/>
        </w:rPr>
      </w:pPr>
    </w:p>
    <w:p>
      <w:pPr>
        <w:ind w:left="1900" w:hanging="228"/>
        <w:spacing w:after="0"/>
        <w:tabs>
          <w:tab w:leader="none" w:pos="1900" w:val="left"/>
        </w:tabs>
        <w:numPr>
          <w:ilvl w:val="1"/>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such Securities of such Series not theretofore delivered to the Trustee for cancellation</w:t>
      </w:r>
    </w:p>
    <w:p>
      <w:pPr>
        <w:spacing w:after="0" w:line="192" w:lineRule="exact"/>
        <w:rPr>
          <w:sz w:val="20"/>
          <w:szCs w:val="20"/>
          <w:color w:val="auto"/>
        </w:rPr>
      </w:pPr>
    </w:p>
    <w:p>
      <w:pPr>
        <w:ind w:left="4520" w:right="1500" w:hanging="2476"/>
        <w:spacing w:after="0" w:line="461" w:lineRule="auto"/>
        <w:tabs>
          <w:tab w:leader="none" w:pos="2261"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have become due and payable by reason of sending a notice of redemption or otherwise, or -32-</w:t>
      </w:r>
    </w:p>
    <w:p>
      <w:pPr>
        <w:sectPr>
          <w:pgSz w:w="11900" w:h="16838" w:orient="portrait"/>
          <w:cols w:equalWidth="0" w:num="1">
            <w:col w:w="9280"/>
          </w:cols>
          <w:pgMar w:left="1300" w:top="250" w:right="1319" w:bottom="1440" w:gutter="0" w:footer="0" w:header="0"/>
        </w:sectPr>
      </w:pPr>
    </w:p>
    <w:bookmarkStart w:id="103" w:name="page104"/>
    <w:bookmarkEnd w:id="103"/>
    <w:p>
      <w:pPr>
        <w:ind w:left="2260" w:hanging="216"/>
        <w:spacing w:after="0"/>
        <w:tabs>
          <w:tab w:leader="none" w:pos="226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93915" cy="34290"/>
                    </a:xfrm>
                    <a:prstGeom prst="rect">
                      <a:avLst/>
                    </a:prstGeom>
                    <a:noFill/>
                  </pic:spPr>
                </pic:pic>
              </a:graphicData>
            </a:graphic>
          </wp:anchor>
        </w:drawing>
        <w:t>will become due and payable at their Stated Maturity within one year, or</w:t>
      </w:r>
    </w:p>
    <w:p>
      <w:pPr>
        <w:spacing w:after="0" w:line="191" w:lineRule="exact"/>
        <w:rPr>
          <w:rFonts w:ascii="Times New Roman" w:cs="Times New Roman" w:eastAsia="Times New Roman" w:hAnsi="Times New Roman"/>
          <w:sz w:val="15"/>
          <w:szCs w:val="15"/>
          <w:color w:val="auto"/>
        </w:rPr>
      </w:pPr>
    </w:p>
    <w:p>
      <w:pPr>
        <w:ind w:right="40" w:firstLine="2044"/>
        <w:spacing w:after="0" w:line="287" w:lineRule="auto"/>
        <w:tabs>
          <w:tab w:leader="none" w:pos="2258"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33" w:lineRule="exact"/>
        <w:rPr>
          <w:rFonts w:ascii="Times New Roman" w:cs="Times New Roman" w:eastAsia="Times New Roman" w:hAnsi="Times New Roman"/>
          <w:sz w:val="15"/>
          <w:szCs w:val="15"/>
          <w:color w:val="auto"/>
        </w:rPr>
      </w:pPr>
    </w:p>
    <w:p>
      <w:pPr>
        <w:ind w:left="2260" w:hanging="216"/>
        <w:spacing w:after="0"/>
        <w:tabs>
          <w:tab w:leader="none" w:pos="226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are deemed paid and discharged pursuant to Section 8.3, as applicable;</w:t>
      </w:r>
    </w:p>
    <w:p>
      <w:pPr>
        <w:spacing w:after="0" w:line="192"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5"/>
          <w:szCs w:val="15"/>
          <w:color w:val="auto"/>
        </w:rPr>
        <w:t>and the Company, in the case of (1), (2) or (3) above, shall have irrevocably deposited or caused to be deposited with the Trustee as trust funds in trust an amount of money or U.S. Government Obligations, which amount shall be sufficient (as determined by the Company)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151" w:lineRule="exact"/>
        <w:rPr>
          <w:sz w:val="20"/>
          <w:szCs w:val="20"/>
          <w:color w:val="auto"/>
        </w:rPr>
      </w:pPr>
    </w:p>
    <w:p>
      <w:pPr>
        <w:ind w:left="1420" w:hanging="212"/>
        <w:spacing w:after="0"/>
        <w:tabs>
          <w:tab w:leader="none" w:pos="142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paid or caused to be paid all other sums payable hereunder by the Company; and</w:t>
      </w:r>
    </w:p>
    <w:p>
      <w:pPr>
        <w:spacing w:after="0" w:line="191" w:lineRule="exact"/>
        <w:rPr>
          <w:rFonts w:ascii="Times New Roman" w:cs="Times New Roman" w:eastAsia="Times New Roman" w:hAnsi="Times New Roman"/>
          <w:sz w:val="15"/>
          <w:szCs w:val="15"/>
          <w:color w:val="auto"/>
        </w:rPr>
      </w:pPr>
    </w:p>
    <w:p>
      <w:pPr>
        <w:ind w:right="580" w:firstLine="1208"/>
        <w:spacing w:after="0" w:line="287" w:lineRule="auto"/>
        <w:tabs>
          <w:tab w:leader="none" w:pos="1413"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34" w:lineRule="exact"/>
        <w:rPr>
          <w:sz w:val="20"/>
          <w:szCs w:val="20"/>
          <w:color w:val="auto"/>
        </w:rPr>
      </w:pPr>
    </w:p>
    <w:p>
      <w:pPr>
        <w:ind w:firstLine="836"/>
        <w:spacing w:after="0" w:line="287" w:lineRule="auto"/>
        <w:rPr>
          <w:sz w:val="20"/>
          <w:szCs w:val="20"/>
          <w:color w:val="auto"/>
        </w:rPr>
      </w:pPr>
      <w:r>
        <w:rPr>
          <w:rFonts w:ascii="Times New Roman" w:cs="Times New Roman" w:eastAsia="Times New Roman" w:hAnsi="Times New Roman"/>
          <w:sz w:val="15"/>
          <w:szCs w:val="15"/>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8.2 </w:t>
      </w:r>
      <w:r>
        <w:rPr>
          <w:rFonts w:ascii="Times New Roman" w:cs="Times New Roman" w:eastAsia="Times New Roman" w:hAnsi="Times New Roman"/>
          <w:sz w:val="15"/>
          <w:szCs w:val="15"/>
          <w:u w:val="single" w:color="auto"/>
          <w:color w:val="auto"/>
        </w:rPr>
        <w:t>Application of Trust Funds; Indemnification</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120" w:firstLine="837"/>
        <w:spacing w:after="0" w:line="259" w:lineRule="auto"/>
        <w:tabs>
          <w:tab w:leader="none" w:pos="1042"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153" w:lineRule="exact"/>
        <w:rPr>
          <w:rFonts w:ascii="Times New Roman" w:cs="Times New Roman" w:eastAsia="Times New Roman" w:hAnsi="Times New Roman"/>
          <w:sz w:val="15"/>
          <w:szCs w:val="15"/>
          <w:color w:val="auto"/>
        </w:rPr>
      </w:pPr>
    </w:p>
    <w:p>
      <w:pPr>
        <w:ind w:right="380" w:firstLine="837"/>
        <w:spacing w:after="0" w:line="270" w:lineRule="auto"/>
        <w:tabs>
          <w:tab w:leader="none" w:pos="1051"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ectPr>
          <w:pgSz w:w="11900" w:h="16838" w:orient="portrait"/>
          <w:cols w:equalWidth="0" w:num="1">
            <w:col w:w="9280"/>
          </w:cols>
          <w:pgMar w:left="1300" w:top="250" w:right="1319" w:bottom="1440" w:gutter="0" w:footer="0" w:header="0"/>
        </w:sectPr>
      </w:pPr>
    </w:p>
    <w:bookmarkStart w:id="104" w:name="page105"/>
    <w:bookmarkEnd w:id="104"/>
    <w:p>
      <w:pPr>
        <w:ind w:right="60" w:firstLine="837"/>
        <w:spacing w:after="0" w:line="260" w:lineRule="auto"/>
        <w:tabs>
          <w:tab w:leader="none" w:pos="1042"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8.3 </w:t>
      </w:r>
      <w:r>
        <w:rPr>
          <w:rFonts w:ascii="Times New Roman" w:cs="Times New Roman" w:eastAsia="Times New Roman" w:hAnsi="Times New Roman"/>
          <w:sz w:val="15"/>
          <w:szCs w:val="15"/>
          <w:u w:val="single" w:color="auto"/>
          <w:color w:val="auto"/>
        </w:rPr>
        <w:t>Legal Defeasance of Securities of any Series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61" w:lineRule="auto"/>
        <w:rPr>
          <w:sz w:val="20"/>
          <w:szCs w:val="20"/>
          <w:color w:val="auto"/>
        </w:rPr>
      </w:pPr>
      <w:r>
        <w:rPr>
          <w:rFonts w:ascii="Times New Roman" w:cs="Times New Roman" w:eastAsia="Times New Roman" w:hAnsi="Times New Roman"/>
          <w:sz w:val="15"/>
          <w:szCs w:val="15"/>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63" w:lineRule="exact"/>
        <w:rPr>
          <w:sz w:val="20"/>
          <w:szCs w:val="20"/>
          <w:color w:val="auto"/>
        </w:rPr>
      </w:pPr>
    </w:p>
    <w:p>
      <w:pPr>
        <w:jc w:val="both"/>
        <w:ind w:right="20" w:firstLine="1208"/>
        <w:spacing w:after="0" w:line="264" w:lineRule="auto"/>
        <w:tabs>
          <w:tab w:leader="none" w:pos="1413"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51"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provisions of Sections 2.4, 2.5, 2.7, 2.8, 7.7, 8.2, 8.3, 8.5 and 8.6; and</w:t>
      </w:r>
    </w:p>
    <w:p>
      <w:pPr>
        <w:spacing w:after="0" w:line="191" w:lineRule="exact"/>
        <w:rPr>
          <w:rFonts w:ascii="Times New Roman" w:cs="Times New Roman" w:eastAsia="Times New Roman" w:hAnsi="Times New Roman"/>
          <w:sz w:val="15"/>
          <w:szCs w:val="15"/>
          <w:color w:val="auto"/>
        </w:rPr>
      </w:pPr>
    </w:p>
    <w:p>
      <w:pPr>
        <w:ind w:left="1200" w:right="440" w:firstLine="8"/>
        <w:spacing w:after="0" w:line="506" w:lineRule="auto"/>
        <w:tabs>
          <w:tab w:leader="none" w:pos="1406"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powers, trusts and immunities of the Trustee hereunder and the Company’s obligations in connection therewith; provided that, the following conditions shall have been satisfied:</w:t>
      </w:r>
    </w:p>
    <w:p>
      <w:pPr>
        <w:ind w:right="20" w:firstLine="1208"/>
        <w:spacing w:after="0" w:line="257" w:lineRule="auto"/>
        <w:tabs>
          <w:tab w:leader="none" w:pos="1422"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-34-</w:t>
      </w:r>
    </w:p>
    <w:p>
      <w:pPr>
        <w:sectPr>
          <w:pgSz w:w="11900" w:h="16838" w:orient="portrait"/>
          <w:cols w:equalWidth="0" w:num="1">
            <w:col w:w="9280"/>
          </w:cols>
          <w:pgMar w:left="1300" w:top="250" w:right="1319" w:bottom="1440" w:gutter="0" w:footer="0" w:header="0"/>
        </w:sectPr>
      </w:pPr>
    </w:p>
    <w:bookmarkStart w:id="105" w:name="page106"/>
    <w:bookmarkEnd w:id="105"/>
    <w:p>
      <w:pPr>
        <w:ind w:right="340" w:firstLine="1208"/>
        <w:spacing w:after="0" w:line="287" w:lineRule="auto"/>
        <w:tabs>
          <w:tab w:leader="none" w:pos="1413"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93915" cy="34290"/>
                    </a:xfrm>
                    <a:prstGeom prst="rect">
                      <a:avLst/>
                    </a:prstGeom>
                    <a:noFill/>
                  </pic:spPr>
                </pic:pic>
              </a:graphicData>
            </a:graphic>
          </wp:anchor>
        </w:drawing>
        <w:t>such deposit will not result in a breach or violation of, or constitute a default under, this Indenture or any other agreement or instrument to which the Company is a party or by which it is bound;</w:t>
      </w:r>
    </w:p>
    <w:p>
      <w:pPr>
        <w:spacing w:after="0" w:line="133" w:lineRule="exact"/>
        <w:rPr>
          <w:rFonts w:ascii="Times New Roman" w:cs="Times New Roman" w:eastAsia="Times New Roman" w:hAnsi="Times New Roman"/>
          <w:sz w:val="15"/>
          <w:szCs w:val="15"/>
          <w:color w:val="auto"/>
        </w:rPr>
      </w:pPr>
    </w:p>
    <w:p>
      <w:pPr>
        <w:ind w:right="140" w:firstLine="1208"/>
        <w:spacing w:after="0" w:line="287" w:lineRule="auto"/>
        <w:tabs>
          <w:tab w:leader="none" w:pos="1397"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Default or Event of Default with respect to the Securities of such Series shall have occurred and be continuing on the date of such deposit or during the period ending on the 91st day after such date;</w:t>
      </w:r>
    </w:p>
    <w:p>
      <w:pPr>
        <w:spacing w:after="0" w:line="133" w:lineRule="exact"/>
        <w:rPr>
          <w:rFonts w:ascii="Times New Roman" w:cs="Times New Roman" w:eastAsia="Times New Roman" w:hAnsi="Times New Roman"/>
          <w:sz w:val="15"/>
          <w:szCs w:val="15"/>
          <w:color w:val="auto"/>
        </w:rPr>
      </w:pPr>
    </w:p>
    <w:p>
      <w:pPr>
        <w:ind w:right="40" w:firstLine="1208"/>
        <w:spacing w:after="0" w:line="260" w:lineRule="auto"/>
        <w:tabs>
          <w:tab w:leader="none" w:pos="1422"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53" w:lineRule="exact"/>
        <w:rPr>
          <w:rFonts w:ascii="Times New Roman" w:cs="Times New Roman" w:eastAsia="Times New Roman" w:hAnsi="Times New Roman"/>
          <w:sz w:val="15"/>
          <w:szCs w:val="15"/>
          <w:color w:val="auto"/>
        </w:rPr>
      </w:pPr>
    </w:p>
    <w:p>
      <w:pPr>
        <w:ind w:right="160" w:firstLine="1208"/>
        <w:spacing w:after="0" w:line="287" w:lineRule="auto"/>
        <w:tabs>
          <w:tab w:leader="none" w:pos="1422"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133" w:lineRule="exact"/>
        <w:rPr>
          <w:rFonts w:ascii="Times New Roman" w:cs="Times New Roman" w:eastAsia="Times New Roman" w:hAnsi="Times New Roman"/>
          <w:sz w:val="15"/>
          <w:szCs w:val="15"/>
          <w:color w:val="auto"/>
        </w:rPr>
      </w:pPr>
    </w:p>
    <w:p>
      <w:pPr>
        <w:ind w:right="600" w:firstLine="1208"/>
        <w:spacing w:after="0" w:line="287" w:lineRule="auto"/>
        <w:tabs>
          <w:tab w:leader="none" w:pos="1388"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8.4 </w:t>
      </w:r>
      <w:r>
        <w:rPr>
          <w:rFonts w:ascii="Times New Roman" w:cs="Times New Roman" w:eastAsia="Times New Roman" w:hAnsi="Times New Roman"/>
          <w:sz w:val="15"/>
          <w:szCs w:val="15"/>
          <w:u w:val="single" w:color="auto"/>
          <w:color w:val="auto"/>
        </w:rPr>
        <w:t>Covenant Defeasance</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58" w:lineRule="auto"/>
        <w:rPr>
          <w:sz w:val="20"/>
          <w:szCs w:val="20"/>
          <w:color w:val="auto"/>
        </w:rPr>
      </w:pPr>
      <w:r>
        <w:rPr>
          <w:rFonts w:ascii="Times New Roman" w:cs="Times New Roman" w:eastAsia="Times New Roman" w:hAnsi="Times New Roman"/>
          <w:sz w:val="15"/>
          <w:szCs w:val="15"/>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ectPr>
          <w:pgSz w:w="11900" w:h="16838" w:orient="portrait"/>
          <w:cols w:equalWidth="0" w:num="1">
            <w:col w:w="9280"/>
          </w:cols>
          <w:pgMar w:left="1300" w:top="250" w:right="1319" w:bottom="1440" w:gutter="0" w:footer="0" w:header="0"/>
        </w:sectPr>
      </w:pPr>
    </w:p>
    <w:bookmarkStart w:id="106" w:name="page107"/>
    <w:bookmarkEnd w:id="106"/>
    <w:p>
      <w:pPr>
        <w:ind w:right="40" w:firstLine="837"/>
        <w:spacing w:after="0" w:line="257" w:lineRule="auto"/>
        <w:tabs>
          <w:tab w:leader="none" w:pos="1042"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93915" cy="34290"/>
                    </a:xfrm>
                    <a:prstGeom prst="rect">
                      <a:avLst/>
                    </a:prstGeom>
                    <a:noFill/>
                  </pic:spPr>
                </pic:pic>
              </a:graphicData>
            </a:graphic>
          </wp:anchor>
        </w:drawing>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340" w:lineRule="exact"/>
        <w:rPr>
          <w:rFonts w:ascii="Times New Roman" w:cs="Times New Roman" w:eastAsia="Times New Roman" w:hAnsi="Times New Roman"/>
          <w:sz w:val="15"/>
          <w:szCs w:val="15"/>
          <w:color w:val="auto"/>
        </w:rPr>
      </w:pPr>
    </w:p>
    <w:p>
      <w:pPr>
        <w:ind w:firstLine="837"/>
        <w:spacing w:after="0" w:line="287" w:lineRule="auto"/>
        <w:tabs>
          <w:tab w:leader="none" w:pos="1051"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deposit will not result in a breach or violation of, or constitute a default under, this Indenture or any other agreement or instrument to which the Company is a party or by which it is bound;</w:t>
      </w:r>
    </w:p>
    <w:p>
      <w:pPr>
        <w:spacing w:after="0" w:line="133" w:lineRule="exact"/>
        <w:rPr>
          <w:rFonts w:ascii="Times New Roman" w:cs="Times New Roman" w:eastAsia="Times New Roman" w:hAnsi="Times New Roman"/>
          <w:sz w:val="15"/>
          <w:szCs w:val="15"/>
          <w:color w:val="auto"/>
        </w:rPr>
      </w:pPr>
    </w:p>
    <w:p>
      <w:pPr>
        <w:ind w:left="1040" w:hanging="203"/>
        <w:spacing w:after="0"/>
        <w:tabs>
          <w:tab w:leader="none" w:pos="104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Default or Event of Default with respect to the Securities of such Series shall have occurred and be continuing on the date of such</w:t>
      </w:r>
    </w:p>
    <w:p>
      <w:pPr>
        <w:spacing w:after="0" w:line="24"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deposit;</w:t>
      </w:r>
    </w:p>
    <w:p>
      <w:pPr>
        <w:spacing w:after="0" w:line="176" w:lineRule="exact"/>
        <w:rPr>
          <w:rFonts w:ascii="Times New Roman" w:cs="Times New Roman" w:eastAsia="Times New Roman" w:hAnsi="Times New Roman"/>
          <w:sz w:val="15"/>
          <w:szCs w:val="15"/>
          <w:color w:val="auto"/>
        </w:rPr>
      </w:pPr>
    </w:p>
    <w:p>
      <w:pPr>
        <w:ind w:firstLine="837"/>
        <w:spacing w:after="0" w:line="260" w:lineRule="auto"/>
        <w:tabs>
          <w:tab w:leader="none" w:pos="1051"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subject to customary exclusions, that the Holders of the Securities of such Series will not recognize income, gain or loss for Federal income tax purposes as a result of such deposit, covenant defeasance and discharge and will be subject to Federal income tax on the same amount and in the same manner and at the same times as would have been the case if such deposit, covenant defeasance and discharge had not occurred;</w:t>
      </w:r>
    </w:p>
    <w:p>
      <w:pPr>
        <w:spacing w:after="0" w:line="153" w:lineRule="exact"/>
        <w:rPr>
          <w:rFonts w:ascii="Times New Roman" w:cs="Times New Roman" w:eastAsia="Times New Roman" w:hAnsi="Times New Roman"/>
          <w:sz w:val="15"/>
          <w:szCs w:val="15"/>
          <w:color w:val="auto"/>
        </w:rPr>
      </w:pPr>
    </w:p>
    <w:p>
      <w:pPr>
        <w:ind w:right="240" w:firstLine="837"/>
        <w:spacing w:after="0" w:line="287" w:lineRule="auto"/>
        <w:tabs>
          <w:tab w:leader="none" w:pos="1042"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133" w:lineRule="exact"/>
        <w:rPr>
          <w:rFonts w:ascii="Times New Roman" w:cs="Times New Roman" w:eastAsia="Times New Roman" w:hAnsi="Times New Roman"/>
          <w:sz w:val="15"/>
          <w:szCs w:val="15"/>
          <w:color w:val="auto"/>
        </w:rPr>
      </w:pPr>
    </w:p>
    <w:p>
      <w:pPr>
        <w:ind w:right="240" w:firstLine="837"/>
        <w:spacing w:after="0" w:line="287" w:lineRule="auto"/>
        <w:tabs>
          <w:tab w:leader="none" w:pos="1025"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8.5 </w:t>
      </w:r>
      <w:r>
        <w:rPr>
          <w:rFonts w:ascii="Times New Roman" w:cs="Times New Roman" w:eastAsia="Times New Roman" w:hAnsi="Times New Roman"/>
          <w:sz w:val="15"/>
          <w:szCs w:val="15"/>
          <w:u w:val="single" w:color="auto"/>
          <w:color w:val="auto"/>
        </w:rPr>
        <w:t>Repayment to Company</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160" w:firstLine="836"/>
        <w:spacing w:after="0" w:line="264" w:lineRule="auto"/>
        <w:rPr>
          <w:sz w:val="20"/>
          <w:szCs w:val="20"/>
          <w:color w:val="auto"/>
        </w:rPr>
      </w:pPr>
      <w:r>
        <w:rPr>
          <w:rFonts w:ascii="Times New Roman" w:cs="Times New Roman" w:eastAsia="Times New Roman" w:hAnsi="Times New Roman"/>
          <w:sz w:val="15"/>
          <w:szCs w:val="15"/>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the Trustee shall have no further liability with respect to such money.</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-36-</w:t>
      </w:r>
    </w:p>
    <w:p>
      <w:pPr>
        <w:sectPr>
          <w:pgSz w:w="11900" w:h="16838" w:orient="portrait"/>
          <w:cols w:equalWidth="0" w:num="1">
            <w:col w:w="9280"/>
          </w:cols>
          <w:pgMar w:left="1300" w:top="250" w:right="1319" w:bottom="1440" w:gutter="0" w:footer="0" w:header="0"/>
        </w:sectPr>
      </w:pPr>
    </w:p>
    <w:bookmarkStart w:id="107" w:name="page108"/>
    <w:bookmarkEnd w:id="107"/>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93915" cy="34290"/>
                    </a:xfrm>
                    <a:prstGeom prst="rect">
                      <a:avLst/>
                    </a:prstGeom>
                    <a:noFill/>
                  </pic:spPr>
                </pic:pic>
              </a:graphicData>
            </a:graphic>
          </wp:anchor>
        </w:drawing>
        <w:t xml:space="preserve">Section 8.6 </w:t>
      </w:r>
      <w:r>
        <w:rPr>
          <w:rFonts w:ascii="Times New Roman" w:cs="Times New Roman" w:eastAsia="Times New Roman" w:hAnsi="Times New Roman"/>
          <w:sz w:val="15"/>
          <w:szCs w:val="15"/>
          <w:u w:val="single" w:color="auto"/>
          <w:color w:val="auto"/>
        </w:rPr>
        <w:t>Reinstatement</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58" w:lineRule="auto"/>
        <w:rPr>
          <w:sz w:val="20"/>
          <w:szCs w:val="20"/>
          <w:color w:val="auto"/>
        </w:rPr>
      </w:pPr>
      <w:r>
        <w:rPr>
          <w:rFonts w:ascii="Times New Roman" w:cs="Times New Roman" w:eastAsia="Times New Roman" w:hAnsi="Times New Roman"/>
          <w:sz w:val="15"/>
          <w:szCs w:val="15"/>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IX</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AMENDMENTS AND WAIVERS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9.1 </w:t>
      </w:r>
      <w:r>
        <w:rPr>
          <w:rFonts w:ascii="Times New Roman" w:cs="Times New Roman" w:eastAsia="Times New Roman" w:hAnsi="Times New Roman"/>
          <w:sz w:val="15"/>
          <w:szCs w:val="15"/>
          <w:u w:val="single" w:color="auto"/>
          <w:color w:val="auto"/>
        </w:rPr>
        <w:t>Without Consent of Holders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The Company and the Trustee may amend or supplement this Indenture or the Securities of one or more Series without the consent of 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Securityholder:</w:t>
      </w:r>
    </w:p>
    <w:p>
      <w:pPr>
        <w:spacing w:after="0" w:line="177" w:lineRule="exact"/>
        <w:rPr>
          <w:sz w:val="20"/>
          <w:szCs w:val="20"/>
          <w:color w:val="auto"/>
        </w:rPr>
      </w:pPr>
    </w:p>
    <w:p>
      <w:pPr>
        <w:ind w:left="1420" w:hanging="212"/>
        <w:spacing w:after="0"/>
        <w:tabs>
          <w:tab w:leader="none" w:pos="142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cure any ambiguity, defect or inconsistency as evidenced by an Officer Certificate;</w:t>
      </w:r>
    </w:p>
    <w:p>
      <w:pPr>
        <w:spacing w:after="0" w:line="191"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Article V;</w:t>
      </w:r>
    </w:p>
    <w:p>
      <w:pPr>
        <w:spacing w:after="0" w:line="191"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uncertificated Securities in addition to or in place of certificated Securities;</w:t>
      </w:r>
    </w:p>
    <w:p>
      <w:pPr>
        <w:spacing w:after="0" w:line="191"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guarantees with respect to Securities of any Series or secure Securities of any Series;</w:t>
      </w:r>
    </w:p>
    <w:p>
      <w:pPr>
        <w:spacing w:after="0" w:line="191"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surrender any of the Company’s rights or powers under this Indenture;</w:t>
      </w:r>
    </w:p>
    <w:p>
      <w:pPr>
        <w:spacing w:after="0" w:line="191" w:lineRule="exact"/>
        <w:rPr>
          <w:rFonts w:ascii="Times New Roman" w:cs="Times New Roman" w:eastAsia="Times New Roman" w:hAnsi="Times New Roman"/>
          <w:sz w:val="15"/>
          <w:szCs w:val="15"/>
          <w:color w:val="auto"/>
        </w:rPr>
      </w:pPr>
    </w:p>
    <w:p>
      <w:pPr>
        <w:ind w:left="1400" w:hanging="192"/>
        <w:spacing w:after="0"/>
        <w:tabs>
          <w:tab w:leader="none" w:pos="140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covenants or events of default for the benefit of the holders of Securities of any Series;</w:t>
      </w:r>
    </w:p>
    <w:p>
      <w:pPr>
        <w:spacing w:after="0" w:line="191"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the applicable procedures of the applicable depositary;</w:t>
      </w:r>
    </w:p>
    <w:p>
      <w:pPr>
        <w:spacing w:after="0" w:line="191"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any change that does not adversely affect the rights of any Securityholder;</w:t>
      </w:r>
    </w:p>
    <w:p>
      <w:pPr>
        <w:spacing w:after="0" w:line="191" w:lineRule="exact"/>
        <w:rPr>
          <w:rFonts w:ascii="Times New Roman" w:cs="Times New Roman" w:eastAsia="Times New Roman" w:hAnsi="Times New Roman"/>
          <w:sz w:val="15"/>
          <w:szCs w:val="15"/>
          <w:color w:val="auto"/>
        </w:rPr>
      </w:pPr>
    </w:p>
    <w:p>
      <w:pPr>
        <w:ind w:left="1380" w:hanging="172"/>
        <w:spacing w:after="0"/>
        <w:tabs>
          <w:tab w:leader="none" w:pos="13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the issuance of and establish the form and terms and conditions of Securities of any Series as permitted by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Indenture;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ectPr>
          <w:pgSz w:w="11900" w:h="16838" w:orient="portrait"/>
          <w:cols w:equalWidth="0" w:num="1">
            <w:col w:w="9280"/>
          </w:cols>
          <w:pgMar w:left="1300" w:top="250" w:right="1319" w:bottom="1440" w:gutter="0" w:footer="0" w:header="0"/>
        </w:sectPr>
      </w:pPr>
    </w:p>
    <w:bookmarkStart w:id="108" w:name="page109"/>
    <w:bookmarkEnd w:id="108"/>
    <w:p>
      <w:pPr>
        <w:ind w:right="60" w:firstLine="1208"/>
        <w:spacing w:after="0" w:line="270" w:lineRule="auto"/>
        <w:tabs>
          <w:tab w:leader="none" w:pos="1388"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46"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requirements of the SEC in order to effect or maintain the qualification of this Indenture under the TIA;</w:t>
      </w:r>
    </w:p>
    <w:p>
      <w:pPr>
        <w:spacing w:after="0" w:line="191" w:lineRule="exact"/>
        <w:rPr>
          <w:rFonts w:ascii="Times New Roman" w:cs="Times New Roman" w:eastAsia="Times New Roman" w:hAnsi="Times New Roman"/>
          <w:sz w:val="15"/>
          <w:szCs w:val="15"/>
          <w:color w:val="auto"/>
        </w:rPr>
      </w:pPr>
    </w:p>
    <w:p>
      <w:pPr>
        <w:ind w:firstLine="372"/>
        <w:spacing w:after="0" w:line="270" w:lineRule="auto"/>
        <w:tabs>
          <w:tab w:leader="none" w:pos="552"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change or eliminate any provision of this Indenture or the Securities of such Series in accordance with the TIA, or to comply with the provisions of DTC, Euroclear or Clearstream or the Trustee with respect to provisions of this Indenture or the Securities of such Series relating to transfers or exchanges of the Securities of such Series or beneficial interests in the Securities of such Series; or</w:t>
      </w:r>
    </w:p>
    <w:p>
      <w:pPr>
        <w:spacing w:after="0" w:line="146" w:lineRule="exact"/>
        <w:rPr>
          <w:rFonts w:ascii="Times New Roman" w:cs="Times New Roman" w:eastAsia="Times New Roman" w:hAnsi="Times New Roman"/>
          <w:sz w:val="15"/>
          <w:szCs w:val="15"/>
          <w:color w:val="auto"/>
        </w:rPr>
      </w:pPr>
    </w:p>
    <w:p>
      <w:pPr>
        <w:ind w:right="220" w:firstLine="372"/>
        <w:spacing w:after="0" w:line="287" w:lineRule="auto"/>
        <w:tabs>
          <w:tab w:leader="none" w:pos="628"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conform any provision of this Indenture, in so far as it relates to the Securities of such Series, to the description of the Securities of such Series in the prospectus supplement relation to the offering of the Securities of such Series.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9.2 </w:t>
      </w:r>
      <w:r>
        <w:rPr>
          <w:rFonts w:ascii="Times New Roman" w:cs="Times New Roman" w:eastAsia="Times New Roman" w:hAnsi="Times New Roman"/>
          <w:sz w:val="15"/>
          <w:szCs w:val="15"/>
          <w:u w:val="single" w:color="auto"/>
          <w:color w:val="auto"/>
        </w:rPr>
        <w:t>With Consent of Holders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280" w:firstLine="836"/>
        <w:spacing w:after="0" w:line="259" w:lineRule="auto"/>
        <w:rPr>
          <w:sz w:val="20"/>
          <w:szCs w:val="20"/>
          <w:color w:val="auto"/>
        </w:rPr>
      </w:pPr>
      <w:r>
        <w:rPr>
          <w:rFonts w:ascii="Times New Roman" w:cs="Times New Roman" w:eastAsia="Times New Roman" w:hAnsi="Times New Roman"/>
          <w:sz w:val="15"/>
          <w:szCs w:val="15"/>
          <w:color w:val="auto"/>
        </w:rPr>
        <w:t>The Company and the Trustee may enter into a supplemental indenture with the written consent of the Holders of at least a majority in aggregate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aggregate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54" w:lineRule="exact"/>
        <w:rPr>
          <w:sz w:val="20"/>
          <w:szCs w:val="20"/>
          <w:color w:val="auto"/>
        </w:rPr>
      </w:pPr>
    </w:p>
    <w:p>
      <w:pPr>
        <w:ind w:right="80" w:firstLine="836"/>
        <w:spacing w:after="0" w:line="261" w:lineRule="auto"/>
        <w:rPr>
          <w:sz w:val="20"/>
          <w:szCs w:val="20"/>
          <w:color w:val="auto"/>
        </w:rPr>
      </w:pPr>
      <w:r>
        <w:rPr>
          <w:rFonts w:ascii="Times New Roman" w:cs="Times New Roman" w:eastAsia="Times New Roman" w:hAnsi="Times New Roman"/>
          <w:sz w:val="15"/>
          <w:szCs w:val="15"/>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9.3 </w:t>
      </w:r>
      <w:r>
        <w:rPr>
          <w:rFonts w:ascii="Times New Roman" w:cs="Times New Roman" w:eastAsia="Times New Roman" w:hAnsi="Times New Roman"/>
          <w:sz w:val="15"/>
          <w:szCs w:val="15"/>
          <w:u w:val="single" w:color="auto"/>
          <w:color w:val="auto"/>
        </w:rPr>
        <w:t>Limitations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Without the consent of each Securityholder affected, an amendment or waiver may not:</w:t>
      </w:r>
    </w:p>
    <w:p>
      <w:pPr>
        <w:spacing w:after="0" w:line="101" w:lineRule="exact"/>
        <w:rPr>
          <w:sz w:val="20"/>
          <w:szCs w:val="20"/>
          <w:color w:val="auto"/>
        </w:rPr>
      </w:pPr>
    </w:p>
    <w:p>
      <w:pPr>
        <w:jc w:val="center"/>
        <w:ind w:left="4520" w:right="1060" w:hanging="3312"/>
        <w:spacing w:after="0" w:line="461" w:lineRule="auto"/>
        <w:tabs>
          <w:tab w:leader="none" w:pos="1417"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amount of Securities whose Holders must consent to an amendment, supplement or waiver; -38-</w:t>
      </w:r>
    </w:p>
    <w:p>
      <w:pPr>
        <w:sectPr>
          <w:pgSz w:w="11900" w:h="16838" w:orient="portrait"/>
          <w:cols w:equalWidth="0" w:num="1">
            <w:col w:w="9260"/>
          </w:cols>
          <w:pgMar w:left="1300" w:top="250" w:right="1339" w:bottom="1440" w:gutter="0" w:footer="0" w:header="0"/>
        </w:sectPr>
      </w:pPr>
    </w:p>
    <w:bookmarkStart w:id="109" w:name="page110"/>
    <w:bookmarkEnd w:id="109"/>
    <w:p>
      <w:pPr>
        <w:ind w:left="1420" w:hanging="212"/>
        <w:spacing w:after="0"/>
        <w:tabs>
          <w:tab w:leader="none" w:pos="142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93915" cy="34290"/>
                    </a:xfrm>
                    <a:prstGeom prst="rect">
                      <a:avLst/>
                    </a:prstGeom>
                    <a:noFill/>
                  </pic:spPr>
                </pic:pic>
              </a:graphicData>
            </a:graphic>
          </wp:anchor>
        </w:drawing>
        <w:t>reduce the rate of or extend the time for payment of interest (including default interest) on any Security;</w:t>
      </w:r>
    </w:p>
    <w:p>
      <w:pPr>
        <w:spacing w:after="0" w:line="191" w:lineRule="exact"/>
        <w:rPr>
          <w:rFonts w:ascii="Times New Roman" w:cs="Times New Roman" w:eastAsia="Times New Roman" w:hAnsi="Times New Roman"/>
          <w:sz w:val="15"/>
          <w:szCs w:val="15"/>
          <w:color w:val="auto"/>
        </w:rPr>
      </w:pPr>
    </w:p>
    <w:p>
      <w:pPr>
        <w:ind w:right="240" w:firstLine="1208"/>
        <w:spacing w:after="0" w:line="287" w:lineRule="auto"/>
        <w:tabs>
          <w:tab w:leader="none" w:pos="1413"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or change the Stated Maturity of any Security or reduce the amount of, or postpone the date fixed for, the payment of any sinking fund or analogous obligation;</w:t>
      </w:r>
    </w:p>
    <w:p>
      <w:pPr>
        <w:spacing w:after="0" w:line="133"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amount of Discount Securities payable upon acceleration of the maturity thereof;</w:t>
      </w:r>
    </w:p>
    <w:p>
      <w:pPr>
        <w:spacing w:after="0" w:line="191" w:lineRule="exact"/>
        <w:rPr>
          <w:rFonts w:ascii="Times New Roman" w:cs="Times New Roman" w:eastAsia="Times New Roman" w:hAnsi="Times New Roman"/>
          <w:sz w:val="15"/>
          <w:szCs w:val="15"/>
          <w:color w:val="auto"/>
        </w:rPr>
      </w:pPr>
    </w:p>
    <w:p>
      <w:pPr>
        <w:ind w:right="140" w:firstLine="1208"/>
        <w:spacing w:after="0" w:line="270" w:lineRule="auto"/>
        <w:tabs>
          <w:tab w:leader="none" w:pos="1413"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46" w:lineRule="exact"/>
        <w:rPr>
          <w:rFonts w:ascii="Times New Roman" w:cs="Times New Roman" w:eastAsia="Times New Roman" w:hAnsi="Times New Roman"/>
          <w:sz w:val="15"/>
          <w:szCs w:val="15"/>
          <w:color w:val="auto"/>
        </w:rPr>
      </w:pPr>
    </w:p>
    <w:p>
      <w:pPr>
        <w:ind w:left="1400" w:hanging="192"/>
        <w:spacing w:after="0"/>
        <w:tabs>
          <w:tab w:leader="none" w:pos="14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the principal of or interest, if any, on any Security payable in any currency other than that stated in the Security;</w:t>
      </w:r>
    </w:p>
    <w:p>
      <w:pPr>
        <w:spacing w:after="0" w:line="191"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in Sections 6.8, 6.13 or 9.3 (this sentence); or</w:t>
      </w:r>
    </w:p>
    <w:p>
      <w:pPr>
        <w:spacing w:after="0" w:line="191" w:lineRule="exact"/>
        <w:rPr>
          <w:rFonts w:ascii="Times New Roman" w:cs="Times New Roman" w:eastAsia="Times New Roman" w:hAnsi="Times New Roman"/>
          <w:sz w:val="15"/>
          <w:szCs w:val="15"/>
          <w:color w:val="auto"/>
        </w:rPr>
      </w:pPr>
    </w:p>
    <w:p>
      <w:pPr>
        <w:ind w:left="380" w:right="380" w:firstLine="828"/>
        <w:spacing w:after="0" w:line="506" w:lineRule="auto"/>
        <w:tabs>
          <w:tab w:leader="none" w:pos="1431"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waive a redemption payment with respect to any Security, provided that such redemption is made at the Company’s option. Section 9.4 </w:t>
      </w:r>
      <w:r>
        <w:rPr>
          <w:rFonts w:ascii="Times New Roman" w:cs="Times New Roman" w:eastAsia="Times New Roman" w:hAnsi="Times New Roman"/>
          <w:sz w:val="15"/>
          <w:szCs w:val="15"/>
          <w:u w:val="single" w:color="auto"/>
          <w:color w:val="auto"/>
        </w:rPr>
        <w:t>Compliance with Trust Indenture Act</w:t>
      </w:r>
      <w:r>
        <w:rPr>
          <w:rFonts w:ascii="Times New Roman" w:cs="Times New Roman" w:eastAsia="Times New Roman" w:hAnsi="Times New Roman"/>
          <w:sz w:val="15"/>
          <w:szCs w:val="15"/>
          <w:color w:val="auto"/>
        </w:rPr>
        <w:t>.</w:t>
      </w:r>
    </w:p>
    <w:p>
      <w:pPr>
        <w:spacing w:after="0" w:line="1" w:lineRule="exact"/>
        <w:rPr>
          <w:sz w:val="20"/>
          <w:szCs w:val="20"/>
          <w:color w:val="auto"/>
        </w:rPr>
      </w:pPr>
    </w:p>
    <w:p>
      <w:pPr>
        <w:ind w:right="500" w:firstLine="836"/>
        <w:spacing w:after="0" w:line="287" w:lineRule="auto"/>
        <w:rPr>
          <w:sz w:val="20"/>
          <w:szCs w:val="20"/>
          <w:color w:val="auto"/>
        </w:rPr>
      </w:pPr>
      <w:r>
        <w:rPr>
          <w:rFonts w:ascii="Times New Roman" w:cs="Times New Roman" w:eastAsia="Times New Roman" w:hAnsi="Times New Roman"/>
          <w:sz w:val="15"/>
          <w:szCs w:val="15"/>
          <w:color w:val="auto"/>
        </w:rPr>
        <w:t>Every amendment to this Indenture or the Securities of one or more Series shall be set forth in a supplemental indenture hereto that complies with the TIA as then in effect.</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9.5 </w:t>
      </w:r>
      <w:r>
        <w:rPr>
          <w:rFonts w:ascii="Times New Roman" w:cs="Times New Roman" w:eastAsia="Times New Roman" w:hAnsi="Times New Roman"/>
          <w:sz w:val="15"/>
          <w:szCs w:val="15"/>
          <w:u w:val="single" w:color="auto"/>
          <w:color w:val="auto"/>
        </w:rPr>
        <w:t>Revocation and Effect of Consents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80" w:firstLine="836"/>
        <w:spacing w:after="0" w:line="261" w:lineRule="auto"/>
        <w:rPr>
          <w:sz w:val="20"/>
          <w:szCs w:val="20"/>
          <w:color w:val="auto"/>
        </w:rPr>
      </w:pPr>
      <w:r>
        <w:rPr>
          <w:rFonts w:ascii="Times New Roman" w:cs="Times New Roman" w:eastAsia="Times New Roman" w:hAnsi="Times New Roman"/>
          <w:sz w:val="15"/>
          <w:szCs w:val="15"/>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55" w:lineRule="exact"/>
        <w:rPr>
          <w:sz w:val="20"/>
          <w:szCs w:val="20"/>
          <w:color w:val="auto"/>
        </w:rPr>
      </w:pPr>
    </w:p>
    <w:p>
      <w:pPr>
        <w:jc w:val="both"/>
        <w:ind w:firstLine="836"/>
        <w:spacing w:after="0" w:line="270" w:lineRule="auto"/>
        <w:rPr>
          <w:sz w:val="20"/>
          <w:szCs w:val="20"/>
          <w:color w:val="auto"/>
        </w:rPr>
      </w:pPr>
      <w:r>
        <w:rPr>
          <w:rFonts w:ascii="Times New Roman" w:cs="Times New Roman" w:eastAsia="Times New Roman" w:hAnsi="Times New Roman"/>
          <w:sz w:val="15"/>
          <w:szCs w:val="15"/>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ectPr>
          <w:pgSz w:w="11900" w:h="16838" w:orient="portrait"/>
          <w:cols w:equalWidth="0" w:num="1">
            <w:col w:w="9280"/>
          </w:cols>
          <w:pgMar w:left="1300" w:top="250" w:right="1319" w:bottom="1440" w:gutter="0" w:footer="0" w:header="0"/>
        </w:sectPr>
      </w:pPr>
    </w:p>
    <w:bookmarkStart w:id="110" w:name="page111"/>
    <w:bookmarkEnd w:id="110"/>
    <w:p>
      <w:pPr>
        <w:ind w:right="60" w:firstLine="836"/>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9.6 </w:t>
      </w:r>
      <w:r>
        <w:rPr>
          <w:rFonts w:ascii="Times New Roman" w:cs="Times New Roman" w:eastAsia="Times New Roman" w:hAnsi="Times New Roman"/>
          <w:sz w:val="15"/>
          <w:szCs w:val="15"/>
          <w:u w:val="single" w:color="auto"/>
          <w:color w:val="auto"/>
        </w:rPr>
        <w:t>Notation on or Exchange of Securities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140" w:firstLine="836"/>
        <w:spacing w:after="0" w:line="270" w:lineRule="auto"/>
        <w:rPr>
          <w:sz w:val="20"/>
          <w:szCs w:val="20"/>
          <w:color w:val="auto"/>
        </w:rPr>
      </w:pPr>
      <w:r>
        <w:rPr>
          <w:rFonts w:ascii="Times New Roman" w:cs="Times New Roman" w:eastAsia="Times New Roman" w:hAnsi="Times New Roman"/>
          <w:sz w:val="15"/>
          <w:szCs w:val="15"/>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9.7 </w:t>
      </w:r>
      <w:r>
        <w:rPr>
          <w:rFonts w:ascii="Times New Roman" w:cs="Times New Roman" w:eastAsia="Times New Roman" w:hAnsi="Times New Roman"/>
          <w:sz w:val="15"/>
          <w:szCs w:val="15"/>
          <w:u w:val="single" w:color="auto"/>
          <w:color w:val="auto"/>
        </w:rPr>
        <w:t>Trustee Protected</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40" w:firstLine="836"/>
        <w:spacing w:after="0" w:line="260" w:lineRule="auto"/>
        <w:rPr>
          <w:sz w:val="20"/>
          <w:szCs w:val="20"/>
          <w:color w:val="auto"/>
        </w:rPr>
      </w:pPr>
      <w:r>
        <w:rPr>
          <w:rFonts w:ascii="Times New Roman" w:cs="Times New Roman" w:eastAsia="Times New Roman" w:hAnsi="Times New Roman"/>
          <w:sz w:val="15"/>
          <w:szCs w:val="15"/>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and stating that the supplemental indenture is authorized or permitted by this Indenture and constitutes a legal valid and binding obligation of the Company, enforceable against it in accordance with its terms.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X</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MISCELLANEOUS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10.1 </w:t>
      </w:r>
      <w:r>
        <w:rPr>
          <w:rFonts w:ascii="Times New Roman" w:cs="Times New Roman" w:eastAsia="Times New Roman" w:hAnsi="Times New Roman"/>
          <w:sz w:val="15"/>
          <w:szCs w:val="15"/>
          <w:u w:val="single" w:color="auto"/>
          <w:color w:val="auto"/>
        </w:rPr>
        <w:t>Trust Indenture Act Controls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200" w:firstLine="836"/>
        <w:spacing w:after="0" w:line="287" w:lineRule="auto"/>
        <w:rPr>
          <w:sz w:val="20"/>
          <w:szCs w:val="20"/>
          <w:color w:val="auto"/>
        </w:rPr>
      </w:pPr>
      <w:r>
        <w:rPr>
          <w:rFonts w:ascii="Times New Roman" w:cs="Times New Roman" w:eastAsia="Times New Roman" w:hAnsi="Times New Roman"/>
          <w:sz w:val="15"/>
          <w:szCs w:val="15"/>
          <w:color w:val="auto"/>
        </w:rPr>
        <w:t>If any provision of this Indenture limits, qualifies, or conflicts with another provision which is required or deemed to be included in this Indenture by the TIA, such required or deemed provision shall control.</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10.2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jc w:val="both"/>
        <w:ind w:firstLine="836"/>
        <w:spacing w:after="0" w:line="270" w:lineRule="auto"/>
        <w:rPr>
          <w:sz w:val="20"/>
          <w:szCs w:val="20"/>
          <w:color w:val="auto"/>
        </w:rPr>
      </w:pPr>
      <w:r>
        <w:rPr>
          <w:rFonts w:ascii="Times New Roman" w:cs="Times New Roman" w:eastAsia="Times New Roman" w:hAnsi="Times New Roman"/>
          <w:sz w:val="15"/>
          <w:szCs w:val="15"/>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to the Company:</w:t>
      </w:r>
    </w:p>
    <w:p>
      <w:pPr>
        <w:spacing w:after="0" w:line="10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Tenaya Therapeutics, Inc.</w:t>
      </w:r>
    </w:p>
    <w:p>
      <w:pPr>
        <w:spacing w:after="0" w:line="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171 Oyster Point Boulevard, Suite 500</w:t>
      </w:r>
    </w:p>
    <w:p>
      <w:pPr>
        <w:spacing w:after="0" w:line="1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South San Francisco, California 94080</w:t>
      </w:r>
    </w:p>
    <w:p>
      <w:pPr>
        <w:spacing w:after="0" w:line="1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Attention: General Counsel</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-40-</w:t>
      </w:r>
    </w:p>
    <w:p>
      <w:pPr>
        <w:sectPr>
          <w:pgSz w:w="11900" w:h="16838" w:orient="portrait"/>
          <w:cols w:equalWidth="0" w:num="1">
            <w:col w:w="9280"/>
          </w:cols>
          <w:pgMar w:left="1300" w:top="250" w:right="1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93915" cy="34290"/>
                    </a:xfrm>
                    <a:prstGeom prst="rect">
                      <a:avLst/>
                    </a:prstGeom>
                    <a:noFill/>
                  </pic:spPr>
                </pic:pic>
              </a:graphicData>
            </a:graphic>
          </wp:anchor>
        </w:drawing>
        <w:t>with a copy to:</w:t>
      </w:r>
    </w:p>
    <w:p>
      <w:pPr>
        <w:spacing w:after="0" w:line="10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Wilson Sonsini Goodrich &amp; Rosati, Professional Corporation</w:t>
      </w:r>
    </w:p>
    <w:p>
      <w:pPr>
        <w:spacing w:after="0" w:line="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650 Page Mill Road</w:t>
      </w:r>
    </w:p>
    <w:p>
      <w:pPr>
        <w:spacing w:after="0" w:line="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Palo Alto, CA 94304</w:t>
      </w:r>
    </w:p>
    <w:p>
      <w:pPr>
        <w:spacing w:after="0" w:line="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Attention: Jennifer D. Knapp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to the Trustee:</w:t>
      </w:r>
    </w:p>
    <w:p>
      <w:pPr>
        <w:spacing w:after="0" w:line="10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[__________]</w:t>
      </w:r>
    </w:p>
    <w:p>
      <w:pPr>
        <w:spacing w:after="0" w:line="10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[__________]</w:t>
      </w:r>
    </w:p>
    <w:p>
      <w:pPr>
        <w:spacing w:after="0" w:line="10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Attention: [__________]</w:t>
      </w:r>
    </w:p>
    <w:p>
      <w:pPr>
        <w:spacing w:after="0" w:line="192" w:lineRule="exact"/>
        <w:rPr>
          <w:sz w:val="20"/>
          <w:szCs w:val="20"/>
          <w:color w:val="auto"/>
        </w:rPr>
      </w:pPr>
    </w:p>
    <w:p>
      <w:pPr>
        <w:ind w:right="920" w:firstLine="836"/>
        <w:spacing w:after="0" w:line="287" w:lineRule="auto"/>
        <w:rPr>
          <w:sz w:val="20"/>
          <w:szCs w:val="20"/>
          <w:color w:val="auto"/>
        </w:rPr>
      </w:pPr>
      <w:r>
        <w:rPr>
          <w:rFonts w:ascii="Times New Roman" w:cs="Times New Roman" w:eastAsia="Times New Roman" w:hAnsi="Times New Roman"/>
          <w:sz w:val="15"/>
          <w:szCs w:val="15"/>
          <w:color w:val="auto"/>
        </w:rPr>
        <w:t>The Company or the Trustee by notice to the other may designate additional or different addresses for subsequent notices or communications. Any notice or communication delivered to the Trustee shall be deemed effective upon actual receipt thereof.</w:t>
      </w:r>
    </w:p>
    <w:p>
      <w:pPr>
        <w:spacing w:after="0" w:line="134" w:lineRule="exact"/>
        <w:rPr>
          <w:sz w:val="20"/>
          <w:szCs w:val="20"/>
          <w:color w:val="auto"/>
        </w:rPr>
      </w:pPr>
    </w:p>
    <w:p>
      <w:pPr>
        <w:jc w:val="both"/>
        <w:ind w:firstLine="836"/>
        <w:spacing w:after="0" w:line="270" w:lineRule="auto"/>
        <w:rPr>
          <w:sz w:val="20"/>
          <w:szCs w:val="20"/>
          <w:color w:val="auto"/>
        </w:rPr>
      </w:pPr>
      <w:r>
        <w:rPr>
          <w:rFonts w:ascii="Times New Roman" w:cs="Times New Roman" w:eastAsia="Times New Roman" w:hAnsi="Times New Roman"/>
          <w:sz w:val="15"/>
          <w:szCs w:val="15"/>
          <w:color w:val="auto"/>
        </w:rPr>
        <w:t>Any notice or communication to a Securityholder shall be sent electronically or by first-class mail to his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46" w:lineRule="exact"/>
        <w:rPr>
          <w:sz w:val="20"/>
          <w:szCs w:val="20"/>
          <w:color w:val="auto"/>
        </w:rPr>
      </w:pPr>
    </w:p>
    <w:p>
      <w:pPr>
        <w:ind w:right="20" w:firstLine="836"/>
        <w:spacing w:after="0" w:line="287" w:lineRule="auto"/>
        <w:rPr>
          <w:sz w:val="20"/>
          <w:szCs w:val="20"/>
          <w:color w:val="auto"/>
        </w:rPr>
      </w:pPr>
      <w:r>
        <w:rPr>
          <w:rFonts w:ascii="Times New Roman" w:cs="Times New Roman" w:eastAsia="Times New Roman" w:hAnsi="Times New Roman"/>
          <w:sz w:val="15"/>
          <w:szCs w:val="15"/>
          <w:color w:val="auto"/>
        </w:rPr>
        <w:t>If a notice or communication is sent or published in the manner provided above, within the time prescribed, it is duly given, whether or not the Securityholder receives it.</w:t>
      </w:r>
    </w:p>
    <w:p>
      <w:pPr>
        <w:spacing w:after="0" w:line="13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If the Company sends a notice or communication to Securityholders, it shall send a copy to the Trustee and each Agent at the same time.</w:t>
      </w:r>
    </w:p>
    <w:p>
      <w:pPr>
        <w:spacing w:after="0" w:line="192" w:lineRule="exact"/>
        <w:rPr>
          <w:sz w:val="20"/>
          <w:szCs w:val="20"/>
          <w:color w:val="auto"/>
        </w:rPr>
      </w:pPr>
    </w:p>
    <w:p>
      <w:pPr>
        <w:ind w:right="40" w:firstLine="836"/>
        <w:spacing w:after="0" w:line="270" w:lineRule="auto"/>
        <w:rPr>
          <w:sz w:val="20"/>
          <w:szCs w:val="20"/>
          <w:color w:val="auto"/>
        </w:rPr>
      </w:pPr>
      <w:r>
        <w:rPr>
          <w:rFonts w:ascii="Times New Roman" w:cs="Times New Roman" w:eastAsia="Times New Roman" w:hAnsi="Times New Roman"/>
          <w:sz w:val="15"/>
          <w:szCs w:val="15"/>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10.3 </w:t>
      </w:r>
      <w:r>
        <w:rPr>
          <w:rFonts w:ascii="Times New Roman" w:cs="Times New Roman" w:eastAsia="Times New Roman" w:hAnsi="Times New Roman"/>
          <w:sz w:val="15"/>
          <w:szCs w:val="15"/>
          <w:u w:val="single" w:color="auto"/>
          <w:color w:val="auto"/>
        </w:rPr>
        <w:t>Communication by Holders with Other Holders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jc w:val="both"/>
        <w:ind w:right="260" w:firstLine="836"/>
        <w:spacing w:after="0" w:line="270" w:lineRule="auto"/>
        <w:rPr>
          <w:sz w:val="20"/>
          <w:szCs w:val="20"/>
          <w:color w:val="auto"/>
        </w:rPr>
      </w:pPr>
      <w:r>
        <w:rPr>
          <w:rFonts w:ascii="Times New Roman" w:cs="Times New Roman" w:eastAsia="Times New Roman" w:hAnsi="Times New Roman"/>
          <w:sz w:val="15"/>
          <w:szCs w:val="15"/>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ectPr>
          <w:pgSz w:w="11900" w:h="16838" w:orient="portrait"/>
          <w:cols w:equalWidth="0" w:num="1">
            <w:col w:w="9280"/>
          </w:cols>
          <w:pgMar w:left="1300" w:top="250" w:right="1319" w:bottom="1440" w:gutter="0" w:footer="0" w:header="0"/>
        </w:sectPr>
      </w:pPr>
    </w:p>
    <w:bookmarkStart w:id="112" w:name="page113"/>
    <w:bookmarkEnd w:id="112"/>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93915" cy="34290"/>
                    </a:xfrm>
                    <a:prstGeom prst="rect">
                      <a:avLst/>
                    </a:prstGeom>
                    <a:noFill/>
                  </pic:spPr>
                </pic:pic>
              </a:graphicData>
            </a:graphic>
          </wp:anchor>
        </w:drawing>
        <w:t xml:space="preserve">Section 10.4 </w:t>
      </w:r>
      <w:r>
        <w:rPr>
          <w:rFonts w:ascii="Times New Roman" w:cs="Times New Roman" w:eastAsia="Times New Roman" w:hAnsi="Times New Roman"/>
          <w:sz w:val="15"/>
          <w:szCs w:val="15"/>
          <w:u w:val="single" w:color="auto"/>
          <w:color w:val="auto"/>
        </w:rPr>
        <w:t>Certificate and Opinion as to Conditions Precedent</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Upon any request or application by the Company to the Trustee to take any action under this Indenture, the Company shall furnish to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Trustee:</w:t>
      </w:r>
    </w:p>
    <w:p>
      <w:pPr>
        <w:spacing w:after="0" w:line="86" w:lineRule="exact"/>
        <w:rPr>
          <w:sz w:val="20"/>
          <w:szCs w:val="20"/>
          <w:color w:val="auto"/>
        </w:rPr>
      </w:pPr>
    </w:p>
    <w:p>
      <w:pPr>
        <w:ind w:right="100" w:firstLine="1208"/>
        <w:spacing w:after="0" w:line="287" w:lineRule="auto"/>
        <w:tabs>
          <w:tab w:leader="none" w:pos="1413"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Officer’s Certificate stating that, in the opinion of the signers, all conditions precedent, if any, provided for in this Indenture relating to the proposed action have been complied with; and</w:t>
      </w:r>
    </w:p>
    <w:p>
      <w:pPr>
        <w:spacing w:after="0" w:line="133" w:lineRule="exact"/>
        <w:rPr>
          <w:rFonts w:ascii="Times New Roman" w:cs="Times New Roman" w:eastAsia="Times New Roman" w:hAnsi="Times New Roman"/>
          <w:sz w:val="15"/>
          <w:szCs w:val="15"/>
          <w:color w:val="auto"/>
        </w:rPr>
      </w:pPr>
    </w:p>
    <w:p>
      <w:pPr>
        <w:ind w:left="380" w:right="360" w:firstLine="828"/>
        <w:spacing w:after="0" w:line="506" w:lineRule="auto"/>
        <w:tabs>
          <w:tab w:leader="none" w:pos="1431"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 Opinion of Counsel stating that, in the opinion of such counsel, all such conditions precedent have been complied with. Section 10.5 </w:t>
      </w:r>
      <w:r>
        <w:rPr>
          <w:rFonts w:ascii="Times New Roman" w:cs="Times New Roman" w:eastAsia="Times New Roman" w:hAnsi="Times New Roman"/>
          <w:sz w:val="15"/>
          <w:szCs w:val="15"/>
          <w:u w:val="single" w:color="auto"/>
          <w:color w:val="auto"/>
        </w:rPr>
        <w:t>Statements Required in Certificate or Opinion</w:t>
      </w:r>
      <w:r>
        <w:rPr>
          <w:rFonts w:ascii="Times New Roman" w:cs="Times New Roman" w:eastAsia="Times New Roman" w:hAnsi="Times New Roman"/>
          <w:sz w:val="15"/>
          <w:szCs w:val="15"/>
          <w:color w:val="auto"/>
        </w:rPr>
        <w:t>.</w:t>
      </w:r>
    </w:p>
    <w:p>
      <w:pPr>
        <w:spacing w:after="0" w:line="1" w:lineRule="exact"/>
        <w:rPr>
          <w:sz w:val="20"/>
          <w:szCs w:val="20"/>
          <w:color w:val="auto"/>
        </w:rPr>
      </w:pPr>
    </w:p>
    <w:p>
      <w:pPr>
        <w:ind w:right="40" w:firstLine="836"/>
        <w:spacing w:after="0" w:line="287" w:lineRule="auto"/>
        <w:rPr>
          <w:sz w:val="20"/>
          <w:szCs w:val="20"/>
          <w:color w:val="auto"/>
        </w:rPr>
      </w:pPr>
      <w:r>
        <w:rPr>
          <w:rFonts w:ascii="Times New Roman" w:cs="Times New Roman" w:eastAsia="Times New Roman" w:hAnsi="Times New Roman"/>
          <w:sz w:val="15"/>
          <w:szCs w:val="15"/>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43" w:lineRule="exact"/>
        <w:rPr>
          <w:sz w:val="20"/>
          <w:szCs w:val="20"/>
          <w:color w:val="auto"/>
        </w:rPr>
      </w:pPr>
    </w:p>
    <w:p>
      <w:pPr>
        <w:ind w:left="1420" w:hanging="212"/>
        <w:spacing w:after="0"/>
        <w:tabs>
          <w:tab w:leader="none" w:pos="142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statement that the person making such certificate or opinion has read such covenant or condition;</w:t>
      </w:r>
    </w:p>
    <w:p>
      <w:pPr>
        <w:spacing w:after="0" w:line="191" w:lineRule="exact"/>
        <w:rPr>
          <w:rFonts w:ascii="Times New Roman" w:cs="Times New Roman" w:eastAsia="Times New Roman" w:hAnsi="Times New Roman"/>
          <w:sz w:val="15"/>
          <w:szCs w:val="15"/>
          <w:color w:val="auto"/>
        </w:rPr>
      </w:pPr>
    </w:p>
    <w:p>
      <w:pPr>
        <w:ind w:firstLine="1208"/>
        <w:spacing w:after="0" w:line="287" w:lineRule="auto"/>
        <w:tabs>
          <w:tab w:leader="none" w:pos="1422"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brief statement as to the nature and scope of the examination or investigation upon which the statements or opinions contained in such certificate or opinion are based;</w:t>
      </w:r>
    </w:p>
    <w:p>
      <w:pPr>
        <w:spacing w:after="0" w:line="133" w:lineRule="exact"/>
        <w:rPr>
          <w:rFonts w:ascii="Times New Roman" w:cs="Times New Roman" w:eastAsia="Times New Roman" w:hAnsi="Times New Roman"/>
          <w:sz w:val="15"/>
          <w:szCs w:val="15"/>
          <w:color w:val="auto"/>
        </w:rPr>
      </w:pPr>
    </w:p>
    <w:p>
      <w:pPr>
        <w:ind w:right="120" w:firstLine="1208"/>
        <w:spacing w:after="0" w:line="287" w:lineRule="auto"/>
        <w:tabs>
          <w:tab w:leader="none" w:pos="1413"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33" w:lineRule="exact"/>
        <w:rPr>
          <w:rFonts w:ascii="Times New Roman" w:cs="Times New Roman" w:eastAsia="Times New Roman" w:hAnsi="Times New Roman"/>
          <w:sz w:val="15"/>
          <w:szCs w:val="15"/>
          <w:color w:val="auto"/>
        </w:rPr>
      </w:pPr>
    </w:p>
    <w:p>
      <w:pPr>
        <w:ind w:left="1420" w:hanging="212"/>
        <w:spacing w:after="0"/>
        <w:tabs>
          <w:tab w:leader="none" w:pos="142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statement as to whether or not, in the opinion of such person, such condition or covenant has been complied with.</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10.6 </w:t>
      </w:r>
      <w:r>
        <w:rPr>
          <w:rFonts w:ascii="Times New Roman" w:cs="Times New Roman" w:eastAsia="Times New Roman" w:hAnsi="Times New Roman"/>
          <w:sz w:val="15"/>
          <w:szCs w:val="15"/>
          <w:u w:val="single" w:color="auto"/>
          <w:color w:val="auto"/>
        </w:rPr>
        <w:t>Rules by Trustee and Agents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440" w:firstLine="836"/>
        <w:spacing w:after="0" w:line="287" w:lineRule="auto"/>
        <w:rPr>
          <w:sz w:val="20"/>
          <w:szCs w:val="20"/>
          <w:color w:val="auto"/>
        </w:rPr>
      </w:pPr>
      <w:r>
        <w:rPr>
          <w:rFonts w:ascii="Times New Roman" w:cs="Times New Roman" w:eastAsia="Times New Roman" w:hAnsi="Times New Roman"/>
          <w:sz w:val="15"/>
          <w:szCs w:val="15"/>
          <w:color w:val="auto"/>
        </w:rPr>
        <w:t>The Trustee may make reasonable rules for action by or a meeting of Securityholders of one or more Series. Any Agent may make reasonable rules and set reasonable requirements for its functions.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10.7 </w:t>
      </w:r>
      <w:r>
        <w:rPr>
          <w:rFonts w:ascii="Times New Roman" w:cs="Times New Roman" w:eastAsia="Times New Roman" w:hAnsi="Times New Roman"/>
          <w:sz w:val="15"/>
          <w:szCs w:val="15"/>
          <w:u w:val="single" w:color="auto"/>
          <w:color w:val="auto"/>
        </w:rPr>
        <w:t>Legal Holidays</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ind w:right="260" w:firstLine="836"/>
        <w:spacing w:after="0" w:line="293" w:lineRule="auto"/>
        <w:rPr>
          <w:sz w:val="20"/>
          <w:szCs w:val="20"/>
          <w:color w:val="auto"/>
        </w:rPr>
      </w:pPr>
      <w:r>
        <w:rPr>
          <w:rFonts w:ascii="Times New Roman" w:cs="Times New Roman" w:eastAsia="Times New Roman" w:hAnsi="Times New Roman"/>
          <w:sz w:val="15"/>
          <w:szCs w:val="15"/>
          <w:color w:val="auto"/>
        </w:rPr>
        <w:t>A “</w:t>
      </w:r>
      <w:r>
        <w:rPr>
          <w:rFonts w:ascii="Times New Roman" w:cs="Times New Roman" w:eastAsia="Times New Roman" w:hAnsi="Times New Roman"/>
          <w:sz w:val="15"/>
          <w:szCs w:val="15"/>
          <w:i w:val="1"/>
          <w:iCs w:val="1"/>
          <w:color w:val="auto"/>
        </w:rPr>
        <w:t>Legal Holiday</w:t>
      </w:r>
      <w:r>
        <w:rPr>
          <w:rFonts w:ascii="Times New Roman" w:cs="Times New Roman" w:eastAsia="Times New Roman" w:hAnsi="Times New Roman"/>
          <w:sz w:val="15"/>
          <w:szCs w:val="15"/>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-42-</w:t>
      </w:r>
    </w:p>
    <w:p>
      <w:pPr>
        <w:sectPr>
          <w:pgSz w:w="11900" w:h="16838" w:orient="portrait"/>
          <w:cols w:equalWidth="0" w:num="1">
            <w:col w:w="9200"/>
          </w:cols>
          <w:pgMar w:left="1300" w:top="250" w:right="1399" w:bottom="1440" w:gutter="0" w:footer="0" w:header="0"/>
        </w:sectPr>
      </w:pPr>
    </w:p>
    <w:bookmarkStart w:id="113" w:name="page114"/>
    <w:bookmarkEnd w:id="113"/>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93915" cy="34290"/>
                    </a:xfrm>
                    <a:prstGeom prst="rect">
                      <a:avLst/>
                    </a:prstGeom>
                    <a:noFill/>
                  </pic:spPr>
                </pic:pic>
              </a:graphicData>
            </a:graphic>
          </wp:anchor>
        </w:drawing>
        <w:t xml:space="preserve">Section 10.8 </w:t>
      </w:r>
      <w:r>
        <w:rPr>
          <w:rFonts w:ascii="Times New Roman" w:cs="Times New Roman" w:eastAsia="Times New Roman" w:hAnsi="Times New Roman"/>
          <w:sz w:val="15"/>
          <w:szCs w:val="15"/>
          <w:u w:val="single" w:color="auto"/>
          <w:color w:val="auto"/>
        </w:rPr>
        <w:t>No Recourse Against Others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200" w:firstLine="836"/>
        <w:spacing w:after="0" w:line="264" w:lineRule="auto"/>
        <w:rPr>
          <w:sz w:val="20"/>
          <w:szCs w:val="20"/>
          <w:color w:val="auto"/>
        </w:rPr>
      </w:pPr>
      <w:r>
        <w:rPr>
          <w:rFonts w:ascii="Times New Roman" w:cs="Times New Roman" w:eastAsia="Times New Roman" w:hAnsi="Times New Roman"/>
          <w:sz w:val="15"/>
          <w:szCs w:val="15"/>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10.9 </w:t>
      </w: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140" w:firstLine="836"/>
        <w:spacing w:after="0" w:line="261" w:lineRule="auto"/>
        <w:rPr>
          <w:sz w:val="20"/>
          <w:szCs w:val="20"/>
          <w:color w:val="auto"/>
        </w:rPr>
      </w:pPr>
      <w:r>
        <w:rPr>
          <w:rFonts w:ascii="Times New Roman" w:cs="Times New Roman" w:eastAsia="Times New Roman" w:hAnsi="Times New Roman"/>
          <w:sz w:val="15"/>
          <w:szCs w:val="15"/>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10.10 </w:t>
      </w:r>
      <w:r>
        <w:rPr>
          <w:rFonts w:ascii="Times New Roman" w:cs="Times New Roman" w:eastAsia="Times New Roman" w:hAnsi="Times New Roman"/>
          <w:sz w:val="15"/>
          <w:szCs w:val="15"/>
          <w:u w:val="single" w:color="auto"/>
          <w:color w:val="auto"/>
        </w:rPr>
        <w:t>Governing Law; Waiver of Jury Trial; Consent to Jurisdiction</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ind w:right="220" w:firstLine="836"/>
        <w:spacing w:after="0" w:line="261" w:lineRule="auto"/>
        <w:rPr>
          <w:sz w:val="20"/>
          <w:szCs w:val="20"/>
          <w:color w:val="auto"/>
        </w:rPr>
      </w:pPr>
      <w:r>
        <w:rPr>
          <w:rFonts w:ascii="Times New Roman" w:cs="Times New Roman" w:eastAsia="Times New Roman" w:hAnsi="Times New Roman"/>
          <w:sz w:val="15"/>
          <w:szCs w:val="15"/>
          <w:b w:val="1"/>
          <w:bCs w:val="1"/>
          <w:color w:val="auto"/>
        </w:rPr>
        <w:t>THIS INDENTURE AND THE SECURITIES, INCLUDING ANY CLAIM OR CONTROVERSY ARISING OUT OF OR RELATING TO THE INDENTURE OR THE SECURITIES, SHALL BE GOVERNED BY THE LAWS OF THE STATE OF NEW YORK. 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153" w:lineRule="exact"/>
        <w:rPr>
          <w:sz w:val="20"/>
          <w:szCs w:val="20"/>
          <w:color w:val="auto"/>
        </w:rPr>
      </w:pPr>
    </w:p>
    <w:p>
      <w:pPr>
        <w:ind w:firstLine="836"/>
        <w:spacing w:after="0" w:line="258" w:lineRule="auto"/>
        <w:rPr>
          <w:sz w:val="20"/>
          <w:szCs w:val="20"/>
          <w:color w:val="auto"/>
        </w:rPr>
      </w:pPr>
      <w:r>
        <w:rPr>
          <w:rFonts w:ascii="Times New Roman" w:cs="Times New Roman" w:eastAsia="Times New Roman" w:hAnsi="Times New Roman"/>
          <w:sz w:val="15"/>
          <w:szCs w:val="15"/>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5"/>
          <w:szCs w:val="15"/>
          <w:i w:val="1"/>
          <w:iCs w:val="1"/>
          <w:color w:val="auto"/>
        </w:rPr>
        <w:t>Specified Courts</w:t>
      </w:r>
      <w:r>
        <w:rPr>
          <w:rFonts w:ascii="Times New Roman" w:cs="Times New Roman" w:eastAsia="Times New Roman" w:hAnsi="Times New Roman"/>
          <w:sz w:val="15"/>
          <w:szCs w:val="15"/>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10.11 </w:t>
      </w:r>
      <w:r>
        <w:rPr>
          <w:rFonts w:ascii="Times New Roman" w:cs="Times New Roman" w:eastAsia="Times New Roman" w:hAnsi="Times New Roman"/>
          <w:sz w:val="15"/>
          <w:szCs w:val="15"/>
          <w:u w:val="single" w:color="auto"/>
          <w:color w:val="auto"/>
        </w:rPr>
        <w:t>No Adverse Interpretation of Other Agreements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This Indenture may not be used to interpret another indenture, loan or debt agreement of the Company or a Subsidiary of the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Any such indenture, loan or debt agreement may not be used to interpret this Indenture.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-43-</w:t>
      </w:r>
    </w:p>
    <w:p>
      <w:pPr>
        <w:sectPr>
          <w:pgSz w:w="11900" w:h="16838" w:orient="portrait"/>
          <w:cols w:equalWidth="0" w:num="1">
            <w:col w:w="9280"/>
          </w:cols>
          <w:pgMar w:left="1300" w:top="250" w:right="1319" w:bottom="1440" w:gutter="0" w:footer="0" w:header="0"/>
        </w:sectPr>
      </w:pPr>
    </w:p>
    <w:bookmarkStart w:id="114" w:name="page115"/>
    <w:bookmarkEnd w:id="114"/>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93915" cy="34290"/>
                    </a:xfrm>
                    <a:prstGeom prst="rect">
                      <a:avLst/>
                    </a:prstGeom>
                    <a:noFill/>
                  </pic:spPr>
                </pic:pic>
              </a:graphicData>
            </a:graphic>
          </wp:anchor>
        </w:drawing>
        <w:t xml:space="preserve">Section 10.12 </w:t>
      </w:r>
      <w:r>
        <w:rPr>
          <w:rFonts w:ascii="Times New Roman" w:cs="Times New Roman" w:eastAsia="Times New Roman" w:hAnsi="Times New Roman"/>
          <w:sz w:val="15"/>
          <w:szCs w:val="15"/>
          <w:u w:val="single" w:color="auto"/>
          <w:color w:val="auto"/>
        </w:rPr>
        <w:t>Successors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20" w:firstLine="836"/>
        <w:spacing w:after="0" w:line="287" w:lineRule="auto"/>
        <w:rPr>
          <w:sz w:val="20"/>
          <w:szCs w:val="20"/>
          <w:color w:val="auto"/>
        </w:rPr>
      </w:pPr>
      <w:r>
        <w:rPr>
          <w:rFonts w:ascii="Times New Roman" w:cs="Times New Roman" w:eastAsia="Times New Roman" w:hAnsi="Times New Roman"/>
          <w:sz w:val="15"/>
          <w:szCs w:val="15"/>
          <w:color w:val="auto"/>
        </w:rPr>
        <w:t>All agreements of the Company in this Indenture and the Securities shall bind its successor. All agreements of the Trustee in this Indenture shall bind its successor.</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10.13 </w:t>
      </w: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40" w:firstLine="836"/>
        <w:spacing w:after="0" w:line="287" w:lineRule="auto"/>
        <w:rPr>
          <w:sz w:val="20"/>
          <w:szCs w:val="20"/>
          <w:color w:val="auto"/>
        </w:rPr>
      </w:pPr>
      <w:r>
        <w:rPr>
          <w:rFonts w:ascii="Times New Roman" w:cs="Times New Roman" w:eastAsia="Times New Roman" w:hAnsi="Times New Roman"/>
          <w:sz w:val="15"/>
          <w:szCs w:val="15"/>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10.14 </w:t>
      </w:r>
      <w:r>
        <w:rPr>
          <w:rFonts w:ascii="Times New Roman" w:cs="Times New Roman" w:eastAsia="Times New Roman" w:hAnsi="Times New Roman"/>
          <w:sz w:val="15"/>
          <w:szCs w:val="15"/>
          <w:u w:val="single" w:color="auto"/>
          <w:color w:val="auto"/>
        </w:rPr>
        <w:t>Table of Contents, Headings, Etc</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460" w:firstLine="836"/>
        <w:spacing w:after="0" w:line="287" w:lineRule="auto"/>
        <w:rPr>
          <w:sz w:val="20"/>
          <w:szCs w:val="20"/>
          <w:color w:val="auto"/>
        </w:rPr>
      </w:pPr>
      <w:r>
        <w:rPr>
          <w:rFonts w:ascii="Times New Roman" w:cs="Times New Roman" w:eastAsia="Times New Roman" w:hAnsi="Times New Roman"/>
          <w:sz w:val="15"/>
          <w:szCs w:val="15"/>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10.15 </w:t>
      </w:r>
      <w:r>
        <w:rPr>
          <w:rFonts w:ascii="Times New Roman" w:cs="Times New Roman" w:eastAsia="Times New Roman" w:hAnsi="Times New Roman"/>
          <w:sz w:val="15"/>
          <w:szCs w:val="15"/>
          <w:u w:val="single" w:color="auto"/>
          <w:color w:val="auto"/>
        </w:rPr>
        <w:t>Securities in a Foreign Currency</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56" w:lineRule="auto"/>
        <w:rPr>
          <w:sz w:val="20"/>
          <w:szCs w:val="20"/>
          <w:color w:val="auto"/>
        </w:rPr>
      </w:pPr>
      <w:r>
        <w:rPr>
          <w:rFonts w:ascii="Times New Roman" w:cs="Times New Roman" w:eastAsia="Times New Roman" w:hAnsi="Times New Roman"/>
          <w:sz w:val="15"/>
          <w:szCs w:val="15"/>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59" w:lineRule="exact"/>
        <w:rPr>
          <w:sz w:val="20"/>
          <w:szCs w:val="20"/>
          <w:color w:val="auto"/>
        </w:rPr>
      </w:pPr>
    </w:p>
    <w:p>
      <w:pPr>
        <w:ind w:right="60" w:firstLine="836"/>
        <w:spacing w:after="0" w:line="287" w:lineRule="auto"/>
        <w:rPr>
          <w:sz w:val="20"/>
          <w:szCs w:val="20"/>
          <w:color w:val="auto"/>
        </w:rPr>
      </w:pPr>
      <w:r>
        <w:rPr>
          <w:rFonts w:ascii="Times New Roman" w:cs="Times New Roman" w:eastAsia="Times New Roman" w:hAnsi="Times New Roman"/>
          <w:sz w:val="15"/>
          <w:szCs w:val="15"/>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-44-</w:t>
      </w:r>
    </w:p>
    <w:p>
      <w:pPr>
        <w:sectPr>
          <w:pgSz w:w="11900" w:h="16838" w:orient="portrait"/>
          <w:cols w:equalWidth="0" w:num="1">
            <w:col w:w="9280"/>
          </w:cols>
          <w:pgMar w:left="1300" w:top="250" w:right="1319" w:bottom="1440" w:gutter="0" w:footer="0" w:header="0"/>
        </w:sectPr>
      </w:pPr>
    </w:p>
    <w:bookmarkStart w:id="115" w:name="page116"/>
    <w:bookmarkEnd w:id="115"/>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93915" cy="34290"/>
                    </a:xfrm>
                    <a:prstGeom prst="rect">
                      <a:avLst/>
                    </a:prstGeom>
                    <a:noFill/>
                  </pic:spPr>
                </pic:pic>
              </a:graphicData>
            </a:graphic>
          </wp:anchor>
        </w:drawing>
        <w:t xml:space="preserve">Section 10.16 </w:t>
      </w:r>
      <w:r>
        <w:rPr>
          <w:rFonts w:ascii="Times New Roman" w:cs="Times New Roman" w:eastAsia="Times New Roman" w:hAnsi="Times New Roman"/>
          <w:sz w:val="15"/>
          <w:szCs w:val="15"/>
          <w:u w:val="single" w:color="auto"/>
          <w:color w:val="auto"/>
        </w:rPr>
        <w:t>Judgment Currency</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55" w:lineRule="auto"/>
        <w:rPr>
          <w:sz w:val="20"/>
          <w:szCs w:val="20"/>
          <w:color w:val="auto"/>
        </w:rPr>
      </w:pPr>
      <w:r>
        <w:rPr>
          <w:rFonts w:ascii="Times New Roman" w:cs="Times New Roman" w:eastAsia="Times New Roman" w:hAnsi="Times New Roman"/>
          <w:sz w:val="15"/>
          <w:szCs w:val="15"/>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5"/>
          <w:szCs w:val="15"/>
          <w:i w:val="1"/>
          <w:iCs w:val="1"/>
          <w:color w:val="auto"/>
        </w:rPr>
        <w:t>Required Currency</w:t>
      </w:r>
      <w:r>
        <w:rPr>
          <w:rFonts w:ascii="Times New Roman" w:cs="Times New Roman" w:eastAsia="Times New Roman" w:hAnsi="Times New Roman"/>
          <w:sz w:val="15"/>
          <w:szCs w:val="15"/>
          <w:color w:val="auto"/>
        </w:rPr>
        <w:t>”) into a currency in which a judgment will be rendered (the “</w:t>
      </w:r>
      <w:r>
        <w:rPr>
          <w:rFonts w:ascii="Times New Roman" w:cs="Times New Roman" w:eastAsia="Times New Roman" w:hAnsi="Times New Roman"/>
          <w:sz w:val="15"/>
          <w:szCs w:val="15"/>
          <w:i w:val="1"/>
          <w:iCs w:val="1"/>
          <w:color w:val="auto"/>
        </w:rPr>
        <w:t>Judgment Currency</w:t>
      </w:r>
      <w:r>
        <w:rPr>
          <w:rFonts w:ascii="Times New Roman" w:cs="Times New Roman" w:eastAsia="Times New Roman" w:hAnsi="Times New Roman"/>
          <w:sz w:val="15"/>
          <w:szCs w:val="15"/>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5"/>
          <w:szCs w:val="15"/>
          <w:i w:val="1"/>
          <w:iCs w:val="1"/>
          <w:color w:val="auto"/>
        </w:rPr>
        <w:t>New York Banking Day</w:t>
      </w:r>
      <w:r>
        <w:rPr>
          <w:rFonts w:ascii="Times New Roman" w:cs="Times New Roman" w:eastAsia="Times New Roman" w:hAnsi="Times New Roman"/>
          <w:sz w:val="15"/>
          <w:szCs w:val="15"/>
          <w:color w:val="auto"/>
        </w:rPr>
        <w:t>” means any day except a Saturday, Sunday or a Legal Holiday in The City of New York on which banking institutions are authorized or required by law, regulation or executive order to close.</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10.17 </w:t>
      </w:r>
      <w:r>
        <w:rPr>
          <w:rFonts w:ascii="Times New Roman" w:cs="Times New Roman" w:eastAsia="Times New Roman" w:hAnsi="Times New Roman"/>
          <w:sz w:val="15"/>
          <w:szCs w:val="15"/>
          <w:u w:val="single" w:color="auto"/>
          <w:color w:val="auto"/>
        </w:rPr>
        <w:t>Force Majeure</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80" w:firstLine="836"/>
        <w:spacing w:after="0" w:line="261" w:lineRule="auto"/>
        <w:rPr>
          <w:sz w:val="20"/>
          <w:szCs w:val="20"/>
          <w:color w:val="auto"/>
        </w:rPr>
      </w:pPr>
      <w:r>
        <w:rPr>
          <w:rFonts w:ascii="Times New Roman" w:cs="Times New Roman" w:eastAsia="Times New Roman" w:hAnsi="Times New Roman"/>
          <w:sz w:val="15"/>
          <w:szCs w:val="15"/>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10.18 </w:t>
      </w:r>
      <w:r>
        <w:rPr>
          <w:rFonts w:ascii="Times New Roman" w:cs="Times New Roman" w:eastAsia="Times New Roman" w:hAnsi="Times New Roman"/>
          <w:sz w:val="15"/>
          <w:szCs w:val="15"/>
          <w:u w:val="single" w:color="auto"/>
          <w:color w:val="auto"/>
        </w:rPr>
        <w:t>U.S.A. Patriot Act</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20" w:firstLine="836"/>
        <w:spacing w:after="0" w:line="264" w:lineRule="auto"/>
        <w:rPr>
          <w:sz w:val="20"/>
          <w:szCs w:val="20"/>
          <w:color w:val="auto"/>
        </w:rPr>
      </w:pPr>
      <w:r>
        <w:rPr>
          <w:rFonts w:ascii="Times New Roman" w:cs="Times New Roman" w:eastAsia="Times New Roman" w:hAnsi="Times New Roman"/>
          <w:sz w:val="15"/>
          <w:szCs w:val="15"/>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-45-</w:t>
      </w:r>
    </w:p>
    <w:p>
      <w:pPr>
        <w:sectPr>
          <w:pgSz w:w="11900" w:h="16838" w:orient="portrait"/>
          <w:cols w:equalWidth="0" w:num="1">
            <w:col w:w="9260"/>
          </w:cols>
          <w:pgMar w:left="1300" w:top="250" w:right="1339"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93915" cy="34290"/>
                    </a:xfrm>
                    <a:prstGeom prst="rect">
                      <a:avLst/>
                    </a:prstGeom>
                    <a:noFill/>
                  </pic:spPr>
                </pic:pic>
              </a:graphicData>
            </a:graphic>
          </wp:anchor>
        </w:drawing>
        <w:t>ARTICLE XI</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SINKING FUNDS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11.1 </w:t>
      </w:r>
      <w:r>
        <w:rPr>
          <w:rFonts w:ascii="Times New Roman" w:cs="Times New Roman" w:eastAsia="Times New Roman" w:hAnsi="Times New Roman"/>
          <w:sz w:val="15"/>
          <w:szCs w:val="15"/>
          <w:u w:val="single" w:color="auto"/>
          <w:color w:val="auto"/>
        </w:rPr>
        <w:t>Applicability of Article</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60" w:firstLine="836"/>
        <w:spacing w:after="0" w:line="270" w:lineRule="auto"/>
        <w:rPr>
          <w:sz w:val="20"/>
          <w:szCs w:val="20"/>
          <w:color w:val="auto"/>
        </w:rPr>
      </w:pPr>
      <w:r>
        <w:rPr>
          <w:rFonts w:ascii="Times New Roman" w:cs="Times New Roman" w:eastAsia="Times New Roman" w:hAnsi="Times New Roman"/>
          <w:sz w:val="15"/>
          <w:szCs w:val="15"/>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146" w:lineRule="exact"/>
        <w:rPr>
          <w:sz w:val="20"/>
          <w:szCs w:val="20"/>
          <w:color w:val="auto"/>
        </w:rPr>
      </w:pPr>
    </w:p>
    <w:p>
      <w:pPr>
        <w:ind w:right="160" w:firstLine="836"/>
        <w:spacing w:after="0" w:line="261" w:lineRule="auto"/>
        <w:rPr>
          <w:sz w:val="20"/>
          <w:szCs w:val="20"/>
          <w:color w:val="auto"/>
        </w:rPr>
      </w:pPr>
      <w:r>
        <w:rPr>
          <w:rFonts w:ascii="Times New Roman" w:cs="Times New Roman" w:eastAsia="Times New Roman" w:hAnsi="Times New Roman"/>
          <w:sz w:val="15"/>
          <w:szCs w:val="15"/>
          <w:color w:val="auto"/>
        </w:rPr>
        <w:t>The minimum amount of any sinking fund payment provided for by the terms of the Securities of any Series is herein referred to as a “</w:t>
      </w:r>
      <w:r>
        <w:rPr>
          <w:rFonts w:ascii="Times New Roman" w:cs="Times New Roman" w:eastAsia="Times New Roman" w:hAnsi="Times New Roman"/>
          <w:sz w:val="15"/>
          <w:szCs w:val="15"/>
          <w:i w:val="1"/>
          <w:iCs w:val="1"/>
          <w:color w:val="auto"/>
        </w:rPr>
        <w:t>mandatory sinking fund payment</w:t>
      </w:r>
      <w:r>
        <w:rPr>
          <w:rFonts w:ascii="Times New Roman" w:cs="Times New Roman" w:eastAsia="Times New Roman" w:hAnsi="Times New Roman"/>
          <w:sz w:val="15"/>
          <w:szCs w:val="15"/>
          <w:color w:val="auto"/>
        </w:rPr>
        <w:t>” and any other amount provided for by the terms of Securities of such Series is herein referred to as an “</w:t>
      </w:r>
      <w:r>
        <w:rPr>
          <w:rFonts w:ascii="Times New Roman" w:cs="Times New Roman" w:eastAsia="Times New Roman" w:hAnsi="Times New Roman"/>
          <w:sz w:val="15"/>
          <w:szCs w:val="15"/>
          <w:i w:val="1"/>
          <w:iCs w:val="1"/>
          <w:color w:val="auto"/>
        </w:rPr>
        <w:t>optional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sinking fund payment</w:t>
      </w:r>
      <w:r>
        <w:rPr>
          <w:rFonts w:ascii="Times New Roman" w:cs="Times New Roman" w:eastAsia="Times New Roman" w:hAnsi="Times New Roman"/>
          <w:sz w:val="15"/>
          <w:szCs w:val="15"/>
          <w:color w:val="auto"/>
        </w:rPr>
        <w:t>.” If provided for by the terms of Securities of any Series, the cash amount of any sinking fund payment may be subject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reduction as provided in Section 11.2. Each sinking fund payment shall be applied to the redemption of Securities of any Series as provided for by the terms of the Securities of such Series.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11.2 </w:t>
      </w:r>
      <w:r>
        <w:rPr>
          <w:rFonts w:ascii="Times New Roman" w:cs="Times New Roman" w:eastAsia="Times New Roman" w:hAnsi="Times New Roman"/>
          <w:sz w:val="15"/>
          <w:szCs w:val="15"/>
          <w:u w:val="single" w:color="auto"/>
          <w:color w:val="auto"/>
        </w:rPr>
        <w:t>Satisfaction of Sinking Fund Payments with Securities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55" w:lineRule="auto"/>
        <w:rPr>
          <w:sz w:val="20"/>
          <w:szCs w:val="20"/>
          <w:color w:val="auto"/>
        </w:rPr>
      </w:pPr>
      <w:r>
        <w:rPr>
          <w:rFonts w:ascii="Times New Roman" w:cs="Times New Roman" w:eastAsia="Times New Roman" w:hAnsi="Times New Roman"/>
          <w:sz w:val="15"/>
          <w:szCs w:val="15"/>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3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11.3 </w:t>
      </w:r>
      <w:r>
        <w:rPr>
          <w:rFonts w:ascii="Times New Roman" w:cs="Times New Roman" w:eastAsia="Times New Roman" w:hAnsi="Times New Roman"/>
          <w:sz w:val="15"/>
          <w:szCs w:val="15"/>
          <w:u w:val="single" w:color="auto"/>
          <w:color w:val="auto"/>
        </w:rPr>
        <w:t>Redemption of Securities for Sinking Fund</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836"/>
        <w:spacing w:after="0" w:line="264" w:lineRule="auto"/>
        <w:rPr>
          <w:sz w:val="20"/>
          <w:szCs w:val="20"/>
          <w:color w:val="auto"/>
        </w:rPr>
      </w:pPr>
      <w:r>
        <w:rPr>
          <w:rFonts w:ascii="Times New Roman" w:cs="Times New Roman" w:eastAsia="Times New Roman" w:hAnsi="Times New Roman"/>
          <w:sz w:val="15"/>
          <w:szCs w:val="15"/>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-46-</w:t>
      </w:r>
    </w:p>
    <w:p>
      <w:pPr>
        <w:sectPr>
          <w:pgSz w:w="11900" w:h="16838" w:orient="portrait"/>
          <w:cols w:equalWidth="0" w:num="1">
            <w:col w:w="9260"/>
          </w:cols>
          <w:pgMar w:left="1300" w:top="246" w:right="1339" w:bottom="1440" w:gutter="0" w:footer="0" w:header="0"/>
        </w:sectPr>
      </w:pPr>
    </w:p>
    <w:bookmarkStart w:id="117" w:name="page118"/>
    <w:bookmarkEnd w:id="117"/>
    <w:p>
      <w:pPr>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93915" cy="34290"/>
                    </a:xfrm>
                    <a:prstGeom prst="rect">
                      <a:avLst/>
                    </a:prstGeom>
                    <a:noFill/>
                  </pic:spPr>
                </pic:pic>
              </a:graphicData>
            </a:graphic>
          </wp:anchor>
        </w:drawing>
        <w:t>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-47-</w:t>
      </w:r>
    </w:p>
    <w:p>
      <w:pPr>
        <w:sectPr>
          <w:pgSz w:w="11900" w:h="16838" w:orient="portrait"/>
          <w:cols w:equalWidth="0" w:num="1">
            <w:col w:w="9180"/>
          </w:cols>
          <w:pgMar w:left="1300" w:top="250" w:right="1419" w:bottom="1440" w:gutter="0" w:footer="0" w:header="0"/>
        </w:sectPr>
      </w:pPr>
    </w:p>
    <w:bookmarkStart w:id="118" w:name="page119"/>
    <w:bookmarkEnd w:id="118"/>
    <w:p>
      <w:pPr>
        <w:ind w:left="70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93915" cy="34290"/>
                    </a:xfrm>
                    <a:prstGeom prst="rect">
                      <a:avLst/>
                    </a:prstGeom>
                    <a:noFill/>
                  </pic:spPr>
                </pic:pic>
              </a:graphicData>
            </a:graphic>
          </wp:anchor>
        </w:drawing>
        <w:t>IN WITNESS WHEREOF, the parties hereto have caused this Indenture to be duly executed as of the day and year first above written.</w:t>
      </w:r>
    </w:p>
    <w:p>
      <w:pPr>
        <w:spacing w:after="0" w:line="21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5"/>
          <w:szCs w:val="15"/>
          <w:color w:val="auto"/>
        </w:rPr>
        <w:t>TENAYA THERAPEUTICS, INC.</w:t>
      </w:r>
    </w:p>
    <w:p>
      <w:pPr>
        <w:spacing w:after="0" w:line="19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3618865</wp:posOffset>
            </wp:positionH>
            <wp:positionV relativeFrom="paragraph">
              <wp:posOffset>15240</wp:posOffset>
            </wp:positionV>
            <wp:extent cx="218948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2189480" cy="6985"/>
                    </a:xfrm>
                    <a:prstGeom prst="rect">
                      <a:avLst/>
                    </a:prstGeom>
                    <a:noFill/>
                  </pic:spPr>
                </pic:pic>
              </a:graphicData>
            </a:graphic>
          </wp:anchor>
        </w:drawing>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5"/>
          <w:szCs w:val="15"/>
          <w:color w:val="auto"/>
        </w:rPr>
        <w:t>Name:</w:t>
      </w:r>
    </w:p>
    <w:p>
      <w:pPr>
        <w:spacing w:after="0" w:line="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5"/>
          <w:szCs w:val="15"/>
          <w:color w:val="auto"/>
        </w:rPr>
        <w:t>Its:</w:t>
      </w:r>
    </w:p>
    <w:p>
      <w:pPr>
        <w:spacing w:after="0" w:line="17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-5715</wp:posOffset>
            </wp:positionV>
            <wp:extent cx="57785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577850" cy="6985"/>
                    </a:xfrm>
                    <a:prstGeom prst="rect">
                      <a:avLst/>
                    </a:prstGeom>
                    <a:noFill/>
                  </pic:spPr>
                </pic:pic>
              </a:graphicData>
            </a:graphic>
          </wp:anchor>
        </w:drawing>
      </w:r>
    </w:p>
    <w:p>
      <w:pPr>
        <w:spacing w:after="0" w:line="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5"/>
          <w:szCs w:val="15"/>
          <w:color w:val="auto"/>
        </w:rPr>
        <w:t>as Trustee</w:t>
      </w:r>
    </w:p>
    <w:p>
      <w:pPr>
        <w:spacing w:after="0" w:line="17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3618865</wp:posOffset>
            </wp:positionH>
            <wp:positionV relativeFrom="paragraph">
              <wp:posOffset>15240</wp:posOffset>
            </wp:positionV>
            <wp:extent cx="218948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2189480" cy="6985"/>
                    </a:xfrm>
                    <a:prstGeom prst="rect">
                      <a:avLst/>
                    </a:prstGeom>
                    <a:noFill/>
                  </pic:spPr>
                </pic:pic>
              </a:graphicData>
            </a:graphic>
          </wp:anchor>
        </w:drawing>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5"/>
          <w:szCs w:val="15"/>
          <w:color w:val="auto"/>
        </w:rPr>
        <w:t>Name:</w:t>
      </w:r>
    </w:p>
    <w:p>
      <w:pPr>
        <w:spacing w:after="0" w:line="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5"/>
          <w:szCs w:val="15"/>
          <w:color w:val="auto"/>
        </w:rPr>
        <w:t>Its:</w:t>
      </w:r>
    </w:p>
    <w:p>
      <w:pPr>
        <w:sectPr>
          <w:pgSz w:w="11900" w:h="16838" w:orient="portrait"/>
          <w:cols w:equalWidth="0" w:num="1">
            <w:col w:w="9019"/>
          </w:cols>
          <w:pgMar w:left="1440" w:top="250" w:right="1440"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5"/>
          <w:szCs w:val="15"/>
          <w:b w:val="1"/>
          <w:bCs w:val="1"/>
          <w:color w:val="auto"/>
        </w:rPr>
        <w:t>Exhibit 5.1</w:t>
      </w:r>
    </w:p>
    <w:p>
      <w:pPr>
        <w:spacing w:after="0" w:line="218"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5"/>
          <w:szCs w:val="15"/>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-99695</wp:posOffset>
            </wp:positionV>
            <wp:extent cx="1011555" cy="4483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1011555" cy="448310"/>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5"/>
          <w:szCs w:val="15"/>
          <w:color w:val="auto"/>
        </w:rPr>
        <w:t>Professional Corporation</w:t>
      </w:r>
    </w:p>
    <w:p>
      <w:pPr>
        <w:spacing w:after="0" w:line="9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5"/>
          <w:szCs w:val="15"/>
          <w:color w:val="auto"/>
        </w:rPr>
        <w:t>650 Page Mill Road</w:t>
      </w:r>
    </w:p>
    <w:p>
      <w:pPr>
        <w:spacing w:after="0" w:line="2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5"/>
          <w:szCs w:val="15"/>
          <w:color w:val="auto"/>
        </w:rPr>
        <w:t>Palo Alto, CA 94304-1050</w:t>
      </w:r>
    </w:p>
    <w:p>
      <w:pPr>
        <w:spacing w:after="0" w:line="9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3"/>
          <w:szCs w:val="13"/>
          <w:color w:val="auto"/>
        </w:rPr>
        <w:t>O</w:t>
      </w:r>
      <w:r>
        <w:rPr>
          <w:rFonts w:ascii="Times New Roman" w:cs="Times New Roman" w:eastAsia="Times New Roman" w:hAnsi="Times New Roman"/>
          <w:sz w:val="15"/>
          <w:szCs w:val="15"/>
          <w:color w:val="auto"/>
        </w:rPr>
        <w:t>: 650.493.9300</w:t>
      </w:r>
    </w:p>
    <w:p>
      <w:pPr>
        <w:spacing w:after="0" w:line="2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3"/>
          <w:szCs w:val="13"/>
          <w:color w:val="auto"/>
        </w:rPr>
        <w:t>F</w:t>
      </w:r>
      <w:r>
        <w:rPr>
          <w:rFonts w:ascii="Times New Roman" w:cs="Times New Roman" w:eastAsia="Times New Roman" w:hAnsi="Times New Roman"/>
          <w:sz w:val="15"/>
          <w:szCs w:val="15"/>
          <w:color w:val="auto"/>
        </w:rPr>
        <w:t>: 866.974.7329</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March 21,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Tenaya Therapeutics,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171 Oyster Point Boulevard, Suite 500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South San Francisco, California 94080</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Re: Registration Statement on Form S-3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01" w:lineRule="exact"/>
        <w:rPr>
          <w:sz w:val="20"/>
          <w:szCs w:val="20"/>
          <w:color w:val="auto"/>
        </w:rPr>
      </w:pPr>
    </w:p>
    <w:p>
      <w:pPr>
        <w:ind w:right="20" w:firstLine="371"/>
        <w:spacing w:after="0" w:line="270" w:lineRule="auto"/>
        <w:rPr>
          <w:sz w:val="20"/>
          <w:szCs w:val="20"/>
          <w:color w:val="auto"/>
        </w:rPr>
      </w:pPr>
      <w:r>
        <w:rPr>
          <w:rFonts w:ascii="Times New Roman" w:cs="Times New Roman" w:eastAsia="Times New Roman" w:hAnsi="Times New Roman"/>
          <w:sz w:val="15"/>
          <w:szCs w:val="15"/>
          <w:color w:val="auto"/>
        </w:rPr>
        <w:t>At your request, we have examined the Registration Statement on Form S-3 (the “Registration Statement”), filed by Tenaya Therapeutics, Inc., a Delaware corporation (the “Company”), with the Securities and Exchange Commission (the “Commission”) in connection with the registration pursuant to the Securities Act of 1933, as amended (the “Act”), of the Securities (as defined below).</w:t>
      </w:r>
    </w:p>
    <w:p>
      <w:pPr>
        <w:spacing w:after="0" w:line="146" w:lineRule="exact"/>
        <w:rPr>
          <w:sz w:val="20"/>
          <w:szCs w:val="20"/>
          <w:color w:val="auto"/>
        </w:rPr>
      </w:pPr>
    </w:p>
    <w:p>
      <w:pPr>
        <w:ind w:right="60" w:firstLine="371"/>
        <w:spacing w:after="0" w:line="257" w:lineRule="auto"/>
        <w:rPr>
          <w:sz w:val="20"/>
          <w:szCs w:val="20"/>
          <w:color w:val="auto"/>
        </w:rPr>
      </w:pPr>
      <w:r>
        <w:rPr>
          <w:rFonts w:ascii="Times New Roman" w:cs="Times New Roman" w:eastAsia="Times New Roman" w:hAnsi="Times New Roman"/>
          <w:sz w:val="15"/>
          <w:szCs w:val="15"/>
          <w:color w:val="auto"/>
        </w:rPr>
        <w:t>The Registration Statement relates to the proposed issuance and sale by the Company, from time to time, pursuant to Rule 415 under the Act, as set forth in the Registration Statement, the prospectus contained therein (the “Prospectus”) and the supplements to the prospectus referred to therein (each a “Prospectus Supplement”), of up to an aggregate offering price of $300,000,000, or the equivalent thereof, of (a) shares of the Company’s common stock, $0.0001 par value per share (the “Common Stock”); (b) shares of the Company’s preferred stock, $0.0001 par value per share (the “Preferred Stock”); (c) the Company’s debt securities (the “Debt Securities”); (d) depositary shares of the Company representing a fractional interest in a share of Preferred Stock (the “Depositary Shares”); (e) warrants to purchase any of the securities above (the “Warrants”); (f) subscription rights to purchase Common Stock, Preferred Stock, Debt Securities, Depositary Shares, Warrants or units consisting of some or all of these securities (the “Subscription Rights”); (g) purchase contracts of the Company with respect to the securities of the Company (the “Purchase Contracts”); and (h) units consisting of two or more securities described above in any combination (the “Units”) (the Common Stock, the Preferred Stock, the Debt Securities, the Depositary Shares, the Warrants, the Subscription Rights, the Purchase Contracts and the Units are collectively referred to herein as the “Securities”).</w:t>
      </w:r>
    </w:p>
    <w:p>
      <w:pPr>
        <w:spacing w:after="0" w:line="156" w:lineRule="exact"/>
        <w:rPr>
          <w:sz w:val="20"/>
          <w:szCs w:val="20"/>
          <w:color w:val="auto"/>
        </w:rPr>
      </w:pPr>
    </w:p>
    <w:p>
      <w:pPr>
        <w:ind w:right="100" w:firstLine="371"/>
        <w:spacing w:after="0" w:line="264" w:lineRule="auto"/>
        <w:rPr>
          <w:sz w:val="20"/>
          <w:szCs w:val="20"/>
          <w:color w:val="auto"/>
        </w:rPr>
      </w:pPr>
      <w:r>
        <w:rPr>
          <w:rFonts w:ascii="Times New Roman" w:cs="Times New Roman" w:eastAsia="Times New Roman" w:hAnsi="Times New Roman"/>
          <w:sz w:val="15"/>
          <w:szCs w:val="15"/>
          <w:color w:val="auto"/>
        </w:rPr>
        <w:t>We advise you that we have also examined the prospectus supplement to the Registration Statement in connection with the registration under the Act of up to $69,820,000 in Common Stock (the “Shares”) to be issued and sold by the Company. We understand that the Company has agreed to issue and sell the Shares from time to time through Leerink Partners LLC, as sales agent (the “Agent”), pursuant to a sales agreement by and between the Company and the Agent (the “Sales Agreement”).</w:t>
      </w:r>
    </w:p>
    <w:p>
      <w:pPr>
        <w:spacing w:after="0" w:line="151" w:lineRule="exact"/>
        <w:rPr>
          <w:sz w:val="20"/>
          <w:szCs w:val="20"/>
          <w:color w:val="auto"/>
        </w:rPr>
      </w:pPr>
    </w:p>
    <w:p>
      <w:pPr>
        <w:ind w:right="60" w:firstLine="371"/>
        <w:spacing w:after="0" w:line="259" w:lineRule="auto"/>
        <w:rPr>
          <w:sz w:val="20"/>
          <w:szCs w:val="20"/>
          <w:color w:val="auto"/>
        </w:rPr>
      </w:pPr>
      <w:r>
        <w:rPr>
          <w:rFonts w:ascii="Times New Roman" w:cs="Times New Roman" w:eastAsia="Times New Roman" w:hAnsi="Times New Roman"/>
          <w:sz w:val="15"/>
          <w:szCs w:val="15"/>
          <w:color w:val="auto"/>
        </w:rPr>
        <w:t>The Securities are to be sold from time to time as set forth in the Registration Statement, the Prospectus contained therein and the Prospectus Supplements. The Debt Securities are to be issued pursuant to a debt securities indenture (the “Indenture”), a form of which has been filed as an exhibit to the Registration Statement and is to be entered into between the Company and a trustee to be named in a Prospectus Supplement to the Registration Statement (the “Trustee”). The Securities are to be sold pursuant to a purchase, underwriting or similar agreement in substantially the form to be filed under the Registration Statement or a Current Report on Form 8-K. The Debt Securities are to be issued in the form set forth in the Indenture. The Indenture may be supplemented in connection with the issuance of each such series of Debt Securities, by a supplemental indenture or other appropriate action of the Company creating such series of Debt Securities.</w:t>
      </w:r>
    </w:p>
    <w:p>
      <w:pPr>
        <w:sectPr>
          <w:pgSz w:w="11900" w:h="16838" w:orient="portrait"/>
          <w:cols w:equalWidth="0" w:num="1">
            <w:col w:w="9280"/>
          </w:cols>
          <w:pgMar w:left="1300" w:top="121" w:right="1319" w:bottom="1440" w:gutter="0" w:footer="0" w:header="0"/>
        </w:sectPr>
      </w:pPr>
    </w:p>
    <w:bookmarkStart w:id="120" w:name="page121"/>
    <w:bookmarkEnd w:id="120"/>
    <w:p>
      <w:pPr>
        <w:ind w:right="20" w:firstLine="371"/>
        <w:spacing w:after="0" w:line="25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193915" cy="34290"/>
                    </a:xfrm>
                    <a:prstGeom prst="rect">
                      <a:avLst/>
                    </a:prstGeom>
                    <a:noFill/>
                  </pic:spPr>
                </pic:pic>
              </a:graphicData>
            </a:graphic>
          </wp:anchor>
        </w:drawing>
        <w:t>We have examined instruments, documents, certificates and records that we have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instruments, documents, certificates and records we have reviewed; (d) that the Registration Statement, and any amendments thereto (including post-effective amendments), will have become effective under the Act; (e) that a Prospectus Supplement will have been filed with the Commission describing the Securities offered thereby; (f) that the Securities will be issued and sold in compliance with applicable U.S. federal and state securities laws and in the manner stated in the Registration Statement and the applicable Prospectus Supplement; (g) that a definitive purchase, underwriting or similar agreement with respect to any Securities offered will have been duly authorized and validly executed and delivered by the Company and the other parties thereto; (h) that any Securities issuable upon conversion, exchange, redemption or exercise of any Securities being offered will be duly authorized, created and, if appropriate, reserved for issuance upon such conversion, exchange, redemption or exercise; (i) with respect to shares of Common Stock or Preferred Stock, that there will be sufficient shares of Common Stock or Preferred Stock authorized under the Company’s organizational documents that are not otherwise reserved for issuance; and (j) the legal capacity of all natural persons. As to any facts material to the opinions expressed herein that were not independently established or verified, we have relied upon oral or written statements and representations of officers and other representatives of the Company. The term “Board” means the Board of Directors of the Company or a duly constituted and acting committee thereof.</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Based on such examination, we are of the opinion that:</w:t>
      </w:r>
    </w:p>
    <w:p>
      <w:pPr>
        <w:spacing w:after="0" w:line="101" w:lineRule="exact"/>
        <w:rPr>
          <w:sz w:val="20"/>
          <w:szCs w:val="20"/>
          <w:color w:val="auto"/>
        </w:rPr>
      </w:pPr>
    </w:p>
    <w:p>
      <w:pPr>
        <w:ind w:firstLine="372"/>
        <w:spacing w:after="0" w:line="258" w:lineRule="auto"/>
        <w:tabs>
          <w:tab w:leader="none" w:pos="523" w:val="left"/>
        </w:tabs>
        <w:numPr>
          <w:ilvl w:val="1"/>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shares of Common Stock, when: (a) the Board has taken all necessary corporate action to approve the issuance and the terms of the offering of the shares of Common Stock and related matters; and (b) the shares of Common Stock have been duly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w:t>
      </w:r>
    </w:p>
    <w:p>
      <w:pPr>
        <w:spacing w:after="0" w:line="1" w:lineRule="exact"/>
        <w:rPr>
          <w:rFonts w:ascii="Times New Roman" w:cs="Times New Roman" w:eastAsia="Times New Roman" w:hAnsi="Times New Roman"/>
          <w:sz w:val="15"/>
          <w:szCs w:val="15"/>
          <w:color w:val="auto"/>
        </w:rPr>
      </w:pPr>
    </w:p>
    <w:p>
      <w:pPr>
        <w:ind w:right="20" w:firstLine="1"/>
        <w:spacing w:after="0" w:line="260" w:lineRule="auto"/>
        <w:tabs>
          <w:tab w:leader="none" w:pos="223"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w:t>
      </w:r>
    </w:p>
    <w:p>
      <w:pPr>
        <w:spacing w:after="0" w:line="152" w:lineRule="exact"/>
        <w:rPr>
          <w:rFonts w:ascii="Times New Roman" w:cs="Times New Roman" w:eastAsia="Times New Roman" w:hAnsi="Times New Roman"/>
          <w:sz w:val="15"/>
          <w:szCs w:val="15"/>
          <w:color w:val="auto"/>
        </w:rPr>
      </w:pPr>
    </w:p>
    <w:p>
      <w:pPr>
        <w:ind w:right="200" w:firstLine="372"/>
        <w:spacing w:after="0" w:line="258" w:lineRule="auto"/>
        <w:tabs>
          <w:tab w:leader="none" w:pos="523"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any particular series of shares of Preferred Stock, when: (a) the Board has taken all necessary corporate action to approve the issuance and terms of the shares of Preferred Stock, the terms of the offering thereof, and related matters, including the adoption of a certificate of designation (a “Certificate”) relating to such Preferred Stock conforming to the General Corporation Law of the State of Delaware (the “DGCL”) and the filing of the Certificate with the Secretary of State of the State of Delaware; and (b) the shares of Preferred Stock have been duly delivered either</w:t>
      </w:r>
    </w:p>
    <w:p>
      <w:pPr>
        <w:spacing w:after="0" w:line="1" w:lineRule="exact"/>
        <w:rPr>
          <w:rFonts w:ascii="Times New Roman" w:cs="Times New Roman" w:eastAsia="Times New Roman" w:hAnsi="Times New Roman"/>
          <w:sz w:val="15"/>
          <w:szCs w:val="15"/>
          <w:color w:val="auto"/>
        </w:rPr>
      </w:pPr>
    </w:p>
    <w:p>
      <w:pPr>
        <w:ind w:right="100" w:firstLine="1"/>
        <w:spacing w:after="0" w:line="253" w:lineRule="auto"/>
        <w:tabs>
          <w:tab w:leader="none" w:pos="181"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w:t>
      </w:r>
    </w:p>
    <w:p>
      <w:pPr>
        <w:ind w:right="20" w:firstLine="1"/>
        <w:spacing w:after="0" w:line="260" w:lineRule="auto"/>
        <w:tabs>
          <w:tab w:leader="none" w:pos="223"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conversion or exercise of any other Security, in accordance with the terms of such Security or the instrument governing such Security providing for such conversion or exercise as approved by the Board, for the consideration approved by the Board, then the shares of Preferred Stock will be validly issued, fully paid and nonassessable.</w:t>
      </w:r>
    </w:p>
    <w:p>
      <w:pPr>
        <w:spacing w:after="0" w:line="152" w:lineRule="exact"/>
        <w:rPr>
          <w:rFonts w:ascii="Times New Roman" w:cs="Times New Roman" w:eastAsia="Times New Roman" w:hAnsi="Times New Roman"/>
          <w:sz w:val="15"/>
          <w:szCs w:val="15"/>
          <w:color w:val="auto"/>
        </w:rPr>
      </w:pPr>
    </w:p>
    <w:p>
      <w:pPr>
        <w:jc w:val="both"/>
        <w:ind w:right="40" w:firstLine="372"/>
        <w:spacing w:after="0" w:line="270" w:lineRule="auto"/>
        <w:tabs>
          <w:tab w:leader="none" w:pos="523"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Debt Securities to be issued under the Indenture, when: (a) the Trustee is qualified to act as Trustee under the Indenture and the Company has filed a Form T-1 for the Trustee with the Commission; (b) the Trustee has duly executed and delivered the Indenture; (c) the Indenture has been duly authorized and validly</w:t>
      </w:r>
    </w:p>
    <w:p>
      <w:pPr>
        <w:sectPr>
          <w:pgSz w:w="11900" w:h="16838" w:orient="portrait"/>
          <w:cols w:equalWidth="0" w:num="1">
            <w:col w:w="9280"/>
          </w:cols>
          <w:pgMar w:left="1300" w:top="250" w:right="1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93915" cy="34290"/>
                    </a:xfrm>
                    <a:prstGeom prst="rect">
                      <a:avLst/>
                    </a:prstGeom>
                    <a:noFill/>
                  </pic:spPr>
                </pic:pic>
              </a:graphicData>
            </a:graphic>
          </wp:anchor>
        </w:drawing>
        <w:t>executed and delivered by the Company to the Trustee; (d) the Indenture has been duly qualified under the Trust Indenture Act of 1939, as amended;</w:t>
      </w:r>
    </w:p>
    <w:p>
      <w:pPr>
        <w:spacing w:after="0" w:line="25" w:lineRule="exact"/>
        <w:rPr>
          <w:sz w:val="20"/>
          <w:szCs w:val="20"/>
          <w:color w:val="auto"/>
        </w:rPr>
      </w:pPr>
    </w:p>
    <w:p>
      <w:pPr>
        <w:ind w:firstLine="1"/>
        <w:spacing w:after="0" w:line="256" w:lineRule="auto"/>
        <w:tabs>
          <w:tab w:leader="none" w:pos="206"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Indenture and the applicable definitive purchase, underwriting or similar agreement approved by the Board, or upon the exercise of Warrants to purchase Debt Securities, upon payment of the consideration therefor provided for therein, such Debt Securities will constitute valid and binding obligations of the Company, enforceable against the Company in accordance with their terms, and entitled to the benefits of the Indenture.</w:t>
      </w:r>
    </w:p>
    <w:p>
      <w:pPr>
        <w:spacing w:after="0" w:line="157" w:lineRule="exact"/>
        <w:rPr>
          <w:rFonts w:ascii="Times New Roman" w:cs="Times New Roman" w:eastAsia="Times New Roman" w:hAnsi="Times New Roman"/>
          <w:sz w:val="15"/>
          <w:szCs w:val="15"/>
          <w:color w:val="auto"/>
        </w:rPr>
      </w:pPr>
    </w:p>
    <w:p>
      <w:pPr>
        <w:ind w:firstLine="372"/>
        <w:spacing w:after="0" w:line="257" w:lineRule="auto"/>
        <w:tabs>
          <w:tab w:leader="none" w:pos="523"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Depositary Shares, when: (a) the Board has taken all necessary corporate action to approve the issuance and terms of the Depositary Shares, the terms of the offering thereof, and related matters, including the adoption of a Certificate relating to the Preferred Stock underlying such Depositary Shares and the filing of the Certificate with the Secretary of State of the State of Delaware; (b) the Deposit Agreement (the “Deposit Agreement”) or agreements relating to the Depositary Shares and the related Depositary Receipts (the “Depositary Receipts”) have been duly authorized and validly executed and delivered by the Company and the depositary appointed by the Company; (c) the shares of Preferred Stock underlying such Depositary Shares have been deposited with a bank or trust company (which meets the requirements for the depositary set forth in the Registration Statement) under the applicable Deposit Agreement; and (d) the Depositary Receipts representing the Depositary Shares have been duly executed, countersigned, registered and delivered in accordance with the appropriate Deposit Agreement and the applicable definitive purchase, underwriting or similar agreement approved by the Board upon payment of the consideration therefor provided for therein, the Depositary Shares will be validly issued, fully paid, and nonassessable.</w:t>
      </w:r>
    </w:p>
    <w:p>
      <w:pPr>
        <w:spacing w:after="0" w:line="155" w:lineRule="exact"/>
        <w:rPr>
          <w:rFonts w:ascii="Times New Roman" w:cs="Times New Roman" w:eastAsia="Times New Roman" w:hAnsi="Times New Roman"/>
          <w:sz w:val="15"/>
          <w:szCs w:val="15"/>
          <w:color w:val="auto"/>
        </w:rPr>
      </w:pPr>
    </w:p>
    <w:p>
      <w:pPr>
        <w:ind w:firstLine="372"/>
        <w:spacing w:after="0" w:line="261" w:lineRule="auto"/>
        <w:tabs>
          <w:tab w:leader="none" w:pos="523"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Warrants, when: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as applicable, duly authorized, executed and delivered by the Company and a warrant agent and the certificates for the Warrants have been duly executed and delivered by the Company and such warrant agent, then the Warrants will constitute valid and binding obligations of the Company, enforceable against the Company in accordance with their terms.</w:t>
      </w:r>
    </w:p>
    <w:p>
      <w:pPr>
        <w:spacing w:after="0" w:line="154" w:lineRule="exact"/>
        <w:rPr>
          <w:rFonts w:ascii="Times New Roman" w:cs="Times New Roman" w:eastAsia="Times New Roman" w:hAnsi="Times New Roman"/>
          <w:sz w:val="15"/>
          <w:szCs w:val="15"/>
          <w:color w:val="auto"/>
        </w:rPr>
      </w:pPr>
    </w:p>
    <w:p>
      <w:pPr>
        <w:ind w:right="40" w:firstLine="372"/>
        <w:spacing w:after="0" w:line="261" w:lineRule="auto"/>
        <w:tabs>
          <w:tab w:leader="none" w:pos="523"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Subscription Rights, when: (a) the Board has taken all necessary corporate action to authorize the issuance and terms of the Subscription Rights, the terms of the offering thereof, and related matters and (b) the rights agreement under which the Subscription Rights are to be issued has been duly authorized and validly executed and delivered by the Company, and upon payment of the consideration for the Subscription Rights provided for in such rights agreement, if any, then the Subscription Rights will be valid and binding obligations of the Company, enforceable against the Company in accordance with their terms.</w:t>
      </w:r>
    </w:p>
    <w:p>
      <w:pPr>
        <w:spacing w:after="0" w:line="154" w:lineRule="exact"/>
        <w:rPr>
          <w:rFonts w:ascii="Times New Roman" w:cs="Times New Roman" w:eastAsia="Times New Roman" w:hAnsi="Times New Roman"/>
          <w:sz w:val="15"/>
          <w:szCs w:val="15"/>
          <w:color w:val="auto"/>
        </w:rPr>
      </w:pPr>
    </w:p>
    <w:p>
      <w:pPr>
        <w:ind w:right="100" w:firstLine="372"/>
        <w:spacing w:after="0" w:line="264" w:lineRule="auto"/>
        <w:tabs>
          <w:tab w:leader="none" w:pos="523"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Purchase Contracts, when: (a) the Board has taken all necessary corporate action to approve the issuance and terms of the Purchase Contracts and related matters and (b) the agreement under which the Purchase Contracts are to be issued has been duly authorized and validly executed and delivered by the Company, then the Purchase Contracts will be valid and binding obligations of the Company, enforceable against the Company in accordance with their terms.</w:t>
      </w:r>
    </w:p>
    <w:p>
      <w:pPr>
        <w:spacing w:after="0" w:line="151" w:lineRule="exact"/>
        <w:rPr>
          <w:rFonts w:ascii="Times New Roman" w:cs="Times New Roman" w:eastAsia="Times New Roman" w:hAnsi="Times New Roman"/>
          <w:sz w:val="15"/>
          <w:szCs w:val="15"/>
          <w:color w:val="auto"/>
        </w:rPr>
      </w:pPr>
    </w:p>
    <w:p>
      <w:pPr>
        <w:ind w:right="20" w:firstLine="372"/>
        <w:spacing w:after="0" w:line="260" w:lineRule="auto"/>
        <w:tabs>
          <w:tab w:leader="none" w:pos="523"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Units, when: (a) the Board has taken all necessary corporate action to approve the issuance and terms of the Units (including any Securities underlying the Units) and related matters; and (b) the Units (including any Securities underlying the Units) have been duly executed and delivered against payment therefor, pursuant to the applicable definitive purchase, underwriting, or similar agreement duly authorized, executed and delivered by the Company and any applicable unit or other agents, and the certificates for the Units (including any Securities underlying the Units) have been duly executed and delivered by the Company and any applicable unit or other agents, then the Units will constitute valid and binding obligations of the Company, enforceable against the Company in accordance with their terms.</w:t>
      </w:r>
    </w:p>
    <w:p>
      <w:pPr>
        <w:sectPr>
          <w:pgSz w:w="11900" w:h="16838" w:orient="portrait"/>
          <w:cols w:equalWidth="0" w:num="1">
            <w:col w:w="9280"/>
          </w:cols>
          <w:pgMar w:left="1300" w:top="250" w:right="1319" w:bottom="1440" w:gutter="0" w:footer="0" w:header="0"/>
        </w:sectPr>
      </w:pPr>
    </w:p>
    <w:bookmarkStart w:id="122" w:name="page123"/>
    <w:bookmarkEnd w:id="122"/>
    <w:p>
      <w:pPr>
        <w:ind w:right="100" w:firstLine="372"/>
        <w:spacing w:after="0" w:line="287" w:lineRule="auto"/>
        <w:tabs>
          <w:tab w:leader="none" w:pos="523"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7193915" cy="34290"/>
                    </a:xfrm>
                    <a:prstGeom prst="rect">
                      <a:avLst/>
                    </a:prstGeom>
                    <a:noFill/>
                  </pic:spPr>
                </pic:pic>
              </a:graphicData>
            </a:graphic>
          </wp:anchor>
        </w:drawing>
        <w:t>The Shares to be issued and sold by the Company have been duly authorized and, when such Shares are issued and delivered by the Company against payment therefor in accordance with the terms of the Sales Agreement, will be validly issued, fully paid and nonassessable.</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Our opinion that any document is legal, valid and binding is qualified as to:</w:t>
      </w:r>
    </w:p>
    <w:p>
      <w:pPr>
        <w:spacing w:after="0" w:line="101" w:lineRule="exact"/>
        <w:rPr>
          <w:sz w:val="20"/>
          <w:szCs w:val="20"/>
          <w:color w:val="auto"/>
        </w:rPr>
      </w:pPr>
    </w:p>
    <w:p>
      <w:pPr>
        <w:ind w:right="320" w:firstLine="837"/>
        <w:spacing w:after="0" w:line="287" w:lineRule="auto"/>
        <w:tabs>
          <w:tab w:leader="none" w:pos="1042"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limitations imposed by bankruptcy, insolvency, reorganization, arrangement, fraudulent transfer, moratorium or other similar laws relating to or affecting the rights of creditors generally;</w:t>
      </w:r>
    </w:p>
    <w:p>
      <w:pPr>
        <w:spacing w:after="0" w:line="133" w:lineRule="exact"/>
        <w:rPr>
          <w:rFonts w:ascii="Times New Roman" w:cs="Times New Roman" w:eastAsia="Times New Roman" w:hAnsi="Times New Roman"/>
          <w:sz w:val="15"/>
          <w:szCs w:val="15"/>
          <w:color w:val="auto"/>
        </w:rPr>
      </w:pPr>
    </w:p>
    <w:p>
      <w:pPr>
        <w:ind w:left="1060" w:hanging="223"/>
        <w:spacing w:after="0"/>
        <w:tabs>
          <w:tab w:leader="none" w:pos="106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rights to indemnification and contribution, which may be limited by applicable law or equitable principles; and</w:t>
      </w:r>
    </w:p>
    <w:p>
      <w:pPr>
        <w:spacing w:after="0" w:line="191" w:lineRule="exact"/>
        <w:rPr>
          <w:rFonts w:ascii="Times New Roman" w:cs="Times New Roman" w:eastAsia="Times New Roman" w:hAnsi="Times New Roman"/>
          <w:sz w:val="15"/>
          <w:szCs w:val="15"/>
          <w:color w:val="auto"/>
        </w:rPr>
      </w:pPr>
    </w:p>
    <w:p>
      <w:pPr>
        <w:ind w:right="400" w:firstLine="837"/>
        <w:spacing w:after="0" w:line="287" w:lineRule="auto"/>
        <w:tabs>
          <w:tab w:leader="none" w:pos="1042"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 of general principles of equity, including without limitation concepts of materiality, reasonableness, good faith and fair dealing, and the possible unavailability of specific performance or injunctive relief, whether considered in a proceeding in equity or at law.</w:t>
      </w:r>
    </w:p>
    <w:p>
      <w:pPr>
        <w:spacing w:after="0" w:line="134" w:lineRule="exact"/>
        <w:rPr>
          <w:sz w:val="20"/>
          <w:szCs w:val="20"/>
          <w:color w:val="auto"/>
        </w:rPr>
      </w:pPr>
    </w:p>
    <w:p>
      <w:pPr>
        <w:ind w:firstLine="371"/>
        <w:spacing w:after="0" w:line="287" w:lineRule="auto"/>
        <w:rPr>
          <w:sz w:val="20"/>
          <w:szCs w:val="20"/>
          <w:color w:val="auto"/>
        </w:rPr>
      </w:pPr>
      <w:r>
        <w:rPr>
          <w:rFonts w:ascii="Times New Roman" w:cs="Times New Roman" w:eastAsia="Times New Roman" w:hAnsi="Times New Roman"/>
          <w:sz w:val="15"/>
          <w:szCs w:val="15"/>
          <w:color w:val="auto"/>
        </w:rPr>
        <w:t>We express no opinion as to the laws of any other jurisdiction, other than the federal laws of the United States of America, the laws of the State of New York as to the enforceability of the Debt Securities and the DGCL.</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 * *</w:t>
      </w:r>
    </w:p>
    <w:p>
      <w:pPr>
        <w:sectPr>
          <w:pgSz w:w="11900" w:h="16838" w:orient="portrait"/>
          <w:cols w:equalWidth="0" w:num="1">
            <w:col w:w="9240"/>
          </w:cols>
          <w:pgMar w:left="1300" w:top="250" w:right="1359" w:bottom="1440" w:gutter="0" w:footer="0" w:header="0"/>
        </w:sectPr>
      </w:pPr>
    </w:p>
    <w:bookmarkStart w:id="123" w:name="page124"/>
    <w:bookmarkEnd w:id="123"/>
    <w:p>
      <w:pPr>
        <w:ind w:firstLine="371"/>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184785</wp:posOffset>
            </wp:positionH>
            <wp:positionV relativeFrom="page">
              <wp:posOffset>88900</wp:posOffset>
            </wp:positionV>
            <wp:extent cx="7193915"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93915" cy="34290"/>
                    </a:xfrm>
                    <a:prstGeom prst="rect">
                      <a:avLst/>
                    </a:prstGeom>
                    <a:noFill/>
                  </pic:spPr>
                </pic:pic>
              </a:graphicData>
            </a:graphic>
          </wp:anchor>
        </w:drawing>
        <w:t>We hereby consent to the filing of this opinion as an exhibit to the above-referenced Registration Statement and to the use of our name wherever it appears in the Registration Statement, the Prospectus, any Prospectus Supplement, and in any amendment or supplement thereto. In giving such consent, we do not thereby admit that we are in the category of persons whose consent is required under Section 7 of the Act or the rules and regulations of the Commission thereunder.</w:t>
      </w:r>
    </w:p>
    <w:p>
      <w:pPr>
        <w:spacing w:after="0" w:line="1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/s/ Wilson Sonsini Goodrich &amp; Rosati, P.C.</w:t>
      </w:r>
    </w:p>
    <w:p>
      <w:pPr>
        <w:spacing w:after="0" w:line="1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WILSON SONSINI GOODRICH &amp; ROSATI</w:t>
      </w:r>
    </w:p>
    <w:p>
      <w:pPr>
        <w:spacing w:after="0" w:line="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Professional Corporation</w:t>
      </w:r>
    </w:p>
    <w:p>
      <w:pPr>
        <w:sectPr>
          <w:pgSz w:w="11900" w:h="16838" w:orient="portrait"/>
          <w:cols w:equalWidth="0" w:num="1">
            <w:col w:w="9280"/>
          </w:cols>
          <w:pgMar w:left="1300" w:top="250" w:right="13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105"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5"/>
          <w:szCs w:val="15"/>
          <w:color w:val="auto"/>
        </w:rPr>
        <w:t>We consent to the incorporation by reference in this Registration Statement on Form S-3 of our report dated March 10, 2025 relating to the financial statements of Tenaya Therapeutics, Inc., appearing in the Annual Report on Form 10-K of Tenaya Therapeutics, Inc. for the year ended December 31, 2024. We also consent to the reference to us under the heading “Experts” in such Registration Statement.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Deloitte &amp; Touche LLP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San Francisco,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21, 2025</w:t>
      </w:r>
    </w:p>
    <w:p>
      <w:pPr>
        <w:sectPr>
          <w:pgSz w:w="11900" w:h="16838" w:orient="portrait"/>
          <w:cols w:equalWidth="0" w:num="1">
            <w:col w:w="9280"/>
          </w:cols>
          <w:pgMar w:left="1300" w:top="121" w:right="1319" w:bottom="1440" w:gutter="0" w:footer="0" w:header="0"/>
        </w:sectPr>
      </w:pPr>
    </w:p>
    <w:bookmarkStart w:id="125" w:name="page126"/>
    <w:bookmarkEnd w:id="125"/>
    <w:tbl>
      <w:tblPr>
        <w:tblLayout w:type="fixed"/>
        <w:tblInd w:w="10" w:type="dxa"/>
        <w:tblCellMar>
          <w:top w:w="0" w:type="dxa"/>
          <w:left w:w="0" w:type="dxa"/>
          <w:bottom w:w="0" w:type="dxa"/>
          <w:right w:w="0" w:type="dxa"/>
        </w:tblCellMar>
      </w:tblPr>
      <w:tr>
        <w:trPr>
          <w:trHeight w:val="201"/>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Exhibit 107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540" w:type="dxa"/>
            <w:vAlign w:val="bottom"/>
            <w:gridSpan w:val="8"/>
          </w:tcPr>
          <w:p>
            <w:pPr>
              <w:jc w:val="center"/>
              <w:spacing w:after="0"/>
              <w:rPr>
                <w:sz w:val="20"/>
                <w:szCs w:val="20"/>
                <w:color w:val="auto"/>
              </w:rPr>
            </w:pPr>
            <w:r>
              <w:rPr>
                <w:rFonts w:ascii="Times New Roman" w:cs="Times New Roman" w:eastAsia="Times New Roman" w:hAnsi="Times New Roman"/>
                <w:sz w:val="15"/>
                <w:szCs w:val="15"/>
                <w:b w:val="1"/>
                <w:bCs w:val="1"/>
                <w:color w:val="auto"/>
              </w:rPr>
              <w:t>CALCULATION OF FILING FEE TABLES</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gridSpan w:val="3"/>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w w:val="99"/>
              </w:rPr>
              <w:t>Form S-3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gridSpan w:val="3"/>
          </w:tcPr>
          <w:p>
            <w:pPr>
              <w:jc w:val="center"/>
              <w:ind w:right="36"/>
              <w:spacing w:after="0"/>
              <w:rPr>
                <w:sz w:val="20"/>
                <w:szCs w:val="20"/>
                <w:color w:val="auto"/>
              </w:rPr>
            </w:pPr>
            <w:r>
              <w:rPr>
                <w:rFonts w:ascii="Times New Roman" w:cs="Times New Roman" w:eastAsia="Times New Roman" w:hAnsi="Times New Roman"/>
                <w:sz w:val="15"/>
                <w:szCs w:val="15"/>
                <w:color w:val="auto"/>
                <w:w w:val="98"/>
              </w:rPr>
              <w:t>(Form Type)</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60" w:type="dxa"/>
            <w:vAlign w:val="bottom"/>
            <w:gridSpan w:val="5"/>
          </w:tcPr>
          <w:p>
            <w:pPr>
              <w:jc w:val="center"/>
              <w:ind w:left="24"/>
              <w:spacing w:after="0"/>
              <w:rPr>
                <w:sz w:val="20"/>
                <w:szCs w:val="20"/>
                <w:color w:val="auto"/>
              </w:rPr>
            </w:pPr>
            <w:r>
              <w:rPr>
                <w:rFonts w:ascii="Times New Roman" w:cs="Times New Roman" w:eastAsia="Times New Roman" w:hAnsi="Times New Roman"/>
                <w:sz w:val="15"/>
                <w:szCs w:val="15"/>
                <w:b w:val="1"/>
                <w:bCs w:val="1"/>
                <w:color w:val="auto"/>
              </w:rPr>
              <w:t>Tenaya Therapeutics, Inc.</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540" w:type="dxa"/>
            <w:vAlign w:val="bottom"/>
            <w:gridSpan w:val="8"/>
          </w:tcPr>
          <w:p>
            <w:pPr>
              <w:jc w:val="center"/>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540" w:type="dxa"/>
            <w:vAlign w:val="bottom"/>
            <w:gridSpan w:val="8"/>
          </w:tcPr>
          <w:p>
            <w:pPr>
              <w:jc w:val="center"/>
              <w:spacing w:after="0"/>
              <w:rPr>
                <w:sz w:val="20"/>
                <w:szCs w:val="20"/>
                <w:color w:val="auto"/>
              </w:rPr>
            </w:pPr>
            <w:r>
              <w:rPr>
                <w:rFonts w:ascii="Times New Roman" w:cs="Times New Roman" w:eastAsia="Times New Roman" w:hAnsi="Times New Roman"/>
                <w:sz w:val="12"/>
                <w:szCs w:val="12"/>
                <w:color w:val="auto"/>
              </w:rPr>
              <w:t>Table 1: Newly Registered and Carry Forward Securities</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40"/>
        </w:trPr>
        <w:tc>
          <w:tcPr>
            <w:tcW w:w="780" w:type="dxa"/>
            <w:vAlign w:val="bottom"/>
            <w:tcBorders>
              <w:left w:val="single" w:sz="8" w:color="auto"/>
              <w:righ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00" w:type="dxa"/>
            <w:vAlign w:val="bottom"/>
          </w:tcPr>
          <w:p>
            <w:pPr>
              <w:jc w:val="center"/>
              <w:ind w:left="27"/>
              <w:spacing w:after="0"/>
              <w:rPr>
                <w:sz w:val="20"/>
                <w:szCs w:val="20"/>
                <w:color w:val="auto"/>
              </w:rPr>
            </w:pPr>
            <w:r>
              <w:rPr>
                <w:rFonts w:ascii="Times New Roman" w:cs="Times New Roman" w:eastAsia="Times New Roman" w:hAnsi="Times New Roman"/>
                <w:sz w:val="11"/>
                <w:szCs w:val="11"/>
                <w:b w:val="1"/>
                <w:bCs w:val="1"/>
                <w:color w:val="auto"/>
                <w:w w:val="96"/>
              </w:rPr>
              <w:t>Fee</w:t>
            </w:r>
          </w:p>
        </w:tc>
        <w:tc>
          <w:tcPr>
            <w:tcW w:w="1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center"/>
              <w:ind w:left="7"/>
              <w:spacing w:after="0"/>
              <w:rPr>
                <w:sz w:val="20"/>
                <w:szCs w:val="20"/>
                <w:color w:val="auto"/>
              </w:rPr>
            </w:pPr>
            <w:r>
              <w:rPr>
                <w:rFonts w:ascii="Times New Roman" w:cs="Times New Roman" w:eastAsia="Times New Roman" w:hAnsi="Times New Roman"/>
                <w:sz w:val="11"/>
                <w:szCs w:val="11"/>
                <w:b w:val="1"/>
                <w:bCs w:val="1"/>
                <w:color w:val="auto"/>
                <w:w w:val="95"/>
              </w:rPr>
              <w:t>Proposed</w:t>
            </w:r>
          </w:p>
        </w:tc>
        <w:tc>
          <w:tcPr>
            <w:tcW w:w="1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Carry</w:t>
            </w:r>
          </w:p>
        </w:tc>
        <w:tc>
          <w:tcPr>
            <w:tcW w:w="0" w:type="dxa"/>
            <w:vAlign w:val="bottom"/>
          </w:tcPr>
          <w:p>
            <w:pPr>
              <w:spacing w:after="0"/>
              <w:rPr>
                <w:sz w:val="1"/>
                <w:szCs w:val="1"/>
                <w:color w:val="auto"/>
              </w:rPr>
            </w:pPr>
          </w:p>
        </w:tc>
      </w:tr>
      <w:tr>
        <w:trPr>
          <w:trHeight w:val="114"/>
        </w:trPr>
        <w:tc>
          <w:tcPr>
            <w:tcW w:w="780" w:type="dxa"/>
            <w:vAlign w:val="bottom"/>
            <w:tcBorders>
              <w:left w:val="single" w:sz="8" w:color="auto"/>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00" w:type="dxa"/>
            <w:vAlign w:val="bottom"/>
          </w:tcPr>
          <w:p>
            <w:pPr>
              <w:jc w:val="center"/>
              <w:ind w:left="7"/>
              <w:spacing w:after="0" w:line="114" w:lineRule="exact"/>
              <w:rPr>
                <w:sz w:val="20"/>
                <w:szCs w:val="20"/>
                <w:color w:val="auto"/>
              </w:rPr>
            </w:pPr>
            <w:r>
              <w:rPr>
                <w:rFonts w:ascii="Times New Roman" w:cs="Times New Roman" w:eastAsia="Times New Roman" w:hAnsi="Times New Roman"/>
                <w:sz w:val="11"/>
                <w:szCs w:val="11"/>
                <w:b w:val="1"/>
                <w:bCs w:val="1"/>
                <w:color w:val="auto"/>
                <w:w w:val="99"/>
              </w:rPr>
              <w:t>Calculation</w:t>
            </w:r>
          </w:p>
        </w:tc>
        <w:tc>
          <w:tcPr>
            <w:tcW w:w="10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560" w:type="dxa"/>
            <w:vAlign w:val="bottom"/>
            <w:tcBorders>
              <w:right w:val="single" w:sz="8" w:color="auto"/>
            </w:tcBorders>
          </w:tcPr>
          <w:p>
            <w:pPr>
              <w:jc w:val="center"/>
              <w:ind w:left="7"/>
              <w:spacing w:after="0" w:line="114" w:lineRule="exact"/>
              <w:rPr>
                <w:sz w:val="20"/>
                <w:szCs w:val="20"/>
                <w:color w:val="auto"/>
              </w:rPr>
            </w:pPr>
            <w:r>
              <w:rPr>
                <w:rFonts w:ascii="Times New Roman" w:cs="Times New Roman" w:eastAsia="Times New Roman" w:hAnsi="Times New Roman"/>
                <w:sz w:val="11"/>
                <w:szCs w:val="11"/>
                <w:b w:val="1"/>
                <w:bCs w:val="1"/>
                <w:color w:val="auto"/>
                <w:w w:val="93"/>
              </w:rPr>
              <w:t>Maximum</w:t>
            </w:r>
          </w:p>
        </w:tc>
        <w:tc>
          <w:tcPr>
            <w:tcW w:w="100" w:type="dxa"/>
            <w:vAlign w:val="bottom"/>
          </w:tcPr>
          <w:p>
            <w:pPr>
              <w:spacing w:after="0"/>
              <w:rPr>
                <w:sz w:val="9"/>
                <w:szCs w:val="9"/>
                <w:color w:val="auto"/>
              </w:rPr>
            </w:pPr>
          </w:p>
        </w:tc>
        <w:tc>
          <w:tcPr>
            <w:tcW w:w="86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3"/>
              </w:rPr>
              <w:t>Maximum</w:t>
            </w:r>
          </w:p>
        </w:tc>
        <w:tc>
          <w:tcPr>
            <w:tcW w:w="94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4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7"/>
              </w:rPr>
              <w:t>Carry</w:t>
            </w:r>
          </w:p>
        </w:tc>
        <w:tc>
          <w:tcPr>
            <w:tcW w:w="84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7"/>
              </w:rPr>
              <w:t>Carry</w:t>
            </w:r>
          </w:p>
        </w:tc>
        <w:tc>
          <w:tcPr>
            <w:tcW w:w="5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Forwar</w:t>
            </w:r>
          </w:p>
        </w:tc>
        <w:tc>
          <w:tcPr>
            <w:tcW w:w="0" w:type="dxa"/>
            <w:vAlign w:val="bottom"/>
          </w:tcPr>
          <w:p>
            <w:pPr>
              <w:spacing w:after="0"/>
              <w:rPr>
                <w:sz w:val="1"/>
                <w:szCs w:val="1"/>
                <w:color w:val="auto"/>
              </w:rPr>
            </w:pPr>
          </w:p>
        </w:tc>
      </w:tr>
      <w:tr>
        <w:trPr>
          <w:trHeight w:val="114"/>
        </w:trPr>
        <w:tc>
          <w:tcPr>
            <w:tcW w:w="780" w:type="dxa"/>
            <w:vAlign w:val="bottom"/>
            <w:tcBorders>
              <w:left w:val="single" w:sz="8" w:color="auto"/>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gridSpan w:val="2"/>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7"/>
              </w:rPr>
              <w:t>Security</w:t>
            </w:r>
          </w:p>
        </w:tc>
        <w:tc>
          <w:tcPr>
            <w:tcW w:w="700" w:type="dxa"/>
            <w:vAlign w:val="bottom"/>
          </w:tcPr>
          <w:p>
            <w:pPr>
              <w:jc w:val="center"/>
              <w:ind w:left="7"/>
              <w:spacing w:after="0" w:line="114" w:lineRule="exact"/>
              <w:rPr>
                <w:sz w:val="20"/>
                <w:szCs w:val="20"/>
                <w:color w:val="auto"/>
              </w:rPr>
            </w:pPr>
            <w:r>
              <w:rPr>
                <w:rFonts w:ascii="Times New Roman" w:cs="Times New Roman" w:eastAsia="Times New Roman" w:hAnsi="Times New Roman"/>
                <w:sz w:val="11"/>
                <w:szCs w:val="11"/>
                <w:b w:val="1"/>
                <w:bCs w:val="1"/>
                <w:color w:val="auto"/>
              </w:rPr>
              <w:t>or Carry</w:t>
            </w:r>
          </w:p>
        </w:tc>
        <w:tc>
          <w:tcPr>
            <w:tcW w:w="10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560" w:type="dxa"/>
            <w:vAlign w:val="bottom"/>
            <w:tcBorders>
              <w:right w:val="single" w:sz="8" w:color="auto"/>
            </w:tcBorders>
          </w:tcPr>
          <w:p>
            <w:pPr>
              <w:jc w:val="center"/>
              <w:ind w:left="7"/>
              <w:spacing w:after="0" w:line="114" w:lineRule="exact"/>
              <w:rPr>
                <w:sz w:val="20"/>
                <w:szCs w:val="20"/>
                <w:color w:val="auto"/>
              </w:rPr>
            </w:pPr>
            <w:r>
              <w:rPr>
                <w:rFonts w:ascii="Times New Roman" w:cs="Times New Roman" w:eastAsia="Times New Roman" w:hAnsi="Times New Roman"/>
                <w:sz w:val="11"/>
                <w:szCs w:val="11"/>
                <w:b w:val="1"/>
                <w:bCs w:val="1"/>
                <w:color w:val="auto"/>
                <w:w w:val="94"/>
              </w:rPr>
              <w:t>Offering</w:t>
            </w:r>
          </w:p>
        </w:tc>
        <w:tc>
          <w:tcPr>
            <w:tcW w:w="100" w:type="dxa"/>
            <w:vAlign w:val="bottom"/>
          </w:tcPr>
          <w:p>
            <w:pPr>
              <w:spacing w:after="0"/>
              <w:rPr>
                <w:sz w:val="9"/>
                <w:szCs w:val="9"/>
                <w:color w:val="auto"/>
              </w:rPr>
            </w:pPr>
          </w:p>
        </w:tc>
        <w:tc>
          <w:tcPr>
            <w:tcW w:w="86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5"/>
              </w:rPr>
              <w:t>Aggregate</w:t>
            </w:r>
          </w:p>
        </w:tc>
        <w:tc>
          <w:tcPr>
            <w:tcW w:w="94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5"/>
              </w:rPr>
              <w:t>Amount of</w:t>
            </w:r>
          </w:p>
        </w:tc>
        <w:tc>
          <w:tcPr>
            <w:tcW w:w="4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6"/>
              </w:rPr>
              <w:t>Forward</w:t>
            </w:r>
          </w:p>
        </w:tc>
        <w:tc>
          <w:tcPr>
            <w:tcW w:w="84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6"/>
              </w:rPr>
              <w:t>Forward</w:t>
            </w:r>
          </w:p>
        </w:tc>
        <w:tc>
          <w:tcPr>
            <w:tcW w:w="5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Initial</w:t>
            </w:r>
          </w:p>
        </w:tc>
        <w:tc>
          <w:tcPr>
            <w:tcW w:w="0" w:type="dxa"/>
            <w:vAlign w:val="bottom"/>
          </w:tcPr>
          <w:p>
            <w:pPr>
              <w:spacing w:after="0"/>
              <w:rPr>
                <w:sz w:val="1"/>
                <w:szCs w:val="1"/>
                <w:color w:val="auto"/>
              </w:rPr>
            </w:pPr>
          </w:p>
        </w:tc>
      </w:tr>
      <w:tr>
        <w:trPr>
          <w:trHeight w:val="120"/>
        </w:trPr>
        <w:tc>
          <w:tcPr>
            <w:tcW w:w="780" w:type="dxa"/>
            <w:vAlign w:val="bottom"/>
            <w:tcBorders>
              <w:left w:val="single" w:sz="8" w:color="auto"/>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1"/>
              </w:rPr>
              <w:t>Security</w:t>
            </w:r>
          </w:p>
        </w:tc>
        <w:tc>
          <w:tcPr>
            <w:tcW w:w="1680" w:type="dxa"/>
            <w:vAlign w:val="bottom"/>
            <w:tcBorders>
              <w:right w:val="single" w:sz="8" w:color="auto"/>
            </w:tcBorders>
            <w:gridSpan w:val="2"/>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700" w:type="dxa"/>
            <w:vAlign w:val="bottom"/>
          </w:tcPr>
          <w:p>
            <w:pPr>
              <w:jc w:val="center"/>
              <w:ind w:left="27"/>
              <w:spacing w:after="0" w:line="120" w:lineRule="exact"/>
              <w:rPr>
                <w:sz w:val="20"/>
                <w:szCs w:val="20"/>
                <w:color w:val="auto"/>
              </w:rPr>
            </w:pPr>
            <w:r>
              <w:rPr>
                <w:rFonts w:ascii="Times New Roman" w:cs="Times New Roman" w:eastAsia="Times New Roman" w:hAnsi="Times New Roman"/>
                <w:sz w:val="11"/>
                <w:szCs w:val="11"/>
                <w:b w:val="1"/>
                <w:bCs w:val="1"/>
                <w:color w:val="auto"/>
                <w:w w:val="96"/>
              </w:rPr>
              <w:t>Forward</w:t>
            </w:r>
          </w:p>
        </w:tc>
        <w:tc>
          <w:tcPr>
            <w:tcW w:w="10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560" w:type="dxa"/>
            <w:vAlign w:val="bottom"/>
            <w:tcBorders>
              <w:right w:val="single" w:sz="8" w:color="auto"/>
            </w:tcBorders>
          </w:tcPr>
          <w:p>
            <w:pPr>
              <w:jc w:val="center"/>
              <w:ind w:left="7"/>
              <w:spacing w:after="0" w:line="120" w:lineRule="exact"/>
              <w:rPr>
                <w:sz w:val="20"/>
                <w:szCs w:val="20"/>
                <w:color w:val="auto"/>
              </w:rPr>
            </w:pPr>
            <w:r>
              <w:rPr>
                <w:rFonts w:ascii="Times New Roman" w:cs="Times New Roman" w:eastAsia="Times New Roman" w:hAnsi="Times New Roman"/>
                <w:sz w:val="11"/>
                <w:szCs w:val="11"/>
                <w:b w:val="1"/>
                <w:bCs w:val="1"/>
                <w:color w:val="auto"/>
                <w:w w:val="96"/>
              </w:rPr>
              <w:t>Price Per</w:t>
            </w:r>
          </w:p>
        </w:tc>
        <w:tc>
          <w:tcPr>
            <w:tcW w:w="100" w:type="dxa"/>
            <w:vAlign w:val="bottom"/>
          </w:tcPr>
          <w:p>
            <w:pPr>
              <w:spacing w:after="0"/>
              <w:rPr>
                <w:sz w:val="10"/>
                <w:szCs w:val="10"/>
                <w:color w:val="auto"/>
              </w:rPr>
            </w:pPr>
          </w:p>
        </w:tc>
        <w:tc>
          <w:tcPr>
            <w:tcW w:w="86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4"/>
              </w:rPr>
              <w:t>Offering</w:t>
            </w:r>
          </w:p>
        </w:tc>
        <w:tc>
          <w:tcPr>
            <w:tcW w:w="94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84"/>
              </w:rPr>
              <w:t>Fee</w:t>
            </w:r>
          </w:p>
        </w:tc>
        <w:tc>
          <w:tcPr>
            <w:tcW w:w="66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6"/>
              </w:rPr>
              <w:t>Registration</w:t>
            </w:r>
          </w:p>
        </w:tc>
        <w:tc>
          <w:tcPr>
            <w:tcW w:w="48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1"/>
              </w:rPr>
              <w:t>Form</w:t>
            </w:r>
          </w:p>
        </w:tc>
        <w:tc>
          <w:tcPr>
            <w:tcW w:w="840" w:type="dxa"/>
            <w:vAlign w:val="bottom"/>
            <w:tcBorders>
              <w:right w:val="single" w:sz="8" w:color="auto"/>
            </w:tcBorders>
          </w:tcPr>
          <w:p>
            <w:pPr>
              <w:jc w:val="center"/>
              <w:ind w:left="2"/>
              <w:spacing w:after="0" w:line="120" w:lineRule="exact"/>
              <w:rPr>
                <w:sz w:val="20"/>
                <w:szCs w:val="20"/>
                <w:color w:val="auto"/>
              </w:rPr>
            </w:pPr>
            <w:r>
              <w:rPr>
                <w:rFonts w:ascii="Times New Roman" w:cs="Times New Roman" w:eastAsia="Times New Roman" w:hAnsi="Times New Roman"/>
                <w:sz w:val="11"/>
                <w:szCs w:val="11"/>
                <w:b w:val="1"/>
                <w:bCs w:val="1"/>
                <w:color w:val="auto"/>
              </w:rPr>
              <w:t>File</w:t>
            </w:r>
          </w:p>
        </w:tc>
        <w:tc>
          <w:tcPr>
            <w:tcW w:w="5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Effectiv</w:t>
            </w:r>
          </w:p>
        </w:tc>
        <w:tc>
          <w:tcPr>
            <w:tcW w:w="0" w:type="dxa"/>
            <w:vAlign w:val="bottom"/>
          </w:tcPr>
          <w:p>
            <w:pPr>
              <w:spacing w:after="0"/>
              <w:rPr>
                <w:sz w:val="1"/>
                <w:szCs w:val="1"/>
                <w:color w:val="auto"/>
              </w:rPr>
            </w:pPr>
          </w:p>
        </w:tc>
      </w:tr>
      <w:tr>
        <w:trPr>
          <w:trHeight w:val="147"/>
        </w:trPr>
        <w:tc>
          <w:tcPr>
            <w:tcW w:w="780" w:type="dxa"/>
            <w:vAlign w:val="bottom"/>
            <w:tcBorders>
              <w:left w:val="single" w:sz="8" w:color="auto"/>
              <w:bottom w:val="single" w:sz="8" w:color="auto"/>
              <w:right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Type</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70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1"/>
                <w:szCs w:val="11"/>
                <w:b w:val="1"/>
                <w:bCs w:val="1"/>
                <w:color w:val="auto"/>
                <w:w w:val="99"/>
              </w:rPr>
              <w:t>Rule</w:t>
            </w:r>
          </w:p>
        </w:tc>
        <w:tc>
          <w:tcPr>
            <w:tcW w:w="10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Registered</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Unit</w:t>
            </w: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89"/>
              </w:rPr>
              <w:t>Price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Fee</w:t>
            </w:r>
          </w:p>
        </w:tc>
        <w:tc>
          <w:tcPr>
            <w:tcW w:w="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Type</w:t>
            </w:r>
          </w:p>
        </w:tc>
        <w:tc>
          <w:tcPr>
            <w:tcW w:w="84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Date</w:t>
            </w:r>
          </w:p>
        </w:tc>
        <w:tc>
          <w:tcPr>
            <w:tcW w:w="0" w:type="dxa"/>
            <w:vAlign w:val="bottom"/>
          </w:tcPr>
          <w:p>
            <w:pPr>
              <w:spacing w:after="0"/>
              <w:rPr>
                <w:sz w:val="1"/>
                <w:szCs w:val="1"/>
                <w:color w:val="auto"/>
              </w:rPr>
            </w:pPr>
          </w:p>
        </w:tc>
      </w:tr>
      <w:tr>
        <w:trPr>
          <w:trHeight w:val="195"/>
        </w:trPr>
        <w:tc>
          <w:tcPr>
            <w:tcW w:w="780" w:type="dxa"/>
            <w:vAlign w:val="bottom"/>
            <w:tcBorders>
              <w:left w:val="single" w:sz="8" w:color="auto"/>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center"/>
              <w:ind w:right="182"/>
              <w:spacing w:after="0"/>
              <w:rPr>
                <w:sz w:val="20"/>
                <w:szCs w:val="20"/>
                <w:color w:val="auto"/>
              </w:rPr>
            </w:pPr>
            <w:r>
              <w:rPr>
                <w:rFonts w:ascii="Times New Roman" w:cs="Times New Roman" w:eastAsia="Times New Roman" w:hAnsi="Times New Roman"/>
                <w:sz w:val="15"/>
                <w:szCs w:val="15"/>
                <w:b w:val="1"/>
                <w:bCs w:val="1"/>
                <w:color w:val="auto"/>
              </w:rPr>
              <w:t>Newly Registered Securities</w:t>
            </w:r>
          </w:p>
        </w:tc>
        <w:tc>
          <w:tcPr>
            <w:tcW w:w="9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7"/>
              </w:rPr>
              <w:t>Fees to</w:t>
            </w:r>
          </w:p>
        </w:tc>
        <w:tc>
          <w:tcPr>
            <w:tcW w:w="40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Common Stock, par value</w:t>
            </w:r>
          </w:p>
        </w:tc>
        <w:tc>
          <w:tcPr>
            <w:tcW w:w="700" w:type="dxa"/>
            <w:vAlign w:val="bottom"/>
          </w:tcPr>
          <w:p>
            <w:pPr>
              <w:jc w:val="center"/>
              <w:ind w:left="7"/>
              <w:spacing w:after="0"/>
              <w:rPr>
                <w:sz w:val="20"/>
                <w:szCs w:val="20"/>
                <w:color w:val="auto"/>
              </w:rPr>
            </w:pPr>
            <w:r>
              <w:rPr>
                <w:rFonts w:ascii="Times New Roman" w:cs="Times New Roman" w:eastAsia="Times New Roman" w:hAnsi="Times New Roman"/>
                <w:sz w:val="15"/>
                <w:szCs w:val="15"/>
                <w:color w:val="auto"/>
              </w:rPr>
              <w:t>Rule</w:t>
            </w:r>
          </w:p>
        </w:tc>
        <w:tc>
          <w:tcPr>
            <w:tcW w:w="10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8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7"/>
              </w:rPr>
              <w:t>Be Paid</w:t>
            </w:r>
          </w:p>
        </w:tc>
        <w:tc>
          <w:tcPr>
            <w:tcW w:w="4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Equity</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$0.0001 per share</w:t>
            </w:r>
          </w:p>
        </w:tc>
        <w:tc>
          <w:tcPr>
            <w:tcW w:w="70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5"/>
                <w:szCs w:val="15"/>
                <w:color w:val="auto"/>
              </w:rPr>
              <w:t>457(o)</w:t>
            </w:r>
          </w:p>
        </w:tc>
        <w:tc>
          <w:tcPr>
            <w:tcW w:w="1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7"/>
              </w:rPr>
              <w:t>Fees to</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Preferred Stock, par value</w:t>
            </w:r>
          </w:p>
        </w:tc>
        <w:tc>
          <w:tcPr>
            <w:tcW w:w="700" w:type="dxa"/>
            <w:vAlign w:val="bottom"/>
          </w:tcPr>
          <w:p>
            <w:pPr>
              <w:jc w:val="center"/>
              <w:ind w:left="7"/>
              <w:spacing w:after="0"/>
              <w:rPr>
                <w:sz w:val="20"/>
                <w:szCs w:val="20"/>
                <w:color w:val="auto"/>
              </w:rPr>
            </w:pPr>
            <w:r>
              <w:rPr>
                <w:rFonts w:ascii="Times New Roman" w:cs="Times New Roman" w:eastAsia="Times New Roman" w:hAnsi="Times New Roman"/>
                <w:sz w:val="15"/>
                <w:szCs w:val="15"/>
                <w:color w:val="auto"/>
              </w:rPr>
              <w:t>Rule</w:t>
            </w: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8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7"/>
              </w:rPr>
              <w:t>Be Paid</w:t>
            </w:r>
          </w:p>
        </w:tc>
        <w:tc>
          <w:tcPr>
            <w:tcW w:w="4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Equity</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$0.0001 per share</w:t>
            </w:r>
          </w:p>
        </w:tc>
        <w:tc>
          <w:tcPr>
            <w:tcW w:w="70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5"/>
                <w:szCs w:val="15"/>
                <w:color w:val="auto"/>
              </w:rPr>
              <w:t>457(o)</w:t>
            </w:r>
          </w:p>
        </w:tc>
        <w:tc>
          <w:tcPr>
            <w:tcW w:w="1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7"/>
              </w:rPr>
              <w:t>Fees to</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00" w:type="dxa"/>
            <w:vAlign w:val="bottom"/>
          </w:tcPr>
          <w:p>
            <w:pPr>
              <w:jc w:val="center"/>
              <w:ind w:left="7"/>
              <w:spacing w:after="0"/>
              <w:rPr>
                <w:sz w:val="20"/>
                <w:szCs w:val="20"/>
                <w:color w:val="auto"/>
              </w:rPr>
            </w:pPr>
            <w:r>
              <w:rPr>
                <w:rFonts w:ascii="Times New Roman" w:cs="Times New Roman" w:eastAsia="Times New Roman" w:hAnsi="Times New Roman"/>
                <w:sz w:val="15"/>
                <w:szCs w:val="15"/>
                <w:color w:val="auto"/>
              </w:rPr>
              <w:t>Rule</w:t>
            </w: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8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7"/>
              </w:rPr>
              <w:t>Be Paid</w:t>
            </w:r>
          </w:p>
        </w:tc>
        <w:tc>
          <w:tcPr>
            <w:tcW w:w="4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Debt</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Debt Securities</w:t>
            </w:r>
          </w:p>
        </w:tc>
        <w:tc>
          <w:tcPr>
            <w:tcW w:w="70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5"/>
                <w:szCs w:val="15"/>
                <w:color w:val="auto"/>
              </w:rPr>
              <w:t>457(o)</w:t>
            </w:r>
          </w:p>
        </w:tc>
        <w:tc>
          <w:tcPr>
            <w:tcW w:w="1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7"/>
              </w:rPr>
              <w:t>Fees to</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00" w:type="dxa"/>
            <w:vAlign w:val="bottom"/>
          </w:tcPr>
          <w:p>
            <w:pPr>
              <w:jc w:val="center"/>
              <w:ind w:left="7"/>
              <w:spacing w:after="0"/>
              <w:rPr>
                <w:sz w:val="20"/>
                <w:szCs w:val="20"/>
                <w:color w:val="auto"/>
              </w:rPr>
            </w:pPr>
            <w:r>
              <w:rPr>
                <w:rFonts w:ascii="Times New Roman" w:cs="Times New Roman" w:eastAsia="Times New Roman" w:hAnsi="Times New Roman"/>
                <w:sz w:val="15"/>
                <w:szCs w:val="15"/>
                <w:color w:val="auto"/>
              </w:rPr>
              <w:t>Rule</w:t>
            </w: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8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7"/>
              </w:rPr>
              <w:t>Be Paid</w:t>
            </w:r>
          </w:p>
        </w:tc>
        <w:tc>
          <w:tcPr>
            <w:tcW w:w="4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Equity</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Depositary Shares</w:t>
            </w:r>
          </w:p>
        </w:tc>
        <w:tc>
          <w:tcPr>
            <w:tcW w:w="70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5"/>
                <w:szCs w:val="15"/>
                <w:color w:val="auto"/>
              </w:rPr>
              <w:t>457(o)</w:t>
            </w:r>
          </w:p>
        </w:tc>
        <w:tc>
          <w:tcPr>
            <w:tcW w:w="1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7"/>
              </w:rPr>
              <w:t>Fees to</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00" w:type="dxa"/>
            <w:vAlign w:val="bottom"/>
          </w:tcPr>
          <w:p>
            <w:pPr>
              <w:jc w:val="center"/>
              <w:ind w:left="7"/>
              <w:spacing w:after="0"/>
              <w:rPr>
                <w:sz w:val="20"/>
                <w:szCs w:val="20"/>
                <w:color w:val="auto"/>
              </w:rPr>
            </w:pPr>
            <w:r>
              <w:rPr>
                <w:rFonts w:ascii="Times New Roman" w:cs="Times New Roman" w:eastAsia="Times New Roman" w:hAnsi="Times New Roman"/>
                <w:sz w:val="15"/>
                <w:szCs w:val="15"/>
                <w:color w:val="auto"/>
              </w:rPr>
              <w:t>Rule</w:t>
            </w: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8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7"/>
              </w:rPr>
              <w:t>Be Paid</w:t>
            </w:r>
          </w:p>
        </w:tc>
        <w:tc>
          <w:tcPr>
            <w:tcW w:w="4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Equity</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w w:val="98"/>
              </w:rPr>
              <w:t>Warrants</w:t>
            </w:r>
          </w:p>
        </w:tc>
        <w:tc>
          <w:tcPr>
            <w:tcW w:w="70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5"/>
                <w:szCs w:val="15"/>
                <w:color w:val="auto"/>
              </w:rPr>
              <w:t>457(o)</w:t>
            </w:r>
          </w:p>
        </w:tc>
        <w:tc>
          <w:tcPr>
            <w:tcW w:w="1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7"/>
              </w:rPr>
              <w:t>Fees to</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00" w:type="dxa"/>
            <w:vAlign w:val="bottom"/>
          </w:tcPr>
          <w:p>
            <w:pPr>
              <w:jc w:val="center"/>
              <w:ind w:left="7"/>
              <w:spacing w:after="0"/>
              <w:rPr>
                <w:sz w:val="20"/>
                <w:szCs w:val="20"/>
                <w:color w:val="auto"/>
              </w:rPr>
            </w:pPr>
            <w:r>
              <w:rPr>
                <w:rFonts w:ascii="Times New Roman" w:cs="Times New Roman" w:eastAsia="Times New Roman" w:hAnsi="Times New Roman"/>
                <w:sz w:val="15"/>
                <w:szCs w:val="15"/>
                <w:color w:val="auto"/>
              </w:rPr>
              <w:t>Rule</w:t>
            </w: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8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7"/>
              </w:rPr>
              <w:t>Be Paid</w:t>
            </w:r>
          </w:p>
        </w:tc>
        <w:tc>
          <w:tcPr>
            <w:tcW w:w="4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Other</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Subscription Rights</w:t>
            </w:r>
          </w:p>
        </w:tc>
        <w:tc>
          <w:tcPr>
            <w:tcW w:w="70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5"/>
                <w:szCs w:val="15"/>
                <w:color w:val="auto"/>
              </w:rPr>
              <w:t>457(o)</w:t>
            </w:r>
          </w:p>
        </w:tc>
        <w:tc>
          <w:tcPr>
            <w:tcW w:w="1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7"/>
              </w:rPr>
              <w:t>Fees to</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00" w:type="dxa"/>
            <w:vAlign w:val="bottom"/>
          </w:tcPr>
          <w:p>
            <w:pPr>
              <w:jc w:val="center"/>
              <w:ind w:left="7"/>
              <w:spacing w:after="0"/>
              <w:rPr>
                <w:sz w:val="20"/>
                <w:szCs w:val="20"/>
                <w:color w:val="auto"/>
              </w:rPr>
            </w:pPr>
            <w:r>
              <w:rPr>
                <w:rFonts w:ascii="Times New Roman" w:cs="Times New Roman" w:eastAsia="Times New Roman" w:hAnsi="Times New Roman"/>
                <w:sz w:val="15"/>
                <w:szCs w:val="15"/>
                <w:color w:val="auto"/>
              </w:rPr>
              <w:t>Rule</w:t>
            </w: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8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7"/>
              </w:rPr>
              <w:t>Be Paid</w:t>
            </w:r>
          </w:p>
        </w:tc>
        <w:tc>
          <w:tcPr>
            <w:tcW w:w="4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Other</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Purchase Contracts</w:t>
            </w:r>
          </w:p>
        </w:tc>
        <w:tc>
          <w:tcPr>
            <w:tcW w:w="70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5"/>
                <w:szCs w:val="15"/>
                <w:color w:val="auto"/>
              </w:rPr>
              <w:t>457(o)</w:t>
            </w:r>
          </w:p>
        </w:tc>
        <w:tc>
          <w:tcPr>
            <w:tcW w:w="1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7"/>
              </w:rPr>
              <w:t>Fees to</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00" w:type="dxa"/>
            <w:vAlign w:val="bottom"/>
          </w:tcPr>
          <w:p>
            <w:pPr>
              <w:jc w:val="center"/>
              <w:ind w:left="7"/>
              <w:spacing w:after="0"/>
              <w:rPr>
                <w:sz w:val="20"/>
                <w:szCs w:val="20"/>
                <w:color w:val="auto"/>
              </w:rPr>
            </w:pPr>
            <w:r>
              <w:rPr>
                <w:rFonts w:ascii="Times New Roman" w:cs="Times New Roman" w:eastAsia="Times New Roman" w:hAnsi="Times New Roman"/>
                <w:sz w:val="15"/>
                <w:szCs w:val="15"/>
                <w:color w:val="auto"/>
              </w:rPr>
              <w:t>Rule</w:t>
            </w: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8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7"/>
              </w:rPr>
              <w:t>Be Paid</w:t>
            </w:r>
          </w:p>
        </w:tc>
        <w:tc>
          <w:tcPr>
            <w:tcW w:w="4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Other</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w w:val="98"/>
              </w:rPr>
              <w:t>Units</w:t>
            </w:r>
          </w:p>
        </w:tc>
        <w:tc>
          <w:tcPr>
            <w:tcW w:w="70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5"/>
                <w:szCs w:val="15"/>
                <w:color w:val="auto"/>
              </w:rPr>
              <w:t>457(o)</w:t>
            </w:r>
          </w:p>
        </w:tc>
        <w:tc>
          <w:tcPr>
            <w:tcW w:w="1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7"/>
              </w:rPr>
              <w:t>Fees to</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Unallocated</w:t>
            </w:r>
          </w:p>
        </w:tc>
        <w:tc>
          <w:tcPr>
            <w:tcW w:w="16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Unallocated (Universal)</w:t>
            </w:r>
          </w:p>
        </w:tc>
        <w:tc>
          <w:tcPr>
            <w:tcW w:w="7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8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7"/>
              </w:rPr>
              <w:t>Be Paid</w:t>
            </w:r>
          </w:p>
        </w:tc>
        <w:tc>
          <w:tcPr>
            <w:tcW w:w="4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w w:val="98"/>
              </w:rPr>
              <w:t>(1)  </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(Universal) Shelf </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Shelf </w:t>
            </w:r>
          </w:p>
        </w:tc>
        <w:tc>
          <w:tcPr>
            <w:tcW w:w="8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 xml:space="preserve">Rule 457(o) </w:t>
            </w:r>
          </w:p>
        </w:tc>
        <w:tc>
          <w:tcPr>
            <w:tcW w:w="5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$276,262,180 </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$0.00001531 </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$42,295</w:t>
            </w:r>
          </w:p>
        </w:tc>
        <w:tc>
          <w:tcPr>
            <w:tcW w:w="4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80" w:type="dxa"/>
            <w:vAlign w:val="bottom"/>
            <w:tcBorders>
              <w:left w:val="single" w:sz="8" w:color="auto"/>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jc w:val="center"/>
              <w:ind w:right="282"/>
              <w:spacing w:after="0"/>
              <w:rPr>
                <w:sz w:val="20"/>
                <w:szCs w:val="20"/>
                <w:color w:val="auto"/>
              </w:rPr>
            </w:pPr>
            <w:r>
              <w:rPr>
                <w:rFonts w:ascii="Times New Roman" w:cs="Times New Roman" w:eastAsia="Times New Roman" w:hAnsi="Times New Roman"/>
                <w:sz w:val="15"/>
                <w:szCs w:val="15"/>
                <w:b w:val="1"/>
                <w:bCs w:val="1"/>
                <w:color w:val="auto"/>
              </w:rPr>
              <w:t>Carry Forward Securities</w:t>
            </w: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9"/>
              </w:rPr>
              <w:t>Carry</w:t>
            </w:r>
          </w:p>
        </w:tc>
        <w:tc>
          <w:tcPr>
            <w:tcW w:w="40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5"/>
                <w:szCs w:val="15"/>
                <w:color w:val="auto"/>
              </w:rPr>
              <w:t>Common Stock, par value</w:t>
            </w:r>
          </w:p>
        </w:tc>
        <w:tc>
          <w:tcPr>
            <w:tcW w:w="7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 w:type="dxa"/>
            <w:vAlign w:val="bottom"/>
            <w:tcBorders>
              <w:left w:val="single" w:sz="8" w:color="auto"/>
              <w:right w:val="single" w:sz="8" w:color="auto"/>
            </w:tcBorders>
          </w:tcPr>
          <w:p>
            <w:pPr>
              <w:jc w:val="center"/>
              <w:ind w:left="44"/>
              <w:spacing w:after="0" w:line="171" w:lineRule="exact"/>
              <w:rPr>
                <w:sz w:val="20"/>
                <w:szCs w:val="20"/>
                <w:color w:val="auto"/>
              </w:rPr>
            </w:pPr>
            <w:r>
              <w:rPr>
                <w:rFonts w:ascii="Times New Roman" w:cs="Times New Roman" w:eastAsia="Times New Roman" w:hAnsi="Times New Roman"/>
                <w:sz w:val="15"/>
                <w:szCs w:val="15"/>
                <w:color w:val="auto"/>
                <w:w w:val="98"/>
              </w:rPr>
              <w:t>Forward</w:t>
            </w:r>
          </w:p>
        </w:tc>
        <w:tc>
          <w:tcPr>
            <w:tcW w:w="40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gridSpan w:val="2"/>
            <w:vMerge w:val="continue"/>
          </w:tcPr>
          <w:p>
            <w:pPr>
              <w:spacing w:after="0"/>
              <w:rPr>
                <w:sz w:val="14"/>
                <w:szCs w:val="14"/>
                <w:color w:val="auto"/>
              </w:rPr>
            </w:pPr>
          </w:p>
        </w:tc>
        <w:tc>
          <w:tcPr>
            <w:tcW w:w="700" w:type="dxa"/>
            <w:vAlign w:val="bottom"/>
          </w:tcPr>
          <w:p>
            <w:pPr>
              <w:jc w:val="center"/>
              <w:ind w:left="7"/>
              <w:spacing w:after="0" w:line="171" w:lineRule="exact"/>
              <w:rPr>
                <w:sz w:val="20"/>
                <w:szCs w:val="20"/>
                <w:color w:val="auto"/>
              </w:rPr>
            </w:pPr>
            <w:r>
              <w:rPr>
                <w:rFonts w:ascii="Times New Roman" w:cs="Times New Roman" w:eastAsia="Times New Roman" w:hAnsi="Times New Roman"/>
                <w:sz w:val="15"/>
                <w:szCs w:val="15"/>
                <w:color w:val="auto"/>
              </w:rPr>
              <w:t>Rule</w:t>
            </w:r>
          </w:p>
        </w:tc>
        <w:tc>
          <w:tcPr>
            <w:tcW w:w="10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8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9"/>
              </w:rPr>
              <w:t>Securities </w:t>
            </w:r>
          </w:p>
        </w:tc>
        <w:tc>
          <w:tcPr>
            <w:tcW w:w="4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Equity</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$0.0001 per share</w:t>
            </w:r>
          </w:p>
        </w:tc>
        <w:tc>
          <w:tcPr>
            <w:tcW w:w="70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5"/>
                <w:szCs w:val="15"/>
                <w:color w:val="auto"/>
              </w:rPr>
              <w:t>415(a)(6)</w:t>
            </w:r>
          </w:p>
        </w:tc>
        <w:tc>
          <w:tcPr>
            <w:tcW w:w="1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9"/>
              </w:rPr>
              <w:t>Carry</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5"/>
                <w:szCs w:val="15"/>
                <w:color w:val="auto"/>
              </w:rPr>
              <w:t>Preferred Stock, par value</w:t>
            </w:r>
          </w:p>
        </w:tc>
        <w:tc>
          <w:tcPr>
            <w:tcW w:w="7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80" w:type="dxa"/>
            <w:vAlign w:val="bottom"/>
            <w:tcBorders>
              <w:left w:val="single" w:sz="8" w:color="auto"/>
              <w:right w:val="single" w:sz="8" w:color="auto"/>
            </w:tcBorders>
          </w:tcPr>
          <w:p>
            <w:pPr>
              <w:jc w:val="center"/>
              <w:ind w:left="44"/>
              <w:spacing w:after="0" w:line="171" w:lineRule="exact"/>
              <w:rPr>
                <w:sz w:val="20"/>
                <w:szCs w:val="20"/>
                <w:color w:val="auto"/>
              </w:rPr>
            </w:pPr>
            <w:r>
              <w:rPr>
                <w:rFonts w:ascii="Times New Roman" w:cs="Times New Roman" w:eastAsia="Times New Roman" w:hAnsi="Times New Roman"/>
                <w:sz w:val="15"/>
                <w:szCs w:val="15"/>
                <w:color w:val="auto"/>
                <w:w w:val="98"/>
              </w:rPr>
              <w:t>Forward</w:t>
            </w:r>
          </w:p>
        </w:tc>
        <w:tc>
          <w:tcPr>
            <w:tcW w:w="40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gridSpan w:val="2"/>
            <w:vMerge w:val="continue"/>
          </w:tcPr>
          <w:p>
            <w:pPr>
              <w:spacing w:after="0"/>
              <w:rPr>
                <w:sz w:val="14"/>
                <w:szCs w:val="14"/>
                <w:color w:val="auto"/>
              </w:rPr>
            </w:pPr>
          </w:p>
        </w:tc>
        <w:tc>
          <w:tcPr>
            <w:tcW w:w="700" w:type="dxa"/>
            <w:vAlign w:val="bottom"/>
          </w:tcPr>
          <w:p>
            <w:pPr>
              <w:jc w:val="center"/>
              <w:ind w:left="7"/>
              <w:spacing w:after="0" w:line="171" w:lineRule="exact"/>
              <w:rPr>
                <w:sz w:val="20"/>
                <w:szCs w:val="20"/>
                <w:color w:val="auto"/>
              </w:rPr>
            </w:pPr>
            <w:r>
              <w:rPr>
                <w:rFonts w:ascii="Times New Roman" w:cs="Times New Roman" w:eastAsia="Times New Roman" w:hAnsi="Times New Roman"/>
                <w:sz w:val="15"/>
                <w:szCs w:val="15"/>
                <w:color w:val="auto"/>
              </w:rPr>
              <w:t>Rule</w:t>
            </w:r>
          </w:p>
        </w:tc>
        <w:tc>
          <w:tcPr>
            <w:tcW w:w="10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8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9"/>
              </w:rPr>
              <w:t>Securities </w:t>
            </w:r>
          </w:p>
        </w:tc>
        <w:tc>
          <w:tcPr>
            <w:tcW w:w="4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Equity</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$0.0001 per share</w:t>
            </w:r>
          </w:p>
        </w:tc>
        <w:tc>
          <w:tcPr>
            <w:tcW w:w="70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5"/>
                <w:szCs w:val="15"/>
                <w:color w:val="auto"/>
              </w:rPr>
              <w:t>415(a)(6)</w:t>
            </w:r>
          </w:p>
        </w:tc>
        <w:tc>
          <w:tcPr>
            <w:tcW w:w="1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9"/>
              </w:rPr>
              <w:t>Carry</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8"/>
              </w:rPr>
              <w:t>Forward</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00" w:type="dxa"/>
            <w:vAlign w:val="bottom"/>
          </w:tcPr>
          <w:p>
            <w:pPr>
              <w:jc w:val="center"/>
              <w:ind w:left="7"/>
              <w:spacing w:after="0"/>
              <w:rPr>
                <w:sz w:val="20"/>
                <w:szCs w:val="20"/>
                <w:color w:val="auto"/>
              </w:rPr>
            </w:pPr>
            <w:r>
              <w:rPr>
                <w:rFonts w:ascii="Times New Roman" w:cs="Times New Roman" w:eastAsia="Times New Roman" w:hAnsi="Times New Roman"/>
                <w:sz w:val="15"/>
                <w:szCs w:val="15"/>
                <w:color w:val="auto"/>
              </w:rPr>
              <w:t>Rule</w:t>
            </w: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9"/>
              </w:rPr>
              <w:t>Securities </w:t>
            </w:r>
          </w:p>
        </w:tc>
        <w:tc>
          <w:tcPr>
            <w:tcW w:w="4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Debt</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Debt Securities</w:t>
            </w:r>
          </w:p>
        </w:tc>
        <w:tc>
          <w:tcPr>
            <w:tcW w:w="70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5"/>
                <w:szCs w:val="15"/>
                <w:color w:val="auto"/>
              </w:rPr>
              <w:t>415(a)(6)</w:t>
            </w:r>
          </w:p>
        </w:tc>
        <w:tc>
          <w:tcPr>
            <w:tcW w:w="10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9"/>
              </w:rPr>
              <w:t>Carry</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8"/>
              </w:rPr>
              <w:t>Forward</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00" w:type="dxa"/>
            <w:vAlign w:val="bottom"/>
          </w:tcPr>
          <w:p>
            <w:pPr>
              <w:jc w:val="center"/>
              <w:ind w:left="7"/>
              <w:spacing w:after="0"/>
              <w:rPr>
                <w:sz w:val="20"/>
                <w:szCs w:val="20"/>
                <w:color w:val="auto"/>
              </w:rPr>
            </w:pPr>
            <w:r>
              <w:rPr>
                <w:rFonts w:ascii="Times New Roman" w:cs="Times New Roman" w:eastAsia="Times New Roman" w:hAnsi="Times New Roman"/>
                <w:sz w:val="15"/>
                <w:szCs w:val="15"/>
                <w:color w:val="auto"/>
              </w:rPr>
              <w:t>Rule</w:t>
            </w: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9"/>
              </w:rPr>
              <w:t>Securities </w:t>
            </w:r>
          </w:p>
        </w:tc>
        <w:tc>
          <w:tcPr>
            <w:tcW w:w="4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Equity</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Depositary Shares</w:t>
            </w:r>
          </w:p>
        </w:tc>
        <w:tc>
          <w:tcPr>
            <w:tcW w:w="70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5"/>
                <w:szCs w:val="15"/>
                <w:color w:val="auto"/>
              </w:rPr>
              <w:t>415(a)(6)</w:t>
            </w:r>
          </w:p>
        </w:tc>
        <w:tc>
          <w:tcPr>
            <w:tcW w:w="10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9"/>
              </w:rPr>
              <w:t>Carry</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8"/>
              </w:rPr>
              <w:t>Forward</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00" w:type="dxa"/>
            <w:vAlign w:val="bottom"/>
          </w:tcPr>
          <w:p>
            <w:pPr>
              <w:jc w:val="center"/>
              <w:ind w:left="7"/>
              <w:spacing w:after="0"/>
              <w:rPr>
                <w:sz w:val="20"/>
                <w:szCs w:val="20"/>
                <w:color w:val="auto"/>
              </w:rPr>
            </w:pPr>
            <w:r>
              <w:rPr>
                <w:rFonts w:ascii="Times New Roman" w:cs="Times New Roman" w:eastAsia="Times New Roman" w:hAnsi="Times New Roman"/>
                <w:sz w:val="15"/>
                <w:szCs w:val="15"/>
                <w:color w:val="auto"/>
              </w:rPr>
              <w:t>Rule</w:t>
            </w: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9"/>
              </w:rPr>
              <w:t>Securities </w:t>
            </w:r>
          </w:p>
        </w:tc>
        <w:tc>
          <w:tcPr>
            <w:tcW w:w="4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Equity</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w w:val="98"/>
              </w:rPr>
              <w:t>Warrants</w:t>
            </w:r>
          </w:p>
        </w:tc>
        <w:tc>
          <w:tcPr>
            <w:tcW w:w="70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5"/>
                <w:szCs w:val="15"/>
                <w:color w:val="auto"/>
              </w:rPr>
              <w:t>415(a)(6)</w:t>
            </w:r>
          </w:p>
        </w:tc>
        <w:tc>
          <w:tcPr>
            <w:tcW w:w="10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9"/>
              </w:rPr>
              <w:t>Carry</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8"/>
              </w:rPr>
              <w:t>Forward</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00" w:type="dxa"/>
            <w:vAlign w:val="bottom"/>
          </w:tcPr>
          <w:p>
            <w:pPr>
              <w:jc w:val="center"/>
              <w:ind w:left="7"/>
              <w:spacing w:after="0"/>
              <w:rPr>
                <w:sz w:val="20"/>
                <w:szCs w:val="20"/>
                <w:color w:val="auto"/>
              </w:rPr>
            </w:pPr>
            <w:r>
              <w:rPr>
                <w:rFonts w:ascii="Times New Roman" w:cs="Times New Roman" w:eastAsia="Times New Roman" w:hAnsi="Times New Roman"/>
                <w:sz w:val="15"/>
                <w:szCs w:val="15"/>
                <w:color w:val="auto"/>
              </w:rPr>
              <w:t>Rule</w:t>
            </w: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9"/>
              </w:rPr>
              <w:t>Securities </w:t>
            </w:r>
          </w:p>
        </w:tc>
        <w:tc>
          <w:tcPr>
            <w:tcW w:w="4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Other</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Subscription Rights</w:t>
            </w:r>
          </w:p>
        </w:tc>
        <w:tc>
          <w:tcPr>
            <w:tcW w:w="70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5"/>
                <w:szCs w:val="15"/>
                <w:color w:val="auto"/>
              </w:rPr>
              <w:t>415(a)(6)</w:t>
            </w:r>
          </w:p>
        </w:tc>
        <w:tc>
          <w:tcPr>
            <w:tcW w:w="10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9"/>
              </w:rPr>
              <w:t>Carry</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8"/>
              </w:rPr>
              <w:t>Forward</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00" w:type="dxa"/>
            <w:vAlign w:val="bottom"/>
          </w:tcPr>
          <w:p>
            <w:pPr>
              <w:jc w:val="center"/>
              <w:ind w:left="7"/>
              <w:spacing w:after="0"/>
              <w:rPr>
                <w:sz w:val="20"/>
                <w:szCs w:val="20"/>
                <w:color w:val="auto"/>
              </w:rPr>
            </w:pPr>
            <w:r>
              <w:rPr>
                <w:rFonts w:ascii="Times New Roman" w:cs="Times New Roman" w:eastAsia="Times New Roman" w:hAnsi="Times New Roman"/>
                <w:sz w:val="15"/>
                <w:szCs w:val="15"/>
                <w:color w:val="auto"/>
              </w:rPr>
              <w:t>Rule</w:t>
            </w: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9"/>
              </w:rPr>
              <w:t>Securities </w:t>
            </w:r>
          </w:p>
        </w:tc>
        <w:tc>
          <w:tcPr>
            <w:tcW w:w="4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Other</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Purchase Contracts</w:t>
            </w:r>
          </w:p>
        </w:tc>
        <w:tc>
          <w:tcPr>
            <w:tcW w:w="70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5"/>
                <w:szCs w:val="15"/>
                <w:color w:val="auto"/>
              </w:rPr>
              <w:t>415(a)(6)</w:t>
            </w:r>
          </w:p>
        </w:tc>
        <w:tc>
          <w:tcPr>
            <w:tcW w:w="10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9"/>
              </w:rPr>
              <w:t>Carry</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8"/>
              </w:rPr>
              <w:t>Forward</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00" w:type="dxa"/>
            <w:vAlign w:val="bottom"/>
          </w:tcPr>
          <w:p>
            <w:pPr>
              <w:jc w:val="center"/>
              <w:ind w:left="7"/>
              <w:spacing w:after="0"/>
              <w:rPr>
                <w:sz w:val="20"/>
                <w:szCs w:val="20"/>
                <w:color w:val="auto"/>
              </w:rPr>
            </w:pPr>
            <w:r>
              <w:rPr>
                <w:rFonts w:ascii="Times New Roman" w:cs="Times New Roman" w:eastAsia="Times New Roman" w:hAnsi="Times New Roman"/>
                <w:sz w:val="15"/>
                <w:szCs w:val="15"/>
                <w:color w:val="auto"/>
              </w:rPr>
              <w:t>Rule</w:t>
            </w: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9"/>
              </w:rPr>
              <w:t>Securities </w:t>
            </w:r>
          </w:p>
        </w:tc>
        <w:tc>
          <w:tcPr>
            <w:tcW w:w="4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Other</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w w:val="98"/>
              </w:rPr>
              <w:t>Units</w:t>
            </w:r>
          </w:p>
        </w:tc>
        <w:tc>
          <w:tcPr>
            <w:tcW w:w="70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5"/>
                <w:szCs w:val="15"/>
                <w:color w:val="auto"/>
              </w:rPr>
              <w:t>415(a)(6)</w:t>
            </w:r>
          </w:p>
        </w:tc>
        <w:tc>
          <w:tcPr>
            <w:tcW w:w="10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9"/>
              </w:rPr>
              <w:t>Carry</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Unallocated</w:t>
            </w:r>
          </w:p>
        </w:tc>
        <w:tc>
          <w:tcPr>
            <w:tcW w:w="9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8"/>
              </w:rPr>
              <w:t>Forward</w:t>
            </w:r>
          </w:p>
        </w:tc>
        <w:tc>
          <w:tcPr>
            <w:tcW w:w="4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(Universal)</w:t>
            </w:r>
          </w:p>
        </w:tc>
        <w:tc>
          <w:tcPr>
            <w:tcW w:w="16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Unallocated (Universal)</w:t>
            </w:r>
          </w:p>
        </w:tc>
        <w:tc>
          <w:tcPr>
            <w:tcW w:w="700" w:type="dxa"/>
            <w:vAlign w:val="bottom"/>
          </w:tcPr>
          <w:p>
            <w:pPr>
              <w:jc w:val="center"/>
              <w:ind w:left="7"/>
              <w:spacing w:after="0"/>
              <w:rPr>
                <w:sz w:val="20"/>
                <w:szCs w:val="20"/>
                <w:color w:val="auto"/>
              </w:rPr>
            </w:pPr>
            <w:r>
              <w:rPr>
                <w:rFonts w:ascii="Times New Roman" w:cs="Times New Roman" w:eastAsia="Times New Roman" w:hAnsi="Times New Roman"/>
                <w:sz w:val="15"/>
                <w:szCs w:val="15"/>
                <w:color w:val="auto"/>
              </w:rPr>
              <w:t>Rule</w:t>
            </w:r>
          </w:p>
        </w:tc>
        <w:tc>
          <w:tcPr>
            <w:tcW w:w="1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August</w:t>
            </w:r>
          </w:p>
        </w:tc>
        <w:tc>
          <w:tcPr>
            <w:tcW w:w="0" w:type="dxa"/>
            <w:vAlign w:val="bottom"/>
          </w:tcPr>
          <w:p>
            <w:pPr>
              <w:spacing w:after="0"/>
              <w:rPr>
                <w:sz w:val="1"/>
                <w:szCs w:val="1"/>
                <w:color w:val="auto"/>
              </w:rPr>
            </w:pPr>
          </w:p>
        </w:tc>
      </w:tr>
      <w:tr>
        <w:trPr>
          <w:trHeight w:val="203"/>
        </w:trPr>
        <w:tc>
          <w:tcPr>
            <w:tcW w:w="78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5"/>
                <w:szCs w:val="15"/>
                <w:color w:val="auto"/>
                <w:w w:val="99"/>
              </w:rPr>
              <w:t>Securities </w:t>
            </w:r>
          </w:p>
        </w:tc>
        <w:tc>
          <w:tcPr>
            <w:tcW w:w="4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w w:val="98"/>
              </w:rPr>
              <w:t>(2)  </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Shelf</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Shelf </w:t>
            </w:r>
          </w:p>
        </w:tc>
        <w:tc>
          <w:tcPr>
            <w:tcW w:w="700" w:type="dxa"/>
            <w:vAlign w:val="bottom"/>
            <w:tcBorders>
              <w:bottom w:val="single" w:sz="8" w:color="auto"/>
            </w:tcBorders>
          </w:tcPr>
          <w:p>
            <w:pPr>
              <w:jc w:val="center"/>
              <w:ind w:left="7"/>
              <w:spacing w:after="0"/>
              <w:rPr>
                <w:sz w:val="20"/>
                <w:szCs w:val="20"/>
                <w:color w:val="auto"/>
              </w:rPr>
            </w:pPr>
            <w:r>
              <w:rPr>
                <w:rFonts w:ascii="Times New Roman" w:cs="Times New Roman" w:eastAsia="Times New Roman" w:hAnsi="Times New Roman"/>
                <w:sz w:val="15"/>
                <w:szCs w:val="15"/>
                <w:color w:val="auto"/>
              </w:rPr>
              <w:t>415(a)(6)</w:t>
            </w:r>
          </w:p>
        </w:tc>
        <w:tc>
          <w:tcPr>
            <w:tcW w:w="10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$23,737,820 </w:t>
            </w:r>
          </w:p>
        </w:tc>
        <w:tc>
          <w:tcPr>
            <w:tcW w:w="940" w:type="dxa"/>
            <w:vAlign w:val="bottom"/>
            <w:tcBorders>
              <w:bottom w:val="single" w:sz="8" w:color="auto"/>
              <w:right w:val="single" w:sz="8" w:color="auto"/>
            </w:tcBorders>
          </w:tcPr>
          <w:p>
            <w:pPr>
              <w:jc w:val="right"/>
              <w:ind w:right="36"/>
              <w:spacing w:after="0"/>
              <w:rPr>
                <w:sz w:val="20"/>
                <w:szCs w:val="20"/>
                <w:color w:val="auto"/>
              </w:rPr>
            </w:pPr>
            <w:r>
              <w:rPr>
                <w:rFonts w:ascii="Times New Roman" w:cs="Times New Roman" w:eastAsia="Times New Roman" w:hAnsi="Times New Roman"/>
                <w:sz w:val="15"/>
                <w:szCs w:val="15"/>
                <w:color w:val="auto"/>
              </w:rPr>
              <w:t>$0.0000927</w:t>
            </w:r>
          </w:p>
        </w:tc>
        <w:tc>
          <w:tcPr>
            <w:tcW w:w="66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S-3</w:t>
            </w:r>
          </w:p>
        </w:tc>
        <w:tc>
          <w:tcPr>
            <w:tcW w:w="84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5"/>
                <w:szCs w:val="15"/>
                <w:color w:val="auto"/>
              </w:rPr>
              <w:t>333-266741</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2022</w:t>
            </w:r>
          </w:p>
        </w:tc>
        <w:tc>
          <w:tcPr>
            <w:tcW w:w="0" w:type="dxa"/>
            <w:vAlign w:val="bottom"/>
          </w:tcPr>
          <w:p>
            <w:pPr>
              <w:spacing w:after="0"/>
              <w:rPr>
                <w:sz w:val="1"/>
                <w:szCs w:val="1"/>
                <w:color w:val="auto"/>
              </w:rPr>
            </w:pPr>
          </w:p>
        </w:tc>
      </w:tr>
      <w:tr>
        <w:trPr>
          <w:trHeight w:val="200"/>
        </w:trPr>
        <w:tc>
          <w:tcPr>
            <w:tcW w:w="780" w:type="dxa"/>
            <w:vAlign w:val="bottom"/>
            <w:tcBorders>
              <w:left w:val="single" w:sz="8" w:color="auto"/>
              <w:bottom w:val="single" w:sz="8" w:color="auto"/>
              <w:right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900" w:type="dxa"/>
            <w:vAlign w:val="bottom"/>
            <w:tcBorders>
              <w:bottom w:val="single" w:sz="8" w:color="auto"/>
              <w:right w:val="single" w:sz="8" w:color="auto"/>
            </w:tcBorders>
            <w:gridSpan w:val="4"/>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Total Offering Amounts </w:t>
            </w:r>
          </w:p>
        </w:tc>
        <w:tc>
          <w:tcPr>
            <w:tcW w:w="9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$300,000,000 </w:t>
            </w:r>
          </w:p>
        </w:tc>
        <w:tc>
          <w:tcPr>
            <w:tcW w:w="94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$42,295</w:t>
            </w:r>
          </w:p>
        </w:tc>
        <w:tc>
          <w:tcPr>
            <w:tcW w:w="4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Borders>
              <w:left w:val="single" w:sz="8" w:color="auto"/>
              <w:bottom w:val="single" w:sz="8" w:color="auto"/>
              <w:right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900" w:type="dxa"/>
            <w:vAlign w:val="bottom"/>
            <w:tcBorders>
              <w:bottom w:val="single" w:sz="8" w:color="auto"/>
              <w:right w:val="single" w:sz="8" w:color="auto"/>
            </w:tcBorders>
            <w:gridSpan w:val="4"/>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Total Fees Previously Paid </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Borders>
              <w:left w:val="single" w:sz="8" w:color="auto"/>
              <w:bottom w:val="single" w:sz="8" w:color="auto"/>
              <w:right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gridSpan w:val="3"/>
          </w:tcPr>
          <w:p>
            <w:pPr>
              <w:jc w:val="right"/>
              <w:ind w:right="7"/>
              <w:spacing w:after="0"/>
              <w:rPr>
                <w:sz w:val="20"/>
                <w:szCs w:val="20"/>
                <w:color w:val="auto"/>
              </w:rPr>
            </w:pPr>
            <w:r>
              <w:rPr>
                <w:rFonts w:ascii="Times New Roman" w:cs="Times New Roman" w:eastAsia="Times New Roman" w:hAnsi="Times New Roman"/>
                <w:sz w:val="15"/>
                <w:szCs w:val="15"/>
                <w:b w:val="1"/>
                <w:bCs w:val="1"/>
                <w:color w:val="auto"/>
                <w:w w:val="95"/>
              </w:rPr>
              <w:t>Total Fee Offsets </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Borders>
              <w:left w:val="single" w:sz="8" w:color="auto"/>
              <w:bottom w:val="single" w:sz="8" w:color="auto"/>
              <w:right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gridSpan w:val="2"/>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Net Fee Due </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$42,295</w:t>
            </w:r>
          </w:p>
        </w:tc>
        <w:tc>
          <w:tcPr>
            <w:tcW w:w="4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60" w:right="1400" w:hanging="359"/>
        <w:spacing w:after="0" w:line="263" w:lineRule="auto"/>
        <w:tabs>
          <w:tab w:leader="none" w:pos="36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securities registered hereunder include such indeterminate number of (a) shares of common stock, (b) shares of preferred stock, (c) debt securities, (d) depositary shares, (e) warrants to purchase common stock, preferred stock, debt securities or depositary shares of the registrant,</w:t>
      </w:r>
    </w:p>
    <w:p>
      <w:pPr>
        <w:spacing w:after="0" w:line="1" w:lineRule="exact"/>
        <w:rPr>
          <w:rFonts w:ascii="Times New Roman" w:cs="Times New Roman" w:eastAsia="Times New Roman" w:hAnsi="Times New Roman"/>
          <w:sz w:val="15"/>
          <w:szCs w:val="15"/>
          <w:color w:val="auto"/>
        </w:rPr>
      </w:pPr>
    </w:p>
    <w:p>
      <w:pPr>
        <w:ind w:left="360" w:right="1080"/>
        <w:spacing w:after="0" w:line="25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 subscription rights to purchase common stock, preferred stock, debt securities, depositary shares, warrants or units consisting of some or all of these securities of the registrant, (g) purchase contracts, and (h) units consisting of some or all of these securities, as may be sold from time to time by the registrant. There are also being registered hereunder an indeterminate number of shares of common stock and preferred stock as shall be issuable upon conversion, exchange or exercise of any securities that provide for such issuance. Pursuant to Rule 416 under the Securities Act of 1933, as amended, or the Securities Act, this registration statement shall also cover any additional shares of the registrant’s securities that become issuable by reason of any share splits, share dividends or similar transactions.</w:t>
      </w:r>
    </w:p>
    <w:p>
      <w:pPr>
        <w:spacing w:after="0" w:line="156" w:lineRule="exact"/>
        <w:rPr>
          <w:sz w:val="20"/>
          <w:szCs w:val="20"/>
          <w:color w:val="auto"/>
        </w:rPr>
      </w:pPr>
    </w:p>
    <w:p>
      <w:pPr>
        <w:jc w:val="both"/>
        <w:ind w:left="380" w:right="1080"/>
        <w:spacing w:after="0" w:line="264" w:lineRule="auto"/>
        <w:rPr>
          <w:sz w:val="20"/>
          <w:szCs w:val="20"/>
          <w:color w:val="auto"/>
        </w:rPr>
      </w:pPr>
      <w:r>
        <w:rPr>
          <w:rFonts w:ascii="Times New Roman" w:cs="Times New Roman" w:eastAsia="Times New Roman" w:hAnsi="Times New Roman"/>
          <w:sz w:val="15"/>
          <w:szCs w:val="15"/>
          <w:color w:val="auto"/>
        </w:rPr>
        <w:t>The proposed maximum offering price per security and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 Separate consideration may or may not be received for securities that are issuable on exercise, conversion or exchange of other securities, or that are issued in units.</w:t>
      </w:r>
    </w:p>
    <w:p>
      <w:pPr>
        <w:spacing w:after="0" w:line="151" w:lineRule="exact"/>
        <w:rPr>
          <w:sz w:val="20"/>
          <w:szCs w:val="20"/>
          <w:color w:val="auto"/>
        </w:rPr>
      </w:pPr>
    </w:p>
    <w:p>
      <w:pPr>
        <w:ind w:left="380" w:right="1280"/>
        <w:spacing w:after="0" w:line="287" w:lineRule="auto"/>
        <w:rPr>
          <w:sz w:val="20"/>
          <w:szCs w:val="20"/>
          <w:color w:val="auto"/>
        </w:rPr>
      </w:pPr>
      <w:r>
        <w:rPr>
          <w:rFonts w:ascii="Times New Roman" w:cs="Times New Roman" w:eastAsia="Times New Roman" w:hAnsi="Times New Roman"/>
          <w:sz w:val="15"/>
          <w:szCs w:val="15"/>
          <w:color w:val="auto"/>
        </w:rPr>
        <w:t>The proposed maximum offering amount is estimated solely for the purpose of calculating the registration fee. Subject to Rule 462(b) under the Securities Act, the aggregate maximum offering price of all securities issued by the registrant pursuant to this registration statement will not</w:t>
      </w:r>
    </w:p>
    <w:p>
      <w:pPr>
        <w:sectPr>
          <w:pgSz w:w="11900" w:h="16838" w:orient="portrait"/>
          <w:cols w:equalWidth="0" w:num="1">
            <w:col w:w="10360"/>
          </w:cols>
          <w:pgMar w:left="1300" w:top="121" w:right="239" w:bottom="0" w:gutter="0" w:footer="0" w:header="0"/>
        </w:sectPr>
      </w:pPr>
    </w:p>
    <w:bookmarkStart w:id="126" w:name="page127"/>
    <w:bookmarkEnd w:id="126"/>
    <w:p>
      <w:pPr>
        <w:ind w:left="379"/>
        <w:spacing w:after="0"/>
        <w:rPr>
          <w:sz w:val="20"/>
          <w:szCs w:val="20"/>
          <w:color w:val="auto"/>
        </w:rPr>
      </w:pPr>
      <w:r>
        <w:rPr>
          <w:rFonts w:ascii="Times New Roman" w:cs="Times New Roman" w:eastAsia="Times New Roman" w:hAnsi="Times New Roman"/>
          <w:sz w:val="15"/>
          <w:szCs w:val="15"/>
          <w:color w:val="auto"/>
        </w:rPr>
        <w:t>exceed $300,000,000.</w:t>
      </w:r>
    </w:p>
    <w:p>
      <w:pPr>
        <w:spacing w:after="0" w:line="214" w:lineRule="exact"/>
        <w:rPr>
          <w:sz w:val="20"/>
          <w:szCs w:val="20"/>
          <w:color w:val="auto"/>
        </w:rPr>
      </w:pPr>
    </w:p>
    <w:p>
      <w:pPr>
        <w:ind w:left="359" w:hanging="359"/>
        <w:spacing w:after="0" w:line="256" w:lineRule="auto"/>
        <w:tabs>
          <w:tab w:leader="none" w:pos="359"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Rule 415(a)(6) under the Securities Act, securities with a maximum aggregate price of $23,737,820 registered hereunder are unsold securities (the “Unsold Securities”) previously covered by the registrant’s registration statement on Form S-3 (File No. 333-266741) which was initially filed with the Securities and Exchange Commission on August 10, 2022 and declared effective on August 17, 2022 (the “Prior Registration Statement”), and are included in this registration statement. In connection with the filing of the Prior Registration Statement, the registrant paid a filing fee of $27,810 with respect to an aggregate of $300,000,000 of securities (based on the filing fee rate in effect at the time of the filing of the Prior Registration Statement). Of this amount, $2,200 is associated with the Unsold Securities. The registrant may continue to offer and sell under the Prior Registration Statement the Unsold Securities being registered hereunder.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and the updated amount of new securities to be registered on this Registration Statement. Pursuant to Rule 415(a)(6) under the Securities Act, the offering of the Unsold Securities under the Prior Registration Statement will be deemed terminated as of the date of effectiveness of this Registration Statement.</w:t>
      </w:r>
    </w:p>
    <w:sectPr>
      <w:pgSz w:w="11900" w:h="16838" w:orient="portrait"/>
      <w:cols w:equalWidth="0" w:num="1">
        <w:col w:w="9259"/>
      </w:cols>
      <w:pgMar w:left="1301" w:top="125"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lvl w:ilvl="1">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1)"/>
      <w:numFmt w:val="decimal"/>
      <w:start w:val="2"/>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
      <w:numFmt w:val="bullet"/>
      <w:start w:val="1"/>
    </w:lvl>
  </w:abstractNum>
  <w:abstractNum w:abstractNumId="37">
    <w:nsid w:val="579BE4F1"/>
    <w:multiLevelType w:val="hybridMultilevel"/>
    <w:lvl w:ilvl="0">
      <w:lvlJc w:val="left"/>
      <w:lvlText w:val=" "/>
      <w:numFmt w:val="bullet"/>
      <w:start w:val="1"/>
    </w:lvl>
  </w:abstractNum>
  <w:abstractNum w:abstractNumId="38">
    <w:nsid w:val="310C50B3"/>
    <w:multiLevelType w:val="hybridMultilevel"/>
    <w:lvl w:ilvl="0">
      <w:lvlJc w:val="left"/>
      <w:lvlText w:val=" "/>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1">
    <w:nsid w:val="25A70BF7"/>
    <w:multiLevelType w:val="hybridMultilevel"/>
    <w:lvl w:ilvl="0">
      <w:lvlJc w:val="left"/>
      <w:lvlText w:val="(%1)"/>
      <w:numFmt w:val="decimal"/>
      <w:start w:val="2"/>
    </w:lvl>
    <w:lvl w:ilvl="1">
      <w:lvlJc w:val="left"/>
      <w:lvlText w:val="(%2)"/>
      <w:numFmt w:val="lowerRoman"/>
      <w:start w:val="1"/>
    </w:lvl>
  </w:abstractNum>
  <w:abstractNum w:abstractNumId="42">
    <w:nsid w:val="1DBABF00"/>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43">
    <w:nsid w:val="4AD084E9"/>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4">
    <w:nsid w:val="1F48EAA1"/>
    <w:multiLevelType w:val="hybridMultilevel"/>
    <w:lvl w:ilvl="0">
      <w:lvlJc w:val="left"/>
      <w:lvlText w:val="(%1)"/>
      <w:numFmt w:val="lowerLetter"/>
      <w:start w:val="1"/>
    </w:lvl>
  </w:abstractNum>
  <w:abstractNum w:abstractNumId="45">
    <w:nsid w:val="1381823A"/>
    <w:multiLevelType w:val="hybridMultilevel"/>
    <w:lvl w:ilvl="0">
      <w:lvlJc w:val="left"/>
      <w:lvlText w:val="(%1)"/>
      <w:numFmt w:val="lowerLetter"/>
      <w:start w:val="1"/>
    </w:lvl>
  </w:abstractNum>
  <w:abstractNum w:abstractNumId="46">
    <w:nsid w:val="5DB70AE5"/>
    <w:multiLevelType w:val="hybridMultilevel"/>
    <w:lvl w:ilvl="0">
      <w:lvlJc w:val="left"/>
      <w:lvlText w:val="(%1)"/>
      <w:numFmt w:val="lowerLetter"/>
      <w:start w:val="2"/>
    </w:lvl>
  </w:abstractNum>
  <w:abstractNum w:abstractNumId="47">
    <w:nsid w:val="100F8FCA"/>
    <w:multiLevelType w:val="hybridMultilevel"/>
    <w:lvl w:ilvl="0">
      <w:lvlJc w:val="left"/>
      <w:lvlText w:val="(%1)"/>
      <w:numFmt w:val="lowerLetter"/>
      <w:start w:val="1"/>
    </w:lvl>
  </w:abstractNum>
  <w:abstractNum w:abstractNumId="48">
    <w:nsid w:val="6590700B"/>
    <w:multiLevelType w:val="hybridMultilevel"/>
    <w:lvl w:ilvl="0">
      <w:lvlJc w:val="left"/>
      <w:lvlText w:val="(%1)"/>
      <w:numFmt w:val="lowerLetter"/>
      <w:start w:val="1"/>
    </w:lvl>
  </w:abstractNum>
  <w:abstractNum w:abstractNumId="49">
    <w:nsid w:val="15014ACB"/>
    <w:multiLevelType w:val="hybridMultilevel"/>
    <w:lvl w:ilvl="0">
      <w:lvlJc w:val="left"/>
      <w:lvlText w:val="(%1)"/>
      <w:numFmt w:val="lowerLetter"/>
      <w:start w:val="1"/>
    </w:lvl>
    <w:lvl w:ilvl="1">
      <w:lvlJc w:val="left"/>
      <w:lvlText w:val="(%2)"/>
      <w:numFmt w:val="lowerRoman"/>
      <w:start w:val="1"/>
    </w:lvl>
  </w:abstractNum>
  <w:abstractNum w:abstractNumId="50">
    <w:nsid w:val="5F5E7FD0"/>
    <w:multiLevelType w:val="hybridMultilevel"/>
    <w:lvl w:ilvl="0">
      <w:lvlJc w:val="left"/>
      <w:lvlText w:val="(%1)"/>
      <w:numFmt w:val="lowerLetter"/>
      <w:start w:val="5"/>
    </w:lvl>
    <w:lvl w:ilvl="1">
      <w:lvlJc w:val="left"/>
      <w:lvlText w:val="(%2)"/>
      <w:numFmt w:val="lowerRoman"/>
      <w:start w:val="1"/>
    </w:lvl>
  </w:abstractNum>
  <w:abstractNum w:abstractNumId="51">
    <w:nsid w:val="98A3148"/>
    <w:multiLevelType w:val="hybridMultilevel"/>
    <w:lvl w:ilvl="0">
      <w:lvlJc w:val="left"/>
      <w:lvlText w:val="(%1)"/>
      <w:numFmt w:val="lowerLetter"/>
      <w:start w:val="1"/>
    </w:lvl>
  </w:abstractNum>
  <w:abstractNum w:abstractNumId="52">
    <w:nsid w:val="799D0247"/>
    <w:multiLevelType w:val="hybridMultilevel"/>
    <w:lvl w:ilvl="0">
      <w:lvlJc w:val="left"/>
      <w:lvlText w:val="(%1)"/>
      <w:numFmt w:val="lowerLetter"/>
      <w:start w:val="1"/>
    </w:lvl>
  </w:abstractNum>
  <w:abstractNum w:abstractNumId="53">
    <w:nsid w:val="6B94764"/>
    <w:multiLevelType w:val="hybridMultilevel"/>
    <w:lvl w:ilvl="0">
      <w:lvlJc w:val="left"/>
      <w:lvlText w:val="(%1)"/>
      <w:numFmt w:val="lowerLetter"/>
      <w:start w:val="2"/>
    </w:lvl>
  </w:abstractNum>
  <w:abstractNum w:abstractNumId="54">
    <w:nsid w:val="42C296BD"/>
    <w:multiLevelType w:val="hybridMultilevel"/>
    <w:lvl w:ilvl="0">
      <w:lvlJc w:val="left"/>
      <w:lvlText w:val="(%1)"/>
      <w:numFmt w:val="lowerLetter"/>
      <w:start w:val="1"/>
    </w:lvl>
  </w:abstractNum>
  <w:abstractNum w:abstractNumId="55">
    <w:nsid w:val="168E121F"/>
    <w:multiLevelType w:val="hybridMultilevel"/>
    <w:lvl w:ilvl="0">
      <w:lvlJc w:val="left"/>
      <w:lvlText w:val="(%1)"/>
      <w:numFmt w:val="lowerLetter"/>
      <w:start w:val="1"/>
    </w:lvl>
    <w:lvl w:ilvl="1">
      <w:lvlJc w:val="left"/>
      <w:lvlText w:val="(%2)"/>
      <w:numFmt w:val="lowerLetter"/>
      <w:start w:val="9"/>
    </w:lvl>
  </w:abstractNum>
  <w:abstractNum w:abstractNumId="56">
    <w:nsid w:val="1EBA5D23"/>
    <w:multiLevelType w:val="hybridMultilevel"/>
    <w:lvl w:ilvl="0">
      <w:lvlJc w:val="left"/>
      <w:lvlText w:val="%1"/>
      <w:numFmt w:val="lowerLetter"/>
      <w:start w:val="1"/>
    </w:lvl>
    <w:lvl w:ilvl="1">
      <w:lvlJc w:val="left"/>
      <w:lvlText w:val="(%2)"/>
      <w:numFmt w:val="lowerLetter"/>
      <w:start w:val="35"/>
    </w:lvl>
  </w:abstractNum>
  <w:abstractNum w:abstractNumId="57">
    <w:nsid w:val="661E3F1E"/>
    <w:multiLevelType w:val="hybridMultilevel"/>
    <w:lvl w:ilvl="0">
      <w:lvlJc w:val="left"/>
      <w:lvlText w:val="(%1)"/>
      <w:numFmt w:val="lowerLetter"/>
      <w:start w:val="3"/>
    </w:lvl>
    <w:lvl w:ilvl="1">
      <w:lvlJc w:val="left"/>
      <w:lvlText w:val="(%2)"/>
      <w:numFmt w:val="lowerLetter"/>
      <w:start w:val="9"/>
    </w:lvl>
  </w:abstractNum>
  <w:abstractNum w:abstractNumId="58">
    <w:nsid w:val="5DC79EA8"/>
    <w:multiLevelType w:val="hybridMultilevel"/>
    <w:lvl w:ilvl="0">
      <w:lvlJc w:val="left"/>
      <w:lvlText w:val="%1"/>
      <w:numFmt w:val="lowerLetter"/>
      <w:start w:val="1"/>
    </w:lvl>
    <w:lvl w:ilvl="1">
      <w:lvlJc w:val="left"/>
      <w:lvlText w:val="(%2)"/>
      <w:numFmt w:val="lowerRoman"/>
      <w:start w:val="2"/>
    </w:lvl>
  </w:abstractNum>
  <w:abstractNum w:abstractNumId="59">
    <w:nsid w:val="540A471C"/>
    <w:multiLevelType w:val="hybridMultilevel"/>
    <w:lvl w:ilvl="0">
      <w:lvlJc w:val="left"/>
      <w:lvlText w:val="(%1)"/>
      <w:numFmt w:val="lowerLetter"/>
      <w:start w:val="4"/>
    </w:lvl>
    <w:lvl w:ilvl="1">
      <w:lvlJc w:val="left"/>
      <w:lvlText w:val="%2"/>
      <w:numFmt w:val="lowerRoman"/>
      <w:start w:val="1"/>
    </w:lvl>
  </w:abstractNum>
  <w:abstractNum w:abstractNumId="60">
    <w:nsid w:val="7BD3EE7B"/>
    <w:multiLevelType w:val="hybridMultilevel"/>
    <w:lvl w:ilvl="0">
      <w:lvlJc w:val="left"/>
      <w:lvlText w:val="(%1)"/>
      <w:numFmt w:val="lowerLetter"/>
      <w:start w:val="1"/>
    </w:lvl>
  </w:abstractNum>
  <w:abstractNum w:abstractNumId="61">
    <w:nsid w:val="51D9C564"/>
    <w:multiLevelType w:val="hybridMultilevel"/>
    <w:lvl w:ilvl="0">
      <w:lvlJc w:val="left"/>
      <w:lvlText w:val="(%1)"/>
      <w:numFmt w:val="lowerLetter"/>
      <w:start w:val="2"/>
    </w:lvl>
  </w:abstractNum>
  <w:abstractNum w:abstractNumId="62">
    <w:nsid w:val="613EFDC5"/>
    <w:multiLevelType w:val="hybridMultilevel"/>
    <w:lvl w:ilvl="0">
      <w:lvlJc w:val="left"/>
      <w:lvlText w:val="(%1)"/>
      <w:numFmt w:val="lowerLetter"/>
      <w:start w:val="11"/>
    </w:lvl>
  </w:abstractNum>
  <w:abstractNum w:abstractNumId="63">
    <w:nsid w:val="BF72B14"/>
    <w:multiLevelType w:val="hybridMultilevel"/>
    <w:lvl w:ilvl="0">
      <w:lvlJc w:val="left"/>
      <w:lvlText w:val="(%1)"/>
      <w:numFmt w:val="lowerLetter"/>
      <w:start w:val="1"/>
    </w:lvl>
  </w:abstractNum>
  <w:abstractNum w:abstractNumId="64">
    <w:nsid w:val="11447B73"/>
    <w:multiLevelType w:val="hybridMultilevel"/>
    <w:lvl w:ilvl="0">
      <w:lvlJc w:val="left"/>
      <w:lvlText w:val="(%1)"/>
      <w:numFmt w:val="lowerLetter"/>
      <w:start w:val="3"/>
    </w:lvl>
  </w:abstractNum>
  <w:abstractNum w:abstractNumId="65">
    <w:nsid w:val="42963E5A"/>
    <w:multiLevelType w:val="hybridMultilevel"/>
    <w:lvl w:ilvl="0">
      <w:lvlJc w:val="left"/>
      <w:lvlText w:val="(%1)"/>
      <w:numFmt w:val="lowerLetter"/>
      <w:start w:val="1"/>
    </w:lvl>
    <w:lvl w:ilvl="1">
      <w:lvlJc w:val="left"/>
      <w:lvlText w:val="(%2)"/>
      <w:numFmt w:val="lowerRoman"/>
      <w:start w:val="1"/>
    </w:lvl>
  </w:abstractNum>
  <w:abstractNum w:abstractNumId="66">
    <w:nsid w:val="A0382C5"/>
    <w:multiLevelType w:val="hybridMultilevel"/>
    <w:lvl w:ilvl="0">
      <w:lvlJc w:val="left"/>
      <w:lvlText w:val="(%1)"/>
      <w:numFmt w:val="decimal"/>
      <w:start w:val="1"/>
    </w:lvl>
  </w:abstractNum>
  <w:abstractNum w:abstractNumId="67">
    <w:nsid w:val="8F2B15E"/>
    <w:multiLevelType w:val="hybridMultilevel"/>
    <w:lvl w:ilvl="0">
      <w:lvlJc w:val="left"/>
      <w:lvlText w:val="(%1)"/>
      <w:numFmt w:val="decimal"/>
      <w:start w:val="2"/>
    </w:lvl>
  </w:abstractNum>
  <w:abstractNum w:abstractNumId="68">
    <w:nsid w:val="1A32234B"/>
    <w:multiLevelType w:val="hybridMultilevel"/>
    <w:lvl w:ilvl="0">
      <w:lvlJc w:val="left"/>
      <w:lvlText w:val="(%1)"/>
      <w:numFmt w:val="lowerLetter"/>
      <w:start w:val="2"/>
    </w:lvl>
  </w:abstractNum>
  <w:abstractNum w:abstractNumId="69">
    <w:nsid w:val="3B0FD379"/>
    <w:multiLevelType w:val="hybridMultilevel"/>
    <w:lvl w:ilvl="0">
      <w:lvlJc w:val="left"/>
      <w:lvlText w:val="(%1)"/>
      <w:numFmt w:val="lowerLetter"/>
      <w:start w:val="1"/>
    </w:lvl>
  </w:abstractNum>
  <w:abstractNum w:abstractNumId="70">
    <w:nsid w:val="68EB2F63"/>
    <w:multiLevelType w:val="hybridMultilevel"/>
    <w:lvl w:ilvl="0">
      <w:lvlJc w:val="left"/>
      <w:lvlText w:val="(%1)"/>
      <w:numFmt w:val="lowerLetter"/>
      <w:start w:val="3"/>
    </w:lvl>
  </w:abstractNum>
  <w:abstractNum w:abstractNumId="71">
    <w:nsid w:val="4962813B"/>
    <w:multiLevelType w:val="hybridMultilevel"/>
    <w:lvl w:ilvl="0">
      <w:lvlJc w:val="left"/>
      <w:lvlText w:val="(%1)"/>
      <w:numFmt w:val="lowerLetter"/>
      <w:start w:val="1"/>
    </w:lvl>
  </w:abstractNum>
  <w:abstractNum w:abstractNumId="72">
    <w:nsid w:val="60B6DF70"/>
    <w:multiLevelType w:val="hybridMultilevel"/>
    <w:lvl w:ilvl="0">
      <w:lvlJc w:val="left"/>
      <w:lvlText w:val="(%1)"/>
      <w:numFmt w:val="lowerLetter"/>
      <w:start w:val="5"/>
    </w:lvl>
  </w:abstractNum>
  <w:abstractNum w:abstractNumId="73">
    <w:nsid w:val="6A5EE64"/>
    <w:multiLevelType w:val="hybridMultilevel"/>
    <w:lvl w:ilvl="0">
      <w:lvlJc w:val="left"/>
      <w:lvlText w:val="(%1)"/>
      <w:numFmt w:val="lowerLetter"/>
      <w:start w:val="1"/>
    </w:lvl>
  </w:abstractNum>
  <w:abstractNum w:abstractNumId="74">
    <w:nsid w:val="14330624"/>
    <w:multiLevelType w:val="hybridMultilevel"/>
    <w:lvl w:ilvl="0">
      <w:lvlJc w:val="left"/>
      <w:lvlText w:val="(%1)"/>
      <w:numFmt w:val="lowerLetter"/>
      <w:start w:val="1"/>
    </w:lvl>
  </w:abstractNum>
  <w:abstractNum w:abstractNumId="75">
    <w:nsid w:val="7FFFCA11"/>
    <w:multiLevelType w:val="hybridMultilevel"/>
    <w:lvl w:ilvl="0">
      <w:lvlJc w:val="left"/>
      <w:lvlText w:val="%1"/>
      <w:numFmt w:val="lowerLetter"/>
      <w:start w:val="1"/>
    </w:lvl>
    <w:lvl w:ilvl="1">
      <w:lvlJc w:val="left"/>
      <w:lvlText w:val="(%2)"/>
      <w:numFmt w:val="lowerLetter"/>
      <w:start w:val="10"/>
    </w:lvl>
  </w:abstractNum>
  <w:abstractNum w:abstractNumId="76">
    <w:nsid w:val="1A27709E"/>
    <w:multiLevelType w:val="hybridMultilevel"/>
    <w:lvl w:ilvl="0">
      <w:lvlJc w:val="left"/>
      <w:lvlText w:val="(%1)"/>
      <w:numFmt w:val="lowerLetter"/>
      <w:start w:val="12"/>
    </w:lvl>
    <w:lvl w:ilvl="1">
      <w:lvlJc w:val="left"/>
      <w:lvlText w:val="%2"/>
      <w:numFmt w:val="lowerLetter"/>
      <w:start w:val="1"/>
    </w:lvl>
  </w:abstractNum>
  <w:abstractNum w:abstractNumId="77">
    <w:nsid w:val="71EA1109"/>
    <w:multiLevelType w:val="hybridMultilevel"/>
    <w:lvl w:ilvl="0">
      <w:lvlJc w:val="left"/>
      <w:lvlText w:val="(%1)"/>
      <w:numFmt w:val="lowerLetter"/>
      <w:start w:val="1"/>
    </w:lvl>
  </w:abstractNum>
  <w:abstractNum w:abstractNumId="78">
    <w:nsid w:val="100F59DC"/>
    <w:multiLevelType w:val="hybridMultilevel"/>
    <w:lvl w:ilvl="0">
      <w:lvlJc w:val="left"/>
      <w:lvlText w:val="(%1)"/>
      <w:numFmt w:val="lowerLetter"/>
      <w:start w:val="2"/>
    </w:lvl>
  </w:abstractNum>
  <w:abstractNum w:abstractNumId="79">
    <w:nsid w:val="7FB7E0AA"/>
    <w:multiLevelType w:val="hybridMultilevel"/>
    <w:lvl w:ilvl="0">
      <w:lvlJc w:val="left"/>
      <w:lvlText w:val="(%1)"/>
      <w:numFmt w:val="lowerLetter"/>
      <w:start w:val="1"/>
    </w:lvl>
  </w:abstractNum>
  <w:abstractNum w:abstractNumId="80">
    <w:nsid w:val="6EB5BD4"/>
    <w:multiLevelType w:val="hybridMultilevel"/>
    <w:lvl w:ilvl="0">
      <w:lvlJc w:val="left"/>
      <w:lvlText w:val="(%1)"/>
      <w:numFmt w:val="lowerLetter"/>
      <w:start w:val="1"/>
    </w:lvl>
  </w:abstractNum>
  <w:abstractNum w:abstractNumId="81">
    <w:nsid w:val="6F6DD9AC"/>
    <w:multiLevelType w:val="hybridMultilevel"/>
    <w:lvl w:ilvl="0">
      <w:lvlJc w:val="left"/>
      <w:lvlText w:val="%1"/>
      <w:numFmt w:val="lowerRoman"/>
      <w:start w:val="1"/>
    </w:lvl>
    <w:lvl w:ilvl="1">
      <w:lvlJc w:val="left"/>
      <w:lvlText w:val="%2."/>
      <w:numFmt w:val="decimal"/>
      <w:start w:val="1"/>
    </w:lvl>
  </w:abstractNum>
  <w:abstractNum w:abstractNumId="82">
    <w:nsid w:val="94211F2"/>
    <w:multiLevelType w:val="hybridMultilevel"/>
    <w:lvl w:ilvl="0">
      <w:lvlJc w:val="left"/>
      <w:lvlText w:val="(%1)"/>
      <w:numFmt w:val="lowerRoman"/>
      <w:start w:val="2"/>
    </w:lvl>
    <w:lvl w:ilvl="1">
      <w:lvlJc w:val="left"/>
      <w:lvlText w:val="%2."/>
      <w:numFmt w:val="decimal"/>
      <w:start w:val="2"/>
    </w:lvl>
  </w:abstractNum>
  <w:abstractNum w:abstractNumId="83">
    <w:nsid w:val="885E1B"/>
    <w:multiLevelType w:val="hybridMultilevel"/>
    <w:lvl w:ilvl="0">
      <w:lvlJc w:val="left"/>
      <w:lvlText w:val="(%1)"/>
      <w:numFmt w:val="lowerRoman"/>
      <w:start w:val="1"/>
    </w:lvl>
    <w:lvl w:ilvl="1">
      <w:lvlJc w:val="left"/>
      <w:lvlText w:val="%2."/>
      <w:numFmt w:val="decimal"/>
      <w:start w:val="3"/>
    </w:lvl>
  </w:abstractNum>
  <w:abstractNum w:abstractNumId="84">
    <w:nsid w:val="76272110"/>
    <w:multiLevelType w:val="hybridMultilevel"/>
    <w:lvl w:ilvl="0">
      <w:lvlJc w:val="left"/>
      <w:lvlText w:val="(%1)"/>
      <w:numFmt w:val="lowerLetter"/>
      <w:start w:val="5"/>
    </w:lvl>
    <w:lvl w:ilvl="1">
      <w:lvlJc w:val="left"/>
      <w:lvlText w:val="%2."/>
      <w:numFmt w:val="decimal"/>
      <w:start w:val="4"/>
    </w:lvl>
  </w:abstractNum>
  <w:abstractNum w:abstractNumId="85">
    <w:nsid w:val="4C04A8AF"/>
    <w:multiLevelType w:val="hybridMultilevel"/>
    <w:lvl w:ilvl="0">
      <w:lvlJc w:val="left"/>
      <w:lvlText w:val="%1."/>
      <w:numFmt w:val="decimal"/>
      <w:start w:val="9"/>
    </w:lvl>
  </w:abstractNum>
  <w:abstractNum w:abstractNumId="86">
    <w:nsid w:val="1716703B"/>
    <w:multiLevelType w:val="hybridMultilevel"/>
    <w:lvl w:ilvl="0">
      <w:lvlJc w:val="left"/>
      <w:lvlText w:val="(%1)"/>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jpe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jpe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5"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jpe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60" Type="http://schemas.openxmlformats.org/officeDocument/2006/relationships/hyperlink" Target="http://www.sec.gov/ix?doc=/Archives/edgar/data/0001858848/000095017025036329/tnya-20241231.htm" TargetMode="External"/><Relationship Id="rId61" Type="http://schemas.openxmlformats.org/officeDocument/2006/relationships/hyperlink" Target="http://www.sec.gov/ix?doc=/Archives/edgar/data/0001858848/000095017025009946/tnya-20250124.htm" TargetMode="External"/><Relationship Id="rId62" Type="http://schemas.openxmlformats.org/officeDocument/2006/relationships/hyperlink" Target="http://www.sec.gov/ix?doc=/Archives/edgar/data/0001858848/000095017025016378/tnya-20250206.htm" TargetMode="External"/><Relationship Id="rId63" Type="http://schemas.openxmlformats.org/officeDocument/2006/relationships/hyperlink" Target="http://www.sec.gov/ix?doc=/Archives/edgar/data/0001858848/000119312525045628/d878268d8k.htm" TargetMode="External"/><Relationship Id="rId64" Type="http://schemas.openxmlformats.org/officeDocument/2006/relationships/hyperlink" Target="http://www.sec.gov/Archives/edgar/data/1858848/000119312521223152/d170858d8a12b.htm" TargetMode="External"/><Relationship Id="rId114" Type="http://schemas.openxmlformats.org/officeDocument/2006/relationships/hyperlink" Target="http://www.sec.gov/Archives/edgar/data/1858848/000119312522217445/d298774dex12.htm" TargetMode="External"/><Relationship Id="rId116" Type="http://schemas.openxmlformats.org/officeDocument/2006/relationships/hyperlink" Target="http://www.sec.gov/Archives/edgar/data/1858848/000095017023040651/tnya-ex3_1.htm" TargetMode="External"/><Relationship Id="rId117" Type="http://schemas.openxmlformats.org/officeDocument/2006/relationships/hyperlink" Target="http://www.sec.gov/Archives/edgar/data/1858848/000095017023008934/tnya-ex3_1.htm" TargetMode="External"/><Relationship Id="rId118" Type="http://schemas.openxmlformats.org/officeDocument/2006/relationships/hyperlink" Target="http://www.sec.gov/Archives/edgar/data/1858848/000119312521212010/d175698dex41.htm" TargetMode="External"/><Relationship Id="rId119" Type="http://schemas.openxmlformats.org/officeDocument/2006/relationships/hyperlink" Target="http://www.sec.gov/Archives/edgar/data/1858848/000095017025036329/tnya-ex4_3.htm" TargetMode="External"/><Relationship Id="rId120" Type="http://schemas.openxmlformats.org/officeDocument/2006/relationships/hyperlink" Target="http://www.sec.gov/Archives/edgar/data/1858848/000119312521223559/d17569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2025-03-21T15:32:37Z</dcterms:created>
  <dcterms:modified xsi:type="dcterms:W3CDTF">2025-03-21T15:32:37Z</dcterms:modified>
</cp:coreProperties>
</file>