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-235585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704786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74726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20" w:space="400"/>
            <w:col w:w="846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Ali Faraz</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TENAYA THERAPEUTICS,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171 OYSTER POINT BLVD.,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Tenaya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TNYA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02/15/2023</w:t>
      </w:r>
    </w:p>
    <w:p>
      <w:pPr>
        <w:spacing w:after="0" w:line="20" w:lineRule="exact"/>
        <w:rPr>
          <w:sz w:val="24"/>
          <w:szCs w:val="24"/>
          <w:color w:val="auto"/>
        </w:rPr>
      </w:pPr>
      <w:r>
        <w:rPr>
          <w:sz w:val="24"/>
          <w:szCs w:val="24"/>
          <w:color w:val="auto"/>
        </w:rPr>
        <w:br w:type="column"/>
      </w:r>
    </w:p>
    <w:p>
      <w:pPr>
        <w:ind w:left="-1" w:right="680" w:firstLine="1"/>
        <w:spacing w:after="0" w:line="25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5" w:lineRule="exact"/>
        <w:rPr>
          <w:sz w:val="24"/>
          <w:szCs w:val="24"/>
          <w:color w:val="auto"/>
        </w:rPr>
      </w:pPr>
    </w:p>
    <w:tbl>
      <w:tblPr>
        <w:tblLayout w:type="fixed"/>
        <w:tblInd w:w="199"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3"/>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799"/>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428" w:lineRule="exact"/>
        <w:rPr>
          <w:sz w:val="24"/>
          <w:szCs w:val="24"/>
          <w:color w:val="auto"/>
        </w:rPr>
      </w:pPr>
    </w:p>
    <w:p>
      <w:pPr>
        <w:sectPr>
          <w:pgSz w:w="11900" w:h="16838" w:orient="portrait"/>
          <w:cols w:equalWidth="0" w:num="3">
            <w:col w:w="3180" w:space="720"/>
            <w:col w:w="3121" w:space="720"/>
            <w:col w:w="3339"/>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80" w:type="dxa"/>
            <w:vAlign w:val="bottom"/>
            <w:tcBorders>
              <w:top w:val="single" w:sz="8" w:color="2C2C2C"/>
              <w:bottom w:val="single" w:sz="8" w:color="2C2C2C"/>
            </w:tcBorders>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40" w:type="dxa"/>
            <w:vAlign w:val="bottom"/>
            <w:tcBorders>
              <w:top w:val="single" w:sz="8" w:color="2C2C2C"/>
              <w:bottom w:val="single" w:sz="8" w:color="2C2C2C"/>
            </w:tcBorders>
            <w:gridSpan w:val="8"/>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4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4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80" w:type="dxa"/>
            <w:vAlign w:val="bottom"/>
            <w:gridSpan w:val="8"/>
            <w:vMerge w:val="continue"/>
          </w:tcPr>
          <w:p>
            <w:pPr>
              <w:spacing w:after="0" w:line="20" w:lineRule="exact"/>
              <w:rPr>
                <w:sz w:val="1"/>
                <w:szCs w:val="1"/>
                <w:color w:val="auto"/>
              </w:rPr>
            </w:pPr>
          </w:p>
        </w:tc>
        <w:tc>
          <w:tcPr>
            <w:tcW w:w="3540" w:type="dxa"/>
            <w:vAlign w:val="bottom"/>
            <w:gridSpan w:val="8"/>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80" w:type="dxa"/>
            <w:vAlign w:val="bottom"/>
            <w:gridSpan w:val="8"/>
            <w:vMerge w:val="continue"/>
          </w:tcPr>
          <w:p>
            <w:pPr>
              <w:spacing w:after="0"/>
              <w:rPr>
                <w:sz w:val="10"/>
                <w:szCs w:val="10"/>
                <w:color w:val="auto"/>
              </w:rPr>
            </w:pPr>
          </w:p>
        </w:tc>
        <w:tc>
          <w:tcPr>
            <w:tcW w:w="3540" w:type="dxa"/>
            <w:vAlign w:val="bottom"/>
            <w:gridSpan w:val="8"/>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SOUTH SAN</w:t>
            </w: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94080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0000FF"/>
              </w:rPr>
              <w:t>X</w:t>
            </w:r>
          </w:p>
        </w:tc>
        <w:tc>
          <w:tcPr>
            <w:tcW w:w="4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ind w:left="20"/>
              <w:spacing w:after="0" w:line="165" w:lineRule="exact"/>
              <w:rPr>
                <w:sz w:val="20"/>
                <w:szCs w:val="20"/>
                <w:color w:val="auto"/>
              </w:rPr>
            </w:pPr>
            <w:r>
              <w:rPr>
                <w:rFonts w:ascii="Times New Roman" w:cs="Times New Roman" w:eastAsia="Times New Roman" w:hAnsi="Times New Roman"/>
                <w:sz w:val="16"/>
                <w:szCs w:val="16"/>
                <w:color w:val="0000FF"/>
              </w:rPr>
              <w:t>FRANCISCO</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160"/>
              <w:spacing w:after="0" w:line="107" w:lineRule="exact"/>
              <w:rPr>
                <w:sz w:val="20"/>
                <w:szCs w:val="20"/>
                <w:color w:val="auto"/>
              </w:rPr>
            </w:pPr>
            <w:r>
              <w:rPr>
                <w:rFonts w:ascii="Arial" w:cs="Arial" w:eastAsia="Arial" w:hAnsi="Arial"/>
                <w:sz w:val="12"/>
                <w:szCs w:val="12"/>
                <w:color w:val="auto"/>
              </w:rPr>
              <w:t>Person</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7"/>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6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4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5"/>
          </w:tcPr>
          <w:p>
            <w:pPr>
              <w:ind w:left="8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76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5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r>
              <w:rPr>
                <w:rFonts w:ascii="Times New Roman" w:cs="Times New Roman" w:eastAsia="Times New Roman" w:hAnsi="Times New Roman"/>
                <w:sz w:val="21"/>
                <w:szCs w:val="21"/>
                <w:color w:val="008000"/>
                <w:vertAlign w:val="superscript"/>
              </w:rPr>
              <w:t>(1)</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6"/>
                <w:szCs w:val="16"/>
                <w:color w:val="0000FF"/>
              </w:rPr>
              <w:t>02/15/2023</w:t>
            </w:r>
            <w:r>
              <w:rPr>
                <w:rFonts w:ascii="Times New Roman" w:cs="Times New Roman" w:eastAsia="Times New Roman" w:hAnsi="Times New Roman"/>
                <w:sz w:val="21"/>
                <w:szCs w:val="21"/>
                <w:color w:val="008000"/>
                <w:vertAlign w:val="superscript"/>
              </w:rPr>
              <w:t>(2)</w:t>
            </w: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6"/>
                <w:szCs w:val="16"/>
                <w:color w:val="0000FF"/>
              </w:rPr>
              <w:t>125,000</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tcPr>
          <w:p>
            <w:pPr>
              <w:ind w:left="2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ind w:left="280"/>
              <w:spacing w:after="0"/>
              <w:rPr>
                <w:sz w:val="20"/>
                <w:szCs w:val="20"/>
                <w:color w:val="auto"/>
              </w:rPr>
            </w:pPr>
            <w:r>
              <w:rPr>
                <w:rFonts w:ascii="Times New Roman" w:cs="Times New Roman" w:eastAsia="Times New Roman" w:hAnsi="Times New Roman"/>
                <w:sz w:val="16"/>
                <w:szCs w:val="16"/>
                <w:color w:val="0000FF"/>
              </w:rPr>
              <w:t>125,000</w:t>
            </w:r>
            <w:r>
              <w:rPr>
                <w:rFonts w:ascii="Times New Roman" w:cs="Times New Roman" w:eastAsia="Times New Roman" w:hAnsi="Times New Roman"/>
                <w:sz w:val="21"/>
                <w:szCs w:val="21"/>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6"/>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80" w:type="dxa"/>
            <w:vAlign w:val="bottom"/>
            <w:gridSpan w:val="14"/>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Derivative</w:t>
            </w: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3.06</w:t>
            </w:r>
          </w:p>
        </w:tc>
        <w:tc>
          <w:tcPr>
            <w:tcW w:w="14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02/15/2023</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675,000</w:t>
            </w:r>
          </w:p>
        </w:tc>
        <w:tc>
          <w:tcPr>
            <w:tcW w:w="300" w:type="dxa"/>
            <w:vAlign w:val="bottom"/>
          </w:tcPr>
          <w:p>
            <w:pPr>
              <w:spacing w:after="0"/>
              <w:rPr>
                <w:sz w:val="17"/>
                <w:szCs w:val="17"/>
                <w:color w:val="auto"/>
              </w:rPr>
            </w:pPr>
          </w:p>
        </w:tc>
        <w:tc>
          <w:tcPr>
            <w:tcW w:w="820" w:type="dxa"/>
            <w:vAlign w:val="bottom"/>
            <w:gridSpan w:val="2"/>
          </w:tcPr>
          <w:p>
            <w:pPr>
              <w:spacing w:after="0" w:line="203" w:lineRule="exact"/>
              <w:rPr>
                <w:sz w:val="20"/>
                <w:szCs w:val="20"/>
                <w:color w:val="auto"/>
              </w:rPr>
            </w:pPr>
            <w:r>
              <w:rPr>
                <w:rFonts w:ascii="Times New Roman" w:cs="Times New Roman" w:eastAsia="Times New Roman" w:hAnsi="Times New Roman"/>
                <w:sz w:val="13"/>
                <w:szCs w:val="13"/>
                <w:color w:val="0000FF"/>
              </w:rPr>
              <w:t>03/15/2023</w:t>
            </w:r>
            <w:r>
              <w:rPr>
                <w:rFonts w:ascii="Times New Roman" w:cs="Times New Roman" w:eastAsia="Times New Roman" w:hAnsi="Times New Roman"/>
                <w:sz w:val="21"/>
                <w:szCs w:val="21"/>
                <w:color w:val="008000"/>
                <w:vertAlign w:val="superscript"/>
              </w:rPr>
              <w:t>(4)</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02/14/2033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rPr>
              <w:t>675,000</w:t>
            </w:r>
          </w:p>
        </w:tc>
        <w:tc>
          <w:tcPr>
            <w:tcW w:w="4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675,000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ind w:left="4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18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Tenaya Therapeutics, Inc. common stock that will be issued to the Reporting Person upon vesting of restricted stock units. Each restricted stock unit is the economic equivalent of one share of Tenaya Therapeutics, Inc. common stock.</w:t>
      </w:r>
    </w:p>
    <w:p>
      <w:pPr>
        <w:spacing w:after="0" w:line="21" w:lineRule="exact"/>
        <w:rPr>
          <w:rFonts w:ascii="Times New Roman" w:cs="Times New Roman" w:eastAsia="Times New Roman" w:hAnsi="Times New Roman"/>
          <w:sz w:val="13"/>
          <w:szCs w:val="13"/>
          <w:color w:val="008000"/>
        </w:rPr>
      </w:pPr>
    </w:p>
    <w:p>
      <w:pPr>
        <w:ind w:left="40" w:right="260" w:hanging="1"/>
        <w:spacing w:after="0" w:line="23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granted to the Reporting Person on the Transaction Date pursuant to the Tenaya Therapeutics, Inc. 2021 Equity Incentive Plan. The restricted stock units will vest as to 1/8th of the total number of shares subject to the restricted stock unit award on the six month anniversary of the Transaction Date, and 1/8th of the total number of shares subject to the restricted stock unit award every six months thereafter until fully vested.</w:t>
      </w:r>
    </w:p>
    <w:p>
      <w:pPr>
        <w:spacing w:after="0" w:line="25"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125,000 shares of Tenaya Therapeutics, Inc. common stock that will be issued to the Reporting Person upon vesting of restricted stock units.</w:t>
      </w:r>
    </w:p>
    <w:p>
      <w:pPr>
        <w:spacing w:after="0" w:line="40" w:lineRule="exact"/>
        <w:rPr>
          <w:rFonts w:ascii="Times New Roman" w:cs="Times New Roman" w:eastAsia="Times New Roman" w:hAnsi="Times New Roman"/>
          <w:sz w:val="13"/>
          <w:szCs w:val="13"/>
          <w:color w:val="008000"/>
        </w:rPr>
      </w:pPr>
    </w:p>
    <w:p>
      <w:pPr>
        <w:ind w:left="40" w:right="72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as to 1/48th of the total number of shares subject to the option on the one month anniversary of the Transaction Date and 1/48th of the total number of shares subject to the option on each monthly anniversary thereafter until fully vested.</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30" w:lineRule="auto"/>
        <w:rPr>
          <w:sz w:val="20"/>
          <w:szCs w:val="20"/>
          <w:color w:val="auto"/>
        </w:rPr>
      </w:pPr>
      <w:r>
        <w:rPr>
          <w:rFonts w:ascii="Times New Roman" w:cs="Times New Roman" w:eastAsia="Times New Roman" w:hAnsi="Times New Roman"/>
          <w:sz w:val="16"/>
          <w:szCs w:val="16"/>
          <w:color w:val="0000FF"/>
        </w:rPr>
        <w:t xml:space="preserve">/s/ Jennifer Drimmer Rokovich,  </w:t>
      </w:r>
      <w:r>
        <w:rPr>
          <w:rFonts w:ascii="Times New Roman" w:cs="Times New Roman" w:eastAsia="Times New Roman" w:hAnsi="Times New Roman"/>
          <w:sz w:val="32"/>
          <w:szCs w:val="32"/>
          <w:color w:val="0000FF"/>
          <w:vertAlign w:val="subscript"/>
        </w:rPr>
        <w:t>02/17/2023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277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701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167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5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67937"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2023-02-17T17:45:31Z</dcterms:created>
  <dcterms:modified xsi:type="dcterms:W3CDTF">2023-02-17T17:45:31Z</dcterms:modified>
</cp:coreProperties>
</file>