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333-266741</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22"/>
          <w:szCs w:val="22"/>
          <w:i w:val="1"/>
          <w:iCs w:val="1"/>
          <w:color w:val="auto"/>
        </w:rPr>
        <w:t>PROSPECTUS SUPPLEMENT</w:t>
      </w:r>
    </w:p>
    <w:p>
      <w:pPr>
        <w:spacing w:after="0" w:line="8" w:lineRule="exact"/>
        <w:rPr>
          <w:sz w:val="24"/>
          <w:szCs w:val="24"/>
          <w:color w:val="auto"/>
        </w:rPr>
      </w:pPr>
    </w:p>
    <w:p>
      <w:pPr>
        <w:ind w:left="120"/>
        <w:spacing w:after="0"/>
        <w:rPr>
          <w:sz w:val="20"/>
          <w:szCs w:val="20"/>
          <w:color w:val="auto"/>
        </w:rPr>
      </w:pPr>
      <w:r>
        <w:rPr>
          <w:rFonts w:ascii="Arial" w:cs="Arial" w:eastAsia="Arial" w:hAnsi="Arial"/>
          <w:sz w:val="22"/>
          <w:szCs w:val="22"/>
          <w:i w:val="1"/>
          <w:iCs w:val="1"/>
          <w:color w:val="auto"/>
        </w:rPr>
        <w:t>(To prospectus dated August 17, 2022)</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22"/>
          <w:szCs w:val="22"/>
          <w:i w:val="1"/>
          <w:iCs w:val="1"/>
          <w:color w:val="auto"/>
        </w:rPr>
        <w:t>22,613,307 SHARES OF COMMON STOCK</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22"/>
          <w:szCs w:val="22"/>
          <w:i w:val="1"/>
          <w:iCs w:val="1"/>
          <w:color w:val="auto"/>
        </w:rPr>
        <w:t>PRE-FUNDED WARRANTS TO PURCHASE 6,236,693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624205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58420</wp:posOffset>
            </wp:positionV>
            <wp:extent cx="114871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871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20" w:right="60"/>
        <w:spacing w:after="0" w:line="275" w:lineRule="auto"/>
        <w:rPr>
          <w:sz w:val="20"/>
          <w:szCs w:val="20"/>
          <w:color w:val="auto"/>
        </w:rPr>
      </w:pPr>
      <w:r>
        <w:rPr>
          <w:rFonts w:ascii="Arial" w:cs="Arial" w:eastAsia="Arial" w:hAnsi="Arial"/>
          <w:sz w:val="17"/>
          <w:szCs w:val="17"/>
          <w:b w:val="1"/>
          <w:bCs w:val="1"/>
          <w:i w:val="1"/>
          <w:iCs w:val="1"/>
          <w:color w:val="auto"/>
        </w:rPr>
        <w:t>We are offering 22,613,307 shares of our common stock and, in lieu of common stock to certain investors that so choose, pre-funded warrants to purchase 6,236,693 shares of our common stock in this offering. The purchase price of each pre-funded warrant equals the price per share at which shares of our common stock are being sold to the public in this offering, minus $0.001 multiplied by the number of shares subject to the warrant, and the exercise price of each pre-funded warrant equals $0.001 per share. This prospectus supplement also relates to the offering of the shares of our common stock issuable upon the exercise of such pre-funded warrants.</w:t>
      </w:r>
    </w:p>
    <w:p>
      <w:pPr>
        <w:spacing w:after="0" w:line="28" w:lineRule="exact"/>
        <w:rPr>
          <w:sz w:val="24"/>
          <w:szCs w:val="24"/>
          <w:color w:val="auto"/>
        </w:rPr>
      </w:pPr>
    </w:p>
    <w:p>
      <w:pPr>
        <w:ind w:left="120" w:right="60"/>
        <w:spacing w:after="0" w:line="259" w:lineRule="auto"/>
        <w:rPr>
          <w:sz w:val="20"/>
          <w:szCs w:val="20"/>
          <w:color w:val="auto"/>
        </w:rPr>
      </w:pPr>
      <w:r>
        <w:rPr>
          <w:rFonts w:ascii="Arial" w:cs="Arial" w:eastAsia="Arial" w:hAnsi="Arial"/>
          <w:sz w:val="18"/>
          <w:szCs w:val="18"/>
          <w:b w:val="1"/>
          <w:bCs w:val="1"/>
          <w:i w:val="1"/>
          <w:iCs w:val="1"/>
          <w:color w:val="auto"/>
        </w:rPr>
        <w:t>Our common stock is listed on The Nasdaq Global Select Market under the symbol “TNYA.” On November 16, 2022, the last reported sale price of our common stock was $3.19 per share. There is no established public trading market for the pre-funded warrants, and we do not expect a market to develop. We do not intend to list the pre-funded warrants on The Nasdaq Global Select Market, any other national securities exchange or any other recognized trading system.</w:t>
      </w:r>
    </w:p>
    <w:p>
      <w:pPr>
        <w:spacing w:after="0" w:line="52" w:lineRule="exact"/>
        <w:rPr>
          <w:sz w:val="24"/>
          <w:szCs w:val="24"/>
          <w:color w:val="auto"/>
        </w:rPr>
      </w:pPr>
    </w:p>
    <w:p>
      <w:pPr>
        <w:ind w:left="120" w:right="30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as defined under the federal securities laws and, as such, we have elected to comply with certain reduced public company reporting requirements for this prospectus supplement and may elect to do so for future filings. See “Prospectus supplement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97155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i w:val="1"/>
                <w:iCs w:val="1"/>
                <w:color w:val="auto"/>
                <w:w w:val="97"/>
              </w:rPr>
              <w:t>Per</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b w:val="1"/>
                <w:bCs w:val="1"/>
                <w:i w:val="1"/>
                <w:iCs w:val="1"/>
                <w:color w:val="auto"/>
              </w:rPr>
              <w:t>Per</w:t>
            </w: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i w:val="1"/>
                <w:iCs w:val="1"/>
                <w:color w:val="auto"/>
                <w:w w:val="92"/>
              </w:rPr>
              <w:t>Pre-Funded</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00" w:type="dxa"/>
            <w:vAlign w:val="bottom"/>
            <w:vMerge w:val="restart"/>
          </w:tcPr>
          <w:p>
            <w:pPr>
              <w:spacing w:after="0"/>
              <w:rPr>
                <w:sz w:val="20"/>
                <w:szCs w:val="20"/>
                <w:color w:val="auto"/>
              </w:rPr>
            </w:pPr>
            <w:r>
              <w:rPr>
                <w:rFonts w:ascii="Arial" w:cs="Arial" w:eastAsia="Arial" w:hAnsi="Arial"/>
                <w:sz w:val="18"/>
                <w:szCs w:val="18"/>
                <w:i w:val="1"/>
                <w:iCs w:val="1"/>
                <w:color w:val="auto"/>
              </w:rPr>
              <w:t>Public offering price</w:t>
            </w:r>
          </w:p>
        </w:tc>
        <w:tc>
          <w:tcPr>
            <w:tcW w:w="142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Share</w:t>
            </w:r>
          </w:p>
        </w:tc>
        <w:tc>
          <w:tcPr>
            <w:tcW w:w="8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Warrant</w:t>
            </w:r>
          </w:p>
        </w:tc>
        <w:tc>
          <w:tcPr>
            <w:tcW w:w="540" w:type="dxa"/>
            <w:vAlign w:val="bottom"/>
          </w:tcPr>
          <w:p>
            <w:pPr>
              <w:spacing w:after="0"/>
              <w:rPr>
                <w:sz w:val="14"/>
                <w:szCs w:val="14"/>
                <w:color w:val="auto"/>
              </w:rPr>
            </w:pPr>
          </w:p>
        </w:tc>
        <w:tc>
          <w:tcPr>
            <w:tcW w:w="760" w:type="dxa"/>
            <w:vAlign w:val="bottom"/>
            <w:vMerge w:val="restart"/>
          </w:tcPr>
          <w:p>
            <w:pPr>
              <w:jc w:val="right"/>
              <w:ind w:right="110"/>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3"/>
              </w:rPr>
              <w:t>Total</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$2.600</w:t>
            </w:r>
          </w:p>
        </w:tc>
        <w:tc>
          <w:tcPr>
            <w:tcW w:w="740" w:type="dxa"/>
            <w:vAlign w:val="bottom"/>
          </w:tcPr>
          <w:p>
            <w:pPr>
              <w:ind w:left="300"/>
              <w:spacing w:after="0" w:line="195" w:lineRule="exact"/>
              <w:rPr>
                <w:sz w:val="20"/>
                <w:szCs w:val="20"/>
                <w:color w:val="auto"/>
              </w:rPr>
            </w:pPr>
            <w:r>
              <w:rPr>
                <w:rFonts w:ascii="Arial" w:cs="Arial" w:eastAsia="Arial" w:hAnsi="Arial"/>
                <w:sz w:val="18"/>
                <w:szCs w:val="18"/>
                <w:i w:val="1"/>
                <w:iCs w:val="1"/>
                <w:color w:val="auto"/>
                <w:w w:val="76"/>
              </w:rPr>
              <w:t>$2.599</w:t>
            </w:r>
          </w:p>
        </w:tc>
        <w:tc>
          <w:tcPr>
            <w:tcW w:w="5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4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auto"/>
                <w:w w:val="71"/>
              </w:rPr>
              <w:t>75,003,763.31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i w:val="1"/>
                <w:iCs w:val="1"/>
                <w:color w:val="auto"/>
              </w:rPr>
              <w:t>Underwriting discount and commissions (1)</w:t>
            </w:r>
          </w:p>
        </w:tc>
        <w:tc>
          <w:tcPr>
            <w:tcW w:w="2660" w:type="dxa"/>
            <w:vAlign w:val="bottom"/>
            <w:gridSpan w:val="3"/>
          </w:tcPr>
          <w:p>
            <w:pPr>
              <w:ind w:left="1420"/>
              <w:spacing w:after="0"/>
              <w:rPr>
                <w:sz w:val="20"/>
                <w:szCs w:val="20"/>
                <w:color w:val="auto"/>
              </w:rPr>
            </w:pPr>
            <w:r>
              <w:rPr>
                <w:rFonts w:ascii="Arial" w:cs="Arial" w:eastAsia="Arial" w:hAnsi="Arial"/>
                <w:sz w:val="18"/>
                <w:szCs w:val="18"/>
                <w:i w:val="1"/>
                <w:iCs w:val="1"/>
                <w:color w:val="auto"/>
              </w:rPr>
              <w:t>$0.156</w:t>
            </w:r>
          </w:p>
        </w:tc>
        <w:tc>
          <w:tcPr>
            <w:tcW w:w="1280" w:type="dxa"/>
            <w:vAlign w:val="bottom"/>
            <w:gridSpan w:val="2"/>
          </w:tcPr>
          <w:p>
            <w:pPr>
              <w:ind w:left="300"/>
              <w:spacing w:after="0"/>
              <w:rPr>
                <w:sz w:val="20"/>
                <w:szCs w:val="20"/>
                <w:color w:val="auto"/>
              </w:rPr>
            </w:pPr>
            <w:r>
              <w:rPr>
                <w:rFonts w:ascii="Arial" w:cs="Arial" w:eastAsia="Arial" w:hAnsi="Arial"/>
                <w:sz w:val="18"/>
                <w:szCs w:val="18"/>
                <w:i w:val="1"/>
                <w:iCs w:val="1"/>
                <w:color w:val="auto"/>
              </w:rPr>
              <w:t>$0.156</w:t>
            </w:r>
          </w:p>
        </w:tc>
        <w:tc>
          <w:tcPr>
            <w:tcW w:w="1600" w:type="dxa"/>
            <w:vAlign w:val="bottom"/>
            <w:gridSpan w:val="3"/>
          </w:tcPr>
          <w:p>
            <w:pPr>
              <w:jc w:val="right"/>
              <w:spacing w:after="0"/>
              <w:rPr>
                <w:sz w:val="20"/>
                <w:szCs w:val="20"/>
                <w:color w:val="auto"/>
              </w:rPr>
            </w:pPr>
            <w:r>
              <w:rPr>
                <w:rFonts w:ascii="Arial" w:cs="Arial" w:eastAsia="Arial" w:hAnsi="Arial"/>
                <w:sz w:val="18"/>
                <w:szCs w:val="18"/>
                <w:i w:val="1"/>
                <w:iCs w:val="1"/>
                <w:color w:val="auto"/>
              </w:rPr>
              <w:t>$4,500,600.01</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i w:val="1"/>
                <w:iCs w:val="1"/>
                <w:color w:val="auto"/>
              </w:rPr>
              <w:t>Proceeds to Tenaya Therapeutics, Inc., before expenses</w:t>
            </w:r>
          </w:p>
        </w:tc>
        <w:tc>
          <w:tcPr>
            <w:tcW w:w="2660" w:type="dxa"/>
            <w:vAlign w:val="bottom"/>
            <w:gridSpan w:val="3"/>
          </w:tcPr>
          <w:p>
            <w:pPr>
              <w:ind w:left="1420"/>
              <w:spacing w:after="0"/>
              <w:rPr>
                <w:sz w:val="20"/>
                <w:szCs w:val="20"/>
                <w:color w:val="auto"/>
              </w:rPr>
            </w:pPr>
            <w:r>
              <w:rPr>
                <w:rFonts w:ascii="Arial" w:cs="Arial" w:eastAsia="Arial" w:hAnsi="Arial"/>
                <w:sz w:val="18"/>
                <w:szCs w:val="18"/>
                <w:i w:val="1"/>
                <w:iCs w:val="1"/>
                <w:color w:val="auto"/>
              </w:rPr>
              <w:t>$2.444</w:t>
            </w:r>
          </w:p>
        </w:tc>
        <w:tc>
          <w:tcPr>
            <w:tcW w:w="1280" w:type="dxa"/>
            <w:vAlign w:val="bottom"/>
            <w:gridSpan w:val="2"/>
          </w:tcPr>
          <w:p>
            <w:pPr>
              <w:ind w:left="300"/>
              <w:spacing w:after="0"/>
              <w:rPr>
                <w:sz w:val="20"/>
                <w:szCs w:val="20"/>
                <w:color w:val="auto"/>
              </w:rPr>
            </w:pPr>
            <w:r>
              <w:rPr>
                <w:rFonts w:ascii="Arial" w:cs="Arial" w:eastAsia="Arial" w:hAnsi="Arial"/>
                <w:sz w:val="18"/>
                <w:szCs w:val="18"/>
                <w:i w:val="1"/>
                <w:iCs w:val="1"/>
                <w:color w:val="auto"/>
              </w:rPr>
              <w:t>$2.443</w:t>
            </w:r>
          </w:p>
        </w:tc>
        <w:tc>
          <w:tcPr>
            <w:tcW w:w="1600" w:type="dxa"/>
            <w:vAlign w:val="bottom"/>
            <w:gridSpan w:val="3"/>
          </w:tcPr>
          <w:p>
            <w:pPr>
              <w:jc w:val="right"/>
              <w:spacing w:after="0"/>
              <w:rPr>
                <w:sz w:val="20"/>
                <w:szCs w:val="20"/>
                <w:color w:val="auto"/>
              </w:rPr>
            </w:pPr>
            <w:r>
              <w:rPr>
                <w:rFonts w:ascii="Arial" w:cs="Arial" w:eastAsia="Arial" w:hAnsi="Arial"/>
                <w:sz w:val="18"/>
                <w:szCs w:val="18"/>
                <w:i w:val="1"/>
                <w:iCs w:val="1"/>
                <w:color w:val="auto"/>
              </w:rPr>
              <w:t>$70,503,163.30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“Underwriting” for a description of the compensation payable to the underwriters.</w:t>
      </w:r>
    </w:p>
    <w:p>
      <w:pPr>
        <w:spacing w:after="0" w:line="77" w:lineRule="exact"/>
        <w:rPr>
          <w:sz w:val="24"/>
          <w:szCs w:val="24"/>
          <w:color w:val="auto"/>
        </w:rPr>
      </w:pPr>
    </w:p>
    <w:p>
      <w:pPr>
        <w:ind w:left="120" w:right="400"/>
        <w:spacing w:after="0" w:line="277" w:lineRule="auto"/>
        <w:rPr>
          <w:sz w:val="20"/>
          <w:szCs w:val="20"/>
          <w:color w:val="auto"/>
        </w:rPr>
      </w:pPr>
      <w:r>
        <w:rPr>
          <w:rFonts w:ascii="Arial" w:cs="Arial" w:eastAsia="Arial" w:hAnsi="Arial"/>
          <w:sz w:val="18"/>
          <w:szCs w:val="18"/>
          <w:i w:val="1"/>
          <w:iCs w:val="1"/>
          <w:color w:val="auto"/>
        </w:rPr>
        <w:t>We have granted the underwriters an option for a period of 30 days to purchase up to an additional 4,327,500 shares of our common stock to cover over-allotments, less the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1" w:lineRule="exact"/>
        <w:rPr>
          <w:sz w:val="24"/>
          <w:szCs w:val="24"/>
          <w:color w:val="auto"/>
        </w:rPr>
      </w:pPr>
    </w:p>
    <w:p>
      <w:pPr>
        <w:ind w:left="120" w:right="160"/>
        <w:spacing w:after="0" w:line="238" w:lineRule="auto"/>
        <w:rPr>
          <w:sz w:val="20"/>
          <w:szCs w:val="20"/>
          <w:color w:val="auto"/>
        </w:rPr>
      </w:pPr>
      <w:r>
        <w:rPr>
          <w:rFonts w:ascii="Arial" w:cs="Arial" w:eastAsia="Arial" w:hAnsi="Arial"/>
          <w:sz w:val="22"/>
          <w:szCs w:val="22"/>
          <w:b w:val="1"/>
          <w:bCs w:val="1"/>
          <w:i w:val="1"/>
          <w:iCs w:val="1"/>
          <w:color w:val="auto"/>
        </w:rPr>
        <w:t>INVESTING IN OUR SECURITIES INVOLVES SIGNIFICANT RISKS. YOU SHOULD REVIEW CAREFULLY THE “</w:t>
      </w:r>
      <w:r>
        <w:rPr>
          <w:rFonts w:ascii="Arial" w:cs="Arial" w:eastAsia="Arial" w:hAnsi="Arial"/>
          <w:sz w:val="22"/>
          <w:szCs w:val="22"/>
          <w:b w:val="1"/>
          <w:bCs w:val="1"/>
          <w:i w:val="1"/>
          <w:iCs w:val="1"/>
          <w:u w:val="single" w:color="auto"/>
          <w:color w:val="0000EE"/>
        </w:rPr>
        <w:t>RISK FACTORS</w:t>
      </w:r>
      <w:r>
        <w:rPr>
          <w:rFonts w:ascii="Arial" w:cs="Arial" w:eastAsia="Arial" w:hAnsi="Arial"/>
          <w:sz w:val="22"/>
          <w:szCs w:val="22"/>
          <w:b w:val="1"/>
          <w:bCs w:val="1"/>
          <w:i w:val="1"/>
          <w:iCs w:val="1"/>
          <w:color w:val="auto"/>
        </w:rPr>
        <w:t>” ON PAGE S-13 OF THIS PROSPECTUS SUPPLEMENT, AND IN THE DOCUMENTS INCORPORATED BY REFERENCE IN THIS PROSPECTUS SUPPLEMENT AND ACCOMPANYING PROSPECTUS BEFORE INVESTING IN OUR SECURITIES.</w:t>
      </w:r>
    </w:p>
    <w:p>
      <w:pPr>
        <w:spacing w:after="0" w:line="43" w:lineRule="exact"/>
        <w:rPr>
          <w:sz w:val="24"/>
          <w:szCs w:val="24"/>
          <w:color w:val="auto"/>
        </w:rPr>
      </w:pPr>
    </w:p>
    <w:p>
      <w:pPr>
        <w:ind w:left="120" w:right="220"/>
        <w:spacing w:after="0" w:line="334"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 w:lineRule="exact"/>
        <w:rPr>
          <w:sz w:val="24"/>
          <w:szCs w:val="24"/>
          <w:color w:val="auto"/>
        </w:rPr>
      </w:pPr>
    </w:p>
    <w:p>
      <w:pPr>
        <w:ind w:left="120"/>
        <w:spacing w:after="0"/>
        <w:rPr>
          <w:sz w:val="20"/>
          <w:szCs w:val="20"/>
          <w:color w:val="auto"/>
        </w:rPr>
      </w:pPr>
      <w:r>
        <w:rPr>
          <w:rFonts w:ascii="Arial" w:cs="Arial" w:eastAsia="Arial" w:hAnsi="Arial"/>
          <w:sz w:val="18"/>
          <w:szCs w:val="18"/>
          <w:i w:val="1"/>
          <w:iCs w:val="1"/>
          <w:color w:val="auto"/>
        </w:rPr>
        <w:t>The underwriters expect to deliver the shares of common stock and pre-funded warrants to purchasers on 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120"/>
        <w:spacing w:after="0"/>
        <w:rPr>
          <w:sz w:val="20"/>
          <w:szCs w:val="20"/>
          <w:color w:val="auto"/>
        </w:rPr>
      </w:pPr>
      <w:r>
        <w:rPr>
          <w:rFonts w:ascii="Arial" w:cs="Arial" w:eastAsia="Arial" w:hAnsi="Arial"/>
          <w:sz w:val="29"/>
          <w:szCs w:val="29"/>
          <w:i w:val="1"/>
          <w:iCs w:val="1"/>
          <w:color w:val="auto"/>
        </w:rPr>
        <w:t>Morgan Stanley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30"/>
          <w:szCs w:val="30"/>
          <w:i w:val="1"/>
          <w:iCs w:val="1"/>
          <w:color w:val="auto"/>
        </w:rPr>
        <w:t>Piper Sandler</w:t>
      </w:r>
    </w:p>
    <w:p>
      <w:pPr>
        <w:spacing w:after="0" w:line="128" w:lineRule="exact"/>
        <w:rPr>
          <w:sz w:val="24"/>
          <w:szCs w:val="24"/>
          <w:color w:val="auto"/>
        </w:rPr>
      </w:pPr>
    </w:p>
    <w:p>
      <w:pPr>
        <w:sectPr>
          <w:pgSz w:w="11900" w:h="16838" w:orient="portrait"/>
          <w:cols w:equalWidth="0" w:num="2">
            <w:col w:w="8600" w:space="720"/>
            <w:col w:w="182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30"/>
          <w:szCs w:val="30"/>
          <w:i w:val="1"/>
          <w:iCs w:val="1"/>
          <w:color w:val="auto"/>
        </w:rPr>
        <w:t>H.C. Wainwright &amp; 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9"/>
          <w:szCs w:val="29"/>
          <w:i w:val="1"/>
          <w:iCs w:val="1"/>
          <w:color w:val="auto"/>
        </w:rPr>
        <w:t>Chardan</w:t>
      </w:r>
    </w:p>
    <w:p>
      <w:pPr>
        <w:spacing w:after="0" w:line="117" w:lineRule="exact"/>
        <w:rPr>
          <w:sz w:val="24"/>
          <w:szCs w:val="24"/>
          <w:color w:val="auto"/>
        </w:rPr>
      </w:pPr>
    </w:p>
    <w:p>
      <w:pPr>
        <w:sectPr>
          <w:pgSz w:w="11900" w:h="16838" w:orient="portrait"/>
          <w:cols w:equalWidth="0" w:num="2">
            <w:col w:w="9280" w:space="720"/>
            <w:col w:w="114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6"/>
          <w:szCs w:val="16"/>
          <w:i w:val="1"/>
          <w:iCs w:val="1"/>
          <w:color w:val="auto"/>
        </w:rPr>
        <w:t>November 16, 2022</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TABLE OF CONTENTS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ectPr>
          <w:pgSz w:w="11900" w:h="16838" w:orient="portrait"/>
          <w:cols w:equalWidth="0" w:num="1">
            <w:col w:w="11080"/>
          </w:cols>
          <w:pgMar w:left="320" w:top="459" w:right="499" w:bottom="1440" w:gutter="0" w:footer="0" w:header="0"/>
        </w:sect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7"/>
            <w:vMerge w:val="restart"/>
          </w:tcPr>
          <w:p>
            <w:pPr>
              <w:spacing w:after="0"/>
              <w:rPr>
                <w:sz w:val="20"/>
                <w:szCs w:val="20"/>
                <w:color w:val="auto"/>
              </w:rPr>
            </w:pPr>
            <w:r>
              <w:rPr>
                <w:rFonts w:ascii="Arial" w:cs="Arial" w:eastAsia="Arial" w:hAnsi="Arial"/>
                <w:sz w:val="18"/>
                <w:szCs w:val="18"/>
                <w:color w:val="0000EE"/>
                <w:w w:val="93"/>
              </w:rPr>
              <w:t>ABOUT THIS PROSPECTUS SUPPLEMENT</w:t>
            </w:r>
          </w:p>
        </w:tc>
        <w:tc>
          <w:tcPr>
            <w:tcW w:w="1380" w:type="dxa"/>
            <w:vAlign w:val="bottom"/>
            <w:gridSpan w:val="3"/>
            <w:vMerge w:val="restart"/>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7"/>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6"/>
              </w:rPr>
              <w:t>SPECIAL NOTE REGARDING FORWARD-LOOKING</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STATEMENTS</w:t>
            </w:r>
          </w:p>
        </w:tc>
        <w:tc>
          <w:tcPr>
            <w:tcW w:w="350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4820" w:type="dxa"/>
            <w:vAlign w:val="bottom"/>
            <w:gridSpan w:val="10"/>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RISK FACTORS</w:t>
            </w:r>
          </w:p>
        </w:tc>
        <w:tc>
          <w:tcPr>
            <w:tcW w:w="154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USE OF PROCEEDS</w:t>
            </w:r>
          </w:p>
        </w:tc>
        <w:tc>
          <w:tcPr>
            <w:tcW w:w="322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DIVIDEND POLICY</w:t>
            </w:r>
          </w:p>
        </w:tc>
        <w:tc>
          <w:tcPr>
            <w:tcW w:w="324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4820" w:type="dxa"/>
            <w:vAlign w:val="bottom"/>
            <w:gridSpan w:val="10"/>
          </w:tcPr>
          <w:p>
            <w:pPr>
              <w:spacing w:after="0" w:line="196" w:lineRule="exact"/>
              <w:rPr>
                <w:sz w:val="20"/>
                <w:szCs w:val="20"/>
                <w:color w:val="auto"/>
              </w:rPr>
            </w:pPr>
            <w:r>
              <w:rPr>
                <w:rFonts w:ascii="Arial" w:cs="Arial" w:eastAsia="Arial" w:hAnsi="Arial"/>
                <w:sz w:val="18"/>
                <w:szCs w:val="18"/>
                <w:color w:val="0000EE"/>
              </w:rPr>
              <w:t>DESCRIPTION OF PRE-FUNDED WARRANTS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940" w:type="dxa"/>
            <w:vAlign w:val="bottom"/>
            <w:gridSpan w:val="11"/>
            <w:vMerge w:val="restart"/>
          </w:tcPr>
          <w:p>
            <w:pPr>
              <w:spacing w:after="0"/>
              <w:rPr>
                <w:sz w:val="20"/>
                <w:szCs w:val="20"/>
                <w:color w:val="auto"/>
              </w:rPr>
            </w:pPr>
            <w:r>
              <w:rPr>
                <w:rFonts w:ascii="Arial" w:cs="Arial" w:eastAsia="Arial" w:hAnsi="Arial"/>
                <w:sz w:val="18"/>
                <w:szCs w:val="18"/>
                <w:color w:val="0000EE"/>
              </w:rPr>
              <w:t>MATERIAL U.S. FEDERAL INCOME TAX</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4940" w:type="dxa"/>
            <w:vAlign w:val="bottom"/>
            <w:gridSpan w:val="11"/>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8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3"/>
              </w:rPr>
              <w:t>CONSEQUENCES FOR HOLDERS OF COMMON</w:t>
            </w:r>
          </w:p>
        </w:tc>
        <w:tc>
          <w:tcPr>
            <w:tcW w:w="9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5"/>
              </w:rPr>
              <w:t>STOCK AND PRE-FUNDED WARRANTS</w:t>
            </w:r>
          </w:p>
        </w:tc>
        <w:tc>
          <w:tcPr>
            <w:tcW w:w="1540" w:type="dxa"/>
            <w:vAlign w:val="bottom"/>
            <w:gridSpan w:val="4"/>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S-20</w:t>
            </w:r>
          </w:p>
        </w:tc>
        <w:tc>
          <w:tcPr>
            <w:tcW w:w="0" w:type="dxa"/>
            <w:vAlign w:val="bottom"/>
          </w:tcPr>
          <w:p>
            <w:pPr>
              <w:spacing w:after="0"/>
              <w:rPr>
                <w:sz w:val="1"/>
                <w:szCs w:val="1"/>
                <w:color w:val="auto"/>
              </w:rPr>
            </w:pPr>
          </w:p>
        </w:tc>
      </w:tr>
      <w:tr>
        <w:trPr>
          <w:trHeight w:val="196"/>
        </w:trPr>
        <w:tc>
          <w:tcPr>
            <w:tcW w:w="4940" w:type="dxa"/>
            <w:vAlign w:val="bottom"/>
            <w:gridSpan w:val="11"/>
          </w:tcPr>
          <w:p>
            <w:pPr>
              <w:spacing w:after="0" w:line="196" w:lineRule="exact"/>
              <w:rPr>
                <w:sz w:val="20"/>
                <w:szCs w:val="20"/>
                <w:color w:val="auto"/>
              </w:rPr>
            </w:pPr>
            <w:r>
              <w:rPr>
                <w:rFonts w:ascii="Arial" w:cs="Arial" w:eastAsia="Arial" w:hAnsi="Arial"/>
                <w:sz w:val="18"/>
                <w:szCs w:val="18"/>
                <w:color w:val="0000EE"/>
              </w:rPr>
              <w:t>UNDERWRITING</w:t>
            </w: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S-26</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LEGAL MATTERS</w:t>
            </w:r>
          </w:p>
        </w:tc>
        <w:tc>
          <w:tcPr>
            <w:tcW w:w="3480" w:type="dxa"/>
            <w:vAlign w:val="bottom"/>
            <w:gridSpan w:val="6"/>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S-37</w:t>
            </w:r>
          </w:p>
        </w:tc>
        <w:tc>
          <w:tcPr>
            <w:tcW w:w="0" w:type="dxa"/>
            <w:vAlign w:val="bottom"/>
          </w:tcPr>
          <w:p>
            <w:pPr>
              <w:spacing w:after="0"/>
              <w:rPr>
                <w:sz w:val="1"/>
                <w:szCs w:val="1"/>
                <w:color w:val="auto"/>
              </w:rPr>
            </w:pPr>
          </w:p>
        </w:tc>
      </w:tr>
      <w:tr>
        <w:trPr>
          <w:trHeight w:val="196"/>
        </w:trPr>
        <w:tc>
          <w:tcPr>
            <w:tcW w:w="4940" w:type="dxa"/>
            <w:vAlign w:val="bottom"/>
            <w:gridSpan w:val="11"/>
          </w:tcPr>
          <w:p>
            <w:pPr>
              <w:spacing w:after="0" w:line="196" w:lineRule="exact"/>
              <w:rPr>
                <w:sz w:val="20"/>
                <w:szCs w:val="20"/>
                <w:color w:val="auto"/>
              </w:rPr>
            </w:pPr>
            <w:r>
              <w:rPr>
                <w:rFonts w:ascii="Arial" w:cs="Arial" w:eastAsia="Arial" w:hAnsi="Arial"/>
                <w:sz w:val="18"/>
                <w:szCs w:val="18"/>
                <w:color w:val="0000EE"/>
              </w:rPr>
              <w:t>EXPERTS</w:t>
            </w: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S-37</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7"/>
              </w:rPr>
              <w:t>WHERE YOU CAN FIND MORE INFORMATION</w:t>
            </w:r>
          </w:p>
        </w:tc>
        <w:tc>
          <w:tcPr>
            <w:tcW w:w="1120" w:type="dxa"/>
            <w:vAlign w:val="bottom"/>
            <w:gridSpan w:val="3"/>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S-37</w:t>
            </w:r>
          </w:p>
        </w:tc>
        <w:tc>
          <w:tcPr>
            <w:tcW w:w="0" w:type="dxa"/>
            <w:vAlign w:val="bottom"/>
          </w:tcPr>
          <w:p>
            <w:pPr>
              <w:spacing w:after="0"/>
              <w:rPr>
                <w:sz w:val="1"/>
                <w:szCs w:val="1"/>
                <w:color w:val="auto"/>
              </w:rPr>
            </w:pPr>
          </w:p>
        </w:tc>
      </w:tr>
      <w:tr>
        <w:trPr>
          <w:trHeight w:val="196"/>
        </w:trPr>
        <w:tc>
          <w:tcPr>
            <w:tcW w:w="4940" w:type="dxa"/>
            <w:vAlign w:val="bottom"/>
            <w:gridSpan w:val="11"/>
          </w:tcPr>
          <w:p>
            <w:pPr>
              <w:spacing w:after="0" w:line="196" w:lineRule="exact"/>
              <w:rPr>
                <w:sz w:val="20"/>
                <w:szCs w:val="20"/>
                <w:color w:val="auto"/>
              </w:rPr>
            </w:pPr>
            <w:r>
              <w:rPr>
                <w:rFonts w:ascii="Arial" w:cs="Arial" w:eastAsia="Arial" w:hAnsi="Arial"/>
                <w:sz w:val="18"/>
                <w:szCs w:val="18"/>
                <w:color w:val="0000EE"/>
              </w:rPr>
              <w:t>INCORPORATION OF CERTAIN INFORMATION BY</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REFERENCE</w:t>
            </w:r>
          </w:p>
        </w:tc>
        <w:tc>
          <w:tcPr>
            <w:tcW w:w="84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4"/>
              </w:rPr>
              <w:t>S-38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40" w:space="400"/>
            <w:col w:w="5340"/>
          </w:cols>
          <w:pgMar w:left="320" w:top="459" w:right="499" w:bottom="1440" w:gutter="0" w:footer="0" w:header="0"/>
          <w:type w:val="continuous"/>
        </w:sect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gridSpan w:val="11"/>
            <w:vMerge w:val="restart"/>
          </w:tcPr>
          <w:p>
            <w:pPr>
              <w:spacing w:after="0"/>
              <w:rPr>
                <w:sz w:val="20"/>
                <w:szCs w:val="20"/>
                <w:color w:val="auto"/>
              </w:rPr>
            </w:pPr>
            <w:r>
              <w:rPr>
                <w:rFonts w:ascii="Arial" w:cs="Arial" w:eastAsia="Arial" w:hAnsi="Arial"/>
                <w:sz w:val="18"/>
                <w:szCs w:val="18"/>
                <w:color w:val="0000EE"/>
              </w:rPr>
              <w:t>ABOUT THIS PROSPECTUS</w:t>
            </w: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4420" w:type="dxa"/>
            <w:vAlign w:val="bottom"/>
            <w:gridSpan w:val="7"/>
            <w:vMerge w:val="restart"/>
          </w:tcPr>
          <w:p>
            <w:pPr>
              <w:spacing w:after="0"/>
              <w:rPr>
                <w:sz w:val="20"/>
                <w:szCs w:val="20"/>
                <w:color w:val="auto"/>
              </w:rPr>
            </w:pPr>
            <w:r>
              <w:rPr>
                <w:rFonts w:ascii="Arial" w:cs="Arial" w:eastAsia="Arial" w:hAnsi="Arial"/>
                <w:sz w:val="18"/>
                <w:szCs w:val="18"/>
                <w:color w:val="0000EE"/>
              </w:rPr>
              <w:t>DESCRIPTION OF PURCHASE CONTRACTS</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920" w:type="dxa"/>
            <w:vAlign w:val="bottom"/>
            <w:gridSpan w:val="11"/>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400" w:type="dxa"/>
            <w:vAlign w:val="bottom"/>
          </w:tcPr>
          <w:p>
            <w:pPr>
              <w:spacing w:after="0"/>
              <w:rPr>
                <w:sz w:val="14"/>
                <w:szCs w:val="14"/>
                <w:color w:val="auto"/>
              </w:rPr>
            </w:pPr>
          </w:p>
        </w:tc>
        <w:tc>
          <w:tcPr>
            <w:tcW w:w="442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PROSPECTUS SUMMARY</w:t>
            </w:r>
          </w:p>
        </w:tc>
        <w:tc>
          <w:tcPr>
            <w:tcW w:w="2700" w:type="dxa"/>
            <w:vAlign w:val="bottom"/>
            <w:gridSpan w:val="7"/>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w:t>
            </w:r>
          </w:p>
        </w:tc>
        <w:tc>
          <w:tcPr>
            <w:tcW w:w="35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DESCRIPTION OF UNITS</w:t>
            </w:r>
          </w:p>
        </w:tc>
        <w:tc>
          <w:tcPr>
            <w:tcW w:w="880" w:type="dxa"/>
            <w:vAlign w:val="bottom"/>
            <w:gridSpan w:val="2"/>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gridSpan w:val="3"/>
          </w:tcPr>
          <w:p>
            <w:pPr>
              <w:spacing w:after="0" w:line="196" w:lineRule="exact"/>
              <w:rPr>
                <w:sz w:val="20"/>
                <w:szCs w:val="20"/>
                <w:color w:val="auto"/>
              </w:rPr>
            </w:pPr>
            <w:r>
              <w:rPr>
                <w:rFonts w:ascii="Arial" w:cs="Arial" w:eastAsia="Arial" w:hAnsi="Arial"/>
                <w:sz w:val="18"/>
                <w:szCs w:val="18"/>
                <w:color w:val="0000EE"/>
              </w:rPr>
              <w:t>RISK FACTORS</w:t>
            </w:r>
          </w:p>
        </w:tc>
        <w:tc>
          <w:tcPr>
            <w:tcW w:w="284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w:t>
            </w:r>
          </w:p>
        </w:tc>
        <w:tc>
          <w:tcPr>
            <w:tcW w:w="4420" w:type="dxa"/>
            <w:vAlign w:val="bottom"/>
            <w:gridSpan w:val="7"/>
          </w:tcPr>
          <w:p>
            <w:pPr>
              <w:spacing w:after="0" w:line="196" w:lineRule="exact"/>
              <w:rPr>
                <w:sz w:val="20"/>
                <w:szCs w:val="20"/>
                <w:color w:val="auto"/>
              </w:rPr>
            </w:pPr>
            <w:r>
              <w:rPr>
                <w:rFonts w:ascii="Arial" w:cs="Arial" w:eastAsia="Arial" w:hAnsi="Arial"/>
                <w:sz w:val="18"/>
                <w:szCs w:val="18"/>
                <w:color w:val="0000EE"/>
              </w:rPr>
              <w:t>PLAN OF DISTRIBUTION</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Arial" w:cs="Arial" w:eastAsia="Arial" w:hAnsi="Arial"/>
                <w:sz w:val="18"/>
                <w:szCs w:val="18"/>
                <w:color w:val="0000EE"/>
              </w:rPr>
              <w:t>FORWARD-LOOKING STATEMENTS</w:t>
            </w: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w:t>
            </w:r>
          </w:p>
        </w:tc>
        <w:tc>
          <w:tcPr>
            <w:tcW w:w="4420" w:type="dxa"/>
            <w:vAlign w:val="bottom"/>
            <w:gridSpan w:val="7"/>
          </w:tcPr>
          <w:p>
            <w:pPr>
              <w:spacing w:after="0" w:line="196" w:lineRule="exact"/>
              <w:rPr>
                <w:sz w:val="20"/>
                <w:szCs w:val="20"/>
                <w:color w:val="auto"/>
              </w:rPr>
            </w:pPr>
            <w:r>
              <w:rPr>
                <w:rFonts w:ascii="Arial" w:cs="Arial" w:eastAsia="Arial" w:hAnsi="Arial"/>
                <w:sz w:val="18"/>
                <w:szCs w:val="18"/>
                <w:color w:val="0000EE"/>
              </w:rPr>
              <w:t>LEGAL MATTERS</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USE OF PROCEEDS</w:t>
            </w:r>
          </w:p>
        </w:tc>
        <w:tc>
          <w:tcPr>
            <w:tcW w:w="200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w:t>
            </w:r>
          </w:p>
        </w:tc>
        <w:tc>
          <w:tcPr>
            <w:tcW w:w="14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EXPERTS</w:t>
            </w:r>
          </w:p>
        </w:tc>
        <w:tc>
          <w:tcPr>
            <w:tcW w:w="2960" w:type="dxa"/>
            <w:vAlign w:val="bottom"/>
            <w:gridSpan w:val="5"/>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w:t>
            </w:r>
          </w:p>
        </w:tc>
        <w:tc>
          <w:tcPr>
            <w:tcW w:w="4420" w:type="dxa"/>
            <w:vAlign w:val="bottom"/>
            <w:gridSpan w:val="7"/>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48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Arial" w:cs="Arial" w:eastAsia="Arial" w:hAnsi="Arial"/>
                <w:sz w:val="18"/>
                <w:szCs w:val="18"/>
                <w:color w:val="0000EE"/>
              </w:rPr>
              <w:t>DESCRIPTION OF DEBT SECURITIES</w:t>
            </w: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w:t>
            </w:r>
          </w:p>
        </w:tc>
        <w:tc>
          <w:tcPr>
            <w:tcW w:w="4420" w:type="dxa"/>
            <w:vAlign w:val="bottom"/>
            <w:gridSpan w:val="7"/>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48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17</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840" w:type="dxa"/>
            <w:vAlign w:val="bottom"/>
            <w:tcBorders>
              <w:top w:val="single" w:sz="8" w:color="0000EE"/>
            </w:tcBorders>
            <w:gridSpan w:val="4"/>
          </w:tcPr>
          <w:p>
            <w:pPr>
              <w:spacing w:after="0"/>
              <w:rPr>
                <w:sz w:val="17"/>
                <w:szCs w:val="17"/>
                <w:color w:val="auto"/>
              </w:rPr>
            </w:pPr>
          </w:p>
        </w:tc>
        <w:tc>
          <w:tcPr>
            <w:tcW w:w="1600" w:type="dxa"/>
            <w:vAlign w:val="bottom"/>
            <w:gridSpan w:val="2"/>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20</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Arial" w:cs="Arial" w:eastAsia="Arial" w:hAnsi="Arial"/>
                <w:sz w:val="18"/>
                <w:szCs w:val="18"/>
                <w:color w:val="0000EE"/>
              </w:rPr>
              <w:t>DESCRIPTION OF SUBSCRIPTION RIGHTS</w:t>
            </w: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21</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prospectus supplement and the accompanying prospectus are part of a registration statement on Form S-3 that we filed with the Securities and Exchange Commission, which we refer to as the “SEC,” utilizing a “shelf” registration process.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providing information to you about this offering of our common stock and pre-funded warrants in two parts. The first part is this prospectus supplement, which provides you with specific information regarding the terms of this offering of our common stock and pre-funded warrants,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 and pre-funded warrants. Generally, when we refer to this prospectus, we are referring to both parts of this document combined.</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Before buying any of the common stock or pre-funded warrants that we are offering, we urge you to carefully read this prospectus supplement, the accompanying prospectus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or therein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Neither we nor the underwriters have authorized anyone to provide you with any information or to make any representation, other than those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6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offering to sell, and seeking offers to buy,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Unless the context otherwise indicates, references in this prospectus supplement, the accompanying prospectus and the information incorporated by reference herein and therein to “Tenaya Therapeutics, Inc.,” “Tenaya,” “we,” “our” and “us” refer, collectively, to Tenaya Therapeutics, Inc.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40"/>
          </w:cols>
          <w:pgMar w:left="320" w:top="45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72" w:lineRule="exact"/>
        <w:rPr>
          <w:sz w:val="20"/>
          <w:szCs w:val="20"/>
          <w:color w:val="auto"/>
        </w:rPr>
      </w:pPr>
    </w:p>
    <w:p>
      <w:pPr>
        <w:ind w:left="1080" w:right="54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ongoing preclinical studies and ongoing or planned clinical trials to demonstrate safety and efficacy of our product candidates, and other positive results;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ongoing or planned clinical trials for our current product candidates and other product candidates we may develop;</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trials;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plans relating to the further development of our product candidates, including additional indications and targets we may pursue;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existing laws and regulations and regulatory developments in the United States, Europe and other jurisdictions;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effects of the ongoing COVID-19 pandemic on our business, including our preclinical studies and clinical trials;</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2"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75"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product candidates and other product candidates we may develop;</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operating losses, future revenue, capital requirements and needs for additional financing;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investments in marketable securities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remain an emerging growth company under the JOBS 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This prospectus supplement, the accompanying prospectus and the documents incorporated herein and therein by reference, and any free writing prospectus that we may have authorized for use in connection with this offering,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You are cautioned not to give undue weight to any such information, projections and estimates.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00"/>
          </w:cols>
          <w:pgMar w:left="320" w:top="45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this prospectus supplement, the accompanying prospectus and in the documents we incorporate by reference. This summary is not complete and does not contain all of the information you should consider before making an investment decision. You should carefully read this entire prospectus supplement and the accompanying prospectus, including the information incorporated herein and therein, especially the risks of investing in our common stock discussed under “Risk Factors” beginning on page S-13 of this prospectus supplement, the “Risk Factors” section of our most recent Quarterly Report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We are a clinical-stage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84"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being assessed in clinical trials or are in the preclinical stage; we do not have any products approved for sale and have not generated any revenue to date.</w:t>
      </w:r>
    </w:p>
    <w:p>
      <w:pPr>
        <w:spacing w:after="0" w:line="187" w:lineRule="exact"/>
        <w:rPr>
          <w:sz w:val="20"/>
          <w:szCs w:val="20"/>
          <w:color w:val="auto"/>
        </w:rPr>
      </w:pPr>
    </w:p>
    <w:p>
      <w:pPr>
        <w:ind w:left="300" w:right="20" w:firstLine="426"/>
        <w:spacing w:after="0" w:line="289" w:lineRule="auto"/>
        <w:rPr>
          <w:sz w:val="20"/>
          <w:szCs w:val="20"/>
          <w:color w:val="auto"/>
        </w:rPr>
      </w:pPr>
      <w:r>
        <w:rPr>
          <w:rFonts w:ascii="Arial" w:cs="Arial" w:eastAsia="Arial" w:hAnsi="Arial"/>
          <w:sz w:val="16"/>
          <w:szCs w:val="16"/>
          <w:color w:val="auto"/>
        </w:rPr>
        <w:t>The most advanced product candidate from our Gene Therapy Platform is TN-201. TN-201 is an adeno-associated virus (AAV)-based gene therapy that addresses genetic hypertrophic cardiomyopathy (HCM) caused by Myosin Binding Protein C3 (MYBPC3)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MYBPC3 gene driven by our proprietary heart-specific promoter to restore normal levels of MYBPC3 protein. We plan to submit an IND for TN-201 by year end 2022 and expect to provide an update on the status of the IND in early 2023. TN-201 has been granted orphan drug designation by both the FDA and the European Commission for the potential treatment of HCM due to mutations in the MYBPC3 gene. We intend to explore the effect of TN-201 in both the obstructive and nonobstructive HCM (nHCM) patient populations. However, as the majority of patients with MYBPC3 gene mutations have the nonobstructive form of HCM, we intend to focus initial clinical development on nHCM patients.</w:t>
      </w:r>
    </w:p>
    <w:p>
      <w:pPr>
        <w:spacing w:after="0" w:line="166" w:lineRule="exact"/>
        <w:rPr>
          <w:sz w:val="20"/>
          <w:szCs w:val="20"/>
          <w:color w:val="auto"/>
        </w:rPr>
      </w:pPr>
    </w:p>
    <w:p>
      <w:pPr>
        <w:ind w:left="300" w:right="180" w:firstLine="426"/>
        <w:spacing w:after="0" w:line="275" w:lineRule="auto"/>
        <w:rPr>
          <w:sz w:val="20"/>
          <w:szCs w:val="20"/>
          <w:color w:val="auto"/>
        </w:rPr>
      </w:pPr>
      <w:r>
        <w:rPr>
          <w:rFonts w:ascii="Arial" w:cs="Arial" w:eastAsia="Arial" w:hAnsi="Arial"/>
          <w:sz w:val="17"/>
          <w:szCs w:val="17"/>
          <w:color w:val="auto"/>
        </w:rPr>
        <w:t>In 2021, we initiated a global natural history study to improve our understanding of disease progression and unmet need in individuals carrying mutations in the MYBPC3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7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40"/>
          </w:cols>
          <w:pgMar w:left="320" w:top="459" w:right="7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7" w:lineRule="auto"/>
        <w:rPr>
          <w:sz w:val="20"/>
          <w:szCs w:val="20"/>
          <w:color w:val="auto"/>
        </w:rPr>
      </w:pPr>
      <w:r>
        <w:rPr>
          <w:rFonts w:ascii="Arial" w:cs="Arial" w:eastAsia="Arial" w:hAnsi="Arial"/>
          <w:sz w:val="18"/>
          <w:szCs w:val="18"/>
          <w:color w:val="auto"/>
        </w:rPr>
        <w:t>areas of unmet need in heart disease, and is characterized by systemic inflammation, left ventricular hypertrophy, fibrosis and diastolic dysfunction resulting in high morbidity and mortality in affected individuals. In September 2022, we received clearance from the FDA for our TN-301 IND application and initiated our Phase 1 randomized, double-blind, placebo-controlled clinical trial designed to evaluate the safety and tolerability of escalating oral doses of TN-301. We expect to present data from the single-ascending and multiple-ascending dose portions of the Phase 1 trial in 2023.</w:t>
      </w:r>
    </w:p>
    <w:p>
      <w:pPr>
        <w:spacing w:after="0" w:line="188"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TN-401, another product candidate from our Gene Therapy Platform, uses an AAV-based gene therapy to address genetic arrhythmogenic right ventricular cardiomyopathy (ARVC) caused by plakophilin 2 (PKP2) gene 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are also working to expand our understanding of ARVC disease progression and intend to initiate a global non-interventional study in 2022 designed to collect treatment history and seroprevalence to AAV antibodies data among ARVC PKP2 gene mutation carriers. We plan to submit an IND for TN-401 in 2023.</w:t>
      </w:r>
    </w:p>
    <w:p>
      <w:pPr>
        <w:spacing w:after="0" w:line="166"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Our earlier-stage discovery programs include an AAV-based gene therapy designed to express the Dwarf Open Reading Frame (DWORF) gene in the heart, which has potentially broad utility in dilated cardiomyopathy and heart failure with reduced ejection fraction (HFrEF) and is currently at the candidate selection stage. Another program is an AAV-approach that involves reprogramming cardiofibroblasts cells to replace cardiomyocytes lost due to heart damage, such as myocardial infarction. This program is also currently at the candidate selection stage. In addition, we have numerous emerging programs being explored to address other forms of heart failure and we continue to research gene therapy-enabling technologies and capabilities. Among the most advanced of these initiatives is an effort to identify novel AAV capsids designed to deliver cardiac gene therapy with enhanced specificity and expression compared to current AAV vectors, with the goal of optimizing gene therapy safety, dosing and efficacy.</w:t>
      </w:r>
    </w:p>
    <w:p>
      <w:pPr>
        <w:spacing w:after="0" w:line="192" w:lineRule="exact"/>
        <w:rPr>
          <w:sz w:val="20"/>
          <w:szCs w:val="20"/>
          <w:color w:val="auto"/>
        </w:rPr>
      </w:pPr>
    </w:p>
    <w:p>
      <w:pPr>
        <w:ind w:left="300" w:right="120" w:firstLine="426"/>
        <w:spacing w:after="0" w:line="275" w:lineRule="auto"/>
        <w:rPr>
          <w:sz w:val="20"/>
          <w:szCs w:val="20"/>
          <w:color w:val="auto"/>
        </w:rPr>
      </w:pPr>
      <w:r>
        <w:rPr>
          <w:rFonts w:ascii="Arial" w:cs="Arial" w:eastAsia="Arial" w:hAnsi="Arial"/>
          <w:sz w:val="17"/>
          <w:szCs w:val="17"/>
          <w:color w:val="auto"/>
        </w:rPr>
        <w:t>We have invested in the build-out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trials. This facility will support the production of drug product at multiple scales for clinical trials for all AAV-based programs, including TN-201 and TN-401.</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The below summary of risk factors provides an overview of many of the risks we are exposed to in the normal course of our business activities and risks related to this offering.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prospectus supplement. Additional risks, beyond those summarized below or discussed elsewhere in this prospectus supplement,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100" w:lineRule="exact"/>
        <w:rPr>
          <w:sz w:val="20"/>
          <w:szCs w:val="20"/>
          <w:color w:val="auto"/>
        </w:rPr>
      </w:pPr>
    </w:p>
    <w:p>
      <w:pPr>
        <w:ind w:left="1240" w:right="100" w:hanging="523"/>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with a limited operating history, have not completed any clinical trials, and have no products approved for commercial sale, which may make it difficult for you to evaluate our current business and likelihood of success and future viability.</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84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20" w:hanging="523"/>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generated any product revenue to date, have incurred significant net losses since our inception and expect to continue to incur significant net losses for the foreseeable future.</w:t>
      </w:r>
    </w:p>
    <w:p>
      <w:pPr>
        <w:spacing w:after="0" w:line="75"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75" w:lineRule="exact"/>
        <w:rPr>
          <w:rFonts w:ascii="Arial" w:cs="Arial" w:eastAsia="Arial" w:hAnsi="Arial"/>
          <w:sz w:val="18"/>
          <w:szCs w:val="18"/>
          <w:color w:val="auto"/>
        </w:rPr>
      </w:pPr>
    </w:p>
    <w:p>
      <w:pPr>
        <w:ind w:left="1240" w:right="100" w:hanging="523"/>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9" w:lineRule="exact"/>
        <w:rPr>
          <w:rFonts w:ascii="Arial" w:cs="Arial" w:eastAsia="Arial" w:hAnsi="Arial"/>
          <w:sz w:val="18"/>
          <w:szCs w:val="18"/>
          <w:color w:val="auto"/>
        </w:rPr>
      </w:pPr>
    </w:p>
    <w:p>
      <w:pPr>
        <w:ind w:left="1240" w:right="480" w:hanging="523"/>
        <w:spacing w:after="0" w:line="311"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54" w:lineRule="exact"/>
        <w:rPr>
          <w:rFonts w:ascii="Arial" w:cs="Arial" w:eastAsia="Arial" w:hAnsi="Arial"/>
          <w:sz w:val="16"/>
          <w:szCs w:val="16"/>
          <w:color w:val="auto"/>
        </w:rPr>
      </w:pPr>
    </w:p>
    <w:p>
      <w:pPr>
        <w:ind w:left="1240" w:hanging="523"/>
        <w:spacing w:after="0" w:line="311"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54" w:lineRule="exact"/>
        <w:rPr>
          <w:rFonts w:ascii="Arial" w:cs="Arial" w:eastAsia="Arial" w:hAnsi="Arial"/>
          <w:sz w:val="16"/>
          <w:szCs w:val="16"/>
          <w:color w:val="auto"/>
        </w:rPr>
      </w:pPr>
    </w:p>
    <w:p>
      <w:pPr>
        <w:ind w:left="1240" w:right="140" w:hanging="523"/>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mechanisms of action of our product candidates are unproven, and we do not know whether we will be able to develop any drug of commercial value.</w:t>
      </w:r>
    </w:p>
    <w:p>
      <w:pPr>
        <w:spacing w:after="0" w:line="75" w:lineRule="exact"/>
        <w:rPr>
          <w:rFonts w:ascii="Arial" w:cs="Arial" w:eastAsia="Arial" w:hAnsi="Arial"/>
          <w:sz w:val="18"/>
          <w:szCs w:val="18"/>
          <w:color w:val="auto"/>
        </w:rPr>
      </w:pPr>
    </w:p>
    <w:p>
      <w:pPr>
        <w:ind w:left="1240" w:right="120" w:hanging="523"/>
        <w:spacing w:after="0" w:line="296"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6" w:lineRule="exact"/>
        <w:rPr>
          <w:rFonts w:ascii="Arial" w:cs="Arial" w:eastAsia="Arial" w:hAnsi="Arial"/>
          <w:sz w:val="16"/>
          <w:szCs w:val="16"/>
          <w:color w:val="auto"/>
        </w:rPr>
      </w:pPr>
    </w:p>
    <w:p>
      <w:pPr>
        <w:ind w:left="1240" w:hanging="523"/>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0" w:lineRule="exact"/>
        <w:rPr>
          <w:rFonts w:ascii="Arial" w:cs="Arial" w:eastAsia="Arial" w:hAnsi="Arial"/>
          <w:sz w:val="17"/>
          <w:szCs w:val="17"/>
          <w:color w:val="auto"/>
        </w:rPr>
      </w:pPr>
    </w:p>
    <w:p>
      <w:pPr>
        <w:ind w:left="1240" w:hanging="523"/>
        <w:spacing w:after="0" w:line="259"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92" w:lineRule="exact"/>
        <w:rPr>
          <w:rFonts w:ascii="Arial" w:cs="Arial" w:eastAsia="Arial" w:hAnsi="Arial"/>
          <w:sz w:val="18"/>
          <w:szCs w:val="18"/>
          <w:color w:val="auto"/>
        </w:rPr>
      </w:pPr>
    </w:p>
    <w:p>
      <w:pPr>
        <w:jc w:val="both"/>
        <w:ind w:left="1240" w:right="160" w:hanging="523"/>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completed the build-out of a manufacturing facility to support the production of certain of our product candidates. We have no experience in manufacturing, and there can be no assurance that we will be able to successfully manufacture product candidates.</w:t>
      </w:r>
    </w:p>
    <w:p>
      <w:pPr>
        <w:spacing w:after="0" w:line="29" w:lineRule="exact"/>
        <w:rPr>
          <w:rFonts w:ascii="Arial" w:cs="Arial" w:eastAsia="Arial" w:hAnsi="Arial"/>
          <w:sz w:val="16"/>
          <w:szCs w:val="16"/>
          <w:color w:val="auto"/>
        </w:rPr>
      </w:pPr>
    </w:p>
    <w:p>
      <w:pPr>
        <w:jc w:val="both"/>
        <w:ind w:left="1240" w:hanging="523"/>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other comparable foreign regulatory authorities are lengthy, time-consuming and inherently unpredictable. If we are ultimately unable to obtain regulatory approval of our product candidates, we will be unable to generate product revenue and our business will be substantially harmed.</w:t>
      </w:r>
    </w:p>
    <w:p>
      <w:pPr>
        <w:spacing w:after="0" w:line="89" w:lineRule="exact"/>
        <w:rPr>
          <w:rFonts w:ascii="Arial" w:cs="Arial" w:eastAsia="Arial" w:hAnsi="Arial"/>
          <w:sz w:val="18"/>
          <w:szCs w:val="18"/>
          <w:color w:val="auto"/>
        </w:rPr>
      </w:pPr>
    </w:p>
    <w:p>
      <w:pPr>
        <w:ind w:left="1240" w:right="200" w:hanging="523"/>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2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320" w:top="459" w:right="6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523"/>
        <w:spacing w:after="0" w:line="279"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76" w:lineRule="exact"/>
        <w:rPr>
          <w:rFonts w:ascii="Arial" w:cs="Arial" w:eastAsia="Arial" w:hAnsi="Arial"/>
          <w:sz w:val="17"/>
          <w:szCs w:val="17"/>
          <w:color w:val="auto"/>
        </w:rPr>
      </w:pPr>
    </w:p>
    <w:p>
      <w:pPr>
        <w:jc w:val="both"/>
        <w:ind w:left="1240" w:right="220" w:hanging="523"/>
        <w:spacing w:after="0" w:line="311"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third parties to conduct our preclinical studies, and our ongoing clinical trial and plan to rely on third parties to conduct future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54" w:lineRule="exact"/>
        <w:rPr>
          <w:rFonts w:ascii="Arial" w:cs="Arial" w:eastAsia="Arial" w:hAnsi="Arial"/>
          <w:sz w:val="16"/>
          <w:szCs w:val="16"/>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could cause our stock price to fall.</w:t>
      </w:r>
    </w:p>
    <w:p>
      <w:pPr>
        <w:spacing w:after="0" w:line="130" w:lineRule="exact"/>
        <w:rPr>
          <w:rFonts w:ascii="Arial" w:cs="Arial" w:eastAsia="Arial" w:hAnsi="Arial"/>
          <w:sz w:val="18"/>
          <w:szCs w:val="18"/>
          <w:color w:val="auto"/>
        </w:rPr>
      </w:pPr>
    </w:p>
    <w:p>
      <w:pPr>
        <w:ind w:left="1240" w:right="28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management team will have broad discretion to use of the net proceeds from this offering and its investment of those proceeds may not yield a favorable return.</w:t>
      </w:r>
    </w:p>
    <w:p>
      <w:pPr>
        <w:spacing w:after="0" w:line="75" w:lineRule="exact"/>
        <w:rPr>
          <w:rFonts w:ascii="Arial" w:cs="Arial" w:eastAsia="Arial" w:hAnsi="Arial"/>
          <w:sz w:val="18"/>
          <w:szCs w:val="18"/>
          <w:color w:val="auto"/>
        </w:rPr>
      </w:pPr>
    </w:p>
    <w:p>
      <w:pPr>
        <w:ind w:left="1240" w:right="40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anticipate paying cash dividends and, accordingly, stockholders must rely on share appreciation for any return on their investment.</w:t>
      </w:r>
    </w:p>
    <w:p>
      <w:pPr>
        <w:spacing w:after="0" w:line="75"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stockholders, including purchasers of our common stock in this offering, restrict our operations or require us to relinquish substantial rights.</w:t>
      </w:r>
    </w:p>
    <w:p>
      <w:pPr>
        <w:spacing w:after="0" w:line="75" w:lineRule="exact"/>
        <w:rPr>
          <w:rFonts w:ascii="Arial" w:cs="Arial" w:eastAsia="Arial" w:hAnsi="Arial"/>
          <w:sz w:val="18"/>
          <w:szCs w:val="18"/>
          <w:color w:val="auto"/>
        </w:rPr>
      </w:pPr>
    </w:p>
    <w:p>
      <w:pPr>
        <w:ind w:left="1240" w:right="14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or may fall below the expectations of investors or securities analysts, each of which may cause our stock price to fluctuate or decline.</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 no public market for the pre-funded warrants being offered in this offering.</w:t>
      </w:r>
    </w:p>
    <w:p>
      <w:pPr>
        <w:spacing w:after="0" w:line="130" w:lineRule="exact"/>
        <w:rPr>
          <w:rFonts w:ascii="Arial" w:cs="Arial" w:eastAsia="Arial" w:hAnsi="Arial"/>
          <w:sz w:val="18"/>
          <w:szCs w:val="18"/>
          <w:color w:val="auto"/>
        </w:rPr>
      </w:pPr>
    </w:p>
    <w:p>
      <w:pPr>
        <w:ind w:left="1240" w:right="12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the pre-funded warrants will have no rights as common stockholders until such holders exercise their pre-funded warrants and acquire our common stock.</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holders or beneficial owners of our common stock may not be permitted to exercise the pre-funded warrants that they hold.</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supplement and should not be considered to be part of this prospectus supplement. The inclusion of our website address in this prospectus supplement is an inactive textual reference only.</w:t>
      </w:r>
    </w:p>
    <w:p>
      <w:pPr>
        <w:spacing w:after="0" w:line="15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(JOBS Act). We will remain an emerging growth company until the earliest to occur of: (1) the last day</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20"/>
          </w:cols>
          <w:pgMar w:left="320" w:top="459" w:right="6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3" w:lineRule="auto"/>
        <w:rPr>
          <w:sz w:val="20"/>
          <w:szCs w:val="20"/>
          <w:color w:val="auto"/>
        </w:rPr>
      </w:pPr>
      <w:r>
        <w:rPr>
          <w:rFonts w:ascii="Arial" w:cs="Arial" w:eastAsia="Arial" w:hAnsi="Arial"/>
          <w:sz w:val="16"/>
          <w:szCs w:val="16"/>
          <w:color w:val="auto"/>
        </w:rPr>
        <w:t>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supplement, we have incorporated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we (1) are no longer an emerging growth company and</w:t>
      </w:r>
    </w:p>
    <w:p>
      <w:pPr>
        <w:spacing w:after="0" w:line="5" w:lineRule="exact"/>
        <w:rPr>
          <w:sz w:val="20"/>
          <w:szCs w:val="20"/>
          <w:color w:val="auto"/>
        </w:rPr>
      </w:pPr>
    </w:p>
    <w:p>
      <w:pPr>
        <w:ind w:left="300" w:right="140" w:hanging="2"/>
        <w:spacing w:after="0" w:line="290" w:lineRule="auto"/>
        <w:tabs>
          <w:tab w:leader="none" w:pos="555" w:val="left"/>
        </w:tabs>
        <w:numPr>
          <w:ilvl w:val="0"/>
          <w:numId w:val="7"/>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1"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40"/>
          </w:cols>
          <w:pgMar w:left="320" w:top="459"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9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Common Stock and Pre-Funded Warrants Offered by Us</w:t>
      </w:r>
      <w:r>
        <w:rPr>
          <w:sz w:val="20"/>
          <w:szCs w:val="20"/>
          <w:color w:val="auto"/>
        </w:rPr>
        <w:tab/>
      </w:r>
      <w:r>
        <w:rPr>
          <w:rFonts w:ascii="Arial" w:cs="Arial" w:eastAsia="Arial" w:hAnsi="Arial"/>
          <w:sz w:val="16"/>
          <w:szCs w:val="16"/>
          <w:color w:val="auto"/>
        </w:rPr>
        <w:t>22,613,307 shares of our common stock. We are also offering, in lieu</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of common stock to certain investors that so choose, pre-funded</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warrants to purchase 6,236,693 shares of our common stock. The</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purchase price of each pre-funded warrant equals the price per share at</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which shares of common stock are being sold to the public in this</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offering minus $0.001, multiplied by the number of shares subject to</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the warrant, and the exercise price of each pre-funded warrant equals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$0.001 per share. Each pre-funded warrant will be exercisable from</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the date of issuance until the date the warrant is exercised in full,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subject to an ownership limitation. See “Description of Pre-Funded</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Warrants.” This prospectus supplement also relates to the offering of</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shares of common stock issuable upon the exercise of such</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pre-funded warrants.</w:t>
      </w:r>
    </w:p>
    <w:p>
      <w:pPr>
        <w:spacing w:after="0" w:line="238"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Over-Allotment Option of Common Stock Offered by Us</w:t>
      </w:r>
      <w:r>
        <w:rPr>
          <w:sz w:val="20"/>
          <w:szCs w:val="20"/>
          <w:color w:val="auto"/>
        </w:rPr>
        <w:tab/>
      </w:r>
      <w:r>
        <w:rPr>
          <w:rFonts w:ascii="Arial" w:cs="Arial" w:eastAsia="Arial" w:hAnsi="Arial"/>
          <w:sz w:val="16"/>
          <w:szCs w:val="16"/>
          <w:color w:val="auto"/>
        </w:rPr>
        <w:t>We have granted the underwriters an option to purchase up to an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additional 4,327,500 shares of our common stock from us.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number of shares subject to the underwriters’ option equals 15% of the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total of the number of shares of common stock we are offering plus the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number of shares underlying the pre-funded warrants offered by this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prospectus supplement. The underwriters can exercise this option at</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any time within 30 days from the date of this prospectus supplement.</w:t>
      </w:r>
    </w:p>
    <w:p>
      <w:pPr>
        <w:sectPr>
          <w:pgSz w:w="11900" w:h="16838" w:orient="portrait"/>
          <w:cols w:equalWidth="0" w:num="1">
            <w:col w:w="10920"/>
          </w:cols>
          <w:pgMar w:left="320" w:top="459" w:right="659" w:bottom="1440" w:gutter="0" w:footer="0" w:header="0"/>
        </w:sect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Outstanding After this Offering</w:t>
      </w: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63,987,996 shares of common stock (or 68,315,496 shares if the underwriters exercise in full the option to purchase additional shares).</w:t>
      </w:r>
    </w:p>
    <w:p>
      <w:pPr>
        <w:spacing w:after="0" w:line="15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intend to use the net proceeds from this offering, together with our existing cash, cash equivalents and marketable securities, to fund our ongoing and planned preclinical and clinical development of our most advanced product candidates, TN-201 (MYBPC3 gene therapy), TN-301 (HDAC6i small molecule) and TN-401 (PKP2 gene therapy), the continued development of our earlier-stage research programs, the progression of our platform initiatives, including our novel AAV capsid engineering efforts, our manufacturing operations, and for working capital and other general corporate purposes. See “Use of Proceeds” on page S-16.</w:t>
      </w:r>
    </w:p>
    <w:p>
      <w:pPr>
        <w:spacing w:after="0" w:line="200" w:lineRule="exact"/>
        <w:rPr>
          <w:sz w:val="20"/>
          <w:szCs w:val="20"/>
          <w:color w:val="auto"/>
        </w:rPr>
      </w:pPr>
    </w:p>
    <w:p>
      <w:pPr>
        <w:sectPr>
          <w:pgSz w:w="11900" w:h="16838" w:orient="portrait"/>
          <w:cols w:equalWidth="0" w:num="2">
            <w:col w:w="5100" w:space="720"/>
            <w:col w:w="5100"/>
          </w:cols>
          <w:pgMar w:left="320" w:top="459" w:right="659" w:bottom="1440" w:gutter="0" w:footer="0" w:header="0"/>
          <w:type w:val="continuous"/>
        </w:sectPr>
      </w:pPr>
    </w:p>
    <w:p>
      <w:pPr>
        <w:spacing w:after="0" w:line="9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0920"/>
          </w:cols>
          <w:pgMar w:left="320" w:top="459" w:right="6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730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Investing in our securities involves significant risks. You should read the “Risk Factors” section on page S-13 of this prospectus supplement and in the documents incorporated by reference in this prospectus supplement and accompanying prospectus for a discussion of factors to consider carefully before deciding to purchase shares of our common stock or pre-funded warrants.</w:t>
      </w:r>
    </w:p>
    <w:p>
      <w:pPr>
        <w:spacing w:after="0" w:line="200"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Our common stock is listed on The Nasdaq Global Select Market under the symbol “TNYA.” There is no established public trading market for the pre-funded warrants, and we do not expect a market to develop. We do not intend to list the pre-funded warrants on The Nasdaq Global Select Market or any other national securities exchange or nationally recognized trading system. Without an active trading market, the liquidity of the pre-funded warrants will be limited. See “Description of Pre-Funded Warrants.”</w:t>
      </w:r>
    </w:p>
    <w:p>
      <w:pPr>
        <w:spacing w:after="0" w:line="178" w:lineRule="exact"/>
        <w:rPr>
          <w:sz w:val="20"/>
          <w:szCs w:val="20"/>
          <w:color w:val="auto"/>
        </w:rPr>
      </w:pPr>
    </w:p>
    <w:p>
      <w:pPr>
        <w:sectPr>
          <w:pgSz w:w="11900" w:h="16838" w:orient="portrait"/>
          <w:cols w:equalWidth="0" w:num="2">
            <w:col w:w="5100" w:space="720"/>
            <w:col w:w="5120"/>
          </w:cols>
          <w:pgMar w:left="320" w:top="459" w:right="639" w:bottom="1440" w:gutter="0" w:footer="0" w:header="0"/>
          <w:type w:val="continuous"/>
        </w:sectPr>
      </w:pPr>
    </w:p>
    <w:p>
      <w:pPr>
        <w:ind w:left="300" w:right="40" w:firstLine="426"/>
        <w:spacing w:after="0" w:line="277" w:lineRule="auto"/>
        <w:rPr>
          <w:sz w:val="20"/>
          <w:szCs w:val="20"/>
          <w:color w:val="auto"/>
        </w:rPr>
      </w:pPr>
      <w:r>
        <w:rPr>
          <w:rFonts w:ascii="Arial" w:cs="Arial" w:eastAsia="Arial" w:hAnsi="Arial"/>
          <w:sz w:val="18"/>
          <w:szCs w:val="18"/>
          <w:color w:val="auto"/>
        </w:rPr>
        <w:t>The number of shares of our common stock outstanding after this offering is based on 41,374,689 shares of our common stock outstanding as of September 30, 2022, and excludes:</w:t>
      </w:r>
    </w:p>
    <w:p>
      <w:pPr>
        <w:spacing w:after="0" w:line="76" w:lineRule="exact"/>
        <w:rPr>
          <w:sz w:val="20"/>
          <w:szCs w:val="20"/>
          <w:color w:val="auto"/>
        </w:rPr>
      </w:pPr>
    </w:p>
    <w:p>
      <w:pPr>
        <w:ind w:left="1240" w:right="3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5,204,615 shares of our common stock issuable upon the exercise of options outstanding as of September 30, 2022, at a weighted-average exercise price of $10.32 per share;</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61,537 shares of our common stock issuable upon the vesting of restricted stock units outstanding as of September 30, 2022;</w:t>
      </w:r>
    </w:p>
    <w:p>
      <w:pPr>
        <w:spacing w:after="0" w:line="142" w:lineRule="exact"/>
        <w:rPr>
          <w:rFonts w:ascii="Arial" w:cs="Arial" w:eastAsia="Arial" w:hAnsi="Arial"/>
          <w:sz w:val="17"/>
          <w:szCs w:val="17"/>
          <w:color w:val="auto"/>
        </w:rPr>
      </w:pPr>
    </w:p>
    <w:p>
      <w:pPr>
        <w:ind w:left="1240" w:right="2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59,700 shares of our common stock issuable upon the exercises of options granted subsequent to September 30, 2022, at a weighted average exercise price of $2.56 per share;</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412,997 shares of our common stock issuable upon the vesting of restricted stock units granted subsequent to September 30, 2022;</w:t>
      </w:r>
    </w:p>
    <w:p>
      <w:pPr>
        <w:spacing w:after="0" w:line="153" w:lineRule="exact"/>
        <w:rPr>
          <w:rFonts w:ascii="Arial" w:cs="Arial" w:eastAsia="Arial" w:hAnsi="Arial"/>
          <w:sz w:val="16"/>
          <w:szCs w:val="16"/>
          <w:color w:val="auto"/>
        </w:rPr>
      </w:pPr>
    </w:p>
    <w:p>
      <w:pPr>
        <w:jc w:val="both"/>
        <w:ind w:left="1240" w:right="200" w:hanging="523"/>
        <w:spacing w:after="0" w:line="311"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2,720,107 shares of our common stock reserved for issuance pursuant to future awards under our 2021 Equity Incentive Plan (2021 Plan), as of September 30, 2022, plus any future increases in the number of shares of common stock reserved for issuance under our 2021 Plan pursuant to provisions thereof that automatically increase the share reserve under the plan each year;</w:t>
      </w:r>
    </w:p>
    <w:p>
      <w:pPr>
        <w:spacing w:after="0" w:line="54" w:lineRule="exact"/>
        <w:rPr>
          <w:rFonts w:ascii="Arial" w:cs="Arial" w:eastAsia="Arial" w:hAnsi="Arial"/>
          <w:sz w:val="16"/>
          <w:szCs w:val="16"/>
          <w:color w:val="auto"/>
        </w:rPr>
      </w:pPr>
    </w:p>
    <w:p>
      <w:pPr>
        <w:ind w:left="1240" w:right="440" w:hanging="523"/>
        <w:spacing w:after="0" w:line="311"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1,161,305 shares of our common stock reserved for future issuance under our 2021 Employee Stock Purchase Plan (ESPP), as of September 30, 2022, plus any future increases in the number of shares of common stock reserved for issuance under the ESPP pursuant to provisions thereof that automatically increase the share reserve under the plan each year; and</w:t>
      </w:r>
    </w:p>
    <w:p>
      <w:pPr>
        <w:spacing w:after="0" w:line="54" w:lineRule="exact"/>
        <w:rPr>
          <w:rFonts w:ascii="Arial" w:cs="Arial" w:eastAsia="Arial" w:hAnsi="Arial"/>
          <w:sz w:val="16"/>
          <w:szCs w:val="16"/>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6,236,693 shares of common stock issuable upon exercise of pre-funded warrants sold in this offering.</w:t>
      </w:r>
    </w:p>
    <w:p>
      <w:pPr>
        <w:spacing w:after="0" w:line="22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Up to $75.0 million of shares of our common stock may be sold from time to time under our “at-the-market” program that we entered into on August 10, 2022, with SVB Securities LLC. As of the date of this prospectus supplement, no sales have been made under our “at-the-market” program. We have agreed not to make any sales under the Sales Agreement until the expiration or waiver of the 90-day lock-up period applicable to us and described in the section titled “Underwriting.”</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40"/>
          </w:cols>
          <w:pgMar w:left="320" w:top="459" w:right="6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470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Unless otherwise indicated, all information in this prospectus supplement assumes no exercise of outstanding options or vesting of outstanding restricted stock units after September 30, 2022, no exercise by the underwriters of the option to purchase up to 4,327,500 additional shares of our common stock, and no purchase and exercise of pre-funded warrants by any purchaser in this offering.</w:t>
      </w: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660"/>
          </w:cols>
          <w:pgMar w:left="320" w:top="459" w:right="9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Investing in our securities involves a high degree of risk. Before making a decision to invest in our securities, in addition to carefully considering the other information contained in this prospectus supplement, in the accompanying prospectus and in the documents incorporated by reference herein or therein, you should carefully consider the risks described below, as well as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harmed. This could cause the trading price of our common stock to decline, resulting in a loss of all or part of your investment. See “Where You Can Find More Information” and “Incorporation of Certain Information by Reference.”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The vesting of outstanding restricted stock units and the exercise of our outstanding options and warrants will dilute stockholders and could decrease our stock price.</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vesting of outstanding restricted stock units and the exercise of our outstanding options and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options and warrants or any future issuance of additional shares of common stock or other securities, including, but not limited to preferred stock, options, warrants, restricted stock units or other derivative securities convertible into our common stock, may result in significant dilution to our stockholders and may decrease our stock price.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including pursuant to our existing “at-the-market” program. As of September 30, 2022, we had 41,374,689 shares of our common stock outstanding. If our stockholders sell, or the market perceives that our stockholders intend to sell, a substantial amount of our common stock in the public market, the market price of our common stock could decline significantly.</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Shares issued upon the exercise of stock options or the vesting of restricted stock units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6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We do not anticipate paying cash dividends and, accordingly, stockholders must rely on share appreciation for any return on their investment.</w:t>
      </w:r>
    </w:p>
    <w:p>
      <w:pPr>
        <w:spacing w:after="0" w:line="15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279"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preclinical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expect our operating results to be subject to fluctuations. Our net loss and other operating results will be affected by numerous factors, including:</w:t>
      </w:r>
    </w:p>
    <w:p>
      <w:pPr>
        <w:spacing w:after="0" w:line="76"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product candidates or future development programs;</w:t>
      </w:r>
    </w:p>
    <w:p>
      <w:pPr>
        <w:spacing w:after="0" w:line="142"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or the addition or termination of preclinical studies and clinical trials or funding support by us or potential future collaborators;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p>
      <w:pPr>
        <w:spacing w:after="0" w:line="89"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our operating results fall below the expectations of investors or securities analysts, the price of our common stock could decline substantially. Furthermore, any fluctuations in our operating results may, in turn, cause the price of our stock to fluctuate substantially. We believe that comparisons of our financial results are not necessarily meaningful and should not be relied upon as an indication of our future performance.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w:t>
      </w:r>
    </w:p>
    <w:p>
      <w:pPr>
        <w:spacing w:after="0" w:line="29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Holders of the pre-funded warrants will have no rights as common stockholders until such holders exercise their pre-funded warrants and acquire our common stock.</w:t>
      </w:r>
    </w:p>
    <w:p>
      <w:pPr>
        <w:spacing w:after="0" w:line="6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Until holders of the pre-funded warrants exercise their pre-funded warrants and acquire shares of our common stock, such holders will have no rights with respect to the shares of our common stock underlying such pre-funded warrants.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Significant holders or beneficial owners of our common stock may not be permitted to exercise the pre-funded warrants that they hold.</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estimate that the net proceeds to us from the issuance and sale of shares of common stock and pre-funded warrants in this offering and will be approximately $70.0 million, or approximately $80.5 million if the underwriters exercise their over-allotment option to purchase additional shares in full, after deducting underwriting discounts and commissions and estimated offering expenses payable by us.</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intend to use the net proceeds from this offering, together with our existing cash, cash equivalents and marketable securities, to fund our ongoing and planned preclinical and clinical development of our most advanced product candidates, TN-201 (MYBPC3 gene therapy), TN-301 (HDAC6i small molecule) and TN-401 (PKP2 gene therapy), the continued development of our earlier-stage research programs, the progression of our platform initiatives, including our novel AAV capsid engineering efforts, our manufacturing operations, and for working capital and other general corporate purposes.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6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net proceeds from this offering, together with our existing cash, cash equivalents and marketable securities, will not be sufficient for us to fund our clinical programs, and we will need to raise additional capital to achieve our business objectives.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PRE-FUNDED WARRANTS</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pre-funded warrants will be issued as individual warrant agreements to the investors. You should review the form of pre-funded warrant, which will be filed as an exhibit to a Current Report on Form 8-K that we expect to file with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pre-funded warrants will expire on the date the warrant is exercised in full.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Exercisability</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Limitations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Price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Subject to applicable laws, the pre-funded warrants may be offered for sale, sold, transferred or assigned without our consent.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There is no established trading market for the pre-funded warrants, and we do not expect a market to develop. We do not plan on applying to list the pre-funded warrants on The Nasdaq Global Select Market, any other national securities exchange or any other nationally recognized trading system.</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Fundamental Transactions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In the event a holder does not exercise its pre-funded warrants in connection with a fundamental transaction, such holder’s pre-funded warrants will be deemed exercised in full pursuant to the “cashless exercise” mechanism described above upon the consummation of such transaction.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as a Stockholder</w:t>
      </w:r>
    </w:p>
    <w:p>
      <w:pPr>
        <w:spacing w:after="0" w:line="121"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Except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HOLDERS OF COMMON STOCK AND PRE-FUNDED WARRANTS</w:t>
      </w:r>
    </w:p>
    <w:p>
      <w:pPr>
        <w:spacing w:after="0" w:line="21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following is a summary of the material U.S. federal income tax consequences of the ownership and disposition of our common stock and pre-funded warrants acquired in this offering,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7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under U.S. federal gift and estate tax rules nor does it address any aspects of the alternative minimum tax, the special tax accounting rules under Section 451(b) of the Code, or the Medicare tax on net investment income. In addition, this discussion does not address tax considerations applicable to an investor’s particular circumstances or to investors that may be subject to special tax rules, including, without limitation:</w:t>
      </w:r>
    </w:p>
    <w:p>
      <w:pPr>
        <w:spacing w:after="0" w:line="77"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and/or pre-funded warrants (except to the extent specifically set forth below);</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persons who acquired our common stock pursuant to the exercise of any employee stock option or otherwise as compensation;</w:t>
      </w:r>
    </w:p>
    <w:p>
      <w:pPr>
        <w:spacing w:after="0" w:line="142"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who hold our common stock or pre-funded warrants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who do not hold our common stock or pre-funded warrants as a capital asset within the meaning of Section 1221 of the Code (generally, property held for investment);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deemed to sell our common stock or pre-funded warrants under the constructive sale provisions of the Code.</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or pre-funded warrants, the tax treatment of a partner in such partnership or other entity generally will depend on the status of the partner and upon the activities of the partnership or other entity. A partner in a partnership or other such entity that will hold our common stock or pre-funded warrants should consult his, her or its own tax advisor regarding the tax consequences of the ownership and disposition of our common stock or pre-funded warrants through a partnership or other such entity, as applicable.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purchase, ownership and disposition of our common stock, or pre-funded warrants, arising under the U.S. federal gift or estate tax rules or under the laws of any state, local, non-U.S. or other taxing jurisdiction or under any applicable tax treaty.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 and Non-U.S. Holder Defined</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purposes of this discussion, you are a “U.S. holder” if you are a beneficial owner (other than a partnership or other entity or arrangement classified as a partnership for U.S. federal income tax purposes) of our common stock or pre-funded warrants that, for U.S. federal income tax purposes, is:</w:t>
      </w:r>
    </w:p>
    <w:p>
      <w:pPr>
        <w:spacing w:after="0" w:line="8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jc w:val="both"/>
        <w:ind w:left="1080" w:right="360" w:hanging="532"/>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(within the meaning of the Code) who have the authority to control all substantial decisions of the trust or (2) that has made a valid election under applicable Treasury Regulations to be treated as a U.S. person.</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or pre-funded warrants that is not a U.S. holder or a partnership (or other entity classified as a partnership for U.S. federal income tax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Treatment of Pre-Funded Warrants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Although the law in this area is not completely settled, the pre-funded warrants are generally expected to be treated as outstanding stock for U.S. federal income tax purposes. Accordingly, upon exercise, no income, gain or loss should be recognized upon the exercise of a prefunded warrant except to the extent of cash received in exchange for a fractional share, which will be treated as a sale subject to the rules described below under “Tax Consequences Applicable to U.S. Holders—Gain on Disposition of Common Stock or Pre-Funded Warrants,” and “Tax Consequences Applicable to Non-U.S. Holders—Gain on Disposition of Common Stock or Pre-Funded Warrants,” and the holding period of a pre-funded warrant should carry over to the share of common stock received. The tax basis of the pre-funded warrant should carry over to the share of common stock received upon exercise increased by the exercise price. If you are contemplating the acquisition of pre-funded warrants, you should discuss with your personal tax advisor the consequences of the purchase, ownership and disposition of the pre-funded warrants, as well as the exercise of, certain adjustments to, and any payments in respect of the pre-funded warrants (including potential alternative characterizations).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Applicable to U.S. 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constitute a return of capital and will first reduce your basis in our common stock, but not below zero, and then will be treated as gain from the sale of stock as described below under “Tax Consequences Applicable to U.S. Holders—Gain on Disposition of Common Stock or Pre-Funded Warrants.” If you are a non-corporate U.S. holder, and certain requirements are met, a preferential U.S. federal income tax rate will apply to any dividends paid to you if you meet certain holding period requirements.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If you are a corporate shareholder, distributions constituting dividends for U.S. federal income tax purposes will generally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w:t>
      </w:r>
    </w:p>
    <w:p>
      <w:pPr>
        <w:spacing w:after="0" w:line="18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You should consult your tax advisors regarding the proper treatment of any payments in respect of the pre-funded warrants.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Gain on Disposition of Common Stock or Pre-Funded Warrants</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Upon a sale or other taxable disposition of common stock or pre-funded warrants, you generally will recognize capital gain or loss in an amount equal to the difference between the amount realized and your adjusted tax basis in the common stock or pre-funded warrant. Capital gain or loss will constitute long-term capital gain or loss if your holding period for the common stock or pre-funded warrant exceeds one year. The deductibility of capital losses is subject to certain limitations. U.S. holders who recognize losses with respect to a disposition of our common stock or pre-funded warrants should consult their own tax advisors regarding the tax treatment of such losses.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Certain Adjustments to Pre-Funded Warrants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Under Section 305 of the Code, an adjustment to the number of shares of common stock that will be issued on the exercise of the pre-funded warrants, or an adjustment to the exercise price of the pre-funded warrants, may be treated as a constructive distribution to you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Lapse of Pre-Funded Warrants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a U.S. holder allows a pre-funded warrant to expire unexercised, such U.S. holder will recognize a capital loss in an amount equal to such holder’s tax basis in pre-funded warrant. The deductibility of capital losses is subject to certain limitations.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Information reporting requirements generally will apply to payments of dividends (including constructive dividends) on the common stock or pre-funded warrants and to the proceeds of a sale or other disposition of common stock or pre-funded warrants paid to you unless you are an exempt recipient, such as certain corporations. Backup withholding at a current rate of 24% will apply to those payments if you fail to provide your taxpayer identification number (generally in the form of a properly completed and executed IRS Form W-9), or certification of exempt status, or if you otherwise fail to comply with applicable requirements to establish an exemption.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Applicable to Non-U.S. 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generally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treated as described below in “Tax Consequences Applicable to Non-U.S. Holders—Gain on Disposition of Common Stock or Pre-Funded Warrants.”</w:t>
      </w:r>
    </w:p>
    <w:p>
      <w:pPr>
        <w:spacing w:after="0" w:line="17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Subject to the discussions below on effectively connected income and Foreign Account Tax Compliance Act, or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or pre-funded warrants eligible for a reduced rate of U.S. federal withholding tax pursuant to an income tax treaty may obtain a refund of any excess amounts withheld by timely filing an appropriate claim for refund with the IRS. If the non-U.S. holder holds our common stock or pre-funded warrants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or pre-funded warrants, including any applicable tax treaties that may provide for different rules.</w:t>
      </w:r>
    </w:p>
    <w:p>
      <w:pPr>
        <w:spacing w:after="0" w:line="18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You should consult your own tax advisors regarding the proper treatment of any payments in respect of the pre-funded warrants.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Gain on Disposition of Common Stock or Pre-Funded Warrants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Subject to the discussion below regarding backup withholding and FATCA, you generally will not be required to pay U.S. federal income tax on any gain realized upon the sale or other disposition of our common stock or pre-funded warrants unless:</w:t>
      </w:r>
    </w:p>
    <w:p>
      <w:pPr>
        <w:spacing w:after="0" w:line="76" w:lineRule="exact"/>
        <w:rPr>
          <w:sz w:val="20"/>
          <w:szCs w:val="20"/>
          <w:color w:val="auto"/>
        </w:rPr>
      </w:pPr>
    </w:p>
    <w:p>
      <w:pPr>
        <w:ind w:left="1080" w:right="2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8"/>
          <w:szCs w:val="18"/>
          <w:color w:val="auto"/>
        </w:rPr>
      </w:pPr>
    </w:p>
    <w:p>
      <w:pPr>
        <w:ind w:left="1080" w:right="46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a U.S. real property interest only if you actually (directly or indirectly) or constructively hold more than five percent of such regularly traded common stock at any time during the shorter of the five-year period preceding your disposition of, or your holding period for, our common stock. Special rules may apply to non-U.S. holders of pre-funded warrants, who should consult their tax advisors.</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Certain Adjustments to Pre-Funded Warrants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Under Section 305 of the Code, an adjustment to the number of shares of common stock that will be issued on the exercise of the pre-funded warrants, or an adjustment to the exercise price of the pre-funded warrants, may be treated as a constructive distribution to you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Generally, we or the applicable paying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Payments of dividends on or of proceeds from the disposition of our common stock or pre-funded warrants made to you will generally be subject to information reporting and backup withholding at a current rate of 24% unless you establish an exemption, for example, by properly certifying your non-U.S. status on a properly completed IRS Form W-8BEN or W-8BEN-E, or W-8ECI or another appropriate version of IRS Form W-8 or you otherwise meet the documentary evidence requirements for establishing that you are not a U.S. person or otherwise establish an exemption. Notwithstanding the foregoing, backup withholding and information reporting may apply if the applicable withholding agent has actual knowledge, or reason to know, that you are a U.S. person.</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Provisions of the Code commonly referred to as FATCA, Treasury Regulations issued thereunder and official IRS guidance generally impose a U.S. federal withholding tax of 30% on dividends on, and, subject to the discussion of certain proposed Treasury Regulations below, the gross proceeds from a sale or other disposition of our common stock or pre-funded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from FATCA withholding. FATCA also generally imposes a U.S. federal withholding tax of 30% on dividends on, and, subject to the discussion of certain proposed Treasury Regulations below, the gross proceeds from, a sale or other disposition of our common stock or pre-funded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8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withholding obligations under FATCA generally apply to dividends on our common stock or pre-funded warrants and subject to the proposed Treasury Regulations described in the next sentence, will apply to the payment of gross proceeds of a sale or other disposition of our common stock or pre-funded warrants.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or pre-funded warrants. The withholding tax on dividends will apply regardless of whether the payment otherwise would be exempt from U.S. nonresident and backup withholding tax, including under the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 or pre-funded warrants.</w:t>
      </w:r>
    </w:p>
    <w:p>
      <w:pPr>
        <w:spacing w:after="0" w:line="181"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or pre-funded warrants, including the consequences of any proposed change in applicable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supplement, the underwriters named below, for whom Morgan Stanley &amp; Co. LLC and Piper Sandler &amp; Co. are acting as representatives, have severally agreed to purchase, and we have agreed to sell to them, severally, the number of shares of common stock and pre-funded warrants indicated below:</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20" w:type="dxa"/>
            <w:vAlign w:val="bottom"/>
            <w:vMerge w:val="restart"/>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Pre-Funded</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5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11,306,653</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3,118,347</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Piper Sandler &amp; Co.</w:t>
            </w: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6,783,992</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1,871,008</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 Wainwright &amp; Co., LLC</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2,261,331</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623,669</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Chardan Capital Markets LLC</w:t>
            </w: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2,261,331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623,669</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22,613,307</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6,236,693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and pre-funded warrants subject to their acceptance of the shares from us and subject to prior sale. The underwriting agreement provides that the obligations of the several underwriters to pay for and accept delivery of the shares of common stock and pre-funded warrants offered by this prospectus supplement are subject to the approval of certain legal matters by their counsel and to certain other conditions. The underwriters are obligated to take and pay for all of the shares of common stock and pre-funded warrants offered by this prospectus supplement if any such shares or pre-funded warrants are taken. However, the underwriters are not required to take or pay for the shares of common stock, including the number of shares underlying the pre-funded warrants, covered by the underwriters’ over-allotment option except to the extent such option is exercised as described below.</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underwriters initially propose to offer part of the shares of common stock and pre-funded warrants directly to the public at the offering price listed on the cover page of this prospectus supplement and part to certain dealers at a price that represents a concession not in excess of $0.0936 per share or pre-funded warrant share under the public offering price. After the initial offering of the shares of common stock and pre-funded warrants, the offering price and other selling terms may from time to time be varied by the representatives. The offering of the shares and pre-funded warrants by the underwriters is subject to the receipt and acceptance and subject to the underwriters’ right to reject any order in whole or in part.</w:t>
      </w:r>
    </w:p>
    <w:p>
      <w:pPr>
        <w:spacing w:after="0" w:line="16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up to 4,327,500 additional shares at the public offering price listed on the cover page of this prospectus supplement, less underwriting discounts and commissions. The number of shares subject to the underwriters’ option equals 15% of the total number of shares of common stock, plus the number of shares underlying the pre-funded warrants, we are offering. The underwriters may exercise this option solely for the purpose of covering over-allotments, if any, made in connection with the offering of the shares of common stock, or pre-funded warrant shares, offered by this prospectus supplement. To the extent the option is exercised, each underwriter will become obligated, subject to certain conditions, to purchase about the same percentage of the additional shares as the number listed next to the underwriter’s name in the preceding table bears to the total number of shares and pre-funded warrants listed next to the names of all underwriters in the preceding table.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320" w:top="459"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4,327,500 shares of common stock.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6360" w:type="dxa"/>
            <w:vAlign w:val="bottom"/>
          </w:tcPr>
          <w:p>
            <w:pPr>
              <w:spacing w:after="0"/>
              <w:rPr>
                <w:sz w:val="9"/>
                <w:szCs w:val="9"/>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No</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Pre-Funded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Warrant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2.599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75,003,763.31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86,255,263.31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0.156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0.156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4,500,600.01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5,175,690.01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$ 2.444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2.443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70,503,163.30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81,079,573.30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$550,000.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trading symbol “TNYA.”</w:t>
      </w:r>
    </w:p>
    <w:p>
      <w:pPr>
        <w:spacing w:after="0" w:line="22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connection with this offering, we have agreed that we will not, and will not publicly disclose and intention, to (i) offer, pledge, sell, contract to sell, sell any option or contract to purchase, purchase any option or contract to sell, grant any option, right or warrant to purchase, lend or otherwise transfer or dispose of, directly or indirectly, or file with the Securities and Exchange Commission a registration statement under the Securities Act relating to the offering of any shares of our common stock or securities convertible into or exercisable or exchangeable for any shares of our common stock, or (ii) enter into any swap or other arrangement that transfers all or a portion of the economic consequences of ownership of any shares of common stock or any such other securities, in each case regardless of whether any of these transactions are to be settled by the delivery of shares of common stock or such other securities, in cash or otherwise, and in each case without the prior written consent of Morgan Stanley &amp; Co. LLC and Piper Sandler &amp; Co. on behalf of the underwriters for a period of 90 days after the date of this prospectus supplement, other than the shares of our common stock and pre-funded warrants to be sold in this offering; the issuance by us of shares of common stock upon the exercise of an option or warrant, vesting or settlement of restricted stock or restricted stock units or the conversion of a security outstanding on the date hereof; facilitating the establishment of a trading plan pursuant to Rule 10b5-1 under the Exchange Act (a 10b5-1 Trading Plan) provided that there is no transfer of common stock during the restricted period and any public announcement or filing under the Exchange Act indicates that no transfer of common stock is permitted during the restricted period; the issuance of shares or options to purchase shares of common stock or securities convertible into or exercisable for common stock to our employees, officers, directors, advisors or consultants pursuant to an existing equity compensation plan; the filing of a registration statement on Form S-8 with respect to an existing employee benefit plan; and the sale or issuance of or entry into an agreement to sell or issue shares of common stock in connection with our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so sold or issued does not exceed 10% of the total number of shares of common stock (giving effect to the shares underlying the pre-funded warrants) and provided further that any recipient of such shares enter into a lockup agreement with the underwriters.</w:t>
      </w:r>
    </w:p>
    <w:p>
      <w:pPr>
        <w:spacing w:after="0" w:line="16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connection with this offering, all of our directors, officers and certain of the stockholders affiliated with our directors have agreed that, without the prior written consent of Morgan Stanley &amp; Co. LLC and Piper Sandler &amp; Co. on behalf of the underwriters, they will not, and will not publicly disclose an intention to, during the period from the date of this prospectus supplement continuing through the date 90 days after the date of this prospectus supplement (the restricted period):</w:t>
      </w:r>
    </w:p>
    <w:p>
      <w:pPr>
        <w:spacing w:after="0" w:line="92" w:lineRule="exact"/>
        <w:rPr>
          <w:sz w:val="20"/>
          <w:szCs w:val="20"/>
          <w:color w:val="auto"/>
        </w:rPr>
      </w:pPr>
    </w:p>
    <w:p>
      <w:pPr>
        <w:ind w:left="1080" w:right="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40"/>
          </w:cols>
          <w:pgMar w:left="320" w:top="459"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directly or indirectly, any shares of common stock or any securities convertible into or exercisable or exchangeable for shares of common stock;</w:t>
      </w:r>
    </w:p>
    <w:p>
      <w:pPr>
        <w:spacing w:after="0" w:line="76" w:lineRule="exact"/>
        <w:rPr>
          <w:sz w:val="20"/>
          <w:szCs w:val="20"/>
          <w:color w:val="auto"/>
        </w:rPr>
      </w:pPr>
    </w:p>
    <w:p>
      <w:pPr>
        <w:jc w:val="both"/>
        <w:ind w:left="1080" w:right="140" w:hanging="532"/>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w:t>
      </w:r>
    </w:p>
    <w:p>
      <w:pPr>
        <w:spacing w:after="0" w:line="89"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common stock; or</w:t>
      </w:r>
    </w:p>
    <w:p>
      <w:pPr>
        <w:spacing w:after="0" w:line="75" w:lineRule="exact"/>
        <w:rPr>
          <w:rFonts w:ascii="Arial" w:cs="Arial" w:eastAsia="Arial" w:hAnsi="Arial"/>
          <w:sz w:val="18"/>
          <w:szCs w:val="18"/>
          <w:color w:val="auto"/>
        </w:rPr>
      </w:pPr>
    </w:p>
    <w:p>
      <w:pPr>
        <w:ind w:left="1080" w:right="300" w:hanging="532"/>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engage in any hedging or other transaction designed or intended, or which could reasonably be expected to lead to or result in, a sale or disposition of any shares of common stock, or any securities convertible into or exercisable or exchangeable for common stock.</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are subject to specified exceptions, including, without limitation:</w:t>
      </w:r>
    </w:p>
    <w:p>
      <w:pPr>
        <w:spacing w:after="0" w:line="131" w:lineRule="exact"/>
        <w:rPr>
          <w:sz w:val="20"/>
          <w:szCs w:val="20"/>
          <w:color w:val="auto"/>
        </w:rPr>
      </w:pPr>
    </w:p>
    <w:p>
      <w:pPr>
        <w:ind w:left="1080" w:right="260" w:hanging="532"/>
        <w:spacing w:after="0" w:line="31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transactions related to shares of our common stock or other securities acquired in this offering or in open market transactions after the completion of this offering, provided no public announcement or filing under Section 16 of the Exchange Act be required or voluntarily made in connection with subsequent sales of the common stock or other securities acquired in such open market transactions;</w:t>
      </w:r>
    </w:p>
    <w:p>
      <w:pPr>
        <w:spacing w:after="0" w:line="54" w:lineRule="exact"/>
        <w:rPr>
          <w:rFonts w:ascii="Arial" w:cs="Arial" w:eastAsia="Arial" w:hAnsi="Arial"/>
          <w:sz w:val="16"/>
          <w:szCs w:val="16"/>
          <w:color w:val="auto"/>
        </w:rPr>
      </w:pPr>
    </w:p>
    <w:p>
      <w:pPr>
        <w:ind w:left="1080" w:right="2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as a bona fide gift or charitable contribution, by will or intestate succession, or to an immediate family member or to certain trusts, provided that no filing under Section 16 of the Exchange Act shall be required or voluntarily made;</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other securities by a stockholder that is a trust to a trustor or beneficiary of the trust or to the estate of a beneficiary of such trust provided that no filing under Section 16 of the Exchange Act shall be required or voluntarily made;</w:t>
      </w:r>
    </w:p>
    <w:p>
      <w:pPr>
        <w:spacing w:after="0" w:line="89"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distributions of our common stock or any security convertible into or exercisable or exchangeable for common stock to limited partners, members, stockholders or holders of similar equity interests, or transfers of shares of common stock or any security convertible into or exercisable or exchangeable for common stock to another corporation, partnership, limited liability company, trust or other business entity that is an affiliate, or to any investment fund or other entity controlled or managed by an affiliate, provided that no filing under Section 16 of the Exchange Act shall be required or voluntarily made;</w:t>
      </w:r>
    </w:p>
    <w:p>
      <w:pPr>
        <w:spacing w:after="0" w:line="93"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transfers of our common stock or any security convertible into or exercisable or exchangeable for common stock pursuant to a domestic order or divorce, provided that any filing required by Section 16 of the Exchange Act shall clearly indicate in the footnotes thereto that such transfer is being made pursuant to these circumstances and that no other public announcement or filing shall be required or shall be voluntarily made;</w:t>
      </w:r>
    </w:p>
    <w:p>
      <w:pPr>
        <w:spacing w:after="0" w:line="92" w:lineRule="exact"/>
        <w:rPr>
          <w:rFonts w:ascii="Arial" w:cs="Arial" w:eastAsia="Arial" w:hAnsi="Arial"/>
          <w:sz w:val="18"/>
          <w:szCs w:val="18"/>
          <w:color w:val="auto"/>
        </w:rPr>
      </w:pPr>
    </w:p>
    <w:p>
      <w:pPr>
        <w:ind w:left="1080" w:hanging="532"/>
        <w:spacing w:after="0" w:line="26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exercise, vesting or settlement of options, restricted stock units or other equity awards granted under a stock incentive plan or other equity award plan as described in the prospectus, or transfers or disposition of shares of our common stock or any security convertible into or exercisable or exchangeable for common stock to us upon a vesting or settlement event of our restricted stock units or other securities or the exercise of warrants or options to purchase our securities on a “cashless” or “net exercise” basis to cover estimated taxes, withholding tax and remittance obligations in connection with such vesting, settlement or exercise, insofar as such vesting, settlement or exercise is effected solely by the surrender of outstanding options (or the common stock issuable upon the exercise thereof) or shares of common stock to the Company and our cancellation of all or a portion thereof, provided that no filing under Section 16 of the Exchange Act shall be voluntarily made during the restricted period, and any filing under Section 16 of the Exchange Act reporting a reduction in the beneficial ownership of common Stock that is required to be made during the restricted period will include a statement that such transaction reflects these circumstances;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532"/>
        <w:spacing w:after="0" w:line="272"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pursuant to any contractual arrangement in effect on the date of the underwriting agreement and disclosed to the underwriters in writing that provides for the repurchase by us of common stock or any security convertible into or exercisable or exchangeable for common stock pursuant to a repurchase right arising in connection with the termination of employment with or service to the Company; provided that any filing under Section 16 of the Exchange Act reporting a reduction in beneficial ownership of common stock indicates by footnote disclosure or otherwise the nature of the transfer or disposition pursuant to these circumstances and that no other public announcement or filing shall be required or shall be voluntarily made;</w:t>
      </w:r>
    </w:p>
    <w:p>
      <w:pPr>
        <w:spacing w:after="0" w:line="82" w:lineRule="exact"/>
        <w:rPr>
          <w:rFonts w:ascii="Arial" w:cs="Arial" w:eastAsia="Arial" w:hAnsi="Arial"/>
          <w:sz w:val="17"/>
          <w:szCs w:val="17"/>
          <w:color w:val="auto"/>
        </w:rPr>
      </w:pPr>
    </w:p>
    <w:p>
      <w:pPr>
        <w:ind w:left="1080" w:hanging="532"/>
        <w:spacing w:after="0" w:line="255"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transfers of our common stock or any security convertible into or exercisable or exchangeable for common stock in connection with a bona fide third-party tender offer, merger, consolidation or other similar transaction made to all holders of our common stock involving a change of control of our Company that has been approved by our board of directors and is open to all holders of our common stock, provided that in the event that such tender offer, merger, consolidation or other such transaction is not completed, the securities shall continue to be subject to the restrictions on transfer set forth in the lock-up agreement, and provided that no filing under Section 16 of the Exchange Act shall be required or voluntarily made;</w:t>
      </w:r>
    </w:p>
    <w:p>
      <w:pPr>
        <w:spacing w:after="0" w:line="97" w:lineRule="exact"/>
        <w:rPr>
          <w:rFonts w:ascii="Arial" w:cs="Arial" w:eastAsia="Arial" w:hAnsi="Arial"/>
          <w:sz w:val="18"/>
          <w:szCs w:val="18"/>
          <w:color w:val="auto"/>
        </w:rPr>
      </w:pPr>
    </w:p>
    <w:p>
      <w:pPr>
        <w:ind w:left="1080" w:right="60" w:hanging="532"/>
        <w:spacing w:after="0" w:line="25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Trading Plan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during the restricted period, such announcement or filing shall include a statement to the effect that no transfer of common stock may be made under such plan during the restricted period; and</w:t>
      </w:r>
    </w:p>
    <w:p>
      <w:pPr>
        <w:spacing w:after="0" w:line="93"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of shares of common stock pursuant to a 10b5-1 Trading Plan (provided that such plan was established prior to the execution of the lock-up agreement), provided that any filing under Section 16(a) of the Exchange Act that is made in connection with any such sales during the restricted period shall state that such sales have been executed under a 10b5-1 Trading Plan and shall also state the date such 10b5-1 Trading Plan was adopted.</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Certain of the exceptions described above are subject to a requirement that the donee, trustee, transferee or distributee enter into a lock-up agreement with the underwriters containing similar restrictions. Certain of the exceptions described above are subject to a requirement that the transfer or distribution does not involve a disposition for value.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Morgan Stanley &amp; Co. LLC and Piper Sandler &amp; Co.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shares of common stock and pre-funded warrant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or pre-funded warrant shares must be made in accordance with an exemption from, or in a transaction not subject to, the prospectus requirements of applicable securities laws.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9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securities shall require us or the underwriter to publish a prospectus pursuant to Article 3 of the Prospectus Regulation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Prospectus Regulation.</w:t>
      </w:r>
    </w:p>
    <w:p>
      <w:pPr>
        <w:spacing w:after="0" w:line="170"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FSMA),</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securities shall require us or the underwriter to publish a prospectus pursuant to Section 85 of the FSMA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(the UK Prospectus Regulation).</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Any invitation or inducement to engage in investment activity (within the meaning of Section 21 of the FSMA) in connection with the issue or sale of any securities may only be communicated or caused to be communicated in circumstances in which Section 21(1) of the FSMA does not apply to the Company. Each purchaser of securities must comply with all applicable provisions of the FSMA and the Financial Services Act 2012 with respect to anything done by it in relation to any securities in, from or otherwise involving the United Kingdom.</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supplement is only being distributed to, and is only directed at, persons in the United Kingdom that are qualified investors as defined in the UK Prospectus Regulation that are also (i) investment professionals falling within Article 19(5) of the Financial Services and Markets Act 2000 (Financial Promotion) Order 2005 (as amended, the Order) or (ii) high net worth entities, and other persons to whom it may lawfully be communicated, falling within Article 49(2)(a) to (d) of the Order or (iii) persons to whom an invitation or inducement to engage in investment activity (within the meaning of section 21 of the FSMA) in connection with the issue or sale of any securities may otherwise lawfully be communicated or caused to be communicated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shares of common stock and pre-funded warrant shares may not be publicly offered in Switzerland and will not be listed on the SIX Swiss Exchange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of common stock and pre-funded warrant shares or the offering may be publicly distributed or otherwise made publicly available in Switzerland.</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Company, the shares of common stock or the pre-funded warrant shares have been or will be filed with or approved by any Swiss regulatory authority. In particular, this prospectus supplement will not be filed with, and the offer of shares of common stock and pre-funded warrant shares will not be supervised by, the Swiss Financial Market Supervisory Authority, and the offer of these securities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Center, or DIFC</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This prospectus supplement relates to an Exempt Offer in accordance with the Markets Rules 2012 of the Dubai Financial Services Authority, or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7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supplement and the accompanying prospectus:</w:t>
      </w:r>
    </w:p>
    <w:p>
      <w:pPr>
        <w:spacing w:after="0" w:line="13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shares of common stock and pre-funded warrant shares may not be directly or indirectly offered for subscription or purchased or sold, and no invitations to subscribe for or buy the shares of common stock or pre-funded warrant shares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any offer of shares of common stock and pre-funded warrant shares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shares of common stock and pre-funded warrant shares have not been offered or sold and will not be offered or sold in Hong Kong, by means of any document, other than (a) to “professional investors” as defined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shares of common stock and pre-funded warrant shares have not been and will not be registered pursuant to Article 4, Paragraph 1 of the Financial Instruments and Exchange Act. Accordingly, none of the shares of common stock or pre-funded warrant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 Securities and Futures Act Production Classification</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Solely for the purposes of its obligations pursuant to sections 309B(1)(a) and 309B(1)(c) of the Securities and Futures Act (Chapter 289 of Singapore) (the SFA), we have determined, and hereby notify all relevant persons (as defined in Section 309A of the SFA) that the shares of common stock and pre-funded warrants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shares of common stock and pre-funded warrants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is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This prospectus supplement will not be circulated or distributed in the People’s Republic of China (the PRC) and the common shares and pre-funded warrant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common shares and pre-funded warrant shares have not been and will not be registered under the Financial Investments Services and Capital Markets Act of Korea and the decrees and regulations thereunder, or the FSCMA, and the common shares and pre-funded warrant shares have been and will be offered in Korea as a private placement under the FSCMA. None of the common shares or pre-funded warrant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securities shall comply with all applicable regulatory requirements (including but not limited to requirements under the FETL) in connection with the purchase of the common shares or pre-funded warrant shares. By the purchase of the common shares or pre-funded warrant shares, the relevant holder thereof will be deemed to represent and warrant that if it is in Korea or is a resident of Korea, it purchased the common shares or pre-funded warrant shares pursuant to the applicable laws and regulations of Korea.</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securities in South Africa. Accordingly, this prospectus supplement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applies: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96 (1)(a) the offer, transfer, sale, renunciation or delivery is to:</w:t>
      </w:r>
    </w:p>
    <w:p>
      <w:pPr>
        <w:spacing w:after="0" w:line="131" w:lineRule="exact"/>
        <w:rPr>
          <w:sz w:val="20"/>
          <w:szCs w:val="20"/>
          <w:color w:val="auto"/>
        </w:rPr>
      </w:pPr>
    </w:p>
    <w:p>
      <w:pPr>
        <w:ind w:left="1300" w:hanging="3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30" w:lineRule="exact"/>
        <w:rPr>
          <w:rFonts w:ascii="Arial" w:cs="Arial" w:eastAsia="Arial" w:hAnsi="Arial"/>
          <w:sz w:val="18"/>
          <w:szCs w:val="18"/>
          <w:color w:val="auto"/>
        </w:rPr>
      </w:pPr>
    </w:p>
    <w:p>
      <w:pPr>
        <w:ind w:left="1300" w:hanging="43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30" w:lineRule="exact"/>
        <w:rPr>
          <w:rFonts w:ascii="Arial" w:cs="Arial" w:eastAsia="Arial" w:hAnsi="Arial"/>
          <w:sz w:val="18"/>
          <w:szCs w:val="18"/>
          <w:color w:val="auto"/>
        </w:rPr>
      </w:pPr>
    </w:p>
    <w:p>
      <w:pPr>
        <w:ind w:left="1300" w:hanging="48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30" w:lineRule="exact"/>
        <w:rPr>
          <w:rFonts w:ascii="Arial" w:cs="Arial" w:eastAsia="Arial" w:hAnsi="Arial"/>
          <w:sz w:val="18"/>
          <w:szCs w:val="18"/>
          <w:color w:val="auto"/>
        </w:rPr>
      </w:pPr>
    </w:p>
    <w:p>
      <w:pPr>
        <w:ind w:left="1300" w:hanging="47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30" w:lineRule="exact"/>
        <w:rPr>
          <w:rFonts w:ascii="Arial" w:cs="Arial" w:eastAsia="Arial" w:hAnsi="Arial"/>
          <w:sz w:val="18"/>
          <w:szCs w:val="18"/>
          <w:color w:val="auto"/>
        </w:rPr>
      </w:pPr>
    </w:p>
    <w:p>
      <w:pPr>
        <w:ind w:left="1300" w:hanging="42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30" w:lineRule="exact"/>
        <w:rPr>
          <w:rFonts w:ascii="Arial" w:cs="Arial" w:eastAsia="Arial" w:hAnsi="Arial"/>
          <w:sz w:val="18"/>
          <w:szCs w:val="18"/>
          <w:color w:val="auto"/>
        </w:rPr>
      </w:pPr>
    </w:p>
    <w:p>
      <w:pPr>
        <w:ind w:left="1300" w:right="380" w:hanging="472"/>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89" w:lineRule="exact"/>
        <w:rPr>
          <w:rFonts w:ascii="Arial" w:cs="Arial" w:eastAsia="Arial" w:hAnsi="Arial"/>
          <w:sz w:val="18"/>
          <w:szCs w:val="18"/>
          <w:color w:val="auto"/>
        </w:rPr>
      </w:pPr>
    </w:p>
    <w:p>
      <w:pPr>
        <w:ind w:left="1300" w:hanging="52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combination of the persons in (i) to (vi);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Section 96 (1)(b) the total contemplated acquisition cost of the securities, for any single addressee acting as principal is equal to or greater than ZAR 1,000,000 or such higher amount as may be promulgated by notice in the Government Gazette of South Africa pursuant to Section 96(2)(a) of the South African Companies Act.</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17"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common shares or pre-funded warrant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5728- 1968. We have not and will not distribute this prospectus supplement or make, distribute or direct an offer to subscribe for our common shares or pre-funded warrant shares to any person within the State of Israel, other than to Qualified Investors and up to 35 Addressed Investors.</w:t>
      </w:r>
    </w:p>
    <w:p>
      <w:pPr>
        <w:spacing w:after="0" w:line="19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5728-1968. In particular, we may request, as a condition to be offered common shares and pre-funded warrant shares,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shares and pre-funded warrant shares; (iv) that the common shares and pre-funded warrant shares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validity of the securities offered hereby will be passed upon for us by Wilson Sonsini Goodrich &amp; Rosati, Professional Corporation, Palo Alto, California. Davis Polk &amp; Wardwell LLP, Menlo Park, California, is acting as counsel for the underwriters.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 financial statements of Tenaya Therapeutics, Inc. as of December 31, 2021 and 2020, and for each of the two years in the period ended December 31, 2021, incorporated by reference in this prospectus supplement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We also maintain a website at www.tenayatherapeutics.com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74"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62">
        <w:r>
          <w:rPr>
            <w:rFonts w:ascii="Arial" w:cs="Arial" w:eastAsia="Arial" w:hAnsi="Arial"/>
            <w:sz w:val="18"/>
            <w:szCs w:val="18"/>
            <w:u w:val="single" w:color="auto"/>
            <w:color w:val="0000EE"/>
          </w:rPr>
          <w:t>March 31, 2022</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June 30,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4">
        <w:r>
          <w:rPr>
            <w:rFonts w:ascii="Arial" w:cs="Arial" w:eastAsia="Arial" w:hAnsi="Arial"/>
            <w:sz w:val="18"/>
            <w:szCs w:val="18"/>
            <w:u w:val="single" w:color="auto"/>
            <w:color w:val="0000EE"/>
          </w:rPr>
          <w:t>September 30,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w:t>
      </w:r>
      <w:hyperlink r:id="rId65">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that are incorporated by reference into our Annual Report on Form 10-K, filed with the SEC on April 28, 2022;</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66">
        <w:r>
          <w:rPr>
            <w:rFonts w:ascii="Arial" w:cs="Arial" w:eastAsia="Arial" w:hAnsi="Arial"/>
            <w:sz w:val="18"/>
            <w:szCs w:val="18"/>
            <w:u w:val="single" w:color="auto"/>
            <w:color w:val="0000EE"/>
          </w:rPr>
          <w:t>June 10, 2022</w:t>
        </w:r>
      </w:hyperlink>
      <w:r>
        <w:rPr>
          <w:rFonts w:ascii="Arial" w:cs="Arial" w:eastAsia="Arial" w:hAnsi="Arial"/>
          <w:sz w:val="18"/>
          <w:szCs w:val="18"/>
          <w:color w:val="auto"/>
        </w:rPr>
        <w:t xml:space="preserve">, and </w:t>
      </w:r>
      <w:hyperlink r:id="rId67">
        <w:r>
          <w:rPr>
            <w:rFonts w:ascii="Arial" w:cs="Arial" w:eastAsia="Arial" w:hAnsi="Arial"/>
            <w:sz w:val="18"/>
            <w:szCs w:val="18"/>
            <w:u w:val="single" w:color="auto"/>
            <w:color w:val="0000EE"/>
          </w:rPr>
          <w:t>August 10,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w:t>
      </w:r>
      <w:hyperlink r:id="rId6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thereto, filed on July 23, 2021, including any amendment or report filed for the purpose of updating such description.</w:t>
      </w:r>
    </w:p>
    <w:p>
      <w:pPr>
        <w:spacing w:after="0" w:line="170" w:lineRule="exact"/>
        <w:rPr>
          <w:rFonts w:ascii="Arial" w:cs="Arial" w:eastAsia="Arial" w:hAnsi="Arial"/>
          <w:sz w:val="18"/>
          <w:szCs w:val="18"/>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will furnish without charge to each person to whom this prospectus supplement is delivered, upon written or oral request, a copy of any or all of the documents incorporated by reference, including exhibits to these documents. You can request a copy of these filings by writing or telephoning us at the following address or telephone number:</w:t>
      </w:r>
    </w:p>
    <w:p>
      <w:pPr>
        <w:spacing w:after="0" w:line="76"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Tenaya Therapeutics, Inc.</w:t>
      </w:r>
    </w:p>
    <w:p>
      <w:pPr>
        <w:spacing w:after="0" w:line="23"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(650) 825-6990</w:t>
      </w:r>
    </w:p>
    <w:p>
      <w:pPr>
        <w:spacing w:after="0" w:line="211" w:lineRule="exact"/>
        <w:rPr>
          <w:rFonts w:ascii="Arial" w:cs="Arial" w:eastAsia="Arial" w:hAnsi="Arial"/>
          <w:sz w:val="18"/>
          <w:szCs w:val="18"/>
          <w:color w:val="auto"/>
        </w:rPr>
      </w:pPr>
    </w:p>
    <w:p>
      <w:pPr>
        <w:jc w:val="center"/>
        <w:ind w:left="48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supplement or any document incorporated herein is not, and should not be deemed to be, a part of this prospectus supplement.</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231775</wp:posOffset>
            </wp:positionV>
            <wp:extent cx="2580005" cy="9690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258000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Tenaya Therapeutics, Inc.</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$300,000,000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Preferred Stock</w:t>
      </w:r>
    </w:p>
    <w:p>
      <w:pPr>
        <w:jc w:val="center"/>
        <w:ind w:right="-119"/>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119"/>
        <w:spacing w:after="0" w:line="231" w:lineRule="auto"/>
        <w:rPr>
          <w:sz w:val="20"/>
          <w:szCs w:val="20"/>
          <w:color w:val="auto"/>
        </w:rPr>
      </w:pPr>
      <w:r>
        <w:rPr>
          <w:rFonts w:ascii="Arial" w:cs="Arial" w:eastAsia="Arial" w:hAnsi="Arial"/>
          <w:sz w:val="22"/>
          <w:szCs w:val="22"/>
          <w:b w:val="1"/>
          <w:bCs w:val="1"/>
          <w:color w:val="auto"/>
        </w:rPr>
        <w:t>Depositary Shares</w:t>
      </w:r>
    </w:p>
    <w:p>
      <w:pPr>
        <w:jc w:val="center"/>
        <w:ind w:right="-119"/>
        <w:spacing w:after="0" w:line="230" w:lineRule="auto"/>
        <w:rPr>
          <w:sz w:val="20"/>
          <w:szCs w:val="20"/>
          <w:color w:val="auto"/>
        </w:rPr>
      </w:pPr>
      <w:r>
        <w:rPr>
          <w:rFonts w:ascii="Arial" w:cs="Arial" w:eastAsia="Arial" w:hAnsi="Arial"/>
          <w:sz w:val="22"/>
          <w:szCs w:val="22"/>
          <w:b w:val="1"/>
          <w:bCs w:val="1"/>
          <w:color w:val="auto"/>
        </w:rPr>
        <w:t>Warrants</w:t>
      </w:r>
    </w:p>
    <w:p>
      <w:pPr>
        <w:jc w:val="center"/>
        <w:ind w:right="-119"/>
        <w:spacing w:after="0" w:line="231" w:lineRule="auto"/>
        <w:rPr>
          <w:sz w:val="20"/>
          <w:szCs w:val="20"/>
          <w:color w:val="auto"/>
        </w:rPr>
      </w:pPr>
      <w:r>
        <w:rPr>
          <w:rFonts w:ascii="Arial" w:cs="Arial" w:eastAsia="Arial" w:hAnsi="Arial"/>
          <w:sz w:val="22"/>
          <w:szCs w:val="22"/>
          <w:b w:val="1"/>
          <w:bCs w:val="1"/>
          <w:color w:val="auto"/>
        </w:rPr>
        <w:t>Subscription Rights</w:t>
      </w:r>
    </w:p>
    <w:p>
      <w:pPr>
        <w:jc w:val="center"/>
        <w:ind w:right="-119"/>
        <w:spacing w:after="0" w:line="230" w:lineRule="auto"/>
        <w:rPr>
          <w:sz w:val="20"/>
          <w:szCs w:val="20"/>
          <w:color w:val="auto"/>
        </w:rPr>
      </w:pPr>
      <w:r>
        <w:rPr>
          <w:rFonts w:ascii="Arial" w:cs="Arial" w:eastAsia="Arial" w:hAnsi="Arial"/>
          <w:sz w:val="22"/>
          <w:szCs w:val="22"/>
          <w:b w:val="1"/>
          <w:bCs w:val="1"/>
          <w:color w:val="auto"/>
        </w:rPr>
        <w:t>Purchase Contracts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6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“TNYA.” Each prospectus supplement will indicate whether the securities offered thereby will be listed on any securities exchange.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an “emerging growth company” and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Investing in these securities involves risks. Please carefully read the information under the headings “</w:t>
      </w:r>
      <w:r>
        <w:rPr>
          <w:rFonts w:ascii="Arial" w:cs="Arial" w:eastAsia="Arial" w:hAnsi="Arial"/>
          <w:sz w:val="19"/>
          <w:szCs w:val="19"/>
          <w:b w:val="1"/>
          <w:bCs w:val="1"/>
          <w:u w:val="single" w:color="auto"/>
          <w:color w:val="0000EE"/>
        </w:rPr>
        <w:t>Risk Factors</w:t>
      </w:r>
    </w:p>
    <w:p>
      <w:pPr>
        <w:spacing w:after="0" w:line="49" w:lineRule="exact"/>
        <w:rPr>
          <w:sz w:val="20"/>
          <w:szCs w:val="20"/>
          <w:color w:val="auto"/>
        </w:rPr>
      </w:pPr>
    </w:p>
    <w:p>
      <w:pPr>
        <w:ind w:left="120" w:right="340"/>
        <w:spacing w:after="0" w:line="234" w:lineRule="auto"/>
        <w:rPr>
          <w:sz w:val="20"/>
          <w:szCs w:val="20"/>
          <w:color w:val="auto"/>
        </w:rPr>
      </w:pPr>
      <w:r>
        <w:rPr>
          <w:rFonts w:ascii="Arial" w:cs="Arial" w:eastAsia="Arial" w:hAnsi="Arial"/>
          <w:sz w:val="22"/>
          <w:szCs w:val="22"/>
          <w:b w:val="1"/>
          <w:bCs w:val="1"/>
          <w:color w:val="auto"/>
        </w:rPr>
        <w:t>” beginning on page 5 of this prospectus, any similar section contained in the applicable prospectus supplement, and “Item 1A—Risk Factors” of our most recent report on Form 10-K or 10-Q that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August 17, 2022.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Arial" w:cs="Arial" w:eastAsia="Arial" w:hAnsi="Arial"/>
                <w:sz w:val="18"/>
                <w:szCs w:val="18"/>
                <w:color w:val="0000EE"/>
                <w:w w:val="89"/>
              </w:rPr>
              <w:t>About this Prospectus</w:t>
            </w:r>
          </w:p>
        </w:tc>
        <w:tc>
          <w:tcPr>
            <w:tcW w:w="2120" w:type="dxa"/>
            <w:vAlign w:val="bottom"/>
            <w:gridSpan w:val="9"/>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120" w:type="dxa"/>
            <w:vAlign w:val="bottom"/>
            <w:gridSpan w:val="9"/>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Risk Factors</w:t>
            </w:r>
          </w:p>
        </w:tc>
        <w:tc>
          <w:tcPr>
            <w:tcW w:w="21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Use of Proceeds</w:t>
            </w:r>
          </w:p>
        </w:tc>
        <w:tc>
          <w:tcPr>
            <w:tcW w:w="160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52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Description of Warrants</w:t>
            </w:r>
          </w:p>
        </w:tc>
        <w:tc>
          <w:tcPr>
            <w:tcW w:w="132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Description of Subscription Rights</w:t>
            </w:r>
          </w:p>
        </w:tc>
        <w:tc>
          <w:tcPr>
            <w:tcW w:w="12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Description of Purchase Contracts</w:t>
            </w:r>
          </w:p>
        </w:tc>
        <w:tc>
          <w:tcPr>
            <w:tcW w:w="124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Units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5"/>
              </w:rPr>
              <w:t>Plan of Distribution</w:t>
            </w:r>
          </w:p>
        </w:tc>
        <w:tc>
          <w:tcPr>
            <w:tcW w:w="224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Legal Matters</w:t>
            </w:r>
          </w:p>
        </w:tc>
        <w:tc>
          <w:tcPr>
            <w:tcW w:w="2280" w:type="dxa"/>
            <w:vAlign w:val="bottom"/>
            <w:gridSpan w:val="1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2700" w:type="dxa"/>
            <w:vAlign w:val="bottom"/>
            <w:gridSpan w:val="1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This prospectus provides you with a general description of the securities that may be offered.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You should read both this prospectus and any applicable prospectus supplement and free writing prospectus together with the additional information described under the heading “Where You Can Find More Information” and “Incorporation by Reference.” If there is any inconsistency between the information in this prospectus and the applicable prospectus supplement or free writing prospectus, you should rely on the prospectus supplement or free writing prospectus, as applicable.</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84"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187" w:lineRule="exact"/>
        <w:rPr>
          <w:sz w:val="20"/>
          <w:szCs w:val="20"/>
          <w:color w:val="auto"/>
        </w:rPr>
      </w:pPr>
    </w:p>
    <w:p>
      <w:pPr>
        <w:ind w:left="300" w:right="160" w:firstLine="426"/>
        <w:spacing w:after="0" w:line="284" w:lineRule="auto"/>
        <w:rPr>
          <w:sz w:val="20"/>
          <w:szCs w:val="20"/>
          <w:color w:val="auto"/>
        </w:rPr>
      </w:pPr>
      <w:r>
        <w:rPr>
          <w:rFonts w:ascii="Arial" w:cs="Arial" w:eastAsia="Arial" w:hAnsi="Arial"/>
          <w:sz w:val="16"/>
          <w:szCs w:val="16"/>
          <w:color w:val="auto"/>
        </w:rPr>
        <w:t>The most advanced product candidate from our Gene Therapy Platform is TN-201. TN-201 is an adeno-associated virus (AAV)-based gene therapy that addresses genetic hypertrophic cardiomyopathy (HCM) caused by Myosin Binding Protein C3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Arial" w:cs="Arial" w:eastAsia="Arial" w:hAnsi="Arial"/>
          <w:sz w:val="16"/>
          <w:szCs w:val="16"/>
          <w:i w:val="1"/>
          <w:iCs w:val="1"/>
          <w:color w:val="auto"/>
        </w:rPr>
        <w:t>MYBPC3</w:t>
      </w:r>
    </w:p>
    <w:p>
      <w:pPr>
        <w:spacing w:after="0" w:line="4" w:lineRule="exact"/>
        <w:rPr>
          <w:sz w:val="20"/>
          <w:szCs w:val="20"/>
          <w:color w:val="auto"/>
        </w:rPr>
      </w:pPr>
    </w:p>
    <w:p>
      <w:pPr>
        <w:ind w:left="300"/>
        <w:spacing w:after="0" w:line="290" w:lineRule="auto"/>
        <w:rPr>
          <w:sz w:val="20"/>
          <w:szCs w:val="20"/>
          <w:color w:val="auto"/>
        </w:rPr>
      </w:pPr>
      <w:r>
        <w:rPr>
          <w:rFonts w:ascii="Arial" w:cs="Arial" w:eastAsia="Arial" w:hAnsi="Arial"/>
          <w:sz w:val="17"/>
          <w:szCs w:val="17"/>
          <w:color w:val="auto"/>
        </w:rPr>
        <w:t xml:space="preserve">gene mutation carriers with symptomatic non-obstructive HCM. TN-201 has been granted orphan drug designation by both the U.S. Food and Drug Administration (FDA) and the European Commission for the potential treatment of HCM due to mutations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w:t>
      </w:r>
    </w:p>
    <w:p>
      <w:pPr>
        <w:spacing w:after="0" w:line="161" w:lineRule="exact"/>
        <w:rPr>
          <w:sz w:val="20"/>
          <w:szCs w:val="20"/>
          <w:color w:val="auto"/>
        </w:rPr>
      </w:pPr>
    </w:p>
    <w:p>
      <w:pPr>
        <w:ind w:left="300" w:right="280" w:firstLine="426"/>
        <w:spacing w:after="0" w:line="275" w:lineRule="auto"/>
        <w:rPr>
          <w:sz w:val="20"/>
          <w:szCs w:val="20"/>
          <w:color w:val="auto"/>
        </w:rPr>
      </w:pPr>
      <w:r>
        <w:rPr>
          <w:rFonts w:ascii="Arial" w:cs="Arial" w:eastAsia="Arial" w:hAnsi="Arial"/>
          <w:sz w:val="17"/>
          <w:szCs w:val="17"/>
          <w:color w:val="auto"/>
        </w:rPr>
        <w:t xml:space="preserve">In 2021, we initiated a global natural history study to improve our understanding of disease progression and unmet need in individuals carrying mutations in the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76"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188" w:lineRule="exact"/>
        <w:rPr>
          <w:sz w:val="20"/>
          <w:szCs w:val="20"/>
          <w:color w:val="auto"/>
        </w:rPr>
      </w:pPr>
    </w:p>
    <w:p>
      <w:pPr>
        <w:jc w:val="both"/>
        <w:ind w:left="300" w:right="300" w:firstLine="426"/>
        <w:spacing w:after="0" w:line="263" w:lineRule="auto"/>
        <w:rPr>
          <w:sz w:val="20"/>
          <w:szCs w:val="20"/>
          <w:color w:val="auto"/>
        </w:rPr>
      </w:pPr>
      <w:r>
        <w:rPr>
          <w:rFonts w:ascii="Arial" w:cs="Arial" w:eastAsia="Arial" w:hAnsi="Arial"/>
          <w:sz w:val="18"/>
          <w:szCs w:val="18"/>
          <w:color w:val="auto"/>
        </w:rPr>
        <w:t>TN-401, another product candidate from our Gene Therapy Platform, uses an AAV-based gene therapy to address genetic arrhythmogenic right ventricular cardiomyopathy (ARVC) caused by plakophilin 2 (</w:t>
      </w:r>
      <w:r>
        <w:rPr>
          <w:rFonts w:ascii="Arial" w:cs="Arial" w:eastAsia="Arial" w:hAnsi="Arial"/>
          <w:sz w:val="18"/>
          <w:szCs w:val="18"/>
          <w:i w:val="1"/>
          <w:iCs w:val="1"/>
          <w:color w:val="auto"/>
        </w:rPr>
        <w:t>PKP2</w:t>
      </w:r>
      <w:r>
        <w:rPr>
          <w:rFonts w:ascii="Arial" w:cs="Arial" w:eastAsia="Arial" w:hAnsi="Arial"/>
          <w:sz w:val="18"/>
          <w:szCs w:val="18"/>
          <w:color w:val="auto"/>
        </w:rPr>
        <w:t>) gene mutations. ARVC is characterized by enlargement of the right ventricle in affected individuals, replacement</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59" w:lineRule="auto"/>
        <w:rPr>
          <w:sz w:val="20"/>
          <w:szCs w:val="20"/>
          <w:color w:val="auto"/>
        </w:rPr>
      </w:pPr>
      <w:r>
        <w:rPr>
          <w:rFonts w:ascii="Arial" w:cs="Arial" w:eastAsia="Arial" w:hAnsi="Arial"/>
          <w:sz w:val="18"/>
          <w:szCs w:val="18"/>
          <w:color w:val="auto"/>
        </w:rPr>
        <w:t>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187" w:lineRule="exact"/>
        <w:rPr>
          <w:sz w:val="20"/>
          <w:szCs w:val="20"/>
          <w:color w:val="auto"/>
        </w:rPr>
      </w:pPr>
    </w:p>
    <w:p>
      <w:pPr>
        <w:ind w:left="300" w:right="40" w:firstLine="426"/>
        <w:spacing w:after="0" w:line="296" w:lineRule="auto"/>
        <w:rPr>
          <w:sz w:val="20"/>
          <w:szCs w:val="20"/>
          <w:color w:val="auto"/>
        </w:rPr>
      </w:pPr>
      <w:r>
        <w:rPr>
          <w:rFonts w:ascii="Arial" w:cs="Arial" w:eastAsia="Arial" w:hAnsi="Arial"/>
          <w:sz w:val="16"/>
          <w:szCs w:val="16"/>
          <w:color w:val="auto"/>
        </w:rPr>
        <w:t>Our earlier-stage discovery programs include an AAV-based gene therapy designed to express the Dwarf Open Reading Frame (</w:t>
      </w:r>
      <w:r>
        <w:rPr>
          <w:rFonts w:ascii="Arial" w:cs="Arial" w:eastAsia="Arial" w:hAnsi="Arial"/>
          <w:sz w:val="16"/>
          <w:szCs w:val="16"/>
          <w:i w:val="1"/>
          <w:iCs w:val="1"/>
          <w:color w:val="auto"/>
        </w:rPr>
        <w:t>DWORF</w:t>
      </w:r>
      <w:r>
        <w:rPr>
          <w:rFonts w:ascii="Arial" w:cs="Arial" w:eastAsia="Arial" w:hAnsi="Arial"/>
          <w:sz w:val="16"/>
          <w:szCs w:val="16"/>
          <w:color w:val="auto"/>
        </w:rPr>
        <w:t>)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61" w:lineRule="exact"/>
        <w:rPr>
          <w:sz w:val="20"/>
          <w:szCs w:val="20"/>
          <w:color w:val="auto"/>
        </w:rPr>
      </w:pPr>
    </w:p>
    <w:p>
      <w:pPr>
        <w:ind w:left="300" w:right="140" w:firstLine="426"/>
        <w:spacing w:after="0" w:line="254" w:lineRule="auto"/>
        <w:rPr>
          <w:sz w:val="20"/>
          <w:szCs w:val="20"/>
          <w:color w:val="auto"/>
        </w:rPr>
      </w:pPr>
      <w:r>
        <w:rPr>
          <w:rFonts w:ascii="Arial" w:cs="Arial" w:eastAsia="Arial" w:hAnsi="Arial"/>
          <w:sz w:val="18"/>
          <w:szCs w:val="18"/>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7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301" w:lineRule="auto"/>
        <w:rPr>
          <w:sz w:val="20"/>
          <w:szCs w:val="20"/>
          <w:color w:val="auto"/>
        </w:rPr>
      </w:pPr>
      <w:r>
        <w:rPr>
          <w:rFonts w:ascii="Arial" w:cs="Arial" w:eastAsia="Arial" w:hAnsi="Arial"/>
          <w:sz w:val="16"/>
          <w:szCs w:val="16"/>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Depositary Shares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may issue fractional shares of preferred stock that will be represented by depositary shares and depositary receipts.</w:t>
      </w:r>
    </w:p>
    <w:p>
      <w:pPr>
        <w:spacing w:after="0" w:line="225"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17" w:lineRule="exact"/>
        <w:rPr>
          <w:sz w:val="20"/>
          <w:szCs w:val="20"/>
          <w:color w:val="auto"/>
        </w:rPr>
      </w:pPr>
    </w:p>
    <w:p>
      <w:pPr>
        <w:ind w:left="300" w:right="200" w:firstLine="426"/>
        <w:spacing w:after="0" w:line="296"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1"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300" w:right="540" w:firstLine="426"/>
        <w:spacing w:after="0" w:line="277" w:lineRule="auto"/>
        <w:rPr>
          <w:sz w:val="20"/>
          <w:szCs w:val="20"/>
          <w:color w:val="auto"/>
        </w:rPr>
      </w:pPr>
      <w:r>
        <w:rPr>
          <w:rFonts w:ascii="Arial" w:cs="Arial" w:eastAsia="Arial" w:hAnsi="Arial"/>
          <w:sz w:val="18"/>
          <w:szCs w:val="18"/>
          <w:color w:val="auto"/>
        </w:rPr>
        <w:t>We may offer warrants for the purchase of common stock, preferred stock, debt securities or depositary shares. We may offer warrants independently or together with other securities.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Subscription Rights</w:t>
      </w:r>
    </w:p>
    <w:p>
      <w:pPr>
        <w:spacing w:after="0" w:line="117" w:lineRule="exact"/>
        <w:rPr>
          <w:sz w:val="20"/>
          <w:szCs w:val="20"/>
          <w:color w:val="auto"/>
        </w:rPr>
      </w:pPr>
    </w:p>
    <w:p>
      <w:pPr>
        <w:ind w:left="300" w:right="340" w:firstLine="426"/>
        <w:spacing w:after="0" w:line="286" w:lineRule="auto"/>
        <w:rPr>
          <w:sz w:val="20"/>
          <w:szCs w:val="20"/>
          <w:color w:val="auto"/>
        </w:rPr>
      </w:pPr>
      <w:r>
        <w:rPr>
          <w:rFonts w:ascii="Arial" w:cs="Arial" w:eastAsia="Arial" w:hAnsi="Arial"/>
          <w:sz w:val="17"/>
          <w:szCs w:val="17"/>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401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998970" cy="1401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Purchase Contracts</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We may offer purchase contracts, including contracts obligating holders or us to purchase from the other a specific or variable number of securities at a future date or dates.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Units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Reports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(Securities Act), and Section 21E of the Securities Exchange Act of 1934, as amended (Exchange Act).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9" w:right="5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description of our capital stock is incorporated by reference to </w:t>
      </w:r>
      <w:hyperlink r:id="rId87">
        <w:r>
          <w:rPr>
            <w:rFonts w:ascii="Arial" w:cs="Arial" w:eastAsia="Arial" w:hAnsi="Arial"/>
            <w:sz w:val="18"/>
            <w:szCs w:val="18"/>
            <w:u w:val="single" w:color="auto"/>
            <w:color w:val="0000EE"/>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year ended December 31, 2021, filed with the SEC on March 23, 2022.</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00"/>
          </w:cols>
          <w:pgMar w:left="320" w:top="459" w:right="1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76" w:lineRule="exact"/>
        <w:rPr>
          <w:sz w:val="20"/>
          <w:szCs w:val="20"/>
          <w:color w:val="auto"/>
        </w:rPr>
      </w:pPr>
    </w:p>
    <w:p>
      <w:pPr>
        <w:ind w:left="1080" w:right="4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320" w:firstLine="96"/>
        <w:spacing w:after="0" w:line="623" w:lineRule="auto"/>
        <w:tabs>
          <w:tab w:leader="none" w:pos="109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 Defeasance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we may be discharged from any and all obligations in respect of the debt securities of any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Defeasance of Certain Covenants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upon compliance with certain conditions:</w:t>
      </w:r>
    </w:p>
    <w:p>
      <w:pPr>
        <w:spacing w:after="0" w:line="76" w:lineRule="exact"/>
        <w:rPr>
          <w:sz w:val="20"/>
          <w:szCs w:val="20"/>
          <w:color w:val="auto"/>
        </w:rPr>
      </w:pPr>
    </w:p>
    <w:p>
      <w:pPr>
        <w:ind w:left="1080" w:right="16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73"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3"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to which we are a party;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right="360" w:firstLine="440"/>
        <w:spacing w:after="0" w:line="279" w:lineRule="auto"/>
        <w:rPr>
          <w:sz w:val="20"/>
          <w:szCs w:val="20"/>
          <w:color w:val="auto"/>
        </w:rPr>
      </w:pPr>
      <w:r>
        <w:rPr>
          <w:rFonts w:ascii="Arial" w:cs="Arial" w:eastAsia="Arial" w:hAnsi="Arial"/>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the Depositary</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59" w:right="5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76" w:lineRule="exact"/>
        <w:rPr>
          <w:sz w:val="20"/>
          <w:szCs w:val="20"/>
          <w:color w:val="auto"/>
        </w:rPr>
      </w:pPr>
    </w:p>
    <w:p>
      <w:pPr>
        <w:ind w:left="1080" w:right="1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requirement for us to make periodic payments to holders or vice versa, and whether the payments are unsecured or pre-funded;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securityholders.</w:t>
      </w:r>
    </w:p>
    <w:p>
      <w:pPr>
        <w:spacing w:after="0" w:line="23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a fixed price or prices that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84"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70"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underwriters and other persons acting as agents will not have any responsibility in respect of the validity or performance of delayed delivery contracts.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securities may be new issues of securities and may have no established trading market. Any common stock will be listed on The Nasdaq Global Select Market, but any other securities may or may not be listed on a national securities exchange. We can make no assurance as to the liquidity of or the existence of trading markets for any of the securities.</w:t>
      </w:r>
    </w:p>
    <w:p>
      <w:pPr>
        <w:spacing w:after="0" w:line="184"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 26</w:t>
      </w:r>
    </w:p>
    <w:p>
      <w:pPr>
        <w:sectPr>
          <w:pgSz w:w="11900" w:h="16838" w:orient="portrait"/>
          <w:cols w:equalWidth="0" w:num="1">
            <w:col w:w="11000"/>
          </w:cols>
          <w:pgMar w:left="320" w:top="459" w:right="5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validity of the issuance of our common stock offered in this prospectus supplement will be passed upon for us by Wilson Sonsini Goodrich &amp; Rosati, Professional Corporation, Palo Alto, California. Additional legal matters may be passed on for us, or any underwriters, dealers or agents by counsel we will name in the applicable prospectus supplement.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Copies of certain information filed by us with the SEC are also available on our website at </w:t>
      </w:r>
      <w:r>
        <w:rPr>
          <w:rFonts w:ascii="Arial" w:cs="Arial" w:eastAsia="Arial" w:hAnsi="Arial"/>
          <w:sz w:val="17"/>
          <w:szCs w:val="17"/>
          <w:i w:val="1"/>
          <w:iCs w:val="1"/>
          <w:color w:val="auto"/>
        </w:rPr>
        <w:t>www.tenayatherapeutics.com</w:t>
      </w:r>
      <w:r>
        <w:rPr>
          <w:rFonts w:ascii="Arial" w:cs="Arial" w:eastAsia="Arial" w:hAnsi="Arial"/>
          <w:sz w:val="17"/>
          <w:szCs w:val="17"/>
          <w:color w:val="auto"/>
        </w:rPr>
        <w:t>. Information accessible on or through our website is not a part of this prospectus.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62">
        <w:r>
          <w:rPr>
            <w:rFonts w:ascii="Arial" w:cs="Arial" w:eastAsia="Arial" w:hAnsi="Arial"/>
            <w:sz w:val="18"/>
            <w:szCs w:val="18"/>
            <w:u w:val="single" w:color="auto"/>
            <w:color w:val="0000EE"/>
          </w:rPr>
          <w:t>March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3">
        <w:r>
          <w:rPr>
            <w:rFonts w:ascii="Arial" w:cs="Arial" w:eastAsia="Arial" w:hAnsi="Arial"/>
            <w:sz w:val="18"/>
            <w:szCs w:val="18"/>
            <w:u w:val="single" w:color="auto"/>
            <w:color w:val="0000EE"/>
          </w:rPr>
          <w:t>June 30,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portions of our </w:t>
      </w:r>
      <w:hyperlink r:id="rId65">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(other than information furnished rather than filed) that are incorporated by reference into our Annual Report on Form 10-K, filed with the SEC on April 28,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66">
        <w:r>
          <w:rPr>
            <w:rFonts w:ascii="Arial" w:cs="Arial" w:eastAsia="Arial" w:hAnsi="Arial"/>
            <w:sz w:val="18"/>
            <w:szCs w:val="18"/>
            <w:u w:val="single" w:color="auto"/>
            <w:color w:val="0000EE"/>
          </w:rPr>
          <w:t>June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7">
        <w:r>
          <w:rPr>
            <w:rFonts w:ascii="Arial" w:cs="Arial" w:eastAsia="Arial" w:hAnsi="Arial"/>
            <w:sz w:val="18"/>
            <w:szCs w:val="18"/>
            <w:u w:val="single" w:color="auto"/>
            <w:color w:val="0000EE"/>
          </w:rPr>
          <w:t>August 10, 2022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w:t>
      </w:r>
      <w:hyperlink r:id="rId6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thereto, filed on July 23, 2021, including any amendment or report filed for the purpose of updating such description.</w:t>
      </w:r>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Tenaya Therapeutics, Inc.</w:t>
      </w:r>
    </w:p>
    <w:p>
      <w:pPr>
        <w:spacing w:after="0" w:line="23"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825-6990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060"/>
          </w:cols>
          <w:pgMar w:left="320" w:top="459" w:right="5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522605</wp:posOffset>
            </wp:positionV>
            <wp:extent cx="2057400" cy="7626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205740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22,613,307 SHARES OF COMMON STOCK</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9"/>
          <w:szCs w:val="19"/>
          <w:i w:val="1"/>
          <w:iCs w:val="1"/>
          <w:color w:val="auto"/>
        </w:rPr>
        <w:t>PRE-FUNDED WARRANTS TO PURCHASE 6,236,693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PROSPECTUS SUPPLEMENT</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29"/>
          <w:szCs w:val="29"/>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30"/>
          <w:szCs w:val="30"/>
          <w:i w:val="1"/>
          <w:iCs w:val="1"/>
          <w:color w:val="auto"/>
        </w:rPr>
        <w:t>Piper Sandler</w:t>
      </w:r>
    </w:p>
    <w:p>
      <w:pPr>
        <w:spacing w:after="0" w:line="128" w:lineRule="exact"/>
        <w:rPr>
          <w:sz w:val="20"/>
          <w:szCs w:val="20"/>
          <w:color w:val="auto"/>
        </w:rPr>
      </w:pPr>
    </w:p>
    <w:p>
      <w:pPr>
        <w:sectPr>
          <w:pgSz w:w="11900" w:h="16838" w:orient="portrait"/>
          <w:cols w:equalWidth="0" w:num="2">
            <w:col w:w="8600" w:space="720"/>
            <w:col w:w="18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30"/>
          <w:szCs w:val="30"/>
          <w:i w:val="1"/>
          <w:iCs w:val="1"/>
          <w:color w:val="auto"/>
        </w:rPr>
        <w:t>H.C. Wainwright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i w:val="1"/>
          <w:iCs w:val="1"/>
          <w:color w:val="auto"/>
        </w:rPr>
        <w:t>Chardan</w:t>
      </w:r>
    </w:p>
    <w:p>
      <w:pPr>
        <w:spacing w:after="0" w:line="211" w:lineRule="exact"/>
        <w:rPr>
          <w:sz w:val="20"/>
          <w:szCs w:val="20"/>
          <w:color w:val="auto"/>
        </w:rPr>
      </w:pPr>
    </w:p>
    <w:p>
      <w:pPr>
        <w:sectPr>
          <w:pgSz w:w="11900" w:h="16838" w:orient="portrait"/>
          <w:cols w:equalWidth="0" w:num="2">
            <w:col w:w="9280" w:space="720"/>
            <w:col w:w="1140"/>
          </w:cols>
          <w:pgMar w:left="320" w:top="459" w:right="439" w:bottom="1440" w:gutter="0" w:footer="0" w:header="0"/>
          <w:type w:val="continuous"/>
        </w:sect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November 16, 2022</w:t>
      </w: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Roman"/>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rdblquote"/>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jpe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jpeg"/><Relationship Id="rId61" Type="http://schemas.openxmlformats.org/officeDocument/2006/relationships/hyperlink" Target="http://www.sec.gov/ix?doc=/Archives/edgar/data/1858848/000095017022004426/tnya-20211231.htm" TargetMode="External"/><Relationship Id="rId62" Type="http://schemas.openxmlformats.org/officeDocument/2006/relationships/hyperlink" Target="http://www.sec.gov/ix?doc=/Archives/edgar/data/1858848/000095017022009363/tnya-20220331.htm" TargetMode="External"/><Relationship Id="rId63" Type="http://schemas.openxmlformats.org/officeDocument/2006/relationships/hyperlink" Target="http://www.sec.gov/ix?doc=/Archives/edgar/data/1858848/000095017022016478/tnya-20220630.htm" TargetMode="External"/><Relationship Id="rId64" Type="http://schemas.openxmlformats.org/officeDocument/2006/relationships/hyperlink" Target="http://www.sec.gov/ix?doc=/Archives/edgar/data/0001858848/000095017022024521/tnya-20220930.htm" TargetMode="External"/><Relationship Id="rId65" Type="http://schemas.openxmlformats.org/officeDocument/2006/relationships/hyperlink" Target="http://www.sec.gov/Archives/edgar/data/1858848/000119312522127693/d263092ddef14a.htm" TargetMode="External"/><Relationship Id="rId66" Type="http://schemas.openxmlformats.org/officeDocument/2006/relationships/hyperlink" Target="http://www.sec.gov/ix?doc=/Archives/edgar/data/1858848/000095017022011496/tnya-20220609.htm" TargetMode="External"/><Relationship Id="rId67" Type="http://schemas.openxmlformats.org/officeDocument/2006/relationships/hyperlink" Target="http://www.sec.gov/ix?doc=/Archives/edgar/data/1858848/000119312522217452/d301698d8k.htm" TargetMode="External"/><Relationship Id="rId68" Type="http://schemas.openxmlformats.org/officeDocument/2006/relationships/hyperlink" Target="http://www.sec.gov/Archives/edgar/data/1858848/000119312521223152/d170858d8a12b.htm" TargetMode="External"/><Relationship Id="rId87" Type="http://schemas.openxmlformats.org/officeDocument/2006/relationships/hyperlink" Target="http://www.sec.gov/Archives/edgar/data/1858848/000095017022004426/tnya-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2022-11-17T15:19:43Z</dcterms:created>
  <dcterms:modified xsi:type="dcterms:W3CDTF">2022-11-17T15:19:43Z</dcterms:modified>
</cp:coreProperties>
</file>