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8" w:lineRule="exact"/>
        <w:rPr>
          <w:sz w:val="24"/>
          <w:szCs w:val="24"/>
          <w:color w:val="auto"/>
        </w:rPr>
      </w:pPr>
    </w:p>
    <w:p>
      <w:pPr>
        <w:jc w:val="center"/>
        <w:ind w:left="3640" w:right="700" w:hanging="3619"/>
        <w:spacing w:after="0" w:line="300" w:lineRule="auto"/>
        <w:tabs>
          <w:tab w:leader="none" w:pos="489"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 For the quarterly period ended March 31, 2022</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67" w:lineRule="exact"/>
        <w:rPr>
          <w:sz w:val="24"/>
          <w:szCs w:val="24"/>
          <w:color w:val="auto"/>
        </w:rPr>
      </w:pPr>
    </w:p>
    <w:p>
      <w:pPr>
        <w:jc w:val="center"/>
        <w:ind w:left="3340" w:right="680" w:hanging="3319"/>
        <w:spacing w:after="0" w:line="324" w:lineRule="auto"/>
        <w:tabs>
          <w:tab w:leader="none" w:pos="472"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 to _________</w:t>
      </w:r>
    </w:p>
    <w:p>
      <w:pPr>
        <w:ind w:left="406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Commission File Number: 001-40656</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p>
      <w:pPr>
        <w:spacing w:after="0" w:line="5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Delaware</w:t>
      </w:r>
    </w:p>
    <w:p>
      <w:pPr>
        <w:ind w:left="2020"/>
        <w:spacing w:after="0" w:line="230"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jc w:val="center"/>
        <w:ind w:right="2000"/>
        <w:spacing w:after="0" w:line="216" w:lineRule="auto"/>
        <w:rPr>
          <w:sz w:val="20"/>
          <w:szCs w:val="20"/>
          <w:color w:val="auto"/>
        </w:rPr>
      </w:pPr>
      <w:r>
        <w:rPr>
          <w:rFonts w:ascii="Times New Roman" w:cs="Times New Roman" w:eastAsia="Times New Roman" w:hAnsi="Times New Roman"/>
          <w:sz w:val="19"/>
          <w:szCs w:val="19"/>
          <w:b w:val="1"/>
          <w:bCs w:val="1"/>
          <w:color w:val="auto"/>
        </w:rPr>
        <w:t>171 Oyster Point Boulevard, 5</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9"/>
          <w:szCs w:val="19"/>
          <w:b w:val="1"/>
          <w:bCs w:val="1"/>
          <w:color w:val="auto"/>
        </w:rPr>
        <w:t xml:space="preserve"> Floor</w:t>
      </w:r>
    </w:p>
    <w:p>
      <w:pPr>
        <w:jc w:val="center"/>
        <w:ind w:right="2000"/>
        <w:spacing w:after="0"/>
        <w:rPr>
          <w:sz w:val="20"/>
          <w:szCs w:val="20"/>
          <w:color w:val="auto"/>
        </w:rPr>
      </w:pPr>
      <w:r>
        <w:rPr>
          <w:rFonts w:ascii="Times New Roman" w:cs="Times New Roman" w:eastAsia="Times New Roman" w:hAnsi="Times New Roman"/>
          <w:sz w:val="20"/>
          <w:szCs w:val="20"/>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81-3789973</w:t>
      </w: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5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20"/>
          <w:szCs w:val="20"/>
          <w:b w:val="1"/>
          <w:bCs w:val="1"/>
          <w:color w:val="auto"/>
        </w:rPr>
        <w:t>94080</w:t>
      </w:r>
    </w:p>
    <w:p>
      <w:pPr>
        <w:spacing w:after="0" w:line="22" w:lineRule="exact"/>
        <w:rPr>
          <w:sz w:val="24"/>
          <w:szCs w:val="24"/>
          <w:color w:val="auto"/>
        </w:rPr>
      </w:pPr>
    </w:p>
    <w:p>
      <w:pPr>
        <w:sectPr>
          <w:pgSz w:w="11900" w:h="16838" w:orient="portrait"/>
          <w:cols w:equalWidth="0" w:num="2">
            <w:col w:w="7620" w:space="320"/>
            <w:col w:w="3300"/>
          </w:cols>
          <w:pgMar w:left="320" w:top="551"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(650) 825-6900</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9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TNYA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firstLine="50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300" w:firstLine="50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jc w:val="both"/>
        <w:ind w:right="80" w:firstLine="50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520" w:right="210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6, 2022, the registrant had 41,310,849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0" w:type="dxa"/>
            <w:vAlign w:val="bottom"/>
            <w:gridSpan w:val="12"/>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60" w:type="dxa"/>
            <w:vAlign w:val="bottom"/>
            <w:gridSpan w:val="13"/>
            <w:vMerge w:val="restart"/>
          </w:tcPr>
          <w:p>
            <w:pPr>
              <w:jc w:val="center"/>
              <w:ind w:right="3200"/>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360" w:type="dxa"/>
            <w:vAlign w:val="bottom"/>
            <w:gridSpan w:val="13"/>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160" w:type="dxa"/>
            <w:vAlign w:val="bottom"/>
            <w:tcBorders>
              <w:top w:val="single" w:sz="8" w:color="0000FF"/>
            </w:tcBorders>
            <w:gridSpan w:val="8"/>
          </w:tcPr>
          <w:p>
            <w:pPr>
              <w:spacing w:after="0"/>
              <w:rPr>
                <w:sz w:val="24"/>
                <w:szCs w:val="24"/>
                <w:color w:val="auto"/>
              </w:rPr>
            </w:pPr>
          </w:p>
        </w:tc>
        <w:tc>
          <w:tcPr>
            <w:tcW w:w="32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20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Condensed Balance Sheets as</w:t>
            </w:r>
          </w:p>
        </w:tc>
        <w:tc>
          <w:tcPr>
            <w:tcW w:w="20" w:type="dxa"/>
            <w:vAlign w:val="bottom"/>
            <w:tcBorders>
              <w:top w:val="single" w:sz="8" w:color="0000EE"/>
            </w:tcBorders>
          </w:tcPr>
          <w:p>
            <w:pPr>
              <w:spacing w:after="0"/>
              <w:rPr>
                <w:sz w:val="15"/>
                <w:szCs w:val="15"/>
                <w:color w:val="auto"/>
              </w:rPr>
            </w:pPr>
          </w:p>
        </w:tc>
        <w:tc>
          <w:tcPr>
            <w:tcW w:w="710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of March 31, 2022 and December 31, 2021</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2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months ended March 31, 2022 and 2021</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00" w:type="dxa"/>
            <w:vAlign w:val="bottom"/>
            <w:tcBorders>
              <w:top w:val="single" w:sz="8" w:color="0000EE"/>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Convertible Preferred Stock and Stockholders’ Equity (Deficit) for the three months ended</w:t>
            </w:r>
          </w:p>
        </w:tc>
        <w:tc>
          <w:tcPr>
            <w:tcW w:w="8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March 31,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2022 and 2021</w:t>
            </w:r>
          </w:p>
        </w:tc>
        <w:tc>
          <w:tcPr>
            <w:tcW w:w="5560" w:type="dxa"/>
            <w:vAlign w:val="bottom"/>
            <w:tcBorders>
              <w:top w:val="single" w:sz="8" w:color="0000FF"/>
            </w:tcBorders>
            <w:gridSpan w:val="17"/>
          </w:tcPr>
          <w:p>
            <w:pPr>
              <w:spacing w:after="0"/>
              <w:rPr>
                <w:sz w:val="14"/>
                <w:szCs w:val="14"/>
                <w:color w:val="auto"/>
              </w:rPr>
            </w:pPr>
          </w:p>
        </w:tc>
        <w:tc>
          <w:tcPr>
            <w:tcW w:w="2600" w:type="dxa"/>
            <w:vAlign w:val="bottom"/>
            <w:tcBorders>
              <w:top w:val="single" w:sz="8" w:color="0000FF"/>
            </w:tcBorders>
            <w:gridSpan w:val="2"/>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2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FF"/>
              </w:rPr>
              <w:t>Condensed Statements of Cash Flows for the three months ended March 31, 2022 and 2021</w:t>
            </w: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0" w:type="dxa"/>
            <w:vAlign w:val="bottom"/>
            <w:tcBorders>
              <w:top w:val="single" w:sz="8" w:color="0000EE"/>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Financial Statements</w:t>
            </w:r>
          </w:p>
        </w:tc>
        <w:tc>
          <w:tcPr>
            <w:tcW w:w="20" w:type="dxa"/>
            <w:vAlign w:val="bottom"/>
            <w:tcBorders>
              <w:top w:val="single" w:sz="8" w:color="0000EE"/>
              <w:bottom w:val="single" w:sz="8" w:color="0000EE"/>
            </w:tcBorders>
          </w:tcPr>
          <w:p>
            <w:pPr>
              <w:spacing w:after="0"/>
              <w:rPr>
                <w:sz w:val="15"/>
                <w:szCs w:val="15"/>
                <w:color w:val="auto"/>
              </w:rPr>
            </w:pPr>
          </w:p>
        </w:tc>
        <w:tc>
          <w:tcPr>
            <w:tcW w:w="2820" w:type="dxa"/>
            <w:vAlign w:val="bottom"/>
            <w:tcBorders>
              <w:top w:val="single" w:sz="8" w:color="0000EE"/>
            </w:tcBorders>
            <w:gridSpan w:val="7"/>
          </w:tcPr>
          <w:p>
            <w:pPr>
              <w:spacing w:after="0"/>
              <w:rPr>
                <w:sz w:val="15"/>
                <w:szCs w:val="15"/>
                <w:color w:val="auto"/>
              </w:rPr>
            </w:pPr>
          </w:p>
        </w:tc>
        <w:tc>
          <w:tcPr>
            <w:tcW w:w="268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3"/>
        </w:trPr>
        <w:tc>
          <w:tcPr>
            <w:tcW w:w="10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10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tcPr>
          <w:p>
            <w:pPr>
              <w:spacing w:after="0"/>
              <w:rPr>
                <w:sz w:val="15"/>
                <w:szCs w:val="15"/>
                <w:color w:val="auto"/>
              </w:rPr>
            </w:pPr>
          </w:p>
        </w:tc>
        <w:tc>
          <w:tcPr>
            <w:tcW w:w="6240" w:type="dxa"/>
            <w:vAlign w:val="bottom"/>
            <w:tcBorders>
              <w:bottom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w w:val="96"/>
              </w:rPr>
              <w:t>Management’s Discussion and Analysis of Financial Condition and Results of Operations</w:t>
            </w:r>
          </w:p>
        </w:tc>
        <w:tc>
          <w:tcPr>
            <w:tcW w:w="3080" w:type="dxa"/>
            <w:vAlign w:val="bottom"/>
            <w:gridSpan w:val="4"/>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3"/>
        </w:trPr>
        <w:tc>
          <w:tcPr>
            <w:tcW w:w="10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80" w:type="dxa"/>
            <w:vAlign w:val="bottom"/>
            <w:gridSpan w:val="4"/>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10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2"/>
            <w:vMerge w:val="restart"/>
          </w:tcPr>
          <w:p>
            <w:pPr>
              <w:spacing w:after="0" w:line="20" w:lineRule="exact"/>
              <w:rPr>
                <w:sz w:val="1"/>
                <w:szCs w:val="1"/>
                <w:color w:val="auto"/>
              </w:rPr>
            </w:pPr>
          </w:p>
        </w:tc>
        <w:tc>
          <w:tcPr>
            <w:tcW w:w="3340" w:type="dxa"/>
            <w:vAlign w:val="bottom"/>
            <w:gridSpan w:val="6"/>
            <w:vMerge w:val="restart"/>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183"/>
        </w:trPr>
        <w:tc>
          <w:tcPr>
            <w:tcW w:w="1020" w:type="dxa"/>
            <w:vAlign w:val="bottom"/>
            <w:gridSpan w:val="2"/>
            <w:vMerge w:val="continue"/>
          </w:tcPr>
          <w:p>
            <w:pPr>
              <w:spacing w:after="0"/>
              <w:rPr>
                <w:sz w:val="15"/>
                <w:szCs w:val="15"/>
                <w:color w:val="auto"/>
              </w:rPr>
            </w:pPr>
          </w:p>
        </w:tc>
        <w:tc>
          <w:tcPr>
            <w:tcW w:w="436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1840" w:type="dxa"/>
            <w:vAlign w:val="bottom"/>
            <w:gridSpan w:val="2"/>
            <w:vMerge w:val="continue"/>
          </w:tcPr>
          <w:p>
            <w:pPr>
              <w:spacing w:after="0"/>
              <w:rPr>
                <w:sz w:val="15"/>
                <w:szCs w:val="15"/>
                <w:color w:val="auto"/>
              </w:rPr>
            </w:pPr>
          </w:p>
        </w:tc>
        <w:tc>
          <w:tcPr>
            <w:tcW w:w="3340" w:type="dxa"/>
            <w:vAlign w:val="bottom"/>
            <w:gridSpan w:val="6"/>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0" w:type="dxa"/>
            <w:vAlign w:val="bottom"/>
            <w:gridSpan w:val="12"/>
          </w:tcPr>
          <w:p>
            <w:pPr>
              <w:jc w:val="center"/>
              <w:ind w:right="3340"/>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33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tcBorders>
              <w:top w:val="single" w:sz="8" w:color="0000FF"/>
            </w:tcBorders>
            <w:gridSpan w:val="3"/>
          </w:tcPr>
          <w:p>
            <w:pPr>
              <w:spacing w:after="0"/>
              <w:rPr>
                <w:sz w:val="15"/>
                <w:szCs w:val="15"/>
                <w:color w:val="auto"/>
              </w:rPr>
            </w:pPr>
          </w:p>
        </w:tc>
        <w:tc>
          <w:tcPr>
            <w:tcW w:w="1860" w:type="dxa"/>
            <w:vAlign w:val="bottom"/>
            <w:tcBorders>
              <w:top w:val="single" w:sz="8" w:color="0000FF"/>
            </w:tcBorders>
            <w:gridSpan w:val="3"/>
          </w:tcPr>
          <w:p>
            <w:pPr>
              <w:spacing w:after="0"/>
              <w:rPr>
                <w:sz w:val="15"/>
                <w:szCs w:val="15"/>
                <w:color w:val="auto"/>
              </w:rPr>
            </w:pPr>
          </w:p>
        </w:tc>
        <w:tc>
          <w:tcPr>
            <w:tcW w:w="3340" w:type="dxa"/>
            <w:vAlign w:val="bottom"/>
            <w:gridSpan w:val="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10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2"/>
          </w:tcPr>
          <w:p>
            <w:pPr>
              <w:spacing w:after="0"/>
              <w:rPr>
                <w:sz w:val="15"/>
                <w:szCs w:val="15"/>
                <w:color w:val="auto"/>
              </w:rPr>
            </w:pPr>
          </w:p>
        </w:tc>
        <w:tc>
          <w:tcPr>
            <w:tcW w:w="2020" w:type="dxa"/>
            <w:vAlign w:val="bottom"/>
            <w:gridSpan w:val="7"/>
          </w:tcPr>
          <w:p>
            <w:pPr>
              <w:spacing w:after="0"/>
              <w:rPr>
                <w:sz w:val="15"/>
                <w:szCs w:val="15"/>
                <w:color w:val="auto"/>
              </w:rPr>
            </w:pPr>
          </w:p>
        </w:tc>
        <w:tc>
          <w:tcPr>
            <w:tcW w:w="5200" w:type="dxa"/>
            <w:vAlign w:val="bottom"/>
            <w:gridSpan w:val="9"/>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10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620" w:type="dxa"/>
            <w:vAlign w:val="bottom"/>
            <w:gridSpan w:val="21"/>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6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line="20" w:lineRule="exact"/>
              <w:rPr>
                <w:sz w:val="1"/>
                <w:szCs w:val="1"/>
                <w:color w:val="auto"/>
              </w:rPr>
            </w:pPr>
          </w:p>
        </w:tc>
      </w:tr>
      <w:tr>
        <w:trPr>
          <w:trHeight w:val="183"/>
        </w:trPr>
        <w:tc>
          <w:tcPr>
            <w:tcW w:w="1020" w:type="dxa"/>
            <w:vAlign w:val="bottom"/>
            <w:gridSpan w:val="2"/>
            <w:vMerge w:val="continue"/>
          </w:tcPr>
          <w:p>
            <w:pPr>
              <w:spacing w:after="0"/>
              <w:rPr>
                <w:sz w:val="15"/>
                <w:szCs w:val="15"/>
                <w:color w:val="auto"/>
              </w:rPr>
            </w:pPr>
          </w:p>
        </w:tc>
        <w:tc>
          <w:tcPr>
            <w:tcW w:w="9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620" w:type="dxa"/>
            <w:vAlign w:val="bottom"/>
            <w:gridSpan w:val="21"/>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10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5200" w:type="dxa"/>
            <w:vAlign w:val="bottom"/>
            <w:gridSpan w:val="9"/>
            <w:vMerge w:val="restart"/>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line="20" w:lineRule="exact"/>
              <w:rPr>
                <w:sz w:val="1"/>
                <w:szCs w:val="1"/>
                <w:color w:val="auto"/>
              </w:rPr>
            </w:pPr>
          </w:p>
        </w:tc>
      </w:tr>
      <w:tr>
        <w:trPr>
          <w:trHeight w:val="183"/>
        </w:trPr>
        <w:tc>
          <w:tcPr>
            <w:tcW w:w="1020" w:type="dxa"/>
            <w:vAlign w:val="bottom"/>
            <w:gridSpan w:val="2"/>
            <w:vMerge w:val="continue"/>
          </w:tcPr>
          <w:p>
            <w:pPr>
              <w:spacing w:after="0"/>
              <w:rPr>
                <w:sz w:val="15"/>
                <w:szCs w:val="15"/>
                <w:color w:val="auto"/>
              </w:rPr>
            </w:pPr>
          </w:p>
        </w:tc>
        <w:tc>
          <w:tcPr>
            <w:tcW w:w="434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0" w:type="dxa"/>
            <w:vAlign w:val="bottom"/>
            <w:gridSpan w:val="9"/>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10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7220" w:type="dxa"/>
            <w:vAlign w:val="bottom"/>
            <w:gridSpan w:val="16"/>
            <w:vMerge w:val="restart"/>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line="20" w:lineRule="exact"/>
              <w:rPr>
                <w:sz w:val="1"/>
                <w:szCs w:val="1"/>
                <w:color w:val="auto"/>
              </w:rPr>
            </w:pPr>
          </w:p>
        </w:tc>
      </w:tr>
      <w:tr>
        <w:trPr>
          <w:trHeight w:val="183"/>
        </w:trPr>
        <w:tc>
          <w:tcPr>
            <w:tcW w:w="1020" w:type="dxa"/>
            <w:vAlign w:val="bottom"/>
            <w:gridSpan w:val="2"/>
            <w:vMerge w:val="continue"/>
          </w:tcPr>
          <w:p>
            <w:pPr>
              <w:spacing w:after="0"/>
              <w:rPr>
                <w:sz w:val="15"/>
                <w:szCs w:val="15"/>
                <w:color w:val="auto"/>
              </w:rPr>
            </w:pPr>
          </w:p>
        </w:tc>
        <w:tc>
          <w:tcPr>
            <w:tcW w:w="23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7220" w:type="dxa"/>
            <w:vAlign w:val="bottom"/>
            <w:gridSpan w:val="16"/>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0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780" w:type="dxa"/>
            <w:vAlign w:val="bottom"/>
            <w:gridSpan w:val="17"/>
            <w:vMerge w:val="restart"/>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line="20" w:lineRule="exact"/>
              <w:rPr>
                <w:sz w:val="1"/>
                <w:szCs w:val="1"/>
                <w:color w:val="auto"/>
              </w:rPr>
            </w:pPr>
          </w:p>
        </w:tc>
      </w:tr>
      <w:tr>
        <w:trPr>
          <w:trHeight w:val="183"/>
        </w:trPr>
        <w:tc>
          <w:tcPr>
            <w:tcW w:w="1020" w:type="dxa"/>
            <w:vAlign w:val="bottom"/>
            <w:gridSpan w:val="2"/>
            <w:vMerge w:val="continue"/>
          </w:tcPr>
          <w:p>
            <w:pPr>
              <w:spacing w:after="0"/>
              <w:rPr>
                <w:sz w:val="15"/>
                <w:szCs w:val="15"/>
                <w:color w:val="auto"/>
              </w:rPr>
            </w:pPr>
          </w:p>
        </w:tc>
        <w:tc>
          <w:tcPr>
            <w:tcW w:w="176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7"/>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0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220" w:type="dxa"/>
            <w:vAlign w:val="bottom"/>
            <w:gridSpan w:val="19"/>
            <w:vMerge w:val="restart"/>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line="20" w:lineRule="exact"/>
              <w:rPr>
                <w:sz w:val="1"/>
                <w:szCs w:val="1"/>
                <w:color w:val="auto"/>
              </w:rPr>
            </w:pPr>
          </w:p>
        </w:tc>
      </w:tr>
      <w:tr>
        <w:trPr>
          <w:trHeight w:val="183"/>
        </w:trPr>
        <w:tc>
          <w:tcPr>
            <w:tcW w:w="1020" w:type="dxa"/>
            <w:vAlign w:val="bottom"/>
            <w:gridSpan w:val="2"/>
            <w:vMerge w:val="continue"/>
          </w:tcPr>
          <w:p>
            <w:pPr>
              <w:spacing w:after="0"/>
              <w:rPr>
                <w:sz w:val="15"/>
                <w:szCs w:val="15"/>
                <w:color w:val="auto"/>
              </w:rPr>
            </w:pPr>
          </w:p>
        </w:tc>
        <w:tc>
          <w:tcPr>
            <w:tcW w:w="132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220" w:type="dxa"/>
            <w:vAlign w:val="bottom"/>
            <w:gridSpan w:val="19"/>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FF"/>
                <w:w w:val="85"/>
              </w:rPr>
              <w:t>SIGNATURES</w:t>
            </w:r>
          </w:p>
        </w:tc>
        <w:tc>
          <w:tcPr>
            <w:tcW w:w="10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gridSpan w:val="2"/>
          </w:tcPr>
          <w:p>
            <w:pPr>
              <w:spacing w:after="0"/>
              <w:rPr>
                <w:sz w:val="15"/>
                <w:szCs w:val="15"/>
                <w:color w:val="auto"/>
              </w:rPr>
            </w:pPr>
          </w:p>
        </w:tc>
        <w:tc>
          <w:tcPr>
            <w:tcW w:w="8940" w:type="dxa"/>
            <w:vAlign w:val="bottom"/>
            <w:gridSpan w:val="2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ind w:left="3060"/>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32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This Quarterly Report on Form 10-Q, or Quarterly Report, contains forward-looking statements within the meaning of Section 27A of the Securities Act of 1933 and Section 21E of the Securities Act of 1934.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78" w:lineRule="exact"/>
        <w:rPr>
          <w:sz w:val="20"/>
          <w:szCs w:val="20"/>
          <w:color w:val="auto"/>
        </w:rPr>
      </w:pPr>
    </w:p>
    <w:p>
      <w:pPr>
        <w:ind w:left="900" w:right="8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preclinical studies and planned clinical trials to demonstrate safety and efficacy of our product candidates, and other positive results;</w:t>
      </w:r>
    </w:p>
    <w:p>
      <w:pPr>
        <w:spacing w:after="0" w:line="67" w:lineRule="exact"/>
        <w:rPr>
          <w:rFonts w:ascii="Times New Roman" w:cs="Times New Roman" w:eastAsia="Times New Roman" w:hAnsi="Times New Roman"/>
          <w:sz w:val="18"/>
          <w:szCs w:val="18"/>
          <w:color w:val="231F20"/>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progress and results of preclinical studies and planned clinical trials for our current product candidates and other product candidates we may develop;</w:t>
      </w:r>
    </w:p>
    <w:p>
      <w:pPr>
        <w:spacing w:after="0" w:line="54" w:lineRule="exact"/>
        <w:rPr>
          <w:rFonts w:ascii="Times New Roman" w:cs="Times New Roman" w:eastAsia="Times New Roman" w:hAnsi="Times New Roman"/>
          <w:sz w:val="18"/>
          <w:szCs w:val="18"/>
          <w:color w:val="231F20"/>
        </w:rPr>
      </w:pPr>
    </w:p>
    <w:p>
      <w:pPr>
        <w:ind w:left="900" w:right="40" w:hanging="383"/>
        <w:spacing w:after="0" w:line="258"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scope and likelihood of regulatory filings and approvals, including timing of investigational new drugs (“INDs”), clinical trial applications (“CTAs”), Food and Drug Administration (“FDA”) approvals, and final regulatory approval of our current product candidates and any other future product candidates;</w:t>
      </w:r>
    </w:p>
    <w:p>
      <w:pPr>
        <w:spacing w:after="0" w:line="61"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advance our current product candidates and programs into, and successfully complete, clinical studies;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manufacturing, commercialization, and marketing capabilities and strategy and the timing of our facilities becoming operational;</w:t>
      </w:r>
    </w:p>
    <w:p>
      <w:pPr>
        <w:spacing w:after="0" w:line="10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commercializing our product candidates, if approved;</w:t>
      </w:r>
    </w:p>
    <w:p>
      <w:pPr>
        <w:spacing w:after="0" w:line="10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need to hire additional personnel and our ability to attract and retain such personnel;</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competitive position and the success of competing therapies that are or may become available;</w:t>
      </w:r>
    </w:p>
    <w:p>
      <w:pPr>
        <w:spacing w:after="0" w:line="10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relating to the further development of our product candidates, including additional indications and targets we may pursue;</w:t>
      </w:r>
    </w:p>
    <w:p>
      <w:pPr>
        <w:spacing w:after="0" w:line="10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existing laws and regulations and regulatory developments in the United States, Europe and other jurisdictions;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expectations regarding the effects of the ongoing COVID-19 pandemic on our business, including our preclinical studies and clinical trials;</w:t>
      </w:r>
    </w:p>
    <w:p>
      <w:pPr>
        <w:spacing w:after="0" w:line="115" w:lineRule="exact"/>
        <w:rPr>
          <w:rFonts w:ascii="Times New Roman" w:cs="Times New Roman" w:eastAsia="Times New Roman" w:hAnsi="Times New Roman"/>
          <w:sz w:val="17"/>
          <w:szCs w:val="17"/>
          <w:color w:val="231F20"/>
        </w:rPr>
      </w:pPr>
    </w:p>
    <w:p>
      <w:pPr>
        <w:ind w:left="900" w:right="40" w:hanging="383"/>
        <w:spacing w:after="0" w:line="250"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69" w:lineRule="exact"/>
        <w:rPr>
          <w:rFonts w:ascii="Times New Roman" w:cs="Times New Roman" w:eastAsia="Times New Roman" w:hAnsi="Times New Roman"/>
          <w:sz w:val="18"/>
          <w:szCs w:val="18"/>
          <w:color w:val="231F20"/>
        </w:rPr>
      </w:pPr>
    </w:p>
    <w:p>
      <w:pPr>
        <w:ind w:left="90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67" w:lineRule="exact"/>
        <w:rPr>
          <w:rFonts w:ascii="Times New Roman" w:cs="Times New Roman" w:eastAsia="Times New Roman" w:hAnsi="Times New Roman"/>
          <w:sz w:val="18"/>
          <w:szCs w:val="18"/>
          <w:color w:val="231F20"/>
        </w:rPr>
      </w:pPr>
    </w:p>
    <w:p>
      <w:pPr>
        <w:ind w:left="900" w:right="4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54" w:lineRule="exact"/>
        <w:rPr>
          <w:rFonts w:ascii="Times New Roman" w:cs="Times New Roman" w:eastAsia="Times New Roman" w:hAnsi="Times New Roman"/>
          <w:sz w:val="18"/>
          <w:szCs w:val="18"/>
          <w:color w:val="231F20"/>
        </w:rPr>
      </w:pPr>
    </w:p>
    <w:p>
      <w:pPr>
        <w:ind w:left="900" w:right="340" w:hanging="383"/>
        <w:spacing w:after="0" w:line="282"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40"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rate and degree of market acceptance and clinical utility of our current product candidates and other product candidates we may develop;</w:t>
      </w:r>
    </w:p>
    <w:p>
      <w:pPr>
        <w:spacing w:after="0" w:line="10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estimates regarding expenses, operating losses, future revenue, capital requirements and needs for additional financing;</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performance;</w:t>
      </w:r>
    </w:p>
    <w:p>
      <w:pPr>
        <w:spacing w:after="0" w:line="103" w:lineRule="exact"/>
        <w:rPr>
          <w:rFonts w:ascii="Times New Roman" w:cs="Times New Roman" w:eastAsia="Times New Roman" w:hAnsi="Times New Roman"/>
          <w:sz w:val="18"/>
          <w:szCs w:val="18"/>
          <w:color w:val="231F20"/>
        </w:rPr>
      </w:pPr>
    </w:p>
    <w:p>
      <w:pPr>
        <w:ind w:left="900" w:right="220" w:hanging="383"/>
        <w:spacing w:after="0" w:line="266" w:lineRule="auto"/>
        <w:tabs>
          <w:tab w:leader="none" w:pos="9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period over which we estimate our existing cash, cash equivalents and investments in marketable securities will be sufficient to fund our future operating expenses and capital expenditure requirements; and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the period during which we will remain an emerging growth company under the JOBS Act.</w:t>
      </w:r>
    </w:p>
    <w:p>
      <w:pPr>
        <w:spacing w:after="0" w:line="10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231F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184,484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213,782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281,497</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436,313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434,196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(631 )</w:t>
            </w: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(186,589 )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(155,533 )</w:t>
            </w: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249,097</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278,526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281,497</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314,189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-2562225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-2562225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-1704975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-1704975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-316230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9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8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80" w:type="dxa"/>
            <w:vAlign w:val="bottom"/>
          </w:tcPr>
          <w:p>
            <w:pPr>
              <w:spacing w:after="0"/>
              <w:rPr>
                <w:sz w:val="18"/>
                <w:szCs w:val="18"/>
                <w:color w:val="auto"/>
              </w:rPr>
            </w:pP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 expense</w:t>
            </w:r>
          </w:p>
        </w:tc>
        <w:tc>
          <w:tcPr>
            <w:tcW w:w="4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(31,056 )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(13,098 )</w:t>
            </w:r>
          </w:p>
        </w:tc>
      </w:tr>
      <w:tr>
        <w:trPr>
          <w:trHeight w:val="21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(31,056 )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(13,098 )</w:t>
            </w:r>
          </w:p>
        </w:tc>
      </w:tr>
      <w:tr>
        <w:trPr>
          <w:trHeight w:val="20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00" w:type="dxa"/>
            <w:vAlign w:val="bottom"/>
          </w:tcPr>
          <w:p>
            <w:pPr>
              <w:spacing w:after="0"/>
              <w:rPr>
                <w:sz w:val="18"/>
                <w:szCs w:val="18"/>
                <w:color w:val="auto"/>
              </w:rPr>
            </w:pP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(490 )</w:t>
            </w:r>
          </w:p>
        </w:tc>
        <w:tc>
          <w:tcPr>
            <w:tcW w:w="38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(31,546</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7"/>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0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(0.75 )</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(11.93 )</w:t>
            </w:r>
          </w:p>
        </w:tc>
      </w:tr>
      <w:tr>
        <w:trPr>
          <w:trHeight w:val="20"/>
        </w:trPr>
        <w:tc>
          <w:tcPr>
            <w:tcW w:w="7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40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41,267,990</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1,097,805</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-2056765</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-2056765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-1207770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-1207770</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-925195</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-925195</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-334010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-350520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-334010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Convertible Preferred Stock and Stockholders’ Equity (Deficit)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6"/>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6"/>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5"/>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4"/>
                <w:szCs w:val="14"/>
                <w:color w:val="auto"/>
              </w:rPr>
            </w:pPr>
          </w:p>
        </w:tc>
        <w:tc>
          <w:tcPr>
            <w:tcW w:w="1040" w:type="dxa"/>
            <w:vAlign w:val="bottom"/>
            <w:gridSpan w:val="4"/>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0" w:type="dxa"/>
            <w:vAlign w:val="bottom"/>
          </w:tcPr>
          <w:p>
            <w:pPr>
              <w:spacing w:after="0"/>
              <w:rPr>
                <w:sz w:val="14"/>
                <w:szCs w:val="14"/>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c>
          <w:tcPr>
            <w:tcW w:w="1100" w:type="dxa"/>
            <w:vAlign w:val="bottom"/>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5"/>
          </w:tcPr>
          <w:p>
            <w:pPr>
              <w:jc w:val="center"/>
              <w:ind w:right="4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3"/>
                <w:szCs w:val="13"/>
                <w:color w:val="auto"/>
              </w:rPr>
            </w:pPr>
          </w:p>
        </w:tc>
        <w:tc>
          <w:tcPr>
            <w:tcW w:w="8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4"/>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55"/>
        </w:trPr>
        <w:tc>
          <w:tcPr>
            <w:tcW w:w="2820" w:type="dxa"/>
            <w:vAlign w:val="bottom"/>
            <w:shd w:val="clear" w:color="auto" w:fill="CFF0FC"/>
          </w:tcPr>
          <w:p>
            <w:pPr>
              <w:jc w:val="right"/>
              <w:ind w:right="1217"/>
              <w:spacing w:after="0"/>
              <w:rPr>
                <w:sz w:val="20"/>
                <w:szCs w:val="20"/>
                <w:color w:val="auto"/>
              </w:rPr>
            </w:pPr>
            <w:r>
              <w:rPr>
                <w:rFonts w:ascii="Times New Roman" w:cs="Times New Roman" w:eastAsia="Times New Roman" w:hAnsi="Times New Roman"/>
                <w:sz w:val="13"/>
                <w:szCs w:val="13"/>
                <w:color w:val="auto"/>
                <w:w w:val="97"/>
              </w:rPr>
              <w:t>Balance as of January 1, 2022</w:t>
            </w:r>
          </w:p>
        </w:tc>
        <w:tc>
          <w:tcPr>
            <w:tcW w:w="84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41,291,374</w:t>
            </w:r>
          </w:p>
        </w:tc>
        <w:tc>
          <w:tcPr>
            <w:tcW w:w="160" w:type="dxa"/>
            <w:vAlign w:val="bottom"/>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434,196</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tcBorders>
              <w:top w:val="single" w:sz="8" w:color="auto"/>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(155,533</w:t>
            </w:r>
          </w:p>
        </w:tc>
        <w:tc>
          <w:tcPr>
            <w:tcW w:w="16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278,526</w:t>
            </w:r>
          </w:p>
        </w:tc>
        <w:tc>
          <w:tcPr>
            <w:tcW w:w="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2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of stock options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7,652</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gridSpan w:val="2"/>
          </w:tcPr>
          <w:p>
            <w:pPr>
              <w:jc w:val="right"/>
              <w:ind w:right="37"/>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8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2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gridSpan w:val="2"/>
          </w:tcPr>
          <w:p>
            <w:pPr>
              <w:jc w:val="right"/>
              <w:ind w:right="37"/>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4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4"/>
                <w:szCs w:val="14"/>
                <w:color w:val="auto"/>
              </w:rPr>
            </w:pPr>
          </w:p>
        </w:tc>
        <w:tc>
          <w:tcPr>
            <w:tcW w:w="10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(490 )</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gridSpan w:val="2"/>
          </w:tcPr>
          <w:p>
            <w:pPr>
              <w:jc w:val="right"/>
              <w:ind w:right="37"/>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4"/>
          </w:tcPr>
          <w:p>
            <w:pPr>
              <w:jc w:val="right"/>
              <w:ind w:right="78"/>
              <w:spacing w:after="0"/>
              <w:rPr>
                <w:sz w:val="20"/>
                <w:szCs w:val="20"/>
                <w:color w:val="auto"/>
              </w:rPr>
            </w:pPr>
            <w:r>
              <w:rPr>
                <w:rFonts w:ascii="Times New Roman" w:cs="Times New Roman" w:eastAsia="Times New Roman" w:hAnsi="Times New Roman"/>
                <w:sz w:val="13"/>
                <w:szCs w:val="13"/>
                <w:color w:val="auto"/>
              </w:rPr>
              <w:t>(31,056 )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(31,056 )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CFF0FC"/>
            </w:tcBorders>
            <w:shd w:val="clear" w:color="auto" w:fill="CFF0FC"/>
          </w:tcPr>
          <w:p>
            <w:pPr>
              <w:jc w:val="right"/>
              <w:ind w:right="1217"/>
              <w:spacing w:after="0"/>
              <w:rPr>
                <w:sz w:val="20"/>
                <w:szCs w:val="20"/>
                <w:color w:val="auto"/>
              </w:rPr>
            </w:pPr>
            <w:r>
              <w:rPr>
                <w:rFonts w:ascii="Times New Roman" w:cs="Times New Roman" w:eastAsia="Times New Roman" w:hAnsi="Times New Roman"/>
                <w:sz w:val="13"/>
                <w:szCs w:val="13"/>
                <w:color w:val="auto"/>
                <w:w w:val="97"/>
              </w:rPr>
              <w:t>Balance as of March 31, 2022</w:t>
            </w:r>
          </w:p>
        </w:tc>
        <w:tc>
          <w:tcPr>
            <w:tcW w:w="8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41,299,026</w:t>
            </w:r>
          </w:p>
        </w:tc>
        <w:tc>
          <w:tcPr>
            <w:tcW w:w="1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ind w:right="43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436,313</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(186,589</w:t>
            </w:r>
          </w:p>
        </w:tc>
        <w:tc>
          <w:tcPr>
            <w:tcW w:w="160" w:type="dxa"/>
            <w:vAlign w:val="bottom"/>
            <w:tcBorders>
              <w:bottom w:val="single" w:sz="8" w:color="CFF0FC"/>
            </w:tcBorders>
            <w:shd w:val="clear" w:color="auto" w:fill="CFF0FC"/>
          </w:tcPr>
          <w:p>
            <w:pPr>
              <w:jc w:val="right"/>
              <w:ind w:right="7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249,097</w:t>
            </w: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1"/>
                <w:szCs w:val="11"/>
                <w:color w:val="auto"/>
              </w:rPr>
            </w:pPr>
          </w:p>
        </w:tc>
        <w:tc>
          <w:tcPr>
            <w:tcW w:w="840" w:type="dxa"/>
            <w:vAlign w:val="bottom"/>
            <w:gridSpan w:val="2"/>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1960" w:type="dxa"/>
            <w:vAlign w:val="bottom"/>
            <w:tcBorders>
              <w:right w:val="single" w:sz="8" w:color="auto"/>
            </w:tcBorders>
            <w:gridSpan w:val="5"/>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1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Receivable</w:t>
            </w:r>
          </w:p>
        </w:tc>
        <w:tc>
          <w:tcPr>
            <w:tcW w:w="800" w:type="dxa"/>
            <w:vAlign w:val="bottom"/>
            <w:gridSpan w:val="4"/>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w w:val="99"/>
              </w:rPr>
              <w:t>Comprehensi</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4"/>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960" w:type="dxa"/>
            <w:vAlign w:val="bottom"/>
            <w:tcBorders>
              <w:right w:val="single" w:sz="8" w:color="auto"/>
            </w:tcBorders>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4"/>
                <w:szCs w:val="14"/>
                <w:color w:val="auto"/>
              </w:rPr>
            </w:pPr>
          </w:p>
        </w:tc>
        <w:tc>
          <w:tcPr>
            <w:tcW w:w="840" w:type="dxa"/>
            <w:vAlign w:val="bottom"/>
            <w:gridSpan w:val="2"/>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4"/>
              </w:rPr>
              <w:t>from</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20" w:type="dxa"/>
            <w:vAlign w:val="bottom"/>
          </w:tcPr>
          <w:p>
            <w:pPr>
              <w:spacing w:after="0"/>
              <w:rPr>
                <w:sz w:val="14"/>
                <w:szCs w:val="14"/>
                <w:color w:val="auto"/>
              </w:rPr>
            </w:pPr>
          </w:p>
        </w:tc>
        <w:tc>
          <w:tcPr>
            <w:tcW w:w="920" w:type="dxa"/>
            <w:vAlign w:val="bottom"/>
            <w:gridSpan w:val="5"/>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0"/>
              </w:rPr>
              <w:t>Shares</w:t>
            </w: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960" w:type="dxa"/>
            <w:vAlign w:val="bottom"/>
            <w:gridSpan w:val="3"/>
          </w:tcPr>
          <w:p>
            <w:pPr>
              <w:jc w:val="center"/>
              <w:ind w:right="37"/>
              <w:spacing w:after="0" w:line="146"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37"/>
              <w:spacing w:after="0" w:line="146"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56"/>
        </w:trPr>
        <w:tc>
          <w:tcPr>
            <w:tcW w:w="2820" w:type="dxa"/>
            <w:vAlign w:val="bottom"/>
            <w:shd w:val="clear" w:color="auto" w:fill="CFF0FC"/>
          </w:tcPr>
          <w:p>
            <w:pPr>
              <w:jc w:val="right"/>
              <w:ind w:right="1217"/>
              <w:spacing w:after="0"/>
              <w:rPr>
                <w:sz w:val="20"/>
                <w:szCs w:val="20"/>
                <w:color w:val="auto"/>
              </w:rPr>
            </w:pPr>
            <w:r>
              <w:rPr>
                <w:rFonts w:ascii="Times New Roman" w:cs="Times New Roman" w:eastAsia="Times New Roman" w:hAnsi="Times New Roman"/>
                <w:sz w:val="13"/>
                <w:szCs w:val="13"/>
                <w:color w:val="auto"/>
                <w:w w:val="97"/>
              </w:rPr>
              <w:t>Balance as of January 1, 2021</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24,493,528</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220,754</w:t>
            </w:r>
          </w:p>
        </w:tc>
        <w:tc>
          <w:tcPr>
            <w:tcW w:w="160" w:type="dxa"/>
            <w:vAlign w:val="bottom"/>
            <w:tcBorders>
              <w:right w:val="single" w:sz="8" w:color="auto"/>
            </w:tcBorders>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1,210,306</w:t>
            </w:r>
          </w:p>
        </w:tc>
        <w:tc>
          <w:tcPr>
            <w:tcW w:w="14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1,584</w:t>
            </w:r>
          </w:p>
        </w:tc>
        <w:tc>
          <w:tcPr>
            <w:tcW w:w="80" w:type="dxa"/>
            <w:vAlign w:val="bottom"/>
            <w:shd w:val="clear" w:color="auto" w:fill="CFF0FC"/>
          </w:tcPr>
          <w:p>
            <w:pPr>
              <w:spacing w:after="0"/>
              <w:rPr>
                <w:sz w:val="13"/>
                <w:szCs w:val="13"/>
                <w:color w:val="auto"/>
              </w:rPr>
            </w:pPr>
          </w:p>
        </w:tc>
        <w:tc>
          <w:tcPr>
            <w:tcW w:w="120" w:type="dxa"/>
            <w:vAlign w:val="bottom"/>
            <w:tcBorders>
              <w:top w:val="single" w:sz="8" w:color="auto"/>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40" w:type="dxa"/>
            <w:vAlign w:val="bottom"/>
            <w:tcBorders>
              <w:right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(82,812</w:t>
            </w:r>
          </w:p>
        </w:tc>
        <w:tc>
          <w:tcPr>
            <w:tcW w:w="14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(81,315</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2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Issuance of Series C convertible preferred</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stock, net of issuance costs of $20</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1,608,750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19,981</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2820" w:type="dxa"/>
            <w:vAlign w:val="bottom"/>
            <w:shd w:val="clear" w:color="auto" w:fill="CFF0FC"/>
          </w:tcPr>
          <w:p>
            <w:pPr>
              <w:ind w:left="200"/>
              <w:spacing w:after="0" w:line="125" w:lineRule="exact"/>
              <w:rPr>
                <w:sz w:val="20"/>
                <w:szCs w:val="20"/>
                <w:color w:val="auto"/>
              </w:rPr>
            </w:pPr>
            <w:r>
              <w:rPr>
                <w:rFonts w:ascii="Times New Roman" w:cs="Times New Roman" w:eastAsia="Times New Roman" w:hAnsi="Times New Roman"/>
                <w:sz w:val="13"/>
                <w:szCs w:val="13"/>
                <w:color w:val="auto"/>
              </w:rPr>
              <w:t>Issuance of common stock upon exercise</w:t>
            </w:r>
          </w:p>
        </w:tc>
        <w:tc>
          <w:tcPr>
            <w:tcW w:w="84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60" w:type="dxa"/>
            <w:vAlign w:val="bottom"/>
            <w:tcBorders>
              <w:right w:val="single" w:sz="8" w:color="auto"/>
            </w:tcBorders>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of stock options</w:t>
            </w: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4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12,508</w:t>
            </w:r>
          </w:p>
        </w:tc>
        <w:tc>
          <w:tcPr>
            <w:tcW w:w="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ind w:left="200"/>
              <w:spacing w:after="0" w:line="117" w:lineRule="exact"/>
              <w:rPr>
                <w:sz w:val="20"/>
                <w:szCs w:val="20"/>
                <w:color w:val="auto"/>
              </w:rPr>
            </w:pPr>
            <w:r>
              <w:rPr>
                <w:rFonts w:ascii="Times New Roman" w:cs="Times New Roman" w:eastAsia="Times New Roman" w:hAnsi="Times New Roman"/>
                <w:sz w:val="13"/>
                <w:szCs w:val="13"/>
                <w:color w:val="auto"/>
              </w:rPr>
              <w:t>Repurchase of common stock related to</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820" w:type="dxa"/>
            <w:vAlign w:val="bottom"/>
          </w:tcPr>
          <w:p>
            <w:pPr>
              <w:jc w:val="right"/>
              <w:ind w:right="1217"/>
              <w:spacing w:after="0"/>
              <w:rPr>
                <w:sz w:val="20"/>
                <w:szCs w:val="20"/>
                <w:color w:val="auto"/>
              </w:rPr>
            </w:pPr>
            <w:r>
              <w:rPr>
                <w:rFonts w:ascii="Times New Roman" w:cs="Times New Roman" w:eastAsia="Times New Roman" w:hAnsi="Times New Roman"/>
                <w:sz w:val="13"/>
                <w:szCs w:val="13"/>
                <w:color w:val="auto"/>
              </w:rPr>
              <w:t>early exercise of options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(365 )</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10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4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loss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gridSpan w:val="4"/>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(13,098 )</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(13,098 )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20" w:type="dxa"/>
            <w:vAlign w:val="bottom"/>
          </w:tcPr>
          <w:p>
            <w:pPr>
              <w:jc w:val="right"/>
              <w:ind w:right="1217"/>
              <w:spacing w:after="0"/>
              <w:rPr>
                <w:sz w:val="20"/>
                <w:szCs w:val="20"/>
                <w:color w:val="auto"/>
              </w:rPr>
            </w:pPr>
            <w:r>
              <w:rPr>
                <w:rFonts w:ascii="Times New Roman" w:cs="Times New Roman" w:eastAsia="Times New Roman" w:hAnsi="Times New Roman"/>
                <w:sz w:val="13"/>
                <w:szCs w:val="13"/>
                <w:color w:val="auto"/>
                <w:w w:val="97"/>
              </w:rPr>
              <w:t>Balance as of March 31,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26,102,278</w:t>
            </w:r>
          </w:p>
        </w:tc>
        <w:tc>
          <w:tcPr>
            <w:tcW w:w="16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240,735</w:t>
            </w:r>
          </w:p>
        </w:tc>
        <w:tc>
          <w:tcPr>
            <w:tcW w:w="1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1,222,449</w:t>
            </w:r>
          </w:p>
        </w:tc>
        <w:tc>
          <w:tcPr>
            <w:tcW w:w="140" w:type="dxa"/>
            <w:vAlign w:val="bottom"/>
          </w:tcPr>
          <w:p>
            <w:pPr>
              <w:spacing w:after="0"/>
              <w:rPr>
                <w:sz w:val="13"/>
                <w:szCs w:val="13"/>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2,054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(87 )</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4"/>
          </w:tcPr>
          <w:p>
            <w:pPr>
              <w:jc w:val="right"/>
              <w:ind w:right="17"/>
              <w:spacing w:after="0"/>
              <w:rPr>
                <w:sz w:val="20"/>
                <w:szCs w:val="20"/>
                <w:color w:val="auto"/>
              </w:rPr>
            </w:pPr>
            <w:r>
              <w:rPr>
                <w:rFonts w:ascii="Times New Roman" w:cs="Times New Roman" w:eastAsia="Times New Roman" w:hAnsi="Times New Roman"/>
                <w:sz w:val="13"/>
                <w:szCs w:val="13"/>
                <w:color w:val="auto"/>
              </w:rPr>
              <w:t>(95,910 )</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(93,943 )</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-1842770</wp:posOffset>
            </wp:positionV>
            <wp:extent cx="25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-1825625</wp:posOffset>
            </wp:positionV>
            <wp:extent cx="25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-1842770</wp:posOffset>
            </wp:positionV>
            <wp:extent cx="25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-1825625</wp:posOffset>
            </wp:positionV>
            <wp:extent cx="25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-1842770</wp:posOffset>
            </wp:positionV>
            <wp:extent cx="25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-1825625</wp:posOffset>
            </wp:positionV>
            <wp:extent cx="25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-1842770</wp:posOffset>
            </wp:positionV>
            <wp:extent cx="34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-1825625</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-1842770</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-1825625</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-1842770</wp:posOffset>
            </wp:positionV>
            <wp:extent cx="34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-1825625</wp:posOffset>
            </wp:positionV>
            <wp:extent cx="34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-136525</wp:posOffset>
            </wp:positionV>
            <wp:extent cx="342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-136525</wp:posOffset>
            </wp:positionV>
            <wp:extent cx="342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-136525</wp:posOffset>
            </wp:positionV>
            <wp:extent cx="342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-136525</wp:posOffset>
            </wp:positionV>
            <wp:extent cx="25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-136525</wp:posOffset>
            </wp:positionV>
            <wp:extent cx="254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-136525</wp:posOffset>
            </wp:positionV>
            <wp:extent cx="34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-136525</wp:posOffset>
            </wp:positionV>
            <wp:extent cx="25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-136525</wp:posOffset>
            </wp:positionV>
            <wp:extent cx="342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-136525</wp:posOffset>
            </wp:positionV>
            <wp:extent cx="342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(31,056 )</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(13,098 )</w:t>
            </w:r>
          </w:p>
        </w:tc>
      </w:tr>
      <w:tr>
        <w:trPr>
          <w:trHeight w:val="1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premium on marketable securities</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(3,313 )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10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(1,779 )</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(1,022 )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(533 )</w:t>
            </w: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(384 )</w:t>
            </w:r>
          </w:p>
        </w:tc>
      </w:tr>
      <w:tr>
        <w:trPr>
          <w:trHeight w:val="17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7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8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(28,756</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(15,789</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(8,595 )</w:t>
            </w:r>
          </w:p>
        </w:tc>
        <w:tc>
          <w:tcPr>
            <w:tcW w:w="10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(4,323 )</w:t>
            </w:r>
          </w:p>
        </w:tc>
      </w:tr>
      <w:tr>
        <w:trPr>
          <w:trHeight w:val="176"/>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080" w:type="dxa"/>
            <w:vAlign w:val="bottom"/>
          </w:tcPr>
          <w:p>
            <w:pPr>
              <w:spacing w:after="0"/>
              <w:rPr>
                <w:sz w:val="15"/>
                <w:szCs w:val="15"/>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(43,171 )</w:t>
            </w:r>
          </w:p>
        </w:tc>
        <w:tc>
          <w:tcPr>
            <w:tcW w:w="1040" w:type="dxa"/>
            <w:vAlign w:val="bottom"/>
          </w:tcPr>
          <w:p>
            <w:pPr>
              <w:spacing w:after="0"/>
              <w:rPr>
                <w:sz w:val="15"/>
                <w:szCs w:val="15"/>
                <w:color w:val="auto"/>
              </w:rPr>
            </w:pP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10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68,200</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16,434</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(4,323 )</w:t>
            </w: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8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issuance of Series C convertible preferred stock, net of issuance costs</w:t>
            </w:r>
          </w:p>
        </w:tc>
        <w:tc>
          <w:tcPr>
            <w:tcW w:w="1080" w:type="dxa"/>
            <w:vAlign w:val="bottom"/>
          </w:tcPr>
          <w:p>
            <w:pPr>
              <w:spacing w:after="0"/>
              <w:rPr>
                <w:sz w:val="15"/>
                <w:szCs w:val="15"/>
                <w:color w:val="auto"/>
              </w:rPr>
            </w:pP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19,986</w:t>
            </w:r>
          </w:p>
        </w:tc>
        <w:tc>
          <w:tcPr>
            <w:tcW w:w="60" w:type="dxa"/>
            <w:vAlign w:val="bottom"/>
          </w:tcPr>
          <w:p>
            <w:pPr>
              <w:spacing w:after="0"/>
              <w:rPr>
                <w:sz w:val="15"/>
                <w:szCs w:val="15"/>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FF0FC"/>
          </w:tcPr>
          <w:p>
            <w:pPr>
              <w:spacing w:after="0"/>
              <w:rPr>
                <w:sz w:val="15"/>
                <w:szCs w:val="15"/>
                <w:color w:val="auto"/>
              </w:rPr>
            </w:pPr>
          </w:p>
        </w:tc>
      </w:tr>
      <w:tr>
        <w:trPr>
          <w:trHeight w:val="169"/>
        </w:trPr>
        <w:tc>
          <w:tcPr>
            <w:tcW w:w="77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20,015</w:t>
            </w:r>
          </w:p>
        </w:tc>
        <w:tc>
          <w:tcPr>
            <w:tcW w:w="6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10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(12,307</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38,676</w:t>
            </w:r>
          </w:p>
        </w:tc>
        <w:tc>
          <w:tcPr>
            <w:tcW w:w="2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129,083</w:t>
            </w:r>
          </w:p>
        </w:tc>
        <w:tc>
          <w:tcPr>
            <w:tcW w:w="6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128,986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Components of cash, cash equivalents and restricted cash:</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8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25,970</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128,439</w:t>
            </w:r>
          </w:p>
        </w:tc>
        <w:tc>
          <w:tcPr>
            <w:tcW w:w="60" w:type="dxa"/>
            <w:vAlign w:val="bottom"/>
            <w:shd w:val="clear" w:color="auto" w:fill="CFF0FC"/>
          </w:tcPr>
          <w:p>
            <w:pPr>
              <w:spacing w:after="0"/>
              <w:rPr>
                <w:sz w:val="15"/>
                <w:szCs w:val="15"/>
                <w:color w:val="auto"/>
              </w:rPr>
            </w:pPr>
          </w:p>
        </w:tc>
      </w:tr>
      <w:tr>
        <w:trPr>
          <w:trHeight w:val="176"/>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6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128,986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cash operating activities:</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paid for leases included in operating cash outflows</w:t>
            </w:r>
          </w:p>
        </w:tc>
        <w:tc>
          <w:tcPr>
            <w:tcW w:w="1080" w:type="dxa"/>
            <w:vAlign w:val="bottom"/>
            <w:tcBorders>
              <w:bottom w:val="single" w:sz="8" w:color="auto"/>
            </w:tcBorders>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6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non-cash operating activities:</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Lease liability obtained in exchange for right-of-use asset</w:t>
            </w:r>
          </w:p>
        </w:tc>
        <w:tc>
          <w:tcPr>
            <w:tcW w:w="108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60" w:type="dxa"/>
            <w:vAlign w:val="bottom"/>
            <w:shd w:val="clear" w:color="auto" w:fill="CFF0FC"/>
          </w:tcPr>
          <w:p>
            <w:pPr>
              <w:spacing w:after="0"/>
              <w:rPr>
                <w:sz w:val="18"/>
                <w:szCs w:val="18"/>
                <w:color w:val="auto"/>
              </w:rPr>
            </w:pPr>
          </w:p>
        </w:tc>
      </w:tr>
      <w:tr>
        <w:trPr>
          <w:trHeight w:val="156"/>
        </w:trPr>
        <w:tc>
          <w:tcPr>
            <w:tcW w:w="770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offering costs related to initial public offering included in accounts payable</w:t>
            </w:r>
          </w:p>
        </w:tc>
        <w:tc>
          <w:tcPr>
            <w:tcW w:w="1080" w:type="dxa"/>
            <w:vAlign w:val="bottom"/>
            <w:shd w:val="clear" w:color="auto" w:fill="CFF0FC"/>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shd w:val="clear" w:color="auto" w:fill="CFF0FC"/>
          </w:tcPr>
          <w:p>
            <w:pPr>
              <w:spacing w:after="0"/>
              <w:rPr>
                <w:sz w:val="18"/>
                <w:szCs w:val="18"/>
                <w:color w:val="auto"/>
              </w:rPr>
            </w:pPr>
          </w:p>
        </w:tc>
      </w:tr>
      <w:tr>
        <w:trPr>
          <w:trHeight w:val="156"/>
        </w:trPr>
        <w:tc>
          <w:tcPr>
            <w:tcW w:w="770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Property and equipment included in accounts payable and accrued expenses and other current liabilities</w:t>
            </w:r>
          </w:p>
        </w:tc>
        <w:tc>
          <w:tcPr>
            <w:tcW w:w="1080" w:type="dxa"/>
            <w:vAlign w:val="bottom"/>
            <w:tcBorders>
              <w:top w:val="single" w:sz="8" w:color="auto"/>
              <w:bottom w:val="single" w:sz="8" w:color="auto"/>
            </w:tcBorders>
          </w:tcPr>
          <w:p>
            <w:pPr>
              <w:jc w:val="right"/>
              <w:ind w:right="92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5,282</w:t>
            </w:r>
          </w:p>
        </w:tc>
        <w:tc>
          <w:tcPr>
            <w:tcW w:w="220" w:type="dxa"/>
            <w:vAlign w:val="bottom"/>
            <w:tcBorders>
              <w:top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8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452</w:t>
            </w:r>
          </w:p>
        </w:tc>
        <w:tc>
          <w:tcPr>
            <w:tcW w:w="60" w:type="dxa"/>
            <w:vAlign w:val="bottom"/>
            <w:tcBorders>
              <w:top w:val="single" w:sz="8" w:color="CFF0FC"/>
            </w:tcBorders>
          </w:tcPr>
          <w:p>
            <w:pPr>
              <w:spacing w:after="0"/>
              <w:rPr>
                <w:sz w:val="13"/>
                <w:szCs w:val="13"/>
                <w:color w:val="auto"/>
              </w:rPr>
            </w:pPr>
          </w:p>
        </w:tc>
      </w:tr>
      <w:tr>
        <w:trPr>
          <w:trHeight w:val="20"/>
        </w:trPr>
        <w:tc>
          <w:tcPr>
            <w:tcW w:w="7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-2776855</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-2776855</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-2322195</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-2322195</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5915660</wp:posOffset>
            </wp:positionH>
            <wp:positionV relativeFrom="paragraph">
              <wp:posOffset>-1871980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-1871980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-1388110</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-1370965</wp:posOffset>
            </wp:positionV>
            <wp:extent cx="43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-1388110</wp:posOffset>
            </wp:positionV>
            <wp:extent cx="43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-1370965</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-908050</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-890905</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-908050</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-890905</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-659130</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-642620</wp:posOffset>
            </wp:positionV>
            <wp:extent cx="4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-659130</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-642620</wp:posOffset>
            </wp:positionV>
            <wp:extent cx="43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-410845</wp:posOffset>
            </wp:positionV>
            <wp:extent cx="43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-393700</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-410845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-393700</wp:posOffset>
            </wp:positionV>
            <wp:extent cx="43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-161925</wp:posOffset>
            </wp:positionV>
            <wp:extent cx="43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-145415</wp:posOffset>
            </wp:positionV>
            <wp:extent cx="43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-161925</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-145415</wp:posOffset>
            </wp:positionV>
            <wp:extent cx="431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12" w:lineRule="exact"/>
        <w:rPr>
          <w:sz w:val="20"/>
          <w:szCs w:val="20"/>
          <w:color w:val="auto"/>
        </w:rPr>
      </w:pPr>
    </w:p>
    <w:p>
      <w:pPr>
        <w:ind w:left="520" w:right="7360" w:hanging="512"/>
        <w:spacing w:after="0" w:line="495" w:lineRule="auto"/>
        <w:tabs>
          <w:tab w:leader="none" w:pos="38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Description of the Business </w:t>
      </w:r>
      <w:r>
        <w:rPr>
          <w:rFonts w:ascii="Times New Roman" w:cs="Times New Roman" w:eastAsia="Times New Roman" w:hAnsi="Times New Roman"/>
          <w:sz w:val="18"/>
          <w:szCs w:val="18"/>
          <w:b w:val="1"/>
          <w:bCs w:val="1"/>
          <w:i w:val="1"/>
          <w:iCs w:val="1"/>
          <w:color w:val="auto"/>
        </w:rPr>
        <w:t>Description of the Business</w:t>
      </w:r>
    </w:p>
    <w:p>
      <w:pPr>
        <w:spacing w:after="0" w:line="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16"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Company has incurred net losses since inception and expects such losses to continue in the future as it conducts research and development activities. As of March 31, 2022, the Company had an accumulated deficit of $186.6 million. The Company incurred a net loss of $31.1 million and $13.1 million during the three months ended March 31, 2022 and 2021, respectively. The Company had $213.5 million of cash, cash equivalents and investments in marketable securities as of March 31, 2022.</w:t>
      </w:r>
    </w:p>
    <w:p>
      <w:pPr>
        <w:spacing w:after="0" w:line="177"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March 31, 2022 will be sufficient to fund the Company’s operations for at least the next twelve months following the date these condensed financial statements are filed with the Securities and Exchange Commission (“SEC”).</w:t>
      </w:r>
    </w:p>
    <w:p>
      <w:pPr>
        <w:spacing w:after="0" w:line="295"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p>
    <w:p>
      <w:pPr>
        <w:spacing w:after="0" w:line="61"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The interim condensed balance sheet as of March 31, 2022, the interim condensed statements of operations and comprehensive loss, convertible preferred stock and stockholders’ equity (deficit) and cash flows for the three months ended March 31, 2022 and 2021 are unaudited. These unaudited interim condensed financial statements have been prepared on the same basis as the Company’s annual financial statements and reflect all adjustments (consisting only of normal recurring adjustments) that are necessary for the fair statement of the Company’s financial position, results of operations and cash flows for the interim periods presented. The condensed results of operations for the three months ended March 31, 2022 are not necessarily indicative of the results to be expected for the full year or for any other future annual or interim period. The condensed balance sheet as of December 31, 2021 included herein was derived from the audited financial statements as of that date. These condensed financial statements should be read in conjunction with the Company’s audited financial statements and the related notes thereto for the year ended December 31, 2021, included in Company's Annual Report on Form 10-K, filed with the SEC on March 23, 2022.</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On an ongoing basis, management evaluates its estimates, including those related to clinical trials accrued liabilities, income tax valuation allowance and stock-based compensation.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invests in a variety of financial instruments and, by its Board approved investment policy, limits the amount of credit exposure with any one issuer, industry or geographic area for investments other than instruments backed by the U.S. federal government.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revisions in our significant accounting policies described in Note 2 to the consolidated financial statements included in our Annual Report on Form 10-K for the year ended December 31, 2021.</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became effective for the Company beginning January 1, 2022. The adoption of this standard did not have any impact on its financial statements.</w:t>
      </w:r>
    </w:p>
    <w:p>
      <w:pPr>
        <w:spacing w:after="0" w:line="18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In November 2021, the FASB issued ASU No. 2021-10, Government Assistance (Topic 832): Disclosures by Business Entities about Government Assistance (ASU 2021-10), which requires business entities to make annual disclosures about transactions with a government they account for by analogizing to a grant or contribution accounting model. The required annual disclosures include the nature of the transaction, the entity’s related accounting policy, the financial statement line items affected and the amounts reflected in the current period financial statements, and any significant terms and conditions. ASU 2021-10 became effective for the Company beginning January 1, 2022. The adoption of this standard did not have a material impact on its financial statements.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p>
    <w:p>
      <w:pPr>
        <w:spacing w:after="0" w:line="2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which replaces the existing incurred loss impairment model with an expected credit loss model. This standard will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to recognize an allowance for credit losses on available-for-sale debt securities rather than the current approach of recording a reduction to the carrying value of the asset. As an emerging growth company, ASU 2016-13 will become effective for the Company beginning January 1, 2023. The Company is evaluating the impact of this standard on its financial statements.</w:t>
      </w:r>
    </w:p>
    <w:p>
      <w:pPr>
        <w:spacing w:after="0" w:line="200" w:lineRule="exact"/>
        <w:rPr>
          <w:sz w:val="20"/>
          <w:szCs w:val="20"/>
          <w:color w:val="auto"/>
        </w:rPr>
      </w:pPr>
    </w:p>
    <w:p>
      <w:pPr>
        <w:spacing w:after="0" w:line="289"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19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is given to the risk inherent in the valuation technique and the risk inherent in the inputs to the model.</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24,970</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24,970</w:t>
            </w: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106,319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(404 )</w:t>
            </w:r>
          </w:p>
        </w:tc>
        <w:tc>
          <w:tcPr>
            <w:tcW w:w="2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105,915</w:t>
            </w: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(196 )</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70,474</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(31 )</w:t>
            </w:r>
          </w:p>
        </w:tc>
        <w:tc>
          <w:tcPr>
            <w:tcW w:w="2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213,110</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212,479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-650875</wp:posOffset>
            </wp:positionV>
            <wp:extent cx="43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-650875</wp:posOffset>
            </wp:positionV>
            <wp:extent cx="43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-650875</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-650875</wp:posOffset>
            </wp:positionV>
            <wp:extent cx="34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54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2"/>
          </w:tcPr>
          <w:p>
            <w:pPr>
              <w:jc w:val="right"/>
              <w:ind w:right="501"/>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06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6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78,097</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(85 )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121,634</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2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4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agencies bonds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4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250,441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250,300</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-25400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431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Money market funds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 To validate the fair value determination provided by its investment managers, the Company reviews the pricing movement in the context of overall market trends and trading information from its investment managers. In addition, the Company considers the inputs and methods used in determining the fair value in order to determine the classification of securities in the fair value hierarchy.</w:t>
      </w:r>
    </w:p>
    <w:p>
      <w:pPr>
        <w:spacing w:after="0" w:line="73"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 Company believes it is more likely than not that its marketable securities in an unrealized loss position will be held until maturity or the recovery of the cost basis of the investment. To date, the Company has not recorded any impairment charges on marketable securities related to other-than-temporary declines in market value. As of March 31, 2022, $184.5 million of available-for-sale marketable securities had remaining maturities of less than one year. The remainder of the marketable securities of $3.0 million had remaining maturities between one and two years and was included in other noncurrent assets in the accompanying condensed balance sheet as of March 31, 2022.</w:t>
      </w:r>
    </w:p>
    <w:p>
      <w:pPr>
        <w:spacing w:after="0" w:line="6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carrying amount of our remaining financial assets and liabilities, which include cash, receivables and payables, approximate their fair values due to their short-term nature.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11" w:name="page12"/>
    <w:bookmarkEnd w:id="11"/>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tab/>
        <w:t>Balance Sheet Components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69"/>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center"/>
              <w:ind w:right="834"/>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32,561</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8"/>
                <w:szCs w:val="18"/>
                <w:color w:val="auto"/>
              </w:rPr>
            </w:pPr>
          </w:p>
        </w:tc>
      </w:tr>
      <w:tr>
        <w:trPr>
          <w:trHeight w:val="216"/>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59,775</w:t>
            </w:r>
          </w:p>
        </w:tc>
        <w:tc>
          <w:tcPr>
            <w:tcW w:w="2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52,445</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(10,391 )</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(9,425 )</w:t>
            </w:r>
          </w:p>
        </w:tc>
      </w:tr>
      <w:tr>
        <w:trPr>
          <w:trHeight w:val="209"/>
        </w:trPr>
        <w:tc>
          <w:tcPr>
            <w:tcW w:w="50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49,384</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43,020</w:t>
            </w:r>
          </w:p>
        </w:tc>
        <w:tc>
          <w:tcPr>
            <w:tcW w:w="100" w:type="dxa"/>
            <w:vAlign w:val="bottom"/>
            <w:tcBorders>
              <w:top w:val="single" w:sz="8" w:color="CFF0FC"/>
            </w:tcBorders>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-454025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-454025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9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2022 and 2021 was $1.0 million and $0.7 million, respectively. Leasehold improvements as of March 31, 2022 include certain enhancements made to the Company’s leased manufacturing and office space located in Union City, California ("Union City Facility"). Construction in progress as of March 31, 2022 primarily consists of capitalized machinery and equipment that is expected to be placed in service in the Union City Facility (see Note 6).</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r>
      <w:tr>
        <w:trPr>
          <w:trHeight w:val="187"/>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60" w:type="dxa"/>
            <w:vAlign w:val="bottom"/>
          </w:tcPr>
          <w:p>
            <w:pPr>
              <w:spacing w:after="0"/>
              <w:rPr>
                <w:sz w:val="14"/>
                <w:szCs w:val="14"/>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6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6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Pr>
          <w:p>
            <w:pPr>
              <w:spacing w:after="0"/>
              <w:rPr>
                <w:sz w:val="18"/>
                <w:szCs w:val="18"/>
                <w:color w:val="auto"/>
              </w:rPr>
            </w:pPr>
          </w:p>
        </w:tc>
      </w:tr>
      <w:tr>
        <w:trPr>
          <w:trHeight w:val="216"/>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6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342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4" w:lineRule="exact"/>
        <w:rPr>
          <w:sz w:val="20"/>
          <w:szCs w:val="20"/>
          <w:color w:val="auto"/>
        </w:rPr>
      </w:pPr>
    </w:p>
    <w:p>
      <w:pPr>
        <w:ind w:left="520" w:right="8460" w:hanging="512"/>
        <w:spacing w:after="0" w:line="487" w:lineRule="auto"/>
        <w:tabs>
          <w:tab w:leader="none" w:pos="38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 Agreements </w:t>
      </w:r>
      <w:r>
        <w:rPr>
          <w:rFonts w:ascii="Times New Roman" w:cs="Times New Roman" w:eastAsia="Times New Roman" w:hAnsi="Times New Roman"/>
          <w:sz w:val="18"/>
          <w:szCs w:val="18"/>
          <w:b w:val="1"/>
          <w:bCs w:val="1"/>
          <w:i w:val="1"/>
          <w:iCs w:val="1"/>
          <w:color w:val="auto"/>
        </w:rPr>
        <w:t>Gladstone License Agreement</w:t>
      </w:r>
    </w:p>
    <w:p>
      <w:pPr>
        <w:spacing w:after="0" w:line="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up to $0.1 million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As of March 31, 2022, the Company has not recognized any milestone and royalty payments under the Gladstone License Agreement.</w:t>
      </w:r>
    </w:p>
    <w:p>
      <w:pPr>
        <w:spacing w:after="0" w:line="18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there were no material amounts recorded related to annual license fees payable pursuant to the Gladstone License Agreement.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University of Texas Southwestern License Agreement</w:t>
      </w:r>
    </w:p>
    <w:p>
      <w:pPr>
        <w:spacing w:after="0" w:line="229"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March 31, 2022, the Company has not recognized any milestone and royalty payments under the UTSW License.</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License Agreements</w:t>
      </w:r>
    </w:p>
    <w:p>
      <w:pPr>
        <w:spacing w:after="0" w:line="21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agreements described above, the Company has also entered into other license agreements with various institutions and business entities, none of which are material individually or in the aggregate.</w:t>
      </w:r>
    </w:p>
    <w:p>
      <w:pPr>
        <w:spacing w:after="0" w:line="158"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08" w:lineRule="exact"/>
        <w:rPr>
          <w:sz w:val="20"/>
          <w:szCs w:val="20"/>
          <w:color w:val="auto"/>
        </w:rPr>
      </w:pPr>
    </w:p>
    <w:p>
      <w:pPr>
        <w:jc w:val="both"/>
        <w:ind w:left="60" w:right="2800" w:firstLine="464"/>
        <w:spacing w:after="0" w:line="258" w:lineRule="auto"/>
        <w:rPr>
          <w:sz w:val="20"/>
          <w:szCs w:val="20"/>
          <w:color w:val="auto"/>
        </w:rPr>
      </w:pPr>
      <w:r>
        <w:rPr>
          <w:rFonts w:ascii="Times New Roman" w:cs="Times New Roman" w:eastAsia="Times New Roman" w:hAnsi="Times New Roman"/>
          <w:sz w:val="18"/>
          <w:szCs w:val="18"/>
          <w:color w:val="auto"/>
        </w:rPr>
        <w:t>In December 2016, the Company entered into a lease agreement for office and laboratory space in South San Francisco, California. The lease expires in May 2025 and the Company may renew the lease term for two additional five-year periods.</w:t>
      </w:r>
    </w:p>
    <w:p>
      <w:pPr>
        <w:spacing w:after="0" w:line="6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2021, the Company entered into a lease agreement for manufacturing and office space located in Union City, California. The lease commenced in May 2021 and has a ten-year term with one five-year renewal option. Upon the execution of the lease agreement, the Company provided the landlord with a refundable security deposit of $3.3 million, which is included in other noncurrent assets on the balance sheets.</w:t>
      </w:r>
    </w:p>
    <w:p>
      <w:pPr>
        <w:spacing w:after="0" w:line="6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November 2021, the Company entered into a short-term sublease agreement for additional office and laboratory space in South San Francisco, California with a lease term that expires on June 30, 2022.</w:t>
      </w:r>
    </w:p>
    <w:p>
      <w:pPr>
        <w:spacing w:after="0" w:line="68"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For these operating leases, the Company incurred $1.2 million of lease costs for the three months ended March 31, 2022 and 2021, of which $0.2 million and $0.6 million, respectively, were related to the Company’s short-term lease, and $0.3 million and $0.4 million, respectively, were related to variable lease payments.</w:t>
      </w:r>
    </w:p>
    <w:p>
      <w:pPr>
        <w:spacing w:after="0" w:line="19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2022, the Company's operating leases had a weighted average remaining lease term of 6.5 years and a weighted average discount rate of 9.5%. Future minimum lease payments under the Company’s operating leases as of March 31, 2022 were as follows:</w:t>
      </w:r>
    </w:p>
    <w:p>
      <w:pPr>
        <w:spacing w:after="0" w:line="115"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9"/>
        </w:trPr>
        <w:tc>
          <w:tcPr>
            <w:tcW w:w="5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 9 months)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tcPr>
          <w:p>
            <w:pPr>
              <w:spacing w:after="0"/>
              <w:rPr>
                <w:sz w:val="18"/>
                <w:szCs w:val="18"/>
                <w:color w:val="auto"/>
              </w:rPr>
            </w:pPr>
          </w:p>
        </w:tc>
      </w:tr>
      <w:tr>
        <w:trPr>
          <w:trHeight w:val="210"/>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21,213</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Imputed interest</w:t>
            </w:r>
          </w:p>
        </w:tc>
        <w:tc>
          <w:tcPr>
            <w:tcW w:w="1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(5,763 )</w:t>
            </w:r>
          </w:p>
        </w:tc>
      </w:tr>
      <w:tr>
        <w:trPr>
          <w:trHeight w:val="216"/>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Tenant improvement receivable</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(282 )</w:t>
            </w:r>
          </w:p>
        </w:tc>
      </w:tr>
      <w:tr>
        <w:trPr>
          <w:trHeight w:val="210"/>
        </w:trPr>
        <w:tc>
          <w:tcPr>
            <w:tcW w:w="51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00" w:type="dxa"/>
            <w:vAlign w:val="bottom"/>
            <w:tcBorders>
              <w:top w:val="single" w:sz="8" w:color="CFF0FC"/>
            </w:tcBorders>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10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the lease agreement for the manufacturing and office facility in Union City, the Company is contractually obligated to remove constructed leasehold improvements related to capitalized machinery and equipment (see Note 4) and to restore the leased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3" w:name="page14"/>
    <w:bookmarkEnd w:id="13"/>
    <w:p>
      <w:pPr>
        <w:ind w:right="220"/>
        <w:spacing w:after="0" w:line="282" w:lineRule="auto"/>
        <w:rPr>
          <w:sz w:val="20"/>
          <w:szCs w:val="20"/>
          <w:color w:val="auto"/>
        </w:rPr>
      </w:pPr>
      <w:r>
        <w:rPr>
          <w:rFonts w:ascii="Times New Roman" w:cs="Times New Roman" w:eastAsia="Times New Roman" w:hAnsi="Times New Roman"/>
          <w:sz w:val="18"/>
          <w:szCs w:val="18"/>
          <w:color w:val="auto"/>
        </w:rPr>
        <w:t>space to its original condition upon termination of the lease agreement. As of March 31, 2022, the balance of the asset retirement obligation liability was not material.</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08"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 and Indemnification</w:t>
      </w:r>
    </w:p>
    <w:p>
      <w:pPr>
        <w:spacing w:after="0" w:line="121" w:lineRule="exact"/>
        <w:rPr>
          <w:sz w:val="20"/>
          <w:szCs w:val="20"/>
          <w:color w:val="auto"/>
        </w:rPr>
      </w:pPr>
    </w:p>
    <w:p>
      <w:pPr>
        <w:jc w:val="both"/>
        <w:ind w:right="200" w:firstLine="405"/>
        <w:spacing w:after="0" w:line="244"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consolidated financial statements indicates that it is probable that a liability had been incurred at the date of the consolidated financial statements and (ii) the range of loss can be reasonably estimated. The Company was not involved in any material litigations as of March 31, 2022.</w:t>
      </w:r>
    </w:p>
    <w:p>
      <w:pPr>
        <w:spacing w:after="0" w:line="74"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March 31, 2022 and December 31, 2021, the Company did not have any material indemnification claims that were probable or reasonably possible and, consequently, has not recorded any related liabilities.</w:t>
      </w:r>
    </w:p>
    <w:p>
      <w:pPr>
        <w:spacing w:after="0" w:line="191"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condensed statements of convertible preferred stock and stockholders’ equity (deficit) includes shares related to early exercised options and restricted stock that are subject to repurchase. Common stock issued and outstanding is reduced for any repurchases of early exercised stock options and restricted stock. As of March 31, 2022 and December 31, 2021, outstanding common stock included 21,799 and 28,905 shares related to early exercised stock options and restricted stock that are unvested and subject to repurchase.</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of common stock reserved for issuance, on an as-if converted basis, are as follows: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2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r>
      <w:tr>
        <w:trPr>
          <w:trHeight w:val="173"/>
        </w:trPr>
        <w:tc>
          <w:tcPr>
            <w:tcW w:w="6860" w:type="dxa"/>
            <w:vAlign w:val="bottom"/>
          </w:tcPr>
          <w:p>
            <w:pPr>
              <w:spacing w:after="0"/>
              <w:rPr>
                <w:sz w:val="15"/>
                <w:szCs w:val="15"/>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5"/>
                <w:szCs w:val="15"/>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and awards issued and outstanding</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4,860,612</w:t>
            </w:r>
          </w:p>
        </w:tc>
        <w:tc>
          <w:tcPr>
            <w:tcW w:w="18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2,772,154</w:t>
            </w:r>
          </w:p>
        </w:tc>
        <w:tc>
          <w:tcPr>
            <w:tcW w:w="6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awards available for future grant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3,149,702</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3,594,158</w:t>
            </w:r>
          </w:p>
        </w:tc>
        <w:tc>
          <w:tcPr>
            <w:tcW w:w="60" w:type="dxa"/>
            <w:vAlign w:val="bottom"/>
          </w:tcPr>
          <w:p>
            <w:pPr>
              <w:spacing w:after="0"/>
              <w:rPr>
                <w:sz w:val="18"/>
                <w:szCs w:val="18"/>
                <w:color w:val="auto"/>
              </w:rPr>
            </w:pPr>
          </w:p>
        </w:tc>
      </w:tr>
      <w:tr>
        <w:trPr>
          <w:trHeight w:val="250"/>
        </w:trPr>
        <w:tc>
          <w:tcPr>
            <w:tcW w:w="6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8,010,314</w:t>
            </w:r>
          </w:p>
        </w:tc>
        <w:tc>
          <w:tcPr>
            <w:tcW w:w="1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6,366,312</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4"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July 2021, the Company adopted the 2021 Equity Incentive Plan (the “2021 Plan”), which became effective in connection with the IPO. Under the 2021 Plan, 4,000,000 shares of the Company's common stock were initially reserved for issuance of equity awards to employees, directors, and consultants, under terms and provisions established by the Board of Directors. The number of shares of common stock available for issuance under the 2021 Plan will automatically increase on the first day of January for a period of ten years, commencing on January 1, 2022, in an amount equal to the lesser of: 4,000,000 shares; 4% of the outstanding shares of the Company’s common stock as of the last day of the immediately preceding year; or such other amount as the Company’s Board of Directors may determine. In addition, the Company’s 2016 Equity Incentive Plan (the “2016 Plan”) was terminated in connection with the IPO. Shares subject to awards granted under the 2016 Plan that are repurchased by or forfeited to the Company will be reserved for issuance under the 2021 Plan.</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shares reserved and available for grant under the 2021 Plan as of March 31, 2022 are 3,149,702.</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94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0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2,772,154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(7,652 )</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cancelled</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(14,985 )</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2022</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4,784,703</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Stock option awards granted to employees generally vest over a four-year period. The contractual term of stock option awards is generally 10 years from the grant date.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right="480" w:firstLine="509"/>
        <w:spacing w:after="0" w:line="249" w:lineRule="auto"/>
        <w:rPr>
          <w:sz w:val="20"/>
          <w:szCs w:val="20"/>
          <w:color w:val="auto"/>
        </w:rPr>
      </w:pPr>
      <w:r>
        <w:rPr>
          <w:rFonts w:ascii="Times New Roman" w:cs="Times New Roman" w:eastAsia="Times New Roman" w:hAnsi="Times New Roman"/>
          <w:sz w:val="18"/>
          <w:szCs w:val="18"/>
          <w:color w:val="auto"/>
        </w:rPr>
        <w:t>The fair value of the Company’s stock option awards is estimated on the date of grant using the Black-Scholes option pricing model using the following assumptions:</w:t>
      </w:r>
    </w:p>
    <w:tbl>
      <w:tblPr>
        <w:tblLayout w:type="fixed"/>
        <w:tblInd w:w="520" w:type="dxa"/>
        <w:tblCellMar>
          <w:top w:w="0" w:type="dxa"/>
          <w:left w:w="0" w:type="dxa"/>
          <w:bottom w:w="0" w:type="dxa"/>
          <w:right w:w="0" w:type="dxa"/>
        </w:tblCellMar>
      </w:tblPr>
      <w:tr>
        <w:trPr>
          <w:trHeight w:val="145"/>
        </w:trPr>
        <w:tc>
          <w:tcPr>
            <w:tcW w:w="6500" w:type="dxa"/>
            <w:vAlign w:val="bottom"/>
          </w:tcPr>
          <w:p>
            <w:pPr>
              <w:spacing w:after="0"/>
              <w:rPr>
                <w:sz w:val="12"/>
                <w:szCs w:val="12"/>
                <w:color w:val="auto"/>
              </w:rPr>
            </w:pPr>
          </w:p>
        </w:tc>
        <w:tc>
          <w:tcPr>
            <w:tcW w:w="372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5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137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6500" w:type="dxa"/>
            <w:vAlign w:val="bottom"/>
          </w:tcPr>
          <w:p>
            <w:pPr>
              <w:spacing w:after="0"/>
              <w:rPr>
                <w:sz w:val="14"/>
                <w:szCs w:val="14"/>
                <w:color w:val="auto"/>
              </w:rPr>
            </w:pPr>
          </w:p>
        </w:tc>
        <w:tc>
          <w:tcPr>
            <w:tcW w:w="1460" w:type="dxa"/>
            <w:vAlign w:val="bottom"/>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60" w:type="dxa"/>
            <w:vAlign w:val="bottom"/>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60" w:type="dxa"/>
            <w:vAlign w:val="bottom"/>
            <w:tcBorders>
              <w:top w:val="single" w:sz="8" w:color="auto"/>
            </w:tcBorders>
            <w:shd w:val="clear" w:color="auto" w:fill="CFF0FC"/>
          </w:tcPr>
          <w:p>
            <w:pPr>
              <w:jc w:val="center"/>
              <w:ind w:left="236"/>
              <w:spacing w:after="0"/>
              <w:rPr>
                <w:sz w:val="20"/>
                <w:szCs w:val="20"/>
                <w:color w:val="auto"/>
              </w:rPr>
            </w:pPr>
            <w:r>
              <w:rPr>
                <w:rFonts w:ascii="Times New Roman" w:cs="Times New Roman" w:eastAsia="Times New Roman" w:hAnsi="Times New Roman"/>
                <w:sz w:val="18"/>
                <w:szCs w:val="18"/>
                <w:color w:val="auto"/>
                <w:w w:val="98"/>
              </w:rPr>
              <w:t>6.0 – 6.1</w:t>
            </w:r>
          </w:p>
        </w:tc>
        <w:tc>
          <w:tcPr>
            <w:tcW w:w="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 – 6.1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auto"/>
              </w:rPr>
              <w:t>97%</w:t>
            </w:r>
          </w:p>
        </w:tc>
        <w:tc>
          <w:tcPr>
            <w:tcW w:w="2260" w:type="dxa"/>
            <w:vAlign w:val="bottom"/>
            <w:gridSpan w:val="3"/>
          </w:tcPr>
          <w:p>
            <w:pPr>
              <w:jc w:val="center"/>
              <w:ind w:left="362"/>
              <w:spacing w:after="0"/>
              <w:rPr>
                <w:sz w:val="20"/>
                <w:szCs w:val="20"/>
                <w:color w:val="auto"/>
              </w:rPr>
            </w:pPr>
            <w:r>
              <w:rPr>
                <w:rFonts w:ascii="Times New Roman" w:cs="Times New Roman" w:eastAsia="Times New Roman" w:hAnsi="Times New Roman"/>
                <w:sz w:val="18"/>
                <w:szCs w:val="18"/>
                <w:color w:val="auto"/>
                <w:w w:val="99"/>
              </w:rPr>
              <w:t>183%</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shd w:val="clear" w:color="auto" w:fill="CFF0FC"/>
          </w:tcPr>
          <w:p>
            <w:pPr>
              <w:jc w:val="center"/>
              <w:ind w:left="236"/>
              <w:spacing w:after="0"/>
              <w:rPr>
                <w:sz w:val="20"/>
                <w:szCs w:val="20"/>
                <w:color w:val="auto"/>
              </w:rPr>
            </w:pPr>
            <w:r>
              <w:rPr>
                <w:rFonts w:ascii="Times New Roman" w:cs="Times New Roman" w:eastAsia="Times New Roman" w:hAnsi="Times New Roman"/>
                <w:sz w:val="18"/>
                <w:szCs w:val="18"/>
                <w:color w:val="auto"/>
              </w:rPr>
              <w:t>1.6% – 2.1%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0.6% – 1.0%</w:t>
            </w: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tcPr>
          <w:p>
            <w:pPr>
              <w:jc w:val="center"/>
              <w:ind w:left="2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08"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Company began granting restricted stock units ("RSUs") in the first quarter of 2022. RSUs are awards that entitle the holder to receive freely tradable shares of the Company's common stock upon the completion of a specific period of continued service. RSUs are generally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28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3"/>
                <w:szCs w:val="13"/>
                <w:color w:val="auto"/>
              </w:rPr>
            </w:pPr>
          </w:p>
        </w:tc>
      </w:tr>
      <w:tr>
        <w:trPr>
          <w:trHeight w:val="149"/>
        </w:trPr>
        <w:tc>
          <w:tcPr>
            <w:tcW w:w="6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r>
      <w:tr>
        <w:trPr>
          <w:trHeight w:val="148"/>
        </w:trPr>
        <w:tc>
          <w:tcPr>
            <w:tcW w:w="6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60" w:type="dxa"/>
            <w:vAlign w:val="bottom"/>
          </w:tcPr>
          <w:p>
            <w:pPr>
              <w:spacing w:after="0"/>
              <w:rPr>
                <w:sz w:val="12"/>
                <w:szCs w:val="12"/>
                <w:color w:val="auto"/>
              </w:rPr>
            </w:pPr>
          </w:p>
        </w:tc>
      </w:tr>
      <w:tr>
        <w:trPr>
          <w:trHeight w:val="162"/>
        </w:trPr>
        <w:tc>
          <w:tcPr>
            <w:tcW w:w="6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Pr>
          <w:p>
            <w:pPr>
              <w:spacing w:after="0"/>
              <w:rPr>
                <w:sz w:val="14"/>
                <w:szCs w:val="14"/>
                <w:color w:val="auto"/>
              </w:rPr>
            </w:pPr>
          </w:p>
        </w:tc>
      </w:tr>
      <w:tr>
        <w:trPr>
          <w:trHeight w:val="187"/>
        </w:trPr>
        <w:tc>
          <w:tcPr>
            <w:tcW w:w="6500" w:type="dxa"/>
            <w:vAlign w:val="bottom"/>
          </w:tcPr>
          <w:p>
            <w:pPr>
              <w:spacing w:after="0"/>
              <w:rPr>
                <w:sz w:val="16"/>
                <w:szCs w:val="16"/>
                <w:color w:val="auto"/>
              </w:rPr>
            </w:pPr>
          </w:p>
        </w:tc>
        <w:tc>
          <w:tcPr>
            <w:tcW w:w="10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60" w:type="dxa"/>
            <w:vAlign w:val="bottom"/>
          </w:tcPr>
          <w:p>
            <w:pPr>
              <w:spacing w:after="0"/>
              <w:rPr>
                <w:sz w:val="14"/>
                <w:szCs w:val="14"/>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76,156</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60" w:type="dxa"/>
            <w:vAlign w:val="bottom"/>
          </w:tcPr>
          <w:p>
            <w:pPr>
              <w:spacing w:after="0"/>
              <w:rPr>
                <w:sz w:val="18"/>
                <w:szCs w:val="18"/>
                <w:color w:val="auto"/>
              </w:rPr>
            </w:pPr>
          </w:p>
        </w:tc>
      </w:tr>
      <w:tr>
        <w:trPr>
          <w:trHeight w:val="216"/>
        </w:trPr>
        <w:tc>
          <w:tcPr>
            <w:tcW w:w="75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7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60" w:type="dxa"/>
            <w:vAlign w:val="bottom"/>
          </w:tcPr>
          <w:p>
            <w:pPr>
              <w:spacing w:after="0"/>
              <w:rPr>
                <w:sz w:val="18"/>
                <w:szCs w:val="18"/>
                <w:color w:val="auto"/>
              </w:rPr>
            </w:pPr>
          </w:p>
        </w:tc>
      </w:tr>
      <w:tr>
        <w:trPr>
          <w:trHeight w:val="25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2022</w:t>
            </w:r>
          </w:p>
        </w:tc>
        <w:tc>
          <w:tcPr>
            <w:tcW w:w="108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July 2021, the Company adopted the 2021 Employee Stock Purchase Plan (the “ESPP”), which became effective in connection with the IPO. The Company initially reserved 800,000 shares for future issuance under the ESPP. The number of shares of common stock available for issuance under the ESPP will automatically increase on the first day of each fiscal year beginning with 2022 in an amount equal to the lesser of: 800,000 shares; 1% of the outstanding shares of the Company’s common stock as of the last day of the immediately preceding year; or such other amount as the board of directors may determine. As of March 31, 2022, 1,212,913 shares were reserved for future issuance under the ESPP. Under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will span 6 months. The ESPP permits eligible employees to purchase common stock through payroll</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8" w:right="379" w:bottom="1440" w:gutter="0" w:footer="0" w:header="0"/>
        </w:sectPr>
      </w:pPr>
    </w:p>
    <w:bookmarkStart w:id="15" w:name="page16"/>
    <w:bookmarkEnd w:id="15"/>
    <w:p>
      <w:pPr>
        <w:ind w:right="80"/>
        <w:spacing w:after="0" w:line="282" w:lineRule="auto"/>
        <w:rPr>
          <w:sz w:val="20"/>
          <w:szCs w:val="20"/>
          <w:color w:val="auto"/>
        </w:rPr>
      </w:pPr>
      <w:r>
        <w:rPr>
          <w:rFonts w:ascii="Times New Roman" w:cs="Times New Roman" w:eastAsia="Times New Roman" w:hAnsi="Times New Roman"/>
          <w:sz w:val="18"/>
          <w:szCs w:val="18"/>
          <w:color w:val="auto"/>
        </w:rPr>
        <w:t>deductions for up to 15% of qualified compensation, up to an annual limit of $25,000. The first offering period commenced in January 2022. For the three months ended March 31, 2022, the stock-based compensation expense for ESPP was not material.</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recognized in the Company’s condensed statements of operations and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w:t>
      </w:r>
    </w:p>
    <w:p>
      <w:pPr>
        <w:spacing w:after="0" w:line="227"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34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6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780" w:type="dxa"/>
            <w:vAlign w:val="bottom"/>
            <w:gridSpan w:val="2"/>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18"/>
                <w:szCs w:val="18"/>
                <w:color w:val="auto"/>
              </w:rPr>
            </w:pPr>
          </w:p>
        </w:tc>
      </w:tr>
      <w:tr>
        <w:trPr>
          <w:trHeight w:val="249"/>
        </w:trPr>
        <w:tc>
          <w:tcPr>
            <w:tcW w:w="63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4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-25400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-25400</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jc w:val="both"/>
        <w:ind w:right="400" w:firstLine="50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did not record any income tax expense. The Company has recorded a full valuation allowance against its U.S. federal and state deferred tax assets as the Company believes it is not more likely than not that the benefit will be realized.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0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Basic and diluted loss per share are computed by dividing net loss by the weighted-average number of common shares outstanding during the reporting period. The following potentially dilutive securities were not included in the calculation of diluted net loss per share as of the periods presented because the effect would have been anti-dilutive:</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9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26,102,278</w:t>
            </w: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4,860,612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1,727,968</w:t>
            </w:r>
          </w:p>
        </w:tc>
        <w:tc>
          <w:tcPr>
            <w:tcW w:w="80" w:type="dxa"/>
            <w:vAlign w:val="bottom"/>
          </w:tcPr>
          <w:p>
            <w:pPr>
              <w:spacing w:after="0"/>
              <w:rPr>
                <w:sz w:val="18"/>
                <w:szCs w:val="18"/>
                <w:color w:val="auto"/>
              </w:rPr>
            </w:pPr>
          </w:p>
        </w:tc>
      </w:tr>
      <w:tr>
        <w:trPr>
          <w:trHeight w:val="216"/>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subject to future vesting</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21,799</w:t>
            </w:r>
          </w:p>
        </w:tc>
        <w:tc>
          <w:tcPr>
            <w:tcW w:w="1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101,592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4,882,411</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27,931,838</w:t>
            </w:r>
          </w:p>
        </w:tc>
        <w:tc>
          <w:tcPr>
            <w:tcW w:w="8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-170815</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2021, included in our Annual Report on Form 10-K filed with the Securities and Exchange Commission on March 23, 2021, or Annual Report.</w:t>
      </w:r>
    </w:p>
    <w:p>
      <w:pPr>
        <w:spacing w:after="0" w:line="18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analysis and other parts of this report contain forward-looking statements within the meaning of Section 27A of the Securities Act of 1933, as amended,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460" w:firstLine="509"/>
        <w:spacing w:after="0" w:line="250" w:lineRule="auto"/>
        <w:rPr>
          <w:sz w:val="20"/>
          <w:szCs w:val="20"/>
          <w:color w:val="auto"/>
        </w:rPr>
      </w:pPr>
      <w:r>
        <w:rPr>
          <w:rFonts w:ascii="Times New Roman" w:cs="Times New Roman" w:eastAsia="Times New Roman" w:hAnsi="Times New Roman"/>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90"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16" w:name="page17"/>
    <w:bookmarkEnd w:id="16"/>
    <w:p>
      <w:pPr>
        <w:ind w:right="600"/>
        <w:spacing w:after="0" w:line="282" w:lineRule="auto"/>
        <w:rPr>
          <w:sz w:val="20"/>
          <w:szCs w:val="20"/>
          <w:color w:val="auto"/>
        </w:rPr>
      </w:pPr>
      <w:r>
        <w:rPr>
          <w:rFonts w:ascii="Times New Roman" w:cs="Times New Roman" w:eastAsia="Times New Roman" w:hAnsi="Times New Roman"/>
          <w:sz w:val="18"/>
          <w:szCs w:val="18"/>
          <w:color w:val="auto"/>
        </w:rPr>
        <w:t>patients with rare or highly prevalent forms of heart disease. All of our programs are currently in the preclinical stage; we do not have any products approved for sale and have not generated any revenue to date.</w:t>
      </w:r>
    </w:p>
    <w:p>
      <w:pPr>
        <w:spacing w:after="0" w:line="144"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b w:val="1"/>
          <w:bCs w:val="1"/>
          <w:color w:val="auto"/>
        </w:rPr>
        <w:t>TN-201</w:t>
      </w:r>
      <w:r>
        <w:rPr>
          <w:rFonts w:ascii="Times New Roman" w:cs="Times New Roman" w:eastAsia="Times New Roman" w:hAnsi="Times New Roman"/>
          <w:sz w:val="18"/>
          <w:szCs w:val="18"/>
          <w:color w:val="auto"/>
        </w:rPr>
        <w:t>: TN-201 is an adeno-associated virus (AAV)-based gene therapy that addresses genetic hypertrophic cardiomyopathy (HCM) caused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Myosin Binding Protein C3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driven by our proprietary heart-specific promoter to restore normal levels of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protein. We plan to submit an Investigational New Drug (IND) application for TN-201 to the U.S. Food and Drug Administration (FDA) in the second half of 2022 and focus on initial clinical development in adult </w:t>
      </w:r>
      <w:r>
        <w:rPr>
          <w:rFonts w:ascii="Times New Roman" w:cs="Times New Roman" w:eastAsia="Times New Roman" w:hAnsi="Times New Roman"/>
          <w:sz w:val="18"/>
          <w:szCs w:val="18"/>
          <w:i w:val="1"/>
          <w:iCs w:val="1"/>
          <w:color w:val="auto"/>
        </w:rPr>
        <w:t>MYBPC3 gene</w:t>
      </w:r>
      <w:r>
        <w:rPr>
          <w:rFonts w:ascii="Times New Roman" w:cs="Times New Roman" w:eastAsia="Times New Roman" w:hAnsi="Times New Roman"/>
          <w:sz w:val="18"/>
          <w:szCs w:val="18"/>
          <w:color w:val="auto"/>
        </w:rPr>
        <w:t xml:space="preserve"> mutation carriers with symptomatic non-obstructive HCM. TN-201 has been granted orphan drug designation by both the FDA and the European Commission for the potential treatment of HCM due to mutations in the </w:t>
      </w:r>
      <w:r>
        <w:rPr>
          <w:rFonts w:ascii="Times New Roman" w:cs="Times New Roman" w:eastAsia="Times New Roman" w:hAnsi="Times New Roman"/>
          <w:sz w:val="18"/>
          <w:szCs w:val="18"/>
          <w:i w:val="1"/>
          <w:iCs w:val="1"/>
          <w:color w:val="auto"/>
        </w:rPr>
        <w:t>MYBPC3 gene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In 2021, we initiated a global natural history study to improve our understanding of disease progression and unmet need in individuals carrying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with an initial focus on pediatric patients under the age of 18. We continue site activation and patient enrollment in the global natural history study to support the future evaluation of TN-201 in pediatric patients during clinical development after early safety has been established in adults. This study complements existing disease registries focused primarily on adult patient HCM populations and may support and expedite the development of TN-201 in the pediatric patient population.</w:t>
      </w:r>
    </w:p>
    <w:p>
      <w:pPr>
        <w:spacing w:after="0" w:line="191"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b w:val="1"/>
          <w:bCs w:val="1"/>
          <w:color w:val="auto"/>
        </w:rPr>
        <w:t>TN-301</w:t>
      </w:r>
      <w:r>
        <w:rPr>
          <w:rFonts w:ascii="Times New Roman" w:cs="Times New Roman" w:eastAsia="Times New Roman" w:hAnsi="Times New Roman"/>
          <w:sz w:val="18"/>
          <w:szCs w:val="18"/>
          <w:color w:val="auto"/>
        </w:rPr>
        <w:t>: TN-301 is a highly specific small molecule inhibitor of histone deacetylase 6 (HDAC6i). It has potentially broad utility in both heart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continue to progress with our IND-enabling studies for TN-301 and expect to submit an IND to the FDA for TN-301 in the second half of 2022.</w:t>
      </w:r>
    </w:p>
    <w:p>
      <w:pPr>
        <w:spacing w:after="0" w:line="177" w:lineRule="exact"/>
        <w:rPr>
          <w:sz w:val="20"/>
          <w:szCs w:val="20"/>
          <w:color w:val="auto"/>
        </w:rPr>
      </w:pPr>
    </w:p>
    <w:p>
      <w:pPr>
        <w:ind w:right="200"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TN-401</w:t>
      </w:r>
      <w:r>
        <w:rPr>
          <w:rFonts w:ascii="Times New Roman" w:cs="Times New Roman" w:eastAsia="Times New Roman" w:hAnsi="Times New Roman"/>
          <w:sz w:val="18"/>
          <w:szCs w:val="18"/>
          <w:color w:val="auto"/>
        </w:rPr>
        <w:t>: TN-401 uses an AAV-based gene therapy to address genetic arrhythmogenic right ventricular cardiomyopathy (ARVC) caused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plakophilin 2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gene mutations. ARVC is characterized by enlargement of the right ventricle in affected individuals, replacement 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intend to support establishment of a global natural history study in 2022 and expect to submit an IND in 2023.</w:t>
      </w:r>
    </w:p>
    <w:p>
      <w:pPr>
        <w:spacing w:after="0" w:line="173"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Our earlier-stage discovery programs include an AAV-based gene therapy designed to express the Dwarf Open Reading Frame (DWORF)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 in the heart,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77"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8"/>
          <w:szCs w:val="18"/>
          <w:b w:val="1"/>
          <w:bCs w:val="1"/>
          <w:color w:val="auto"/>
        </w:rPr>
        <w:t>Manufacturing</w:t>
      </w:r>
      <w:r>
        <w:rPr>
          <w:rFonts w:ascii="Times New Roman" w:cs="Times New Roman" w:eastAsia="Times New Roman" w:hAnsi="Times New Roman"/>
          <w:sz w:val="18"/>
          <w:szCs w:val="18"/>
          <w:color w:val="auto"/>
        </w:rPr>
        <w:t>: We have invested in significant gene therapy enabling capabilities, most notably with the leasing and build out of a current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practices (cGMP) facility in the San Francisco Bay Area to support the production of our AAV-based programs. Located in Union City, California near our research labs, our facility is intended to enable scale-up of production to support first-in-human studies. We expect this facility will be operational in the first half of 2022.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16" w:lineRule="exact"/>
        <w:rPr>
          <w:sz w:val="20"/>
          <w:szCs w:val="20"/>
          <w:color w:val="auto"/>
        </w:rPr>
      </w:pPr>
    </w:p>
    <w:p>
      <w:pPr>
        <w:ind w:right="160" w:firstLine="509"/>
        <w:spacing w:after="0" w:line="242" w:lineRule="auto"/>
        <w:rPr>
          <w:sz w:val="20"/>
          <w:szCs w:val="20"/>
          <w:color w:val="auto"/>
        </w:rPr>
      </w:pPr>
      <w:r>
        <w:rPr>
          <w:rFonts w:ascii="Times New Roman" w:cs="Times New Roman" w:eastAsia="Times New Roman" w:hAnsi="Times New Roman"/>
          <w:sz w:val="18"/>
          <w:szCs w:val="18"/>
          <w:color w:val="auto"/>
        </w:rPr>
        <w:t>The global COVID-19 pandemic continues to evolve, including the continued emergence of variants. Potential impacts to our business include disruptions or restrictions on our employees’ ability to effectively conduct research and development activities and the establishment of our internal manufacturing operations. In addition, some of our suppliers of certain laboratory materials, or service providers used in the performance of our research activities, are located in areas significantly impacted by COVID-19, which could limit our ability to achieve planned progress. COVID-19 could continue to adversely affect the economies and financial markets, resulting in a prolonged economic downturn or a period of high inflation rates, which the United States economy has recently experienced, that could affect our ability to raise future funding.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7" w:name="page18"/>
    <w:bookmarkEnd w:id="17"/>
    <w:p>
      <w:pPr>
        <w:ind w:right="660"/>
        <w:spacing w:after="0" w:line="284" w:lineRule="auto"/>
        <w:rPr>
          <w:sz w:val="20"/>
          <w:szCs w:val="20"/>
          <w:color w:val="auto"/>
        </w:rPr>
      </w:pPr>
      <w:r>
        <w:rPr>
          <w:rFonts w:ascii="Times New Roman" w:cs="Times New Roman" w:eastAsia="Times New Roman" w:hAnsi="Times New Roman"/>
          <w:sz w:val="18"/>
          <w:szCs w:val="18"/>
          <w:color w:val="auto"/>
        </w:rPr>
        <w:t>ultimate impact of the COVID-19 outbreak or a similar health epidemic is highly uncertain and subject to change. For additional details,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40" w:type="dxa"/>
            <w:vAlign w:val="bottom"/>
            <w:gridSpan w:val="5"/>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7"/>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jc w:val="right"/>
              <w:ind w:right="1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4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4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152%</w:t>
            </w:r>
          </w:p>
        </w:tc>
      </w:tr>
      <w:tr>
        <w:trPr>
          <w:trHeight w:val="216"/>
        </w:trPr>
        <w:tc>
          <w:tcPr>
            <w:tcW w:w="4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99%</w:t>
            </w:r>
          </w:p>
        </w:tc>
      </w:tr>
      <w:tr>
        <w:trPr>
          <w:trHeight w:val="209"/>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138%</w:t>
            </w: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(13,105</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(18,049</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138%</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0"/>
        </w:trPr>
        <w:tc>
          <w:tcPr>
            <w:tcW w:w="4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1,300%</w:t>
            </w: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(31,056 )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(13,098 )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(17,958 )</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w:t>
            </w:r>
          </w:p>
        </w:tc>
      </w:tr>
      <w:tr>
        <w:trPr>
          <w:trHeight w:val="20"/>
        </w:trPr>
        <w:tc>
          <w:tcPr>
            <w:tcW w:w="4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-1019810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-1019810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-1019810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-170815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employee-related costs (including salaries, benefits and stock-based compensation for employees engaged in research and development functions), laboratory supplies and other non-capital equipment utilized for in-house research, allocated overhead costs. External research and development expenses include, among others, amounts incurred to clinical research organizations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7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Amounts recorded for external goods or services incurred for research and development activities that have not yet been invoiced often represent estimates. We record estimates for amounts due but not yet invoiced generally based on input from external service providers.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36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7"/>
        </w:trPr>
        <w:tc>
          <w:tcPr>
            <w:tcW w:w="43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9"/>
        </w:trPr>
        <w:tc>
          <w:tcPr>
            <w:tcW w:w="4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13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43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and laboratory costs</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104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520" w:type="dxa"/>
            <w:vAlign w:val="bottom"/>
            <w:gridSpan w:val="2"/>
            <w:shd w:val="clear" w:color="auto" w:fill="CFF0FC"/>
          </w:tcPr>
          <w:p>
            <w:pPr>
              <w:jc w:val="center"/>
              <w:ind w:left="114"/>
              <w:spacing w:after="0"/>
              <w:rPr>
                <w:sz w:val="20"/>
                <w:szCs w:val="20"/>
                <w:color w:val="auto"/>
              </w:rPr>
            </w:pPr>
            <w:r>
              <w:rPr>
                <w:rFonts w:ascii="Times New Roman" w:cs="Times New Roman" w:eastAsia="Times New Roman" w:hAnsi="Times New Roman"/>
                <w:sz w:val="18"/>
                <w:szCs w:val="18"/>
                <w:color w:val="auto"/>
                <w:w w:val="95"/>
              </w:rPr>
              <w:t>110%</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costs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52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99"/>
              </w:rPr>
              <w:t>122%</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services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520" w:type="dxa"/>
            <w:vAlign w:val="bottom"/>
            <w:gridSpan w:val="2"/>
            <w:shd w:val="clear" w:color="auto" w:fill="CFF0FC"/>
          </w:tcPr>
          <w:p>
            <w:pPr>
              <w:jc w:val="center"/>
              <w:ind w:left="94"/>
              <w:spacing w:after="0"/>
              <w:rPr>
                <w:sz w:val="20"/>
                <w:szCs w:val="20"/>
                <w:color w:val="auto"/>
              </w:rPr>
            </w:pPr>
            <w:r>
              <w:rPr>
                <w:rFonts w:ascii="Times New Roman" w:cs="Times New Roman" w:eastAsia="Times New Roman" w:hAnsi="Times New Roman"/>
                <w:sz w:val="18"/>
                <w:szCs w:val="18"/>
                <w:color w:val="auto"/>
                <w:w w:val="99"/>
              </w:rPr>
              <w:t>281%</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52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w w:val="99"/>
              </w:rPr>
              <w:t>246%</w:t>
            </w:r>
          </w:p>
        </w:tc>
      </w:tr>
      <w:tr>
        <w:trPr>
          <w:trHeight w:val="250"/>
        </w:trPr>
        <w:tc>
          <w:tcPr>
            <w:tcW w:w="4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24,155</w:t>
            </w: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2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$24.2 million and $9.6 million for the three months ended March 31, 2022 and 2021, respectively. The year-over-year increase of $14.6 million, or 152%, was primarily due to:</w:t>
      </w:r>
    </w:p>
    <w:p>
      <w:pPr>
        <w:spacing w:after="0" w:line="40" w:lineRule="exact"/>
        <w:rPr>
          <w:sz w:val="20"/>
          <w:szCs w:val="20"/>
          <w:color w:val="auto"/>
        </w:rPr>
      </w:pPr>
    </w:p>
    <w:p>
      <w:pPr>
        <w:ind w:left="760" w:right="60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$5.7 million in outside services, including amounts paid to CROs for research and development activities, consulting fees, preclinical studies and other external research expenses;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$4.5 million in facility and laboratory costs, including laboratory supplies and materials and other allocated costs;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18" w:name="page19"/>
    <w:bookmarkEnd w:id="18"/>
    <w:p>
      <w:pPr>
        <w:ind w:left="760" w:right="62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$4.1 million in employee-related costs, including stock-based compensation, primarily due to growth in the number of our research and development employees.</w:t>
      </w:r>
    </w:p>
    <w:p>
      <w:pPr>
        <w:spacing w:after="0" w:line="40" w:lineRule="exact"/>
        <w:rPr>
          <w:sz w:val="20"/>
          <w:szCs w:val="20"/>
          <w:color w:val="auto"/>
        </w:rPr>
      </w:pPr>
    </w:p>
    <w:p>
      <w:pPr>
        <w:ind w:right="260" w:firstLine="509"/>
        <w:spacing w:after="0" w:line="247"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for our employees in finance, human resources, information technology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p>
    <w:p>
      <w:pPr>
        <w:spacing w:after="0" w:line="69" w:lineRule="exact"/>
        <w:rPr>
          <w:sz w:val="20"/>
          <w:szCs w:val="20"/>
          <w:color w:val="auto"/>
        </w:rPr>
      </w:pPr>
    </w:p>
    <w:p>
      <w:pPr>
        <w:ind w:right="160" w:firstLine="509"/>
        <w:spacing w:after="0" w:line="280"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for the foreseeable future to support our continued research and development activities, general operations, future business development opportunities and professional fees. In addition, we will continue to incur legal, accounting, insurance and other expenses in operating our business as a public company, including costs associated with regulatory and compliance activities.</w:t>
      </w:r>
    </w:p>
    <w:p>
      <w:pPr>
        <w:spacing w:after="0" w:line="45" w:lineRule="exact"/>
        <w:rPr>
          <w:sz w:val="20"/>
          <w:szCs w:val="20"/>
          <w:color w:val="auto"/>
        </w:rPr>
      </w:pPr>
    </w:p>
    <w:p>
      <w:pPr>
        <w:jc w:val="both"/>
        <w:ind w:right="3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$7.0 million and $3.5 million for the three months ended March 31, 2022 and 2021, respectively. The change of $3.5 million, or 99%, was primarily due to a $2.1 million increase in employee-related expenses, including stock-based compensation, a $0.5 million increase in professional service expenses, and a $0.4 million increase in insurance costs.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primarily consists of interest earned on our cash, cash equivalents and investment balances.</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primarily consists of gain and loss on disposal of assets and foreign exchange.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0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loss for the three months ended March 31, 2022, was $31.1 million, compared to a net loss of $13.1 million for the three months ended March 31, 2021.</w:t>
      </w:r>
    </w:p>
    <w:p>
      <w:pPr>
        <w:spacing w:after="0" w:line="162"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Since our inception in August 2016, we have incurred net losses each year and we expect to continue to incur significant and increasing losses for the foreseeable future as we continue to advance our platforms, programs and product candidates, and operate as a public company. Our net losses may fluctuate significantly from period to period, depending on the timing of expenditures on our research and development activities. As of March 31, 2022, we had an accumulated deficit of $186.6 million and cash, cash equivalents and investments in marketable securities of $213.5 million. Our net losses resulted primarily from our research and development programs, and, to a lesser extent, general and administrative costs associated with our operations. Historically, we have funded our operations primarily from the sale and issuance of our equity securities.</w:t>
      </w:r>
    </w:p>
    <w:p>
      <w:pPr>
        <w:spacing w:after="0" w:line="176"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revenue and we have incurred significant net losses and negative cash flows from operations. From our inception through March 31, 2022, we have funded our operations primarily from the sale and issuance of our equity securities. As of March 31, 2022, we had cash, cash equivalents and investments in marketable securities of $213.5 million and an accumulated deficit of $186.6 million.</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0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and operating losses will increase substantially over the foreseeable future. The expected increase in expenses will be driven in large part by our ongoing activities, if and as we:</w:t>
      </w:r>
    </w:p>
    <w:p>
      <w:pPr>
        <w:spacing w:after="0" w:line="40"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Gene Therapy, Cellular Regeneration and Precision Medicine platforms;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development of our product candidates and initiate additional preclinical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clinical trials of our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9" w:name="page20"/>
    <w:bookmarkEnd w:id="19"/>
    <w:p>
      <w:pPr>
        <w:ind w:left="9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build-out of our manufacturing facilities and establish our manufacturing capabilities, including developing our contract development and manufacturing relationships;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license technologies aligned with our Gene Therapy, Cellular Regeneration and Precision Medicine platforms;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information systems and increase personnel, including personnel to support our preclinical and clinical development, manufacturing, system infrastructure, regulatory compliance and future commercialization efforts;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grow, perfect, enforce and defend our intellectual property portfolio; and</w:t>
      </w:r>
    </w:p>
    <w:p>
      <w:pPr>
        <w:spacing w:after="0" w:line="117"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incur legal, accounting, insurance and other expenses in operating our business as a public company, including costs associated with regulatory and compliance activities.</w:t>
      </w:r>
    </w:p>
    <w:p>
      <w:pPr>
        <w:spacing w:after="0" w:line="54" w:lineRule="exact"/>
        <w:rPr>
          <w:sz w:val="20"/>
          <w:szCs w:val="20"/>
          <w:color w:val="auto"/>
        </w:rPr>
      </w:pPr>
    </w:p>
    <w:p>
      <w:pPr>
        <w:ind w:firstLine="509"/>
        <w:spacing w:after="0" w:line="296" w:lineRule="auto"/>
        <w:rPr>
          <w:sz w:val="20"/>
          <w:szCs w:val="20"/>
          <w:color w:val="auto"/>
        </w:rPr>
      </w:pPr>
      <w:r>
        <w:rPr>
          <w:rFonts w:ascii="Times New Roman" w:cs="Times New Roman" w:eastAsia="Times New Roman" w:hAnsi="Times New Roman"/>
          <w:sz w:val="17"/>
          <w:szCs w:val="17"/>
          <w:color w:val="auto"/>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Quarterly Report on Form 10-Q.</w:t>
      </w:r>
    </w:p>
    <w:p>
      <w:pPr>
        <w:spacing w:after="0" w:line="4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9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19"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-94615</wp:posOffset>
            </wp:positionV>
            <wp:extent cx="77470" cy="1165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1165860"/>
                    </a:xfrm>
                    <a:prstGeom prst="rect">
                      <a:avLst/>
                    </a:prstGeom>
                    <a:noFill/>
                  </pic:spPr>
                </pic:pic>
              </a:graphicData>
            </a:graphic>
          </wp:anchor>
        </w:drawing>
      </w: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520" w:type="dxa"/>
        <w:tblCellMar>
          <w:top w:w="0" w:type="dxa"/>
          <w:left w:w="0" w:type="dxa"/>
          <w:bottom w:w="0" w:type="dxa"/>
          <w:right w:w="0" w:type="dxa"/>
        </w:tblCellMar>
      </w:tblPr>
      <w:tr>
        <w:trPr>
          <w:trHeight w:val="169"/>
        </w:trPr>
        <w:tc>
          <w:tcPr>
            <w:tcW w:w="69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w w:val="93"/>
              </w:rPr>
              <w:t>(28,756 )</w:t>
            </w:r>
          </w:p>
        </w:tc>
        <w:tc>
          <w:tcPr>
            <w:tcW w:w="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(15,789 )</w:t>
            </w:r>
          </w:p>
        </w:tc>
      </w:tr>
      <w:tr>
        <w:trPr>
          <w:trHeight w:val="216"/>
        </w:trPr>
        <w:tc>
          <w:tcPr>
            <w:tcW w:w="6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(4,323 )</w:t>
            </w: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00" w:type="dxa"/>
            <w:vAlign w:val="bottom"/>
          </w:tcPr>
          <w:p>
            <w:pPr>
              <w:spacing w:after="0"/>
              <w:rPr>
                <w:sz w:val="18"/>
                <w:szCs w:val="18"/>
                <w:color w:val="auto"/>
              </w:rPr>
            </w:pPr>
          </w:p>
        </w:tc>
      </w:tr>
      <w:tr>
        <w:trPr>
          <w:trHeight w:val="250"/>
        </w:trPr>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(12,307</w:t>
            </w:r>
          </w:p>
        </w:tc>
        <w:tc>
          <w:tcPr>
            <w:tcW w:w="220" w:type="dxa"/>
            <w:vAlign w:val="bottom"/>
            <w:tcBorders>
              <w:bottom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FF0FC"/>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$28.8 million, which consisted primarily of a net loss of $31.1 million and a net change in net operating assets and liabilities of $1.2 million, partially offset by $3.5 million in non-cash charges. The change in net operating assets and liabilities was primarily due to a decrease in accounts payable of $1.8 million. Cash flows from operations are generally impacted by the timing of payments to vendors and vendor payment terms. The non-cash charges primarily consisted of stock-based compensation of $2.1 million and depreciation and amortization of $1.0 million.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0" w:name="page21"/>
    <w:bookmarkEnd w:id="20"/>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2021 was $15.8 million, which consisted primarily of a net loss of $13.1 million and a net change in net operating assets and liabilities of $4.0 million, partially offset by $1.3 million in non-cash charges. The change in net operating assets and liabilities was primarily due to an increase in other noncurrent assets of $3.3 million related to a security deposit for a lease entered into in February 2021. The non-cash charges primarily consisted of depreciation and amortization of $0.7 million and stock-based compensation of $0.4 million.</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2022 was $16.4 million, which consisted of proceeds from maturities of marketable securities of $68.2 million, partially offset by purchases of marketable securities of $43.2 million and purchases of property and equipment of $8.6 million primarily related to our manufacturing and office space located in Union City, California.</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2021 was $4.3 million, for purchases of marketable securities.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2022 consisted of proceeds from the exercise of stock options.</w:t>
      </w:r>
    </w:p>
    <w:p>
      <w:pPr>
        <w:spacing w:after="0" w:line="10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2021 was $20.0 million, which consisted primarily of net proceeds received from the sale and issuance of 1.6 million shares of our Series C convertible preferred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0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2022, there have been no material changes from the contractual obligations and commitments previously disclosed in our Annual Report on Form 10-K for the year ended December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 summary of our critical accounting policies and estimates is presented in Part II, Item 7 of our Annual Report on Form 10-K for the year ended December 31, 2021. There were no material changes to our critical accounting policies and estimates during the three months ended March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177" w:lineRule="exact"/>
        <w:rPr>
          <w:sz w:val="20"/>
          <w:szCs w:val="20"/>
          <w:color w:val="auto"/>
        </w:rPr>
      </w:pPr>
    </w:p>
    <w:p>
      <w:pPr>
        <w:ind w:right="200" w:firstLine="509"/>
        <w:spacing w:after="0" w:line="247" w:lineRule="auto"/>
        <w:rPr>
          <w:sz w:val="20"/>
          <w:szCs w:val="20"/>
          <w:color w:val="auto"/>
        </w:rPr>
      </w:pPr>
      <w:r>
        <w:rPr>
          <w:rFonts w:ascii="Times New Roman" w:cs="Times New Roman" w:eastAsia="Times New Roman" w:hAnsi="Times New Roman"/>
          <w:sz w:val="18"/>
          <w:szCs w:val="18"/>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ind w:right="220"/>
        <w:spacing w:after="0" w:line="282" w:lineRule="auto"/>
        <w:rPr>
          <w:sz w:val="20"/>
          <w:szCs w:val="20"/>
          <w:color w:val="auto"/>
        </w:rPr>
      </w:pPr>
      <w:r>
        <w:rPr>
          <w:rFonts w:ascii="Times New Roman" w:cs="Times New Roman" w:eastAsia="Times New Roman" w:hAnsi="Times New Roman"/>
          <w:sz w:val="18"/>
          <w:szCs w:val="18"/>
          <w:color w:val="auto"/>
        </w:rPr>
        <w:t>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4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quarter ended March 31, 2022 that have materially affected, or are reasonably likely to materially affect, our internal control over financial reporting.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20" w:firstLine="509"/>
        <w:spacing w:after="0" w:line="251"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119"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66" w:lineRule="exact"/>
        <w:rPr>
          <w:sz w:val="20"/>
          <w:szCs w:val="20"/>
          <w:color w:val="auto"/>
        </w:rPr>
      </w:pPr>
    </w:p>
    <w:p>
      <w:pPr>
        <w:ind w:left="900" w:right="320" w:hanging="383"/>
        <w:spacing w:after="0" w:line="258"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61" w:lineRule="exact"/>
        <w:rPr>
          <w:rFonts w:ascii="Times New Roman" w:cs="Times New Roman" w:eastAsia="Times New Roman" w:hAnsi="Times New Roman"/>
          <w:sz w:val="13"/>
          <w:szCs w:val="13"/>
          <w:color w:val="auto"/>
        </w:rPr>
      </w:pPr>
    </w:p>
    <w:p>
      <w:pPr>
        <w:ind w:left="900" w:right="240" w:hanging="383"/>
        <w:spacing w:after="0" w:line="282"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We have not generated any product revenue to date, have incurred significant net losses since our inception, and expect to continue to incur significant net losses for the foreseeable future.</w:t>
      </w:r>
    </w:p>
    <w:p>
      <w:pPr>
        <w:spacing w:after="0" w:line="40" w:lineRule="exact"/>
        <w:rPr>
          <w:rFonts w:ascii="Times New Roman" w:cs="Times New Roman" w:eastAsia="Times New Roman" w:hAnsi="Times New Roman"/>
          <w:sz w:val="13"/>
          <w:szCs w:val="13"/>
          <w:color w:val="auto"/>
        </w:rPr>
      </w:pPr>
    </w:p>
    <w:p>
      <w:pPr>
        <w:ind w:left="900" w:right="480" w:hanging="383"/>
        <w:spacing w:after="0" w:line="266"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67" w:lineRule="exact"/>
        <w:rPr>
          <w:rFonts w:ascii="Times New Roman" w:cs="Times New Roman" w:eastAsia="Times New Roman" w:hAnsi="Times New Roman"/>
          <w:sz w:val="13"/>
          <w:szCs w:val="13"/>
          <w:color w:val="auto"/>
        </w:rPr>
      </w:pPr>
    </w:p>
    <w:p>
      <w:pPr>
        <w:ind w:left="900" w:right="240" w:hanging="383"/>
        <w:spacing w:after="0" w:line="250"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2" w:lineRule="exact"/>
        <w:rPr>
          <w:rFonts w:ascii="Times New Roman" w:cs="Times New Roman" w:eastAsia="Times New Roman" w:hAnsi="Times New Roman"/>
          <w:sz w:val="13"/>
          <w:szCs w:val="13"/>
          <w:color w:val="auto"/>
        </w:rPr>
      </w:pPr>
    </w:p>
    <w:p>
      <w:pPr>
        <w:ind w:left="900" w:hanging="383"/>
        <w:spacing w:after="0" w:line="266"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operations and financial results could be adversely impacted by the effects of the COVID-19 pandemic in the United States and the rest of the world.</w:t>
      </w:r>
    </w:p>
    <w:p>
      <w:pPr>
        <w:spacing w:after="0" w:line="54" w:lineRule="exact"/>
        <w:rPr>
          <w:rFonts w:ascii="Times New Roman" w:cs="Times New Roman" w:eastAsia="Times New Roman" w:hAnsi="Times New Roman"/>
          <w:sz w:val="13"/>
          <w:szCs w:val="13"/>
          <w:color w:val="auto"/>
        </w:rPr>
      </w:pPr>
    </w:p>
    <w:p>
      <w:pPr>
        <w:ind w:left="900" w:right="300" w:hanging="383"/>
        <w:spacing w:after="0" w:line="258"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61" w:lineRule="exact"/>
        <w:rPr>
          <w:rFonts w:ascii="Times New Roman" w:cs="Times New Roman" w:eastAsia="Times New Roman" w:hAnsi="Times New Roman"/>
          <w:sz w:val="13"/>
          <w:szCs w:val="13"/>
          <w:color w:val="auto"/>
        </w:rPr>
      </w:pPr>
    </w:p>
    <w:p>
      <w:pPr>
        <w:ind w:left="900" w:right="60" w:hanging="383"/>
        <w:spacing w:after="0" w:line="258"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1" w:lineRule="exact"/>
        <w:rPr>
          <w:rFonts w:ascii="Times New Roman" w:cs="Times New Roman" w:eastAsia="Times New Roman" w:hAnsi="Times New Roman"/>
          <w:sz w:val="13"/>
          <w:szCs w:val="13"/>
          <w:color w:val="auto"/>
        </w:rPr>
      </w:pPr>
    </w:p>
    <w:p>
      <w:pPr>
        <w:ind w:left="900" w:right="520" w:hanging="383"/>
        <w:spacing w:after="0" w:line="266"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mechanisms of action of our product candidates are unproven, and we do not know whether we will be able to develop any drug of commercial value.</w:t>
      </w:r>
    </w:p>
    <w:p>
      <w:pPr>
        <w:spacing w:after="0" w:line="67" w:lineRule="exact"/>
        <w:rPr>
          <w:rFonts w:ascii="Times New Roman" w:cs="Times New Roman" w:eastAsia="Times New Roman" w:hAnsi="Times New Roman"/>
          <w:sz w:val="13"/>
          <w:szCs w:val="13"/>
          <w:color w:val="auto"/>
        </w:rPr>
      </w:pPr>
    </w:p>
    <w:p>
      <w:pPr>
        <w:ind w:left="900" w:hanging="383"/>
        <w:spacing w:after="0" w:line="246"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3" w:lineRule="exact"/>
        <w:rPr>
          <w:rFonts w:ascii="Times New Roman" w:cs="Times New Roman" w:eastAsia="Times New Roman" w:hAnsi="Times New Roman"/>
          <w:sz w:val="13"/>
          <w:szCs w:val="13"/>
          <w:color w:val="auto"/>
        </w:rPr>
      </w:pPr>
    </w:p>
    <w:p>
      <w:pPr>
        <w:ind w:left="900" w:right="40" w:hanging="383"/>
        <w:spacing w:after="0" w:line="258" w:lineRule="auto"/>
        <w:tabs>
          <w:tab w:leader="none" w:pos="9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0" w:right="419" w:bottom="1440" w:gutter="0" w:footer="0" w:header="0"/>
        </w:sectPr>
      </w:pPr>
    </w:p>
    <w:bookmarkStart w:id="23" w:name="page24"/>
    <w:bookmarkEnd w:id="23"/>
    <w:p>
      <w:pPr>
        <w:jc w:val="both"/>
        <w:ind w:left="900" w:right="220" w:hanging="383"/>
        <w:spacing w:after="0" w:line="250" w:lineRule="auto"/>
        <w:tabs>
          <w:tab w:leader="none" w:pos="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2" w:lineRule="exact"/>
        <w:rPr>
          <w:rFonts w:ascii="Times New Roman" w:cs="Times New Roman" w:eastAsia="Times New Roman" w:hAnsi="Times New Roman"/>
          <w:sz w:val="13"/>
          <w:szCs w:val="13"/>
          <w:color w:val="auto"/>
        </w:rPr>
      </w:pPr>
    </w:p>
    <w:p>
      <w:pPr>
        <w:jc w:val="both"/>
        <w:ind w:left="900" w:right="300" w:hanging="383"/>
        <w:spacing w:after="0" w:line="250" w:lineRule="auto"/>
        <w:tabs>
          <w:tab w:leader="none" w:pos="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82" w:lineRule="exact"/>
        <w:rPr>
          <w:rFonts w:ascii="Times New Roman" w:cs="Times New Roman" w:eastAsia="Times New Roman" w:hAnsi="Times New Roman"/>
          <w:sz w:val="13"/>
          <w:szCs w:val="13"/>
          <w:color w:val="auto"/>
        </w:rPr>
      </w:pPr>
    </w:p>
    <w:p>
      <w:pPr>
        <w:jc w:val="both"/>
        <w:ind w:left="900" w:right="340" w:hanging="383"/>
        <w:spacing w:after="0" w:line="250" w:lineRule="auto"/>
        <w:tabs>
          <w:tab w:leader="none" w:pos="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8" w:lineRule="exact"/>
        <w:rPr>
          <w:rFonts w:ascii="Times New Roman" w:cs="Times New Roman" w:eastAsia="Times New Roman" w:hAnsi="Times New Roman"/>
          <w:sz w:val="13"/>
          <w:szCs w:val="13"/>
          <w:color w:val="auto"/>
        </w:rPr>
      </w:pPr>
    </w:p>
    <w:p>
      <w:pPr>
        <w:jc w:val="both"/>
        <w:ind w:left="900" w:right="40" w:hanging="383"/>
        <w:spacing w:after="0" w:line="258" w:lineRule="auto"/>
        <w:tabs>
          <w:tab w:leader="none" w:pos="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1" w:lineRule="exact"/>
        <w:rPr>
          <w:rFonts w:ascii="Times New Roman" w:cs="Times New Roman" w:eastAsia="Times New Roman" w:hAnsi="Times New Roman"/>
          <w:sz w:val="13"/>
          <w:szCs w:val="13"/>
          <w:color w:val="auto"/>
        </w:rPr>
      </w:pPr>
    </w:p>
    <w:p>
      <w:pPr>
        <w:ind w:left="900" w:right="120" w:hanging="383"/>
        <w:spacing w:after="0" w:line="250" w:lineRule="auto"/>
        <w:tabs>
          <w:tab w:leader="none" w:pos="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82" w:lineRule="exact"/>
        <w:rPr>
          <w:rFonts w:ascii="Times New Roman" w:cs="Times New Roman" w:eastAsia="Times New Roman" w:hAnsi="Times New Roman"/>
          <w:sz w:val="13"/>
          <w:szCs w:val="13"/>
          <w:color w:val="auto"/>
        </w:rPr>
      </w:pPr>
    </w:p>
    <w:p>
      <w:pPr>
        <w:ind w:left="900" w:right="60" w:hanging="383"/>
        <w:spacing w:after="0" w:line="250" w:lineRule="auto"/>
        <w:tabs>
          <w:tab w:leader="none" w:pos="9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Financial Position, Need for Additional Capital and Limited Operating History</w:t>
      </w:r>
    </w:p>
    <w:p>
      <w:pPr>
        <w:spacing w:after="0" w:line="117" w:lineRule="exact"/>
        <w:rPr>
          <w:sz w:val="20"/>
          <w:szCs w:val="20"/>
          <w:color w:val="auto"/>
        </w:rPr>
      </w:pPr>
    </w:p>
    <w:p>
      <w:pPr>
        <w:jc w:val="both"/>
        <w:ind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2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231F20"/>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9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231F20"/>
        </w:rPr>
        <w:t>We have not yet demonstrated our ability to successfully initiate and complete any clinical trials, obtain marketing approvals, manufacture a clinical-or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8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7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231F20"/>
        </w:rPr>
        <w:t>We have incurred significant net losses since our inception, have not generated any product revenue to date and have financed our operations</w:t>
      </w:r>
    </w:p>
    <w:p>
      <w:pPr>
        <w:spacing w:after="0" w:line="1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231F20"/>
        </w:rPr>
        <w:t>principally through issuances of our common stock (including in our IPO) and, up until the date of our IPO in July 2021, through private placements of our convertible preferred stock. Our net loss was $31.1 million for the three months ended March 31, 2022. As of March 31, 2022, we had an accumulated deficit of $186.6 million. Substantially all of our losses have resulted from expenses incurred in connection with our research and development programs and from general and administrative costs associated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ind w:right="40"/>
        <w:spacing w:after="0" w:line="247" w:lineRule="auto"/>
        <w:rPr>
          <w:sz w:val="20"/>
          <w:szCs w:val="20"/>
          <w:color w:val="auto"/>
        </w:rPr>
      </w:pPr>
      <w:r>
        <w:rPr>
          <w:rFonts w:ascii="Times New Roman" w:cs="Times New Roman" w:eastAsia="Times New Roman" w:hAnsi="Times New Roman"/>
          <w:sz w:val="18"/>
          <w:szCs w:val="18"/>
          <w:color w:val="231F20"/>
        </w:rPr>
        <w:t>with our operations. We are still in the early stages of development of our product candidates and have not yet initiated or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7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37"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231F20"/>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69" w:lineRule="exact"/>
        <w:rPr>
          <w:sz w:val="20"/>
          <w:szCs w:val="20"/>
          <w:color w:val="auto"/>
        </w:rPr>
      </w:pPr>
    </w:p>
    <w:p>
      <w:pPr>
        <w:ind w:left="900" w:right="280" w:hanging="383"/>
        <w:spacing w:after="0" w:line="282" w:lineRule="auto"/>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obtaining regulatory approval to commence clinical trials of our product candidates;</w:t>
      </w:r>
    </w:p>
    <w:p>
      <w:pPr>
        <w:spacing w:after="0" w:line="103" w:lineRule="exact"/>
        <w:rPr>
          <w:rFonts w:ascii="Times New Roman" w:cs="Times New Roman" w:eastAsia="Times New Roman" w:hAnsi="Times New Roman"/>
          <w:sz w:val="13"/>
          <w:szCs w:val="13"/>
          <w:color w:val="auto"/>
        </w:rPr>
      </w:pPr>
    </w:p>
    <w:p>
      <w:pPr>
        <w:ind w:left="900" w:right="280" w:hanging="383"/>
        <w:spacing w:after="0" w:line="282" w:lineRule="auto"/>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establishing and maintaining relationships with contract research organizations (CROs) and clinical sites for the clinical development of our product candidates and any other future product candidates;</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initiation and successful patient enrollment and completion of clinical trials on a timely basis;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acceptable frequency and severity of adverse events in the clinical trials;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efficacy and safety profiles that are satisfactory to the FDA or any comparable foreign regulatory authority for marketing approval;</w:t>
      </w:r>
    </w:p>
    <w:p>
      <w:pPr>
        <w:spacing w:after="0" w:line="117" w:lineRule="exact"/>
        <w:rPr>
          <w:rFonts w:ascii="Times New Roman" w:cs="Times New Roman" w:eastAsia="Times New Roman" w:hAnsi="Times New Roman"/>
          <w:sz w:val="13"/>
          <w:szCs w:val="13"/>
          <w:color w:val="auto"/>
        </w:rPr>
      </w:pPr>
    </w:p>
    <w:p>
      <w:pPr>
        <w:ind w:left="900" w:right="300" w:hanging="383"/>
        <w:spacing w:after="0" w:line="266" w:lineRule="auto"/>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timely receipt of marketing approvals from applicable regulatory authorities for any product candidates for which we successfully complete clinical development;</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complying with any required post-marketing approval commitments to applicable regulatory authorities;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establishing and operating a manufacturing facility and developing an efficient and scalable manufacturing process for our product candidates;</w:t>
      </w:r>
    </w:p>
    <w:p>
      <w:pPr>
        <w:spacing w:after="0" w:line="103" w:lineRule="exact"/>
        <w:rPr>
          <w:rFonts w:ascii="Times New Roman" w:cs="Times New Roman" w:eastAsia="Times New Roman" w:hAnsi="Times New Roman"/>
          <w:sz w:val="13"/>
          <w:szCs w:val="13"/>
          <w:color w:val="auto"/>
        </w:rPr>
      </w:pPr>
    </w:p>
    <w:p>
      <w:pPr>
        <w:ind w:left="900" w:right="120" w:hanging="383"/>
        <w:spacing w:after="0" w:line="258" w:lineRule="auto"/>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1" w:lineRule="exact"/>
        <w:rPr>
          <w:rFonts w:ascii="Times New Roman" w:cs="Times New Roman" w:eastAsia="Times New Roman" w:hAnsi="Times New Roman"/>
          <w:sz w:val="13"/>
          <w:szCs w:val="13"/>
          <w:color w:val="auto"/>
        </w:rPr>
      </w:pPr>
    </w:p>
    <w:p>
      <w:pPr>
        <w:ind w:left="900" w:right="120" w:hanging="383"/>
        <w:spacing w:after="0" w:line="266" w:lineRule="auto"/>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successful commercial launch following any marketing approval, including the development of a commercial infrastructure, whether in-house or with one or more collaborators;</w:t>
      </w:r>
    </w:p>
    <w:p>
      <w:pPr>
        <w:spacing w:after="0" w:line="6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successful outputs from our capsid engineering and promotor and regulator elements efforts;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 continued acceptable safety profile following any marketing approval of our product candidates;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commercial acceptance of our product candidates by patients, the medical community and third-party payors;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satisfying any required post-marketing approval commitments to applicable regulatory authorities;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identifying, assessing and developing new product candidates;</w:t>
      </w:r>
    </w:p>
    <w:p>
      <w:pPr>
        <w:spacing w:after="0" w:line="103" w:lineRule="exact"/>
        <w:rPr>
          <w:rFonts w:ascii="Times New Roman" w:cs="Times New Roman" w:eastAsia="Times New Roman" w:hAnsi="Times New Roman"/>
          <w:sz w:val="13"/>
          <w:szCs w:val="13"/>
          <w:color w:val="auto"/>
        </w:rPr>
      </w:pPr>
    </w:p>
    <w:p>
      <w:pPr>
        <w:ind w:left="900" w:right="80" w:hanging="383"/>
        <w:spacing w:after="0" w:line="266" w:lineRule="auto"/>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obtaining, maintaining, and expanding patent and other intellectual property protection, trade secret protection and regulatory exclusivity, both in the United States and internationally;</w:t>
      </w:r>
    </w:p>
    <w:p>
      <w:pPr>
        <w:spacing w:after="0" w:line="6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protecting and enforcing our rights in our intellectual property portfolio;</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5" w:name="page26"/>
    <w:bookmarkEnd w:id="25"/>
    <w:p>
      <w:pPr>
        <w:ind w:left="900" w:hanging="383"/>
        <w:spacing w:after="0"/>
        <w:tabs>
          <w:tab w:leader="none" w:pos="9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defending against third-party infringement, misappropriation, or other claims, if any;</w:t>
      </w:r>
    </w:p>
    <w:p>
      <w:pPr>
        <w:spacing w:after="0" w:line="117" w:lineRule="exact"/>
        <w:rPr>
          <w:rFonts w:ascii="Times New Roman" w:cs="Times New Roman" w:eastAsia="Times New Roman" w:hAnsi="Times New Roman"/>
          <w:sz w:val="13"/>
          <w:szCs w:val="13"/>
          <w:color w:val="auto"/>
        </w:rPr>
      </w:pPr>
    </w:p>
    <w:p>
      <w:pPr>
        <w:ind w:left="900" w:right="900" w:hanging="383"/>
        <w:spacing w:after="0" w:line="266" w:lineRule="auto"/>
        <w:tabs>
          <w:tab w:leader="none" w:pos="9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entering into, on favorable terms, any collaboration, licensing or other arrangements that may be necessary or desirable to develop, manufacture or commercialize our product candidates;</w:t>
      </w:r>
    </w:p>
    <w:p>
      <w:pPr>
        <w:spacing w:after="0" w:line="54" w:lineRule="exact"/>
        <w:rPr>
          <w:rFonts w:ascii="Times New Roman" w:cs="Times New Roman" w:eastAsia="Times New Roman" w:hAnsi="Times New Roman"/>
          <w:sz w:val="13"/>
          <w:szCs w:val="13"/>
          <w:color w:val="auto"/>
        </w:rPr>
      </w:pPr>
    </w:p>
    <w:p>
      <w:pPr>
        <w:ind w:left="900" w:right="120" w:hanging="383"/>
        <w:spacing w:after="0" w:line="282" w:lineRule="auto"/>
        <w:tabs>
          <w:tab w:leader="none" w:pos="9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obtaining coverage and adequate reimbursement by third-party payors for our products and patients’ willingness to pay in the absence of such coverage and adequate reimbursement;</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obtaining additional funding to develop, manufacture and commercialize our product candidates;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addressing any competing therapies and technological and market developments;</w:t>
      </w:r>
    </w:p>
    <w:p>
      <w:pPr>
        <w:spacing w:after="0" w:line="117" w:lineRule="exact"/>
        <w:rPr>
          <w:rFonts w:ascii="Times New Roman" w:cs="Times New Roman" w:eastAsia="Times New Roman" w:hAnsi="Times New Roman"/>
          <w:sz w:val="13"/>
          <w:szCs w:val="13"/>
          <w:color w:val="auto"/>
        </w:rPr>
      </w:pPr>
    </w:p>
    <w:p>
      <w:pPr>
        <w:ind w:left="900" w:right="200" w:hanging="383"/>
        <w:spacing w:after="0" w:line="266" w:lineRule="auto"/>
        <w:tabs>
          <w:tab w:leader="none" w:pos="9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managing costs, including any unforeseen costs, that we may incur as a result of nonclinical study or clinical trial delays due to the effects of the COVID-19 pandemic, including the emergence of recent variants, or other causes; and</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attracting, hiring and retaining qualified and key personnel including clinical, scientific, management and administrative personnel.</w:t>
      </w:r>
    </w:p>
    <w:p>
      <w:pPr>
        <w:spacing w:after="0" w:line="10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37"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231F20"/>
        </w:rPr>
        <w:t>As of March 31, 2022, we had $213.5 million in cash, cash equivalents and investments in marketable securities. We expect our current cash, cash equivalents and investments in marketable securities will be sufficient to fund our current operating plan for operations through at least the next twelve months from the date of this Annual Report on Form 10-K.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87" w:lineRule="exact"/>
        <w:rPr>
          <w:sz w:val="20"/>
          <w:szCs w:val="20"/>
          <w:color w:val="auto"/>
        </w:rPr>
      </w:pPr>
    </w:p>
    <w:p>
      <w:pPr>
        <w:jc w:val="both"/>
        <w:ind w:right="40" w:firstLine="509"/>
        <w:spacing w:after="0" w:line="242" w:lineRule="auto"/>
        <w:rPr>
          <w:sz w:val="20"/>
          <w:szCs w:val="20"/>
          <w:color w:val="auto"/>
        </w:rPr>
      </w:pPr>
      <w:r>
        <w:rPr>
          <w:rFonts w:ascii="Times New Roman" w:cs="Times New Roman" w:eastAsia="Times New Roman" w:hAnsi="Times New Roman"/>
          <w:sz w:val="18"/>
          <w:szCs w:val="18"/>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product candidates.</w:t>
      </w:r>
    </w:p>
    <w:p>
      <w:pPr>
        <w:spacing w:after="0" w:line="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231F20"/>
        </w:rPr>
        <w:t>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We also expect to incur costs associated with operating as a public company. Accordingly, we will need to obtain substantial additional funding in order to continue our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future capital requirements will depend on may factors, including, but not limited to:</w:t>
      </w:r>
    </w:p>
    <w:p>
      <w:pPr>
        <w:spacing w:after="0" w:line="104" w:lineRule="exact"/>
        <w:rPr>
          <w:sz w:val="20"/>
          <w:szCs w:val="20"/>
          <w:color w:val="auto"/>
        </w:rPr>
      </w:pPr>
    </w:p>
    <w:p>
      <w:pPr>
        <w:ind w:left="900" w:hanging="383"/>
        <w:spacing w:after="0" w:line="282" w:lineRule="auto"/>
        <w:tabs>
          <w:tab w:leader="none" w:pos="9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scope, progress, results and costs of researching, developing and testing our product candidates including conducting preclinical studies and clinical trials;</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costs, timing and outcome of regulatory review of our product candidates or any future candidates;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number and characteristics of other product candidates that we pursue or acquire;</w:t>
      </w:r>
    </w:p>
    <w:p>
      <w:pPr>
        <w:spacing w:after="0" w:line="117" w:lineRule="exact"/>
        <w:rPr>
          <w:rFonts w:ascii="Times New Roman" w:cs="Times New Roman" w:eastAsia="Times New Roman" w:hAnsi="Times New Roman"/>
          <w:sz w:val="13"/>
          <w:szCs w:val="13"/>
          <w:color w:val="auto"/>
        </w:rPr>
      </w:pPr>
    </w:p>
    <w:p>
      <w:pPr>
        <w:ind w:left="900" w:right="600" w:hanging="383"/>
        <w:spacing w:after="0" w:line="266" w:lineRule="auto"/>
        <w:tabs>
          <w:tab w:leader="none" w:pos="9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costs of future activities, including product sales, medical affairs, marketing, manufacturing and distribution, for any of our product candidates for which we receive marketing approval;</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costs of establishing and operating our own manufacturing facility;</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costs of manufacturing commercial-grade products and sufficient inventory to support commercial launch;</w:t>
      </w:r>
    </w:p>
    <w:p>
      <w:pPr>
        <w:spacing w:after="0" w:line="117" w:lineRule="exact"/>
        <w:rPr>
          <w:rFonts w:ascii="Times New Roman" w:cs="Times New Roman" w:eastAsia="Times New Roman" w:hAnsi="Times New Roman"/>
          <w:sz w:val="13"/>
          <w:szCs w:val="13"/>
          <w:color w:val="auto"/>
        </w:rPr>
      </w:pPr>
    </w:p>
    <w:p>
      <w:pPr>
        <w:ind w:left="900" w:right="80" w:hanging="383"/>
        <w:spacing w:after="0" w:line="266" w:lineRule="auto"/>
        <w:tabs>
          <w:tab w:leader="none" w:pos="9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 of commercialization activities, include the cost of building a sales force in anticipation of product commercialization and distribution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6" w:name="page27"/>
    <w:bookmarkEnd w:id="26"/>
    <w:p>
      <w:pPr>
        <w:ind w:left="900" w:hanging="383"/>
        <w:spacing w:after="0"/>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revenue, if any, received from commercial sale of our products, should any of our product candidates receive marketing approval;</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 and timing of hiring new employees to support our continued growth;</w:t>
      </w:r>
    </w:p>
    <w:p>
      <w:pPr>
        <w:spacing w:after="0" w:line="103" w:lineRule="exact"/>
        <w:rPr>
          <w:rFonts w:ascii="Times New Roman" w:cs="Times New Roman" w:eastAsia="Times New Roman" w:hAnsi="Times New Roman"/>
          <w:sz w:val="13"/>
          <w:szCs w:val="13"/>
          <w:color w:val="auto"/>
        </w:rPr>
      </w:pPr>
    </w:p>
    <w:p>
      <w:pPr>
        <w:ind w:left="900" w:right="380" w:hanging="383"/>
        <w:spacing w:after="0" w:line="266" w:lineRule="auto"/>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costs of preparing, filing and prosecuting patent applications, maintaining, protecting and enforcing our intellectual property rights and defending intellectual property-related claims;</w:t>
      </w:r>
    </w:p>
    <w:p>
      <w:pPr>
        <w:spacing w:after="0" w:line="6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effect of competing products that may limit market penetration of our products;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ability to establish and maintain collaborations on favorable terms, if at all;</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extent to which we acquire or in-license other product candidates and technologies;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timing, receipt and amount of sales of, or milestone payments related to or royalties on, our current or future product candidates, if any;</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need to implement additional internal systems and infrastructure, including financial and reporting systems;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compliance and administrative costs associated with being a public company; and</w:t>
      </w:r>
    </w:p>
    <w:p>
      <w:pPr>
        <w:spacing w:after="0" w:line="103" w:lineRule="exact"/>
        <w:rPr>
          <w:rFonts w:ascii="Times New Roman" w:cs="Times New Roman" w:eastAsia="Times New Roman" w:hAnsi="Times New Roman"/>
          <w:sz w:val="13"/>
          <w:szCs w:val="13"/>
          <w:color w:val="auto"/>
        </w:rPr>
      </w:pPr>
    </w:p>
    <w:p>
      <w:pPr>
        <w:ind w:left="900" w:right="220" w:hanging="383"/>
        <w:spacing w:after="0" w:line="282" w:lineRule="auto"/>
        <w:tabs>
          <w:tab w:leader="none" w:pos="9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extent to which we acquire or invest in businesses, products, or technologies, although we currently have no commitments or agreements relating to any of these types of transactions.</w:t>
      </w:r>
    </w:p>
    <w:p>
      <w:pPr>
        <w:spacing w:after="0" w:line="4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231F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7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231F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operations and financial results could be adversely impacted by the effects of the COVID-19 pandemic, including the emergence of recent variants, in the United States and the rest of the world.</w:t>
      </w:r>
    </w:p>
    <w:p>
      <w:pPr>
        <w:spacing w:after="0" w:line="5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231F20"/>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including the effects of recent variants, that could severely impact our business, including:</w:t>
      </w:r>
    </w:p>
    <w:p>
      <w:pPr>
        <w:spacing w:after="0" w:line="73" w:lineRule="exact"/>
        <w:rPr>
          <w:sz w:val="20"/>
          <w:szCs w:val="20"/>
          <w:color w:val="auto"/>
        </w:rPr>
      </w:pPr>
    </w:p>
    <w:p>
      <w:pPr>
        <w:ind w:left="900" w:right="220" w:hanging="518"/>
        <w:spacing w:after="0" w:line="282" w:lineRule="auto"/>
        <w:tabs>
          <w:tab w:leader="none" w:pos="900" w:val="left"/>
        </w:tabs>
        <w:numPr>
          <w:ilvl w:val="0"/>
          <w:numId w:val="2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interruptions, difficulties or delays arising in our existing operations and company culture as a result of a majority of our employees working remotely, including those hired during the COVID-19 pandemic;</w:t>
      </w:r>
    </w:p>
    <w:p>
      <w:pPr>
        <w:spacing w:after="0" w:line="40" w:lineRule="exact"/>
        <w:rPr>
          <w:rFonts w:ascii="Times New Roman" w:cs="Times New Roman" w:eastAsia="Times New Roman" w:hAnsi="Times New Roman"/>
          <w:sz w:val="13"/>
          <w:szCs w:val="13"/>
          <w:color w:val="231F20"/>
        </w:rPr>
      </w:pPr>
    </w:p>
    <w:p>
      <w:pPr>
        <w:ind w:left="900" w:right="180" w:hanging="383"/>
        <w:spacing w:after="0" w:line="266" w:lineRule="auto"/>
        <w:tabs>
          <w:tab w:leader="none" w:pos="900" w:val="left"/>
        </w:tabs>
        <w:numPr>
          <w:ilvl w:val="1"/>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build out of our manufacturing facility and receipt of materials integral to the production of drug product to support our planned clinical trials;</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1"/>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receiving approval from local regulatory authorities to initiate our planned clinical trials;</w:t>
      </w:r>
    </w:p>
    <w:p>
      <w:pPr>
        <w:spacing w:after="0" w:line="103" w:lineRule="exact"/>
        <w:rPr>
          <w:rFonts w:ascii="Times New Roman" w:cs="Times New Roman" w:eastAsia="Times New Roman" w:hAnsi="Times New Roman"/>
          <w:sz w:val="18"/>
          <w:szCs w:val="18"/>
          <w:color w:val="231F20"/>
        </w:rPr>
      </w:pPr>
    </w:p>
    <w:p>
      <w:pPr>
        <w:ind w:left="900" w:right="260" w:hanging="383"/>
        <w:spacing w:after="0" w:line="266" w:lineRule="auto"/>
        <w:tabs>
          <w:tab w:leader="none" w:pos="900" w:val="left"/>
        </w:tabs>
        <w:numPr>
          <w:ilvl w:val="1"/>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or difficulties in enrolling and retaining patients in clinical trials and incurrence of additional costs as a result of preclinical study and clinical trial delays and adjustments;</w:t>
      </w:r>
    </w:p>
    <w:p>
      <w:pPr>
        <w:spacing w:after="0" w:line="6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1"/>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related to ongoing and increased operational expenses related to the COVID-19 pandemic;</w:t>
      </w:r>
    </w:p>
    <w:p>
      <w:pPr>
        <w:spacing w:after="0" w:line="103"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1"/>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or difficulties in clinical site initiation, including difficulties in recruiting clinical site investigators and clinical site staff;</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ind w:left="9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obtaining supplies, supply chain specialists, vendors or other contractors related to clinical trial operations and logistics, which can delay the submission of an IND or our ability to commence a clinical trial on a timely manner;</w:t>
      </w:r>
    </w:p>
    <w:p>
      <w:pPr>
        <w:spacing w:after="0" w:line="40" w:lineRule="exact"/>
        <w:rPr>
          <w:rFonts w:ascii="Times New Roman" w:cs="Times New Roman" w:eastAsia="Times New Roman" w:hAnsi="Times New Roman"/>
          <w:sz w:val="18"/>
          <w:szCs w:val="18"/>
          <w:color w:val="auto"/>
        </w:rPr>
      </w:pPr>
    </w:p>
    <w:p>
      <w:pPr>
        <w:ind w:left="900" w:right="60" w:hanging="383"/>
        <w:spacing w:after="0" w:line="24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made to manufacturing plans due to delays or interruptions in obtaining manufacturing supplies or other disruptions to the supply chain, which can negatively impact our clinical plans, delay our clinical development timelines, and increase our costs; if supply chain or manufacturing issues result in material changes to our manufacturing process, such material changes could impact the quality and performance of our product candidates, which could delay our clinical trials, require the conduct of bridging clinical trials or the repetition of one or more clinical trials, increase clinical trial costs, and delay approval of our product candidates;</w:t>
      </w:r>
    </w:p>
    <w:p>
      <w:pPr>
        <w:spacing w:after="0" w:line="8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difficulties or increased costs to comply with COVID-19 protocols at our leased facilities and clinical sites;</w:t>
      </w:r>
    </w:p>
    <w:p>
      <w:pPr>
        <w:spacing w:after="0" w:line="103" w:lineRule="exact"/>
        <w:rPr>
          <w:rFonts w:ascii="Times New Roman" w:cs="Times New Roman" w:eastAsia="Times New Roman" w:hAnsi="Times New Roman"/>
          <w:sz w:val="18"/>
          <w:szCs w:val="18"/>
          <w:color w:val="231F20"/>
        </w:rPr>
      </w:pPr>
    </w:p>
    <w:p>
      <w:pPr>
        <w:ind w:left="900" w:right="220" w:hanging="383"/>
        <w:spacing w:after="0" w:line="266" w:lineRule="auto"/>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diversion of healthcare resources away from the conduct of clinical trials, including the diversion of hospitals that may serve as our potential clinical trial sites and hospital staff supporting the conduct of clinical trials;</w:t>
      </w:r>
    </w:p>
    <w:p>
      <w:pPr>
        <w:spacing w:after="0" w:line="54" w:lineRule="exact"/>
        <w:rPr>
          <w:rFonts w:ascii="Times New Roman" w:cs="Times New Roman" w:eastAsia="Times New Roman" w:hAnsi="Times New Roman"/>
          <w:sz w:val="18"/>
          <w:szCs w:val="18"/>
          <w:color w:val="231F20"/>
        </w:rPr>
      </w:pPr>
    </w:p>
    <w:p>
      <w:pPr>
        <w:ind w:left="900" w:right="20" w:hanging="383"/>
        <w:spacing w:after="0" w:line="282" w:lineRule="auto"/>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interruption of key clinical trial activities, such as clinical trial site monitoring, due to limitations on travel imposed or recommended by federal or state governments, employers and others;</w:t>
      </w:r>
    </w:p>
    <w:p>
      <w:pPr>
        <w:spacing w:after="0" w:line="40" w:lineRule="exact"/>
        <w:rPr>
          <w:rFonts w:ascii="Times New Roman" w:cs="Times New Roman" w:eastAsia="Times New Roman" w:hAnsi="Times New Roman"/>
          <w:sz w:val="18"/>
          <w:szCs w:val="18"/>
          <w:color w:val="231F20"/>
        </w:rPr>
      </w:pPr>
    </w:p>
    <w:p>
      <w:pPr>
        <w:ind w:left="900" w:right="180" w:hanging="383"/>
        <w:spacing w:after="0" w:line="258" w:lineRule="auto"/>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61"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preclinical and clinical sites receiving the supplies and materials needed to conduct our planned clinical trials;</w:t>
      </w:r>
    </w:p>
    <w:p>
      <w:pPr>
        <w:spacing w:after="0" w:line="103" w:lineRule="exact"/>
        <w:rPr>
          <w:rFonts w:ascii="Times New Roman" w:cs="Times New Roman" w:eastAsia="Times New Roman" w:hAnsi="Times New Roman"/>
          <w:sz w:val="18"/>
          <w:szCs w:val="18"/>
          <w:color w:val="231F20"/>
        </w:rPr>
      </w:pPr>
    </w:p>
    <w:p>
      <w:pPr>
        <w:ind w:left="900" w:right="340" w:hanging="383"/>
        <w:spacing w:after="0" w:line="282" w:lineRule="auto"/>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interruption in global shipping that may affect the transport of clinical trial materials, such as investigational drug product to be used in our clinical trials;</w:t>
      </w:r>
    </w:p>
    <w:p>
      <w:pPr>
        <w:spacing w:after="0" w:line="40" w:lineRule="exact"/>
        <w:rPr>
          <w:rFonts w:ascii="Times New Roman" w:cs="Times New Roman" w:eastAsia="Times New Roman" w:hAnsi="Times New Roman"/>
          <w:sz w:val="18"/>
          <w:szCs w:val="18"/>
          <w:color w:val="231F20"/>
        </w:rPr>
      </w:pPr>
    </w:p>
    <w:p>
      <w:pPr>
        <w:ind w:left="900" w:right="220" w:hanging="383"/>
        <w:spacing w:after="0" w:line="266" w:lineRule="auto"/>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67" w:lineRule="exact"/>
        <w:rPr>
          <w:rFonts w:ascii="Times New Roman" w:cs="Times New Roman" w:eastAsia="Times New Roman" w:hAnsi="Times New Roman"/>
          <w:sz w:val="18"/>
          <w:szCs w:val="18"/>
          <w:color w:val="231F20"/>
        </w:rPr>
      </w:pPr>
    </w:p>
    <w:p>
      <w:pPr>
        <w:ind w:left="900" w:right="60" w:hanging="383"/>
        <w:spacing w:after="0" w:line="266" w:lineRule="auto"/>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necessary interactions with regulators, ethics committees and other important agencies and contractors due to limitations in employee resources or forced furlough of government or contractor personnel;</w:t>
      </w:r>
    </w:p>
    <w:p>
      <w:pPr>
        <w:spacing w:after="0" w:line="54"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refusal of the FDA to accept data from clinical trials in affected geographies outside the United States;</w:t>
      </w:r>
    </w:p>
    <w:p>
      <w:pPr>
        <w:spacing w:after="0" w:line="117" w:lineRule="exact"/>
        <w:rPr>
          <w:rFonts w:ascii="Times New Roman" w:cs="Times New Roman" w:eastAsia="Times New Roman" w:hAnsi="Times New Roman"/>
          <w:sz w:val="18"/>
          <w:szCs w:val="18"/>
          <w:color w:val="231F20"/>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competition for CROs, CDMOs, suppliers and vendors; and</w:t>
      </w:r>
    </w:p>
    <w:p>
      <w:pPr>
        <w:spacing w:after="0" w:line="103" w:lineRule="exact"/>
        <w:rPr>
          <w:rFonts w:ascii="Times New Roman" w:cs="Times New Roman" w:eastAsia="Times New Roman" w:hAnsi="Times New Roman"/>
          <w:sz w:val="18"/>
          <w:szCs w:val="18"/>
          <w:color w:val="231F20"/>
        </w:rPr>
      </w:pPr>
    </w:p>
    <w:p>
      <w:pPr>
        <w:ind w:left="900" w:right="140" w:hanging="383"/>
        <w:spacing w:after="0" w:line="266" w:lineRule="auto"/>
        <w:tabs>
          <w:tab w:leader="none" w:pos="9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54"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231F20"/>
        </w:rPr>
        <w:t>We will continue to assess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61" w:lineRule="exact"/>
        <w:rPr>
          <w:sz w:val="20"/>
          <w:szCs w:val="20"/>
          <w:color w:val="auto"/>
        </w:rPr>
      </w:pPr>
    </w:p>
    <w:p>
      <w:pPr>
        <w:ind w:right="220" w:firstLine="509"/>
        <w:spacing w:after="0" w:line="244" w:lineRule="auto"/>
        <w:rPr>
          <w:sz w:val="20"/>
          <w:szCs w:val="20"/>
          <w:color w:val="auto"/>
        </w:rPr>
      </w:pPr>
      <w:r>
        <w:rPr>
          <w:rFonts w:ascii="Times New Roman" w:cs="Times New Roman" w:eastAsia="Times New Roman" w:hAnsi="Times New Roman"/>
          <w:sz w:val="18"/>
          <w:szCs w:val="18"/>
          <w:color w:val="231F20"/>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77"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231F20"/>
        </w:rPr>
        <w:t>The demand for COVID-19 vaccines and related treatment options, and the potential for manufacturing facilities and materials to be commandeered under the Defense Production Act of 1950, or equivalent foreign legislation, have made it more difficult to obtain materials and manufacturing slots for our product candidates needed for our preclinical studies and clinical trials, which could lead to delays in these studies and trials.</w:t>
      </w:r>
    </w:p>
    <w:p>
      <w:pPr>
        <w:spacing w:after="0" w:line="61"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231F20"/>
        </w:rPr>
        <w:t>The extent to which the COVID-19 pandemic, including recent variants, impacts our business will depend on future developments such as the rate of the spread of the disease, new travel restrictions and social distancing in the United States and other countries, business closures or business disruptions, supply of and continued demand for vaccines, the continued effectiveness of the vaccines, and the effectiveness of actions taken in the United States and other countries to contain and treat the disease and to address its impact, including on financial markets or otherwise. Further, a lack of coordinated response on risk mitigation and continued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ind w:right="80"/>
        <w:spacing w:after="0" w:line="250" w:lineRule="auto"/>
        <w:rPr>
          <w:sz w:val="20"/>
          <w:szCs w:val="20"/>
          <w:color w:val="auto"/>
        </w:rPr>
      </w:pPr>
      <w:r>
        <w:rPr>
          <w:rFonts w:ascii="Times New Roman" w:cs="Times New Roman" w:eastAsia="Times New Roman" w:hAnsi="Times New Roman"/>
          <w:sz w:val="18"/>
          <w:szCs w:val="18"/>
          <w:color w:val="231F20"/>
        </w:rPr>
        <w:t>vaccination deployment with respect to the COVID-19 pandemic could result in significant increases to the duration and severity of the pandemic and could have a corresponding negative impact on our business.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83"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231F20"/>
        </w:rPr>
        <w:t>To the extent the COVID-19 pandemic adversely affects our business, financial condition and operating results, it may also have the effect of heightening many of the risks described in this “Risk Factors” section.</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Raising additional capital will cause dilution to our stockholders, restrict our operations or require us to relinquish rights to our technologies or product candidates.</w:t>
      </w:r>
    </w:p>
    <w:p>
      <w:pPr>
        <w:spacing w:after="0" w:line="5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231F20"/>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77"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8"/>
          <w:szCs w:val="18"/>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to offset future taxable income may be limited.</w:t>
      </w:r>
    </w:p>
    <w:p>
      <w:pPr>
        <w:spacing w:after="0" w:line="12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231F20"/>
        </w:rPr>
        <w:t>Our net operating loss (NOL) carryforwards may be unavailable to offset future taxable income because of restrictions under U.S. tax law. Under current law, our federal NOLs generated in tax years beginning after December 31, 2017 may be carried forward indefinitely, but is limited to 80% of our current year taxable income. Federal NOLs generated in tax years ending on or prior to December 31, 2017 expire after 20 taxable years. Different restrictions apply under state law.</w:t>
      </w:r>
    </w:p>
    <w:p>
      <w:pPr>
        <w:spacing w:after="0" w:line="69"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231F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 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7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eliminates the option to deduct domestic research and development costs in the year incurred and instead requires taxpayers to amortize such costs over five years. The Company is currently evaluating the potential impact. In addition, the current Biden Administration has proposed numerous changes to U.S. federal income tax law, including an increase to the U.S. corporate income tax rate and modifications of the provisions addressing taxation of international business operations. Such changes, if enacted, may adversely affect our effective tax rates, cash flows and general business condition.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231F20"/>
        </w:rPr>
        <w:t>Risks Related to the Discovery, Development, Manufacturing and Commercialization of Our Product Candidates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95"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231F20"/>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7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231F20"/>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73"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68"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successful and timely completion of our ongoing preclinical studies;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generating sufficient data to support the initiation or continuation of clinical trials;</w:t>
      </w:r>
    </w:p>
    <w:p>
      <w:pPr>
        <w:spacing w:after="0" w:line="103" w:lineRule="exact"/>
        <w:rPr>
          <w:rFonts w:ascii="Times New Roman" w:cs="Times New Roman" w:eastAsia="Times New Roman" w:hAnsi="Times New Roman"/>
          <w:sz w:val="13"/>
          <w:szCs w:val="13"/>
          <w:color w:val="auto"/>
        </w:rPr>
      </w:pPr>
    </w:p>
    <w:p>
      <w:pPr>
        <w:ind w:left="900" w:right="180" w:hanging="383"/>
        <w:spacing w:after="0" w:line="282" w:lineRule="auto"/>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addressing any delays, necessary adjustments and additional costs in preclinical studies and clinical trials resulting from factors related to the COVID-19 pandemic;</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submission of INDs or other regulatory applications for our planned clinical trials and authorizations from regulators to initiate clinical trials;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contracting with the necessary parties to conduct clinical trials;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successful enrollment in, and completion of, clinical trials on a timely basis;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achieving favorable results from clinical trials;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timely manufacture of sufficient quantities of a product candidate for use in clinical trials and, if approved, commercialization;</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successful outputs from our capsid engineering and promotor and regulator elements efforts;</w:t>
      </w:r>
    </w:p>
    <w:p>
      <w:pPr>
        <w:spacing w:after="0" w:line="103" w:lineRule="exact"/>
        <w:rPr>
          <w:rFonts w:ascii="Times New Roman" w:cs="Times New Roman" w:eastAsia="Times New Roman" w:hAnsi="Times New Roman"/>
          <w:sz w:val="13"/>
          <w:szCs w:val="13"/>
          <w:color w:val="auto"/>
        </w:rPr>
      </w:pPr>
    </w:p>
    <w:p>
      <w:pPr>
        <w:ind w:left="900" w:right="720" w:hanging="383"/>
        <w:spacing w:after="0" w:line="266" w:lineRule="auto"/>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sufficiency of our financial and other resources to complete the necessary preclinical studies and clinical trials and commercialization activities;</w:t>
      </w:r>
    </w:p>
    <w:p>
      <w:pPr>
        <w:spacing w:after="0" w:line="6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frequency and severity of adverse events in clinical trials;</w:t>
      </w:r>
    </w:p>
    <w:p>
      <w:pPr>
        <w:spacing w:after="0" w:line="103" w:lineRule="exact"/>
        <w:rPr>
          <w:rFonts w:ascii="Times New Roman" w:cs="Times New Roman" w:eastAsia="Times New Roman" w:hAnsi="Times New Roman"/>
          <w:sz w:val="13"/>
          <w:szCs w:val="13"/>
          <w:color w:val="auto"/>
        </w:rPr>
      </w:pPr>
    </w:p>
    <w:p>
      <w:pPr>
        <w:ind w:left="900" w:right="220" w:hanging="383"/>
        <w:spacing w:after="0" w:line="266" w:lineRule="auto"/>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demonstrating efficacy, safety and tolerability profiles that are satisfactory to the FDA, EMA or any comparable foreign regulatory authority for marketing approval;</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timely receipt of marketing approvals from applicable regulatory authorities;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extent of any required post-marketing approval commitments to applicable regulatory authorities;</w:t>
      </w:r>
    </w:p>
    <w:p>
      <w:pPr>
        <w:spacing w:after="0" w:line="103" w:lineRule="exact"/>
        <w:rPr>
          <w:rFonts w:ascii="Times New Roman" w:cs="Times New Roman" w:eastAsia="Times New Roman" w:hAnsi="Times New Roman"/>
          <w:sz w:val="13"/>
          <w:szCs w:val="13"/>
          <w:color w:val="auto"/>
        </w:rPr>
      </w:pPr>
    </w:p>
    <w:p>
      <w:pPr>
        <w:ind w:left="900" w:right="440" w:hanging="383"/>
        <w:spacing w:after="0" w:line="266" w:lineRule="auto"/>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operational, technical and clinical development challenges associated with pediatric indications that we may pursue, including challenges associated with recruiting and enrolling eligible pediatric patients in clinical trials;</w:t>
      </w:r>
    </w:p>
    <w:p>
      <w:pPr>
        <w:spacing w:after="0" w:line="67" w:lineRule="exact"/>
        <w:rPr>
          <w:rFonts w:ascii="Times New Roman" w:cs="Times New Roman" w:eastAsia="Times New Roman" w:hAnsi="Times New Roman"/>
          <w:sz w:val="13"/>
          <w:szCs w:val="13"/>
          <w:color w:val="auto"/>
        </w:rPr>
      </w:pPr>
    </w:p>
    <w:p>
      <w:pPr>
        <w:ind w:left="900" w:right="100" w:hanging="383"/>
        <w:spacing w:after="0" w:line="250" w:lineRule="auto"/>
        <w:tabs>
          <w:tab w:leader="none" w:pos="9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additional clinical trials and other requirements imposed by regulatory authorities for expanding drug labeling to include pediatric populations or for approval a pediatric product candidate, including formulation changes, additional bridging studies, manufacturing changes, dosage and administration changes, among others;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0" w:name="page31"/>
    <w:bookmarkEnd w:id="30"/>
    <w:p>
      <w:pPr>
        <w:ind w:left="900" w:right="300" w:hanging="383"/>
        <w:spacing w:after="0" w:line="282" w:lineRule="auto"/>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maintenance of existing or the establishment of new supply arrangements with third-party drug product suppliers and manufacturers for clinical development and, if approved, commercialization;</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maintaining consistent quality, purity, and potency across clinical supplies and commercial supplies for any approved products;</w:t>
      </w:r>
    </w:p>
    <w:p>
      <w:pPr>
        <w:spacing w:after="0" w:line="103" w:lineRule="exact"/>
        <w:rPr>
          <w:rFonts w:ascii="Times New Roman" w:cs="Times New Roman" w:eastAsia="Times New Roman" w:hAnsi="Times New Roman"/>
          <w:sz w:val="13"/>
          <w:szCs w:val="13"/>
          <w:color w:val="auto"/>
        </w:rPr>
      </w:pPr>
    </w:p>
    <w:p>
      <w:pPr>
        <w:ind w:left="900" w:right="500" w:hanging="383"/>
        <w:spacing w:after="0" w:line="282" w:lineRule="auto"/>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obtaining and maintaining patent and other intellectual property protection, trade secret protection and regulatory exclusivity, both in the United States and internationally;</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protecting, enforcing and defending our rights in our intellectual property portfolio;</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ability to expand into multiple indications;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successful launch of commercial sales following any marketing approval;</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 continued acceptable safety profile and sustained therapeutic effect of our therapies following any marketing approval;</w:t>
      </w:r>
    </w:p>
    <w:p>
      <w:pPr>
        <w:spacing w:after="0" w:line="103" w:lineRule="exact"/>
        <w:rPr>
          <w:rFonts w:ascii="Times New Roman" w:cs="Times New Roman" w:eastAsia="Times New Roman" w:hAnsi="Times New Roman"/>
          <w:sz w:val="13"/>
          <w:szCs w:val="13"/>
          <w:color w:val="auto"/>
        </w:rPr>
      </w:pPr>
    </w:p>
    <w:p>
      <w:pPr>
        <w:ind w:left="900" w:right="100" w:hanging="383"/>
        <w:spacing w:after="0" w:line="266" w:lineRule="auto"/>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actual market-size, ability to identify patients and the demographics of patients eligible for our product candidates, which may be different than expected;</w:t>
      </w:r>
    </w:p>
    <w:p>
      <w:pPr>
        <w:spacing w:after="0" w:line="67" w:lineRule="exact"/>
        <w:rPr>
          <w:rFonts w:ascii="Times New Roman" w:cs="Times New Roman" w:eastAsia="Times New Roman" w:hAnsi="Times New Roman"/>
          <w:sz w:val="13"/>
          <w:szCs w:val="13"/>
          <w:color w:val="auto"/>
        </w:rPr>
      </w:pPr>
    </w:p>
    <w:p>
      <w:pPr>
        <w:ind w:left="900" w:right="160" w:hanging="383"/>
        <w:spacing w:after="0" w:line="266" w:lineRule="auto"/>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commercial acceptance by patients, the medical community and third-party payors, particularly since the product candidates we develop may be novel; and</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ability to compete with other therapies.</w:t>
      </w:r>
    </w:p>
    <w:p>
      <w:pPr>
        <w:spacing w:after="0" w:line="117"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8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231F20"/>
        </w:rPr>
        <w:t>To become and remain profitable, we must develop, obtain approval for and eventually commercialize products candidates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87"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231F20"/>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86" w:lineRule="exact"/>
        <w:rPr>
          <w:sz w:val="20"/>
          <w:szCs w:val="20"/>
          <w:color w:val="auto"/>
        </w:rPr>
      </w:pPr>
    </w:p>
    <w:p>
      <w:pPr>
        <w:jc w:val="both"/>
        <w:ind w:right="540" w:firstLine="509"/>
        <w:spacing w:after="0" w:line="250" w:lineRule="auto"/>
        <w:rPr>
          <w:sz w:val="20"/>
          <w:szCs w:val="20"/>
          <w:color w:val="auto"/>
        </w:rPr>
      </w:pPr>
      <w:r>
        <w:rPr>
          <w:rFonts w:ascii="Times New Roman" w:cs="Times New Roman" w:eastAsia="Times New Roman" w:hAnsi="Times New Roman"/>
          <w:sz w:val="18"/>
          <w:szCs w:val="18"/>
          <w:color w:val="231F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186"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73"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231F20"/>
        </w:rPr>
        <w:t>To date, only three products that utilize AAV-mediated gene transfer have been approved in the United States or Europe, including Novartis Pharmaceuticals’ Zolgensma (developed by AveXis), Roche’s Luxturna (developed by Spark Therapeutics), and uniQure’s Glybera.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8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The regulatory requirements that will govern any novel gene therapy product candidates we develop are not entirely clear, have changed over time and are subject to further change. Within the broader genetic medicine field, very few therapeutic products have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1" w:name="page32"/>
    <w:bookmarkEnd w:id="31"/>
    <w:p>
      <w:pPr>
        <w:ind w:right="60"/>
        <w:spacing w:after="0" w:line="244" w:lineRule="auto"/>
        <w:rPr>
          <w:sz w:val="20"/>
          <w:szCs w:val="20"/>
          <w:color w:val="auto"/>
        </w:rPr>
      </w:pPr>
      <w:r>
        <w:rPr>
          <w:rFonts w:ascii="Times New Roman" w:cs="Times New Roman" w:eastAsia="Times New Roman" w:hAnsi="Times New Roman"/>
          <w:sz w:val="18"/>
          <w:szCs w:val="18"/>
          <w:color w:val="231F20"/>
        </w:rPr>
        <w:t>received marketing authorization from the FDA,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7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231F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77"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231F20"/>
        </w:rPr>
        <w:t>The same applies in the European Union. The EMA’s Committee for Advanced Therapies (CAT) is responsible for assessing the quality, safety, and efficacy of advanced-therapy medicinal products. Advanced- 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73"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231F20"/>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6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231F20"/>
        </w:rPr>
        <w:t>Adverse developments in preclinical studies or clinical trials conducted by others in the field of gene therapy and gene regulation products may cause the FDA, EMA, and other regulatory bodies to revise the requirements for the conduct of the clinical studies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7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 fail to do so, we may be required to delay or discontinue development of our product candidates. These additional processes may result in a review and approval process that is longer than we otherwise would have expected. Delays as a result of an increased 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2" w:name="page33"/>
    <w:bookmarkEnd w:id="32"/>
    <w:p>
      <w:pPr>
        <w:ind w:right="260"/>
        <w:spacing w:after="0" w:line="282" w:lineRule="auto"/>
        <w:rPr>
          <w:sz w:val="20"/>
          <w:szCs w:val="20"/>
          <w:color w:val="auto"/>
        </w:rPr>
      </w:pPr>
      <w:r>
        <w:rPr>
          <w:rFonts w:ascii="Times New Roman" w:cs="Times New Roman" w:eastAsia="Times New Roman" w:hAnsi="Times New Roman"/>
          <w:sz w:val="18"/>
          <w:szCs w:val="18"/>
          <w:color w:val="231F20"/>
        </w:rPr>
        <w:t>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4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The mechanisms of action of our product candidates are unproven, and we do not know whether we will be able to develop any drug of commercial value.</w:t>
      </w:r>
    </w:p>
    <w:p>
      <w:pPr>
        <w:spacing w:after="0" w:line="6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80"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17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3"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231F20"/>
        </w:rPr>
        <w:t xml:space="preserve">It is impossible to predict when or if any product candidate that we develop will prove effective or safe in humans or will receive marketing approval. Before obtaining marketing approval from the FDA, EMA or other comparable foreign regulatory authorities for the sale of our product candidates, we must complete </w:t>
      </w:r>
      <w:r>
        <w:rPr>
          <w:rFonts w:ascii="Times New Roman" w:cs="Times New Roman" w:eastAsia="Times New Roman" w:hAnsi="Times New Roman"/>
          <w:sz w:val="18"/>
          <w:szCs w:val="18"/>
          <w:color w:val="000000"/>
        </w:rPr>
        <w:t>lengthy, complex and extensive</w:t>
      </w:r>
      <w:r>
        <w:rPr>
          <w:rFonts w:ascii="Times New Roman" w:cs="Times New Roman" w:eastAsia="Times New Roman" w:hAnsi="Times New Roman"/>
          <w:sz w:val="18"/>
          <w:szCs w:val="18"/>
          <w:color w:val="231F20"/>
        </w:rPr>
        <w:t xml:space="preserve"> preclinical studies and clinical trials to demonstrate with substantial evidence the safety and efficacy of such product candidates.</w:t>
      </w:r>
    </w:p>
    <w:p>
      <w:pPr>
        <w:spacing w:after="0" w:line="83"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 xml:space="preserve">Preclinical and </w:t>
      </w:r>
      <w:r>
        <w:rPr>
          <w:rFonts w:ascii="Times New Roman" w:cs="Times New Roman" w:eastAsia="Times New Roman" w:hAnsi="Times New Roman"/>
          <w:sz w:val="18"/>
          <w:szCs w:val="18"/>
          <w:color w:val="231F20"/>
        </w:rPr>
        <w:t>clinical testing is expensive, difficult to design and implement, can take many years to complete and its ultimate outcome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uncertain. We cannot guarantee that any of our preclinical studies, clinical trials or post-marketing studies will be initiated, conducted or completed on schedule or as planned, or at all. </w:t>
      </w:r>
      <w:r>
        <w:rPr>
          <w:rFonts w:ascii="Times New Roman" w:cs="Times New Roman" w:eastAsia="Times New Roman" w:hAnsi="Times New Roman"/>
          <w:sz w:val="18"/>
          <w:szCs w:val="18"/>
          <w:color w:val="000000"/>
        </w:rPr>
        <w:t>Failure can occur at any stage of testing.</w:t>
      </w:r>
      <w:r>
        <w:rPr>
          <w:rFonts w:ascii="Times New Roman" w:cs="Times New Roman" w:eastAsia="Times New Roman" w:hAnsi="Times New Roman"/>
          <w:sz w:val="18"/>
          <w:szCs w:val="18"/>
          <w:color w:val="231F20"/>
        </w:rPr>
        <w:t xml:space="preserve"> Such failure may result from a multitude of factors, including, among other things, flaws in study design, dose selection issues, placebo effects, patient enrollment criteria and failure to demonstrate favorable safety or efficacy traits, which could delay or prevent the submission of an IND, initiation of clinical trials,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and post-marketing studies.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or maintain marketing approval.</w:t>
      </w:r>
    </w:p>
    <w:p>
      <w:pPr>
        <w:spacing w:after="0" w:line="7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 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studies, such as bridging studies and additional safety studies, before we can commence</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3" w:name="page34"/>
    <w:bookmarkEnd w:id="33"/>
    <w:p>
      <w:pPr>
        <w:ind w:right="160"/>
        <w:spacing w:after="0" w:line="282" w:lineRule="auto"/>
        <w:rPr>
          <w:sz w:val="20"/>
          <w:szCs w:val="20"/>
          <w:color w:val="auto"/>
        </w:rPr>
      </w:pPr>
      <w:r>
        <w:rPr>
          <w:rFonts w:ascii="Times New Roman" w:cs="Times New Roman" w:eastAsia="Times New Roman" w:hAnsi="Times New Roman"/>
          <w:sz w:val="18"/>
          <w:szCs w:val="18"/>
          <w:color w:val="231F20"/>
        </w:rPr>
        <w:t>our clinical trials in pediatric populations. Any delays in our planned clinical development activities for pediatric patients could have an adverse effect on our business operations.</w:t>
      </w:r>
    </w:p>
    <w:p>
      <w:pPr>
        <w:spacing w:after="0" w:line="4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98" w:lineRule="exact"/>
        <w:rPr>
          <w:sz w:val="20"/>
          <w:szCs w:val="20"/>
          <w:color w:val="auto"/>
        </w:rPr>
      </w:pPr>
    </w:p>
    <w:p>
      <w:pPr>
        <w:ind w:right="140" w:firstLine="509"/>
        <w:spacing w:after="0" w:line="296" w:lineRule="auto"/>
        <w:rPr>
          <w:sz w:val="20"/>
          <w:szCs w:val="20"/>
          <w:color w:val="auto"/>
        </w:rPr>
      </w:pPr>
      <w:r>
        <w:rPr>
          <w:rFonts w:ascii="Times New Roman" w:cs="Times New Roman" w:eastAsia="Times New Roman" w:hAnsi="Times New Roman"/>
          <w:sz w:val="17"/>
          <w:szCs w:val="17"/>
          <w:color w:val="231F20"/>
        </w:rPr>
        <w:t>To date, we have not initiated or completed any clinical trials. We may experience numerous unforeseen events during, or as a result of, preclinical studies or clinical trials that could delay or prevent receipt of marketing approval or our ability to commercialize our product candidates, including:</w:t>
      </w:r>
    </w:p>
    <w:p>
      <w:pPr>
        <w:spacing w:after="0" w:line="56"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 xml:space="preserve">inability to generate sufficient preclinical, toxicology, or other </w:t>
      </w:r>
      <w:r>
        <w:rPr>
          <w:rFonts w:ascii="Times New Roman" w:cs="Times New Roman" w:eastAsia="Times New Roman" w:hAnsi="Times New Roman"/>
          <w:sz w:val="18"/>
          <w:szCs w:val="18"/>
          <w:i w:val="1"/>
          <w:iCs w:val="1"/>
          <w:color w:val="231F20"/>
        </w:rPr>
        <w:t>in vivo</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i w:val="1"/>
          <w:iCs w:val="1"/>
          <w:color w:val="231F20"/>
        </w:rPr>
        <w:t>in vitro</w:t>
      </w:r>
      <w:r>
        <w:rPr>
          <w:rFonts w:ascii="Times New Roman" w:cs="Times New Roman" w:eastAsia="Times New Roman" w:hAnsi="Times New Roman"/>
          <w:sz w:val="18"/>
          <w:szCs w:val="18"/>
          <w:color w:val="231F20"/>
        </w:rPr>
        <w:t xml:space="preserve"> data to support the initiation of clinical trials;</w:t>
      </w:r>
    </w:p>
    <w:p>
      <w:pPr>
        <w:spacing w:after="0" w:line="105"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delays in sufficiently developing, characterizing or controlling a manufacturing process suitable for clinical trials;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receipt of feedback from regulatory authorities that requires us to modify the design of our clinical trials;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preclinical study or clinical trial observations or results that require us to modify the design of our clinical trials;</w:t>
      </w:r>
    </w:p>
    <w:p>
      <w:pPr>
        <w:spacing w:after="0" w:line="117" w:lineRule="exact"/>
        <w:rPr>
          <w:rFonts w:ascii="Times New Roman" w:cs="Times New Roman" w:eastAsia="Times New Roman" w:hAnsi="Times New Roman"/>
          <w:sz w:val="13"/>
          <w:szCs w:val="13"/>
          <w:color w:val="auto"/>
        </w:rPr>
      </w:pPr>
    </w:p>
    <w:p>
      <w:pPr>
        <w:ind w:left="900" w:hanging="383"/>
        <w:spacing w:after="0" w:line="266" w:lineRule="auto"/>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obtaining approval from one or more IRBs;</w:t>
      </w:r>
    </w:p>
    <w:p>
      <w:pPr>
        <w:spacing w:after="0" w:line="117" w:lineRule="exact"/>
        <w:rPr>
          <w:rFonts w:ascii="Times New Roman" w:cs="Times New Roman" w:eastAsia="Times New Roman" w:hAnsi="Times New Roman"/>
          <w:sz w:val="13"/>
          <w:szCs w:val="13"/>
          <w:color w:val="auto"/>
        </w:rPr>
      </w:pPr>
    </w:p>
    <w:p>
      <w:pPr>
        <w:ind w:left="900" w:right="140" w:hanging="383"/>
        <w:spacing w:after="0" w:line="266" w:lineRule="auto"/>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54" w:lineRule="exact"/>
        <w:rPr>
          <w:rFonts w:ascii="Times New Roman" w:cs="Times New Roman" w:eastAsia="Times New Roman" w:hAnsi="Times New Roman"/>
          <w:sz w:val="13"/>
          <w:szCs w:val="13"/>
          <w:color w:val="auto"/>
        </w:rPr>
      </w:pPr>
    </w:p>
    <w:p>
      <w:pPr>
        <w:ind w:left="900" w:right="80" w:hanging="383"/>
        <w:spacing w:after="0" w:line="282" w:lineRule="auto"/>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40" w:lineRule="exact"/>
        <w:rPr>
          <w:rFonts w:ascii="Times New Roman" w:cs="Times New Roman" w:eastAsia="Times New Roman" w:hAnsi="Times New Roman"/>
          <w:sz w:val="13"/>
          <w:szCs w:val="13"/>
          <w:color w:val="auto"/>
        </w:rPr>
      </w:pPr>
    </w:p>
    <w:p>
      <w:pPr>
        <w:ind w:left="900" w:right="420" w:hanging="383"/>
        <w:spacing w:after="0" w:line="258" w:lineRule="auto"/>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 xml:space="preserve">the suspension or termination of our clinical trials, as a result of </w:t>
      </w:r>
      <w:r>
        <w:rPr>
          <w:rFonts w:ascii="Times New Roman" w:cs="Times New Roman" w:eastAsia="Times New Roman" w:hAnsi="Times New Roman"/>
          <w:sz w:val="18"/>
          <w:szCs w:val="18"/>
          <w:color w:val="000000"/>
        </w:rPr>
        <w:t>a clinical hold by regulatory authorities or otherwise,</w:t>
      </w:r>
      <w:r>
        <w:rPr>
          <w:rFonts w:ascii="Times New Roman" w:cs="Times New Roman" w:eastAsia="Times New Roman" w:hAnsi="Times New Roman"/>
          <w:sz w:val="18"/>
          <w:szCs w:val="18"/>
          <w:color w:val="231F20"/>
        </w:rPr>
        <w:t xml:space="preserve"> for various reasons, including non-compliance with regulatory requirements, a finding that our product candidates have undesirable side effects or other unfavorable or unexpected characteristics or risks;</w:t>
      </w:r>
    </w:p>
    <w:p>
      <w:pPr>
        <w:spacing w:after="0" w:line="61"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changes to clinical trial protocol;</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clinical sites deviating from trial protocol or dropping out of a trial;</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costs of preclinical studies or clinical trials being greater than anticipated;</w:t>
      </w:r>
    </w:p>
    <w:p>
      <w:pPr>
        <w:spacing w:after="0" w:line="103" w:lineRule="exact"/>
        <w:rPr>
          <w:rFonts w:ascii="Times New Roman" w:cs="Times New Roman" w:eastAsia="Times New Roman" w:hAnsi="Times New Roman"/>
          <w:sz w:val="13"/>
          <w:szCs w:val="13"/>
          <w:color w:val="auto"/>
        </w:rPr>
      </w:pPr>
    </w:p>
    <w:p>
      <w:pPr>
        <w:ind w:left="900" w:right="800" w:hanging="383"/>
        <w:spacing w:after="0" w:line="266" w:lineRule="auto"/>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supply or quality of our product candidates or other materials necessary to conduct clinical trials of our product candidates being insufficient or inadequate;</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subjects experiencing severe or unexpected drug-related adverse effects;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selection of clinical end points that require prolonged periods of clinical observation or analysis of the resulting data;</w:t>
      </w:r>
    </w:p>
    <w:p>
      <w:pPr>
        <w:spacing w:after="0" w:line="103" w:lineRule="exact"/>
        <w:rPr>
          <w:rFonts w:ascii="Times New Roman" w:cs="Times New Roman" w:eastAsia="Times New Roman" w:hAnsi="Times New Roman"/>
          <w:sz w:val="13"/>
          <w:szCs w:val="13"/>
          <w:color w:val="auto"/>
        </w:rPr>
      </w:pPr>
    </w:p>
    <w:p>
      <w:pPr>
        <w:ind w:left="900" w:right="260" w:hanging="383"/>
        <w:spacing w:after="0" w:line="258" w:lineRule="auto"/>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61"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any changes to our manufacturing process that may be necessary or desired;</w:t>
      </w:r>
    </w:p>
    <w:p>
      <w:pPr>
        <w:spacing w:after="0" w:line="103" w:lineRule="exact"/>
        <w:rPr>
          <w:rFonts w:ascii="Times New Roman" w:cs="Times New Roman" w:eastAsia="Times New Roman" w:hAnsi="Times New Roman"/>
          <w:sz w:val="13"/>
          <w:szCs w:val="13"/>
          <w:color w:val="auto"/>
        </w:rPr>
      </w:pPr>
    </w:p>
    <w:p>
      <w:pPr>
        <w:ind w:left="900" w:right="120" w:hanging="383"/>
        <w:spacing w:after="0" w:line="282" w:lineRule="auto"/>
        <w:tabs>
          <w:tab w:leader="none" w:pos="9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4" w:name="page35"/>
    <w:bookmarkEnd w:id="34"/>
    <w:p>
      <w:pPr>
        <w:ind w:left="900" w:hanging="383"/>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third-party contractors not performing data collection or analysis in a timely or accurate manner;</w:t>
      </w:r>
    </w:p>
    <w:p>
      <w:pPr>
        <w:spacing w:after="0" w:line="117" w:lineRule="exact"/>
        <w:rPr>
          <w:rFonts w:ascii="Times New Roman" w:cs="Times New Roman" w:eastAsia="Times New Roman" w:hAnsi="Times New Roman"/>
          <w:sz w:val="13"/>
          <w:szCs w:val="13"/>
          <w:color w:val="auto"/>
        </w:rPr>
      </w:pPr>
    </w:p>
    <w:p>
      <w:pPr>
        <w:jc w:val="both"/>
        <w:ind w:left="900" w:right="160" w:hanging="383"/>
        <w:spacing w:after="0" w:line="250" w:lineRule="auto"/>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82"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regulators revising the requirements for approving our product candidates;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an unsuccessful post-marketing study or failure to complete such a study;</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absence in some countries of established groups with sufficient regulatory expertise for review of AAV gene therapy protocols; and</w:t>
      </w:r>
    </w:p>
    <w:p>
      <w:pPr>
        <w:spacing w:after="0" w:line="117" w:lineRule="exact"/>
        <w:rPr>
          <w:rFonts w:ascii="Times New Roman" w:cs="Times New Roman" w:eastAsia="Times New Roman" w:hAnsi="Times New Roman"/>
          <w:sz w:val="13"/>
          <w:szCs w:val="13"/>
          <w:color w:val="auto"/>
        </w:rPr>
      </w:pPr>
    </w:p>
    <w:p>
      <w:pPr>
        <w:ind w:left="900" w:right="280" w:hanging="383"/>
        <w:spacing w:after="0" w:line="266" w:lineRule="auto"/>
        <w:tabs>
          <w:tab w:leader="none" w:pos="9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5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Times New Roman" w:cs="Times New Roman" w:eastAsia="Times New Roman" w:hAnsi="Times New Roman"/>
          <w:sz w:val="18"/>
          <w:szCs w:val="18"/>
          <w:color w:val="000000"/>
        </w:rPr>
        <w:t>mitting an IND, initiating clinical trials or seek</w:t>
      </w:r>
      <w:r>
        <w:rPr>
          <w:rFonts w:ascii="Times New Roman" w:cs="Times New Roman" w:eastAsia="Times New Roman" w:hAnsi="Times New Roman"/>
          <w:sz w:val="18"/>
          <w:szCs w:val="18"/>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If we receive approval, it is possible that we may receive limited or restrictive marketing approval, be subject to additional post-marketing testing requirements or have the drug removed from the market after obtaining marketing approval.</w:t>
      </w:r>
    </w:p>
    <w:p>
      <w:pPr>
        <w:spacing w:after="0" w:line="92"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3"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231F20"/>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7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231F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7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231F20"/>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ind w:right="160"/>
        <w:spacing w:after="0" w:line="282" w:lineRule="auto"/>
        <w:rPr>
          <w:sz w:val="20"/>
          <w:szCs w:val="20"/>
          <w:color w:val="auto"/>
        </w:rPr>
      </w:pPr>
      <w:r>
        <w:rPr>
          <w:rFonts w:ascii="Times New Roman" w:cs="Times New Roman" w:eastAsia="Times New Roman" w:hAnsi="Times New Roman"/>
          <w:sz w:val="18"/>
          <w:szCs w:val="18"/>
          <w:color w:val="231F20"/>
        </w:rPr>
        <w:t>expected that some of the patients enrolled in our clinical trials will die or experience major clinical events either during the course of our clinical trials or after participating in such trials.</w:t>
      </w:r>
    </w:p>
    <w:p>
      <w:pPr>
        <w:spacing w:after="0" w:line="40"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8"/>
          <w:szCs w:val="18"/>
          <w:color w:val="231F20"/>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spacing w:after="0" w:line="202"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We do not know whether any clinical trials we may conduct will demonstrate consistent or adequate efficacy and safety sufficient to obtain approval to market any of our product candidates.</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37" w:lineRule="exact"/>
        <w:rPr>
          <w:sz w:val="20"/>
          <w:szCs w:val="20"/>
          <w:color w:val="auto"/>
        </w:rPr>
      </w:pPr>
    </w:p>
    <w:p>
      <w:pPr>
        <w:ind w:right="340" w:firstLine="509"/>
        <w:spacing w:after="0" w:line="250" w:lineRule="auto"/>
        <w:rPr>
          <w:sz w:val="20"/>
          <w:szCs w:val="20"/>
          <w:color w:val="auto"/>
        </w:rPr>
      </w:pPr>
      <w:r>
        <w:rPr>
          <w:rFonts w:ascii="Times New Roman" w:cs="Times New Roman" w:eastAsia="Times New Roman" w:hAnsi="Times New Roman"/>
          <w:sz w:val="18"/>
          <w:szCs w:val="18"/>
          <w:color w:val="231F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69"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231F20"/>
        </w:rPr>
        <w:t>We may experience delays if our clinical trial sites limit their onsite staff or temporarily close as a result of the COVID-19 pandemic, including the effects of the most recent variants.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8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231F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current or any future clinical trials may be affected by other factors, including:</w:t>
      </w:r>
    </w:p>
    <w:p>
      <w:pPr>
        <w:spacing w:after="0" w:line="61"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size and nature of the patient population;</w:t>
      </w:r>
    </w:p>
    <w:p>
      <w:pPr>
        <w:spacing w:after="0" w:line="117" w:lineRule="exact"/>
        <w:rPr>
          <w:rFonts w:ascii="Times New Roman" w:cs="Times New Roman" w:eastAsia="Times New Roman" w:hAnsi="Times New Roman"/>
          <w:sz w:val="13"/>
          <w:szCs w:val="13"/>
          <w:color w:val="231F20"/>
        </w:rPr>
      </w:pPr>
    </w:p>
    <w:p>
      <w:pPr>
        <w:ind w:left="900" w:right="240" w:hanging="383"/>
        <w:spacing w:after="0" w:line="272" w:lineRule="auto"/>
        <w:tabs>
          <w:tab w:leader="none" w:pos="900" w:val="left"/>
        </w:tabs>
        <w:numPr>
          <w:ilvl w:val="0"/>
          <w:numId w:val="29"/>
        </w:numPr>
        <w:rPr>
          <w:rFonts w:ascii="Times New Roman" w:cs="Times New Roman" w:eastAsia="Times New Roman" w:hAnsi="Times New Roman"/>
          <w:sz w:val="12"/>
          <w:szCs w:val="12"/>
          <w:color w:val="231F20"/>
        </w:rPr>
      </w:pPr>
      <w:r>
        <w:rPr>
          <w:rFonts w:ascii="Times New Roman" w:cs="Times New Roman" w:eastAsia="Times New Roman" w:hAnsi="Times New Roman"/>
          <w:sz w:val="17"/>
          <w:szCs w:val="17"/>
          <w:color w:val="231F20"/>
        </w:rPr>
        <w:t>challenges associated with recruiting pediatric patient population, including, but not limited to, identifying clinical sites that are qualified to participate in pediatric clinical trials, smaller number of eligible pediatric patients who are interested in participating within the target age groups, or under- diagnosis or challenges associated with diagnosing pediatric populations with the applicable target disease or condition;</w:t>
      </w:r>
    </w:p>
    <w:p>
      <w:pPr>
        <w:spacing w:after="0" w:line="64" w:lineRule="exact"/>
        <w:rPr>
          <w:rFonts w:ascii="Times New Roman" w:cs="Times New Roman" w:eastAsia="Times New Roman" w:hAnsi="Times New Roman"/>
          <w:sz w:val="12"/>
          <w:szCs w:val="12"/>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perceived risks and benefits of novel, unproven approaches;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severity of the disease under investigation;</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availability and efficacy of approved drugs for the disease under investigation;</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ongoing clinical trials evaluating other product candidates in the same disease under investigation;</w:t>
      </w:r>
    </w:p>
    <w:p>
      <w:pPr>
        <w:spacing w:after="0" w:line="117"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patient eligibility criteria for the trial in question as defined in the protocol;</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perceived risks and benefits of the product candidate under study;</w:t>
      </w:r>
    </w:p>
    <w:p>
      <w:pPr>
        <w:spacing w:after="0" w:line="103" w:lineRule="exact"/>
        <w:rPr>
          <w:rFonts w:ascii="Times New Roman" w:cs="Times New Roman" w:eastAsia="Times New Roman" w:hAnsi="Times New Roman"/>
          <w:sz w:val="13"/>
          <w:szCs w:val="13"/>
          <w:color w:val="231F20"/>
        </w:rPr>
      </w:pPr>
    </w:p>
    <w:p>
      <w:pPr>
        <w:jc w:val="both"/>
        <w:ind w:left="900" w:right="660" w:hanging="383"/>
        <w:spacing w:after="0" w:line="258" w:lineRule="auto"/>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1"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patient referral practices of physicians;</w:t>
      </w:r>
    </w:p>
    <w:p>
      <w:pPr>
        <w:spacing w:after="0" w:line="117"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ability to monitor patients adequately during and after treatment;</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activities of key opinion leaders (KOLs) and patient advocacy groups;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proximity and availability of clinical trial sites for prospective patients; and</w:t>
      </w:r>
    </w:p>
    <w:p>
      <w:pPr>
        <w:spacing w:after="0" w:line="117" w:lineRule="exact"/>
        <w:rPr>
          <w:rFonts w:ascii="Times New Roman" w:cs="Times New Roman" w:eastAsia="Times New Roman" w:hAnsi="Times New Roman"/>
          <w:sz w:val="13"/>
          <w:szCs w:val="13"/>
          <w:color w:val="231F20"/>
        </w:rPr>
      </w:pPr>
    </w:p>
    <w:p>
      <w:pPr>
        <w:ind w:left="900" w:right="20" w:hanging="383"/>
        <w:spacing w:after="0" w:line="266" w:lineRule="auto"/>
        <w:tabs>
          <w:tab w:leader="none" w:pos="900" w:val="left"/>
        </w:tabs>
        <w:numPr>
          <w:ilvl w:val="0"/>
          <w:numId w:val="2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risk that patients enrolled in clinical trials will drop out of the trials before completion or, because they may have an advanced disease, will not survive the full terms of the clinical trials.</w:t>
      </w:r>
    </w:p>
    <w:p>
      <w:pPr>
        <w:spacing w:after="0" w:line="5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0"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231F20"/>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37" w:name="page38"/>
    <w:bookmarkEnd w:id="37"/>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3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7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231F20"/>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73"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9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8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6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231F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38" w:name="page39"/>
    <w:bookmarkEnd w:id="38"/>
    <w:p>
      <w:pPr>
        <w:spacing w:after="0" w:line="250" w:lineRule="auto"/>
        <w:rPr>
          <w:sz w:val="20"/>
          <w:szCs w:val="20"/>
          <w:color w:val="auto"/>
        </w:rPr>
      </w:pPr>
      <w:r>
        <w:rPr>
          <w:rFonts w:ascii="Times New Roman" w:cs="Times New Roman" w:eastAsia="Times New Roman" w:hAnsi="Times New Roman"/>
          <w:sz w:val="18"/>
          <w:szCs w:val="18"/>
          <w:color w:val="231F20"/>
        </w:rPr>
        <w:t>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our efforts to utilize our proprietary drug discovery platforms to develop a pipeline of product candidates.</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231F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spacing w:after="0" w:line="92"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231F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73"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231F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181" w:lineRule="exact"/>
        <w:rPr>
          <w:sz w:val="20"/>
          <w:szCs w:val="20"/>
          <w:color w:val="auto"/>
        </w:rPr>
      </w:pPr>
    </w:p>
    <w:p>
      <w:pPr>
        <w:jc w:val="both"/>
        <w:ind w:right="34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6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231F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81"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50"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9" w:name="page40"/>
    <w:bookmarkEnd w:id="39"/>
    <w:p>
      <w:pPr>
        <w:ind w:right="160"/>
        <w:spacing w:after="0" w:line="250" w:lineRule="auto"/>
        <w:rPr>
          <w:sz w:val="20"/>
          <w:szCs w:val="20"/>
          <w:color w:val="auto"/>
        </w:rPr>
      </w:pPr>
      <w:r>
        <w:rPr>
          <w:rFonts w:ascii="Times New Roman" w:cs="Times New Roman" w:eastAsia="Times New Roman" w:hAnsi="Times New Roman"/>
          <w:sz w:val="18"/>
          <w:szCs w:val="18"/>
          <w:color w:val="231F20"/>
        </w:rPr>
        <w:t>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83"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231F20"/>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73" w:lineRule="exact"/>
        <w:rPr>
          <w:sz w:val="20"/>
          <w:szCs w:val="20"/>
          <w:color w:val="auto"/>
        </w:rPr>
      </w:pPr>
    </w:p>
    <w:p>
      <w:pPr>
        <w:ind w:right="100" w:firstLine="509"/>
        <w:spacing w:after="0" w:line="296" w:lineRule="auto"/>
        <w:rPr>
          <w:sz w:val="20"/>
          <w:szCs w:val="20"/>
          <w:color w:val="auto"/>
        </w:rPr>
      </w:pPr>
      <w:r>
        <w:rPr>
          <w:rFonts w:ascii="Times New Roman" w:cs="Times New Roman" w:eastAsia="Times New Roman" w:hAnsi="Times New Roman"/>
          <w:sz w:val="17"/>
          <w:szCs w:val="17"/>
          <w:color w:val="231F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44"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231F20"/>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60"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231F20"/>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We have initiated construction of a dedicated cGMP facility for drug product manufacturing in the San Francisco Bay Area that we expect will be operational in the first half of 2022. The facility will initially produce drug product at the 1000L scale to support FIH studies for TN-201, the most advanced product candidate from our MYBPC3 program. To optimize our use of resources and utilize extensive third-party experience in small molecule manufacturing, we intend to work with CDMOs for our small molecule programs. We initiated cGMP manufacturing activities for our HDAC6 inhibitor program, TN-301, in December 2021. We have and may continue to experience delays in supply chain activities due to disruptions caused by the COVID-19 pandemic.</w:t>
      </w:r>
    </w:p>
    <w:p>
      <w:pPr>
        <w:spacing w:after="0" w:line="77"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231F20"/>
        </w:rPr>
        <w:t>Although some of our employees have experience in the manufacturing of biopharmaceutical products from prior employment at other companies, we as a company have no prior experience in manufacturing. We may face delays or increased costs in the build out of our manufacturing facility or the production of clinical supply at our manufacturing facility, including as a result of COVID-19 or otherwise. Once operational, we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 and recordkeeping. Furthermore, establishing and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8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0" w:name="page41"/>
    <w:bookmarkEnd w:id="40"/>
    <w:p>
      <w:pPr>
        <w:ind w:right="440" w:firstLine="509"/>
        <w:spacing w:after="0" w:line="258" w:lineRule="auto"/>
        <w:rPr>
          <w:sz w:val="20"/>
          <w:szCs w:val="20"/>
          <w:color w:val="auto"/>
        </w:rPr>
      </w:pPr>
      <w:r>
        <w:rPr>
          <w:rFonts w:ascii="Times New Roman" w:cs="Times New Roman" w:eastAsia="Times New Roman" w:hAnsi="Times New Roman"/>
          <w:sz w:val="18"/>
          <w:szCs w:val="18"/>
          <w:color w:val="231F20"/>
        </w:rPr>
        <w:t>Any failure or delay in the development of our manufacturing facility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98"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63"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231F20"/>
        </w:rPr>
        <w:t>We will need to comply with the FDA’s and applicable foreign regulatory authorities’ cGMP requirements for the production of product candidates for clinical trials and, if approved, commercial supply. We may encounter difficulties in achieving QC and QA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96"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5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231F20"/>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methods of product candidate manufacturing or formulation may result in additional costs or delay.</w:t>
      </w:r>
    </w:p>
    <w:p>
      <w:pPr>
        <w:spacing w:after="0" w:line="108" w:lineRule="exact"/>
        <w:rPr>
          <w:sz w:val="20"/>
          <w:szCs w:val="20"/>
          <w:color w:val="auto"/>
        </w:rPr>
      </w:pPr>
    </w:p>
    <w:p>
      <w:pPr>
        <w:ind w:right="180" w:firstLine="509"/>
        <w:spacing w:after="0" w:line="245" w:lineRule="auto"/>
        <w:rPr>
          <w:sz w:val="20"/>
          <w:szCs w:val="20"/>
          <w:color w:val="auto"/>
        </w:rPr>
      </w:pPr>
      <w:r>
        <w:rPr>
          <w:rFonts w:ascii="Times New Roman" w:cs="Times New Roman" w:eastAsia="Times New Roman" w:hAnsi="Times New Roman"/>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Even if approved, we may not successfully commercialize our product candidates.</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96" w:lineRule="exact"/>
        <w:rPr>
          <w:sz w:val="20"/>
          <w:szCs w:val="20"/>
          <w:color w:val="auto"/>
        </w:rPr>
      </w:pPr>
    </w:p>
    <w:p>
      <w:pPr>
        <w:ind w:left="900" w:right="420" w:hanging="383"/>
        <w:spacing w:after="0" w:line="250" w:lineRule="auto"/>
        <w:tabs>
          <w:tab w:leader="none" w:pos="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82"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it may be difficult to manufacture or market our product candidates on a scale that is necessary to ultimately deliver our products to end-users;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intellectual property and proprietary rights of third parties may preclude us from marketing our product candidates;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1" w:name="page42"/>
    <w:bookmarkEnd w:id="41"/>
    <w:p>
      <w:pPr>
        <w:ind w:left="900" w:hanging="383"/>
        <w:spacing w:after="0"/>
        <w:tabs>
          <w:tab w:leader="none" w:pos="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nature of our indications as rare diseases means that the potential market size may be limited; and</w:t>
      </w:r>
    </w:p>
    <w:p>
      <w:pPr>
        <w:spacing w:after="0" w:line="117" w:lineRule="exact"/>
        <w:rPr>
          <w:rFonts w:ascii="Times New Roman" w:cs="Times New Roman" w:eastAsia="Times New Roman" w:hAnsi="Times New Roman"/>
          <w:sz w:val="13"/>
          <w:szCs w:val="13"/>
          <w:color w:val="auto"/>
        </w:rPr>
      </w:pPr>
    </w:p>
    <w:p>
      <w:pPr>
        <w:ind w:left="900" w:right="600" w:hanging="383"/>
        <w:spacing w:after="0" w:line="266" w:lineRule="auto"/>
        <w:tabs>
          <w:tab w:leader="none" w:pos="9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third parties may market superior or equivalent drugs which could adversely affect the commercial viability and success of our product candidates.</w:t>
      </w:r>
    </w:p>
    <w:p>
      <w:pPr>
        <w:spacing w:after="0" w:line="15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37"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69"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efficacy and safety profile as demonstrated in clinical trials compared to alternative treatments;</w:t>
      </w:r>
    </w:p>
    <w:p>
      <w:pPr>
        <w:spacing w:after="0" w:line="103" w:lineRule="exact"/>
        <w:rPr>
          <w:rFonts w:ascii="Times New Roman" w:cs="Times New Roman" w:eastAsia="Times New Roman" w:hAnsi="Times New Roman"/>
          <w:sz w:val="13"/>
          <w:szCs w:val="13"/>
          <w:color w:val="auto"/>
        </w:rPr>
      </w:pPr>
    </w:p>
    <w:p>
      <w:pPr>
        <w:ind w:left="900" w:right="220" w:hanging="383"/>
        <w:spacing w:after="0" w:line="282" w:lineRule="auto"/>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perceive safety and efficacy profile and ease of use for pediatric patient population if approved for a pediatric indication;</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timing of market introduction of the product candidate as well as competitive products;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clinical indications for which a product candidate is approved;</w:t>
      </w:r>
    </w:p>
    <w:p>
      <w:pPr>
        <w:spacing w:after="0" w:line="103" w:lineRule="exact"/>
        <w:rPr>
          <w:rFonts w:ascii="Times New Roman" w:cs="Times New Roman" w:eastAsia="Times New Roman" w:hAnsi="Times New Roman"/>
          <w:sz w:val="13"/>
          <w:szCs w:val="13"/>
          <w:color w:val="auto"/>
        </w:rPr>
      </w:pPr>
    </w:p>
    <w:p>
      <w:pPr>
        <w:ind w:left="900" w:right="80" w:hanging="383"/>
        <w:spacing w:after="0" w:line="266" w:lineRule="auto"/>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6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physicians, hospitals, treatment centers and patients considering our product candidates as a safe, pure and effective treatment;</w:t>
      </w:r>
    </w:p>
    <w:p>
      <w:pPr>
        <w:spacing w:after="0" w:line="103" w:lineRule="exact"/>
        <w:rPr>
          <w:rFonts w:ascii="Times New Roman" w:cs="Times New Roman" w:eastAsia="Times New Roman" w:hAnsi="Times New Roman"/>
          <w:sz w:val="13"/>
          <w:szCs w:val="13"/>
          <w:color w:val="auto"/>
        </w:rPr>
      </w:pPr>
    </w:p>
    <w:p>
      <w:pPr>
        <w:ind w:left="900" w:hanging="383"/>
        <w:spacing w:after="0" w:line="266" w:lineRule="auto"/>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6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potential and perceived advantages of our product candidates over alternative treatments;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 of treatment in relation to alternative treatments;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relative convenience and ease of administration;</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willingness of the target patient population or their caregivers to try new therapies and of physicians to prescribe these therapies;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availability of coverage and adequate reimbursement by third-party payors, including government authorities;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patients’ willingness to pay for these therapies in the absence of such coverage and adequate reimbursement;</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effectiveness of sales and marketing efforts;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support from KOLs and patient advocacy groups;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unfavorable publicity relating to our product candidates; and</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approval of other new therapies for the same indications.</w:t>
      </w:r>
    </w:p>
    <w:p>
      <w:pPr>
        <w:spacing w:after="0" w:line="117"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37"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231F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6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42" w:name="page43"/>
    <w:bookmarkEnd w:id="42"/>
    <w:p>
      <w:pPr>
        <w:ind w:right="120"/>
        <w:spacing w:after="0" w:line="250" w:lineRule="auto"/>
        <w:rPr>
          <w:sz w:val="20"/>
          <w:szCs w:val="20"/>
          <w:color w:val="auto"/>
        </w:rPr>
      </w:pPr>
      <w:r>
        <w:rPr>
          <w:rFonts w:ascii="Times New Roman" w:cs="Times New Roman" w:eastAsia="Times New Roman" w:hAnsi="Times New Roman"/>
          <w:sz w:val="18"/>
          <w:szCs w:val="18"/>
          <w:color w:val="231F20"/>
        </w:rPr>
        <w:t>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83"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231F20"/>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17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69"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98"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73"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Any product candidates we develop may become subject to unfavorable third-party coverage and reimbursement practices, as well as pricing regulations.</w:t>
      </w:r>
    </w:p>
    <w:p>
      <w:pPr>
        <w:spacing w:after="0" w:line="63"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8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92"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231F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3" w:name="page44"/>
    <w:bookmarkEnd w:id="43"/>
    <w:p>
      <w:pPr>
        <w:ind w:right="220"/>
        <w:spacing w:after="0" w:line="250" w:lineRule="auto"/>
        <w:rPr>
          <w:sz w:val="20"/>
          <w:szCs w:val="20"/>
          <w:color w:val="auto"/>
        </w:rPr>
      </w:pPr>
      <w:r>
        <w:rPr>
          <w:rFonts w:ascii="Times New Roman" w:cs="Times New Roman" w:eastAsia="Times New Roman" w:hAnsi="Times New Roman"/>
          <w:sz w:val="18"/>
          <w:szCs w:val="18"/>
          <w:color w:val="231F20"/>
        </w:rPr>
        <w:t>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83"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231F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7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8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78"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231F20"/>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Regardless of the merits or eventual outcome, liability claims may result in:</w:t>
      </w:r>
    </w:p>
    <w:p>
      <w:pPr>
        <w:spacing w:after="0" w:line="104"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delays in the development of our product candidates;</w:t>
      </w:r>
    </w:p>
    <w:p>
      <w:pPr>
        <w:spacing w:after="0" w:line="103" w:lineRule="exact"/>
        <w:rPr>
          <w:rFonts w:ascii="Times New Roman" w:cs="Times New Roman" w:eastAsia="Times New Roman" w:hAnsi="Times New Roman"/>
          <w:sz w:val="13"/>
          <w:szCs w:val="13"/>
          <w:color w:val="auto"/>
        </w:rPr>
      </w:pPr>
    </w:p>
    <w:p>
      <w:pPr>
        <w:ind w:left="900" w:right="580" w:hanging="383"/>
        <w:spacing w:after="0" w:line="282" w:lineRule="auto"/>
        <w:tabs>
          <w:tab w:leader="none" w:pos="9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FDA, EMA or other regulatory authority investigation of the safety and effectiveness of our products, our manufacturing processes and facilities or our marketing programs;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4" w:name="page45"/>
    <w:bookmarkEnd w:id="44"/>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decreased or interrupted demand for our products;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injury to our reputation;</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withdrawal of clinical trial participants and inability to continue clinical trials;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initiation of investigations by regulators;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costs to defend the related litigation;</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 diversion of management’s time and our resources;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substantial monetary awards to trial participants or patients;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product recalls, withdrawals or labeling, marketing, or promotional restrictions;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loss of revenue;</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exhaustion of any available insurance and our capital resources; and</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inability to commercialize any products.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Regulatory Approval and Other Legal Compliance Matters</w:t>
      </w:r>
    </w:p>
    <w:p>
      <w:pPr>
        <w:spacing w:after="0" w:line="212"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47" w:lineRule="exact"/>
        <w:rPr>
          <w:sz w:val="20"/>
          <w:szCs w:val="20"/>
          <w:color w:val="auto"/>
        </w:rPr>
      </w:pPr>
    </w:p>
    <w:p>
      <w:pPr>
        <w:ind w:right="20" w:firstLine="509"/>
        <w:spacing w:after="0" w:line="232" w:lineRule="auto"/>
        <w:rPr>
          <w:sz w:val="20"/>
          <w:szCs w:val="20"/>
          <w:color w:val="auto"/>
        </w:rPr>
      </w:pPr>
      <w:r>
        <w:rPr>
          <w:rFonts w:ascii="Times New Roman" w:cs="Times New Roman" w:eastAsia="Times New Roman" w:hAnsi="Times New Roman"/>
          <w:sz w:val="18"/>
          <w:szCs w:val="18"/>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9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81"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7"/>
          <w:szCs w:val="17"/>
          <w:color w:val="231F20"/>
        </w:rPr>
        <w:t>the FDA, EMA or other comparable foreign regulatory authorities may disagree with the design, implementation or results of our clinical trials;</w:t>
      </w:r>
    </w:p>
    <w:p>
      <w:pPr>
        <w:spacing w:after="0" w:line="115" w:lineRule="exact"/>
        <w:rPr>
          <w:rFonts w:ascii="Times New Roman" w:cs="Times New Roman" w:eastAsia="Times New Roman" w:hAnsi="Times New Roman"/>
          <w:sz w:val="12"/>
          <w:szCs w:val="12"/>
          <w:color w:val="auto"/>
        </w:rPr>
      </w:pPr>
    </w:p>
    <w:p>
      <w:pPr>
        <w:ind w:left="900" w:right="300" w:hanging="383"/>
        <w:spacing w:after="0" w:line="258" w:lineRule="auto"/>
        <w:tabs>
          <w:tab w:leader="none" w:pos="9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1" w:lineRule="exact"/>
        <w:rPr>
          <w:rFonts w:ascii="Times New Roman" w:cs="Times New Roman" w:eastAsia="Times New Roman" w:hAnsi="Times New Roman"/>
          <w:sz w:val="13"/>
          <w:szCs w:val="13"/>
          <w:color w:val="auto"/>
        </w:rPr>
      </w:pPr>
    </w:p>
    <w:p>
      <w:pPr>
        <w:ind w:left="900" w:right="80" w:hanging="383"/>
        <w:spacing w:after="0" w:line="266" w:lineRule="auto"/>
        <w:tabs>
          <w:tab w:leader="none" w:pos="9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population studied in the clinical trial may not be sufficiently broad or representative to assure efficacy and safety in the full population for which we seek approval;</w:t>
      </w:r>
    </w:p>
    <w:p>
      <w:pPr>
        <w:spacing w:after="0" w:line="67" w:lineRule="exact"/>
        <w:rPr>
          <w:rFonts w:ascii="Times New Roman" w:cs="Times New Roman" w:eastAsia="Times New Roman" w:hAnsi="Times New Roman"/>
          <w:sz w:val="13"/>
          <w:szCs w:val="13"/>
          <w:color w:val="auto"/>
        </w:rPr>
      </w:pPr>
    </w:p>
    <w:p>
      <w:pPr>
        <w:ind w:left="900" w:right="440" w:hanging="383"/>
        <w:spacing w:after="0" w:line="266" w:lineRule="auto"/>
        <w:tabs>
          <w:tab w:leader="none" w:pos="9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FDA, EMA or other comparable foreign regulatory authorities may disagree with our interpretation of data from preclinical studies or clinical trials;</w:t>
      </w:r>
    </w:p>
    <w:p>
      <w:pPr>
        <w:spacing w:after="0" w:line="54" w:lineRule="exact"/>
        <w:rPr>
          <w:rFonts w:ascii="Times New Roman" w:cs="Times New Roman" w:eastAsia="Times New Roman" w:hAnsi="Times New Roman"/>
          <w:sz w:val="13"/>
          <w:szCs w:val="13"/>
          <w:color w:val="auto"/>
        </w:rPr>
      </w:pPr>
    </w:p>
    <w:p>
      <w:pPr>
        <w:ind w:left="900" w:right="20" w:hanging="383"/>
        <w:spacing w:after="0" w:line="282" w:lineRule="auto"/>
        <w:tabs>
          <w:tab w:leader="none" w:pos="9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we may be unable to demonstrate to the FDA, EMA or other comparable foreign regulatory authorities that our product candidate’s risk-benefit ratio for its proposed indication is acceptable;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ind w:left="900" w:right="560" w:hanging="383"/>
        <w:spacing w:after="0" w:line="282" w:lineRule="auto"/>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40" w:lineRule="exact"/>
        <w:rPr>
          <w:rFonts w:ascii="Times New Roman" w:cs="Times New Roman" w:eastAsia="Times New Roman" w:hAnsi="Times New Roman"/>
          <w:sz w:val="13"/>
          <w:szCs w:val="13"/>
          <w:color w:val="auto"/>
        </w:rPr>
      </w:pPr>
    </w:p>
    <w:p>
      <w:pPr>
        <w:ind w:left="900" w:right="60" w:hanging="383"/>
        <w:spacing w:after="0" w:line="266" w:lineRule="auto"/>
        <w:tabs>
          <w:tab w:leader="none" w:pos="9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68"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95"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173"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The FDA, EMA and other comparable foreign regulatory authorities may not accept data from trials conducted in locations outside of their jurisdiction.</w:t>
      </w:r>
    </w:p>
    <w:p>
      <w:pPr>
        <w:spacing w:after="0" w:line="6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96"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5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231F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7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6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231F20"/>
        </w:rPr>
        <w:t>We cannot commercialize a product candidate until the appropriate regulatory authorities have reviewed and approved the product candidate. We have not received approval from regulatory authorities in any jurisdiction to market any of our product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6" w:name="page47"/>
    <w:bookmarkEnd w:id="46"/>
    <w:p>
      <w:pPr>
        <w:ind w:right="80"/>
        <w:spacing w:after="0" w:line="258" w:lineRule="auto"/>
        <w:rPr>
          <w:sz w:val="20"/>
          <w:szCs w:val="20"/>
          <w:color w:val="auto"/>
        </w:rPr>
      </w:pPr>
      <w:r>
        <w:rPr>
          <w:rFonts w:ascii="Times New Roman" w:cs="Times New Roman" w:eastAsia="Times New Roman" w:hAnsi="Times New Roman"/>
          <w:sz w:val="18"/>
          <w:szCs w:val="18"/>
          <w:color w:val="231F20"/>
        </w:rPr>
        <w:t>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w:t>
      </w:r>
    </w:p>
    <w:p>
      <w:pPr>
        <w:spacing w:after="0" w:line="61"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231F20"/>
        </w:rPr>
        <w:t>We may also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69"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231F20"/>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Even if our product candidates receive regulatory approval, they will be subject to significant post- marketing regulatory requirements and oversight.</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 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96"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delays in or the rejection of product approvals;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restrictions on our ability to conduct clinical trials, including full or partial clinical holds on ongoing or planned trials;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restrictions on the products, manufacturers or manufacturing process;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warning or untitled letters;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civil and criminal penalties;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injunctions;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suspension or withdrawal of regulatory approvals;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product seizures, detentions or import bans;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voluntary or mandatory product recalls and publicity requirements;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total or partial suspension of production; and</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imposition of restrictions on operations, including costly new manufacturing requirements.</w:t>
      </w:r>
    </w:p>
    <w:p>
      <w:pPr>
        <w:spacing w:after="0" w:line="11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The occurrence of any event or penalty described above may inhibit our ability to commercialize our product candidates, if approved, and generate revenue. Furthermore, non-compliance by us or any future collaborator with regulatory requirements,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7" w:name="page48"/>
    <w:bookmarkEnd w:id="47"/>
    <w:p>
      <w:pPr>
        <w:spacing w:after="0" w:line="282" w:lineRule="auto"/>
        <w:rPr>
          <w:sz w:val="20"/>
          <w:szCs w:val="20"/>
          <w:color w:val="auto"/>
        </w:rPr>
      </w:pPr>
      <w:r>
        <w:rPr>
          <w:rFonts w:ascii="Times New Roman" w:cs="Times New Roman" w:eastAsia="Times New Roman" w:hAnsi="Times New Roman"/>
          <w:sz w:val="18"/>
          <w:szCs w:val="18"/>
          <w:color w:val="231F20"/>
        </w:rPr>
        <w:t>including safety monitoring and with requirements related to the development of products for the pediatric population can also result in significant financial penalties.</w:t>
      </w:r>
    </w:p>
    <w:p>
      <w:pPr>
        <w:spacing w:after="0" w:line="144"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6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231F20"/>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84"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7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231F20"/>
        </w:rPr>
        <w:t>The FDA has granted orphan drug designation for TN-201, the most advanced product candidate from our MYBPC3 program, and we may seek orphan drug designation for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face difficulties from changes to current FDA and healthcare regulations and future legislation.</w:t>
      </w:r>
    </w:p>
    <w:p>
      <w:pPr>
        <w:spacing w:after="0" w:line="12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3"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7"/>
          <w:szCs w:val="17"/>
          <w:color w:val="231F20"/>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8" w:name="page49"/>
    <w:bookmarkEnd w:id="48"/>
    <w:p>
      <w:pPr>
        <w:ind w:right="140"/>
        <w:spacing w:after="0" w:line="258" w:lineRule="auto"/>
        <w:rPr>
          <w:sz w:val="20"/>
          <w:szCs w:val="20"/>
          <w:color w:val="auto"/>
        </w:rPr>
      </w:pPr>
      <w:r>
        <w:rPr>
          <w:rFonts w:ascii="Times New Roman" w:cs="Times New Roman" w:eastAsia="Times New Roman" w:hAnsi="Times New Roman"/>
          <w:sz w:val="18"/>
          <w:szCs w:val="18"/>
          <w:color w:val="231F20"/>
        </w:rPr>
        <w:t>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6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For example, various portions of the ACA have been the subject of legal and constitutional challenges in the U.S. Supreme Court. In June 2021, the U.S. Supreme Court held that Texas and other challengers had no legal standing to challenge the ACA, dismissing the case without specifically ruling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7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231F20"/>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3% in the final fiscal year of this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9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As a result, the Biden administration and HHS have delayed the implementation or published rules rescinding some of these policies of the prior administration.</w:t>
      </w:r>
    </w:p>
    <w:p>
      <w:pPr>
        <w:spacing w:after="0" w:line="8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7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9" w:name="page50"/>
    <w:bookmarkEnd w:id="49"/>
    <w:p>
      <w:pPr>
        <w:ind w:right="20"/>
        <w:spacing w:after="0" w:line="258" w:lineRule="auto"/>
        <w:rPr>
          <w:sz w:val="20"/>
          <w:szCs w:val="20"/>
          <w:color w:val="auto"/>
        </w:rPr>
      </w:pPr>
      <w:r>
        <w:rPr>
          <w:rFonts w:ascii="Times New Roman" w:cs="Times New Roman" w:eastAsia="Times New Roman" w:hAnsi="Times New Roman"/>
          <w:sz w:val="18"/>
          <w:szCs w:val="18"/>
          <w:color w:val="231F20"/>
        </w:rPr>
        <w:t>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61"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6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7"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8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69"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8"/>
          <w:szCs w:val="18"/>
          <w:color w:val="231F20"/>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Court of Justice of the European Union (CJEU) invalidated the EU-U.S. Privacy Shield, which had enabled the transfer of personal data from the European Union to the United States for companies that had self-certified to the Privacy Shield. The CJEU decision also raised questions about the continued validity of one of the primary alternatives to the EU-U.S. Privacy Shield, namely the European Commission’s Standard Contractual Clauses (SCCs), and EU regulators have issued additional guidance regarding considerations and requirements that we and other companies must consider and undertake when using the SCCs. Although the European Commission has presented a new set of SCCs in June 2021, which are required to be implemented, there are few, if any, viable alternatives to the EU-U.S. Privacy Shield and the SCCs and it remains to be seen whether additional means for lawful data transfers will become available. On September 8, 2020, the Swiss Federal Data Protection and Information Commissioner invalidated the Swiss-U.S. Privacy Shield in light of the CJEU’s decision. To the extent that we were to rely on the EU-U.S. or Swiss-U.S. Privacy Shield programs, we will not be able to do so in the future, and the CJEU’s decision and other regulatory guidance or developments may impose additional obligations with respect to the transfer of personal data from the European Economic Area and Switzerland to the United States,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European Economic Area and Switzerland to the United States.</w:t>
      </w:r>
    </w:p>
    <w:p>
      <w:pPr>
        <w:spacing w:after="0" w:line="10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231F20"/>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0" w:name="page51"/>
    <w:bookmarkEnd w:id="50"/>
    <w:p>
      <w:pPr>
        <w:ind w:right="140"/>
        <w:spacing w:after="0" w:line="243" w:lineRule="auto"/>
        <w:rPr>
          <w:sz w:val="20"/>
          <w:szCs w:val="20"/>
          <w:color w:val="auto"/>
        </w:rPr>
      </w:pPr>
      <w:r>
        <w:rPr>
          <w:rFonts w:ascii="Times New Roman" w:cs="Times New Roman" w:eastAsia="Times New Roman" w:hAnsi="Times New Roman"/>
          <w:sz w:val="18"/>
          <w:szCs w:val="18"/>
          <w:color w:val="231F20"/>
        </w:rPr>
        <w:t>and exposes us to two parallel regimes with potentially divergent enforcement actions for certain violations. With respect to transfers of personal data,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7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231F20"/>
        </w:rPr>
        <w:t xml:space="preserve">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t>
      </w:r>
      <w:r>
        <w:rPr>
          <w:rFonts w:ascii="Times New Roman" w:cs="Times New Roman" w:eastAsia="Times New Roman" w:hAnsi="Times New Roman"/>
          <w:sz w:val="18"/>
          <w:szCs w:val="18"/>
          <w:color w:val="000000"/>
        </w:rPr>
        <w:t>Additionally, other state legislatures have enacted or are currently contemplating, and may pass, their own comprehensive data privacy and security laws, with potentially greater penalties and more rigorous compliance requirements relevant to our business. For example, in March 2021, Virginia enacted the Virginia Consumer Data Protection Act, or CDPA, which becomes effective on January 1, 2023, and in June 2021, Colorado enacted the Colorado Privacy Act, or CPA, which takes effect on July 1, 2023. The CPA and CDPA share similarities with the CCPA, the CPRA, and legislation proposed in other states.</w:t>
      </w:r>
    </w:p>
    <w:p>
      <w:pPr>
        <w:spacing w:after="0" w:line="85"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231F20"/>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 violations may also put our or our customers’ data, including personal data, at risk, which could in turn have an adverse effect on our business.</w:t>
      </w:r>
    </w:p>
    <w:p>
      <w:pPr>
        <w:spacing w:after="0" w:line="71"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1" w:name="page52"/>
    <w:bookmarkEnd w:id="51"/>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6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231F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In 2020 and 2021, a number of companies announced receipt of complete response letters due to the FDA’s inability to complete required inspections for their applications. As of May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Good Manufacturing Practices.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provide feedback on our clinical trial plans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6" w:lineRule="exact"/>
        <w:rPr>
          <w:sz w:val="20"/>
          <w:szCs w:val="20"/>
          <w:color w:val="auto"/>
        </w:rPr>
      </w:pPr>
    </w:p>
    <w:p>
      <w:pPr>
        <w:ind w:right="340" w:firstLine="509"/>
        <w:spacing w:after="0" w:line="246" w:lineRule="auto"/>
        <w:rPr>
          <w:sz w:val="20"/>
          <w:szCs w:val="20"/>
          <w:color w:val="auto"/>
        </w:rPr>
      </w:pPr>
      <w:r>
        <w:rPr>
          <w:rFonts w:ascii="Times New Roman" w:cs="Times New Roman" w:eastAsia="Times New Roman" w:hAnsi="Times New Roman"/>
          <w:sz w:val="18"/>
          <w:szCs w:val="18"/>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73" w:lineRule="exact"/>
        <w:rPr>
          <w:sz w:val="20"/>
          <w:szCs w:val="20"/>
          <w:color w:val="auto"/>
        </w:rPr>
      </w:pPr>
    </w:p>
    <w:p>
      <w:pPr>
        <w:ind w:left="900" w:right="180" w:hanging="383"/>
        <w:spacing w:after="0" w:line="250" w:lineRule="auto"/>
        <w:tabs>
          <w:tab w:leader="none" w:pos="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2" w:lineRule="exact"/>
        <w:rPr>
          <w:rFonts w:ascii="Times New Roman" w:cs="Times New Roman" w:eastAsia="Times New Roman" w:hAnsi="Times New Roman"/>
          <w:sz w:val="13"/>
          <w:szCs w:val="13"/>
          <w:color w:val="auto"/>
        </w:rPr>
      </w:pPr>
    </w:p>
    <w:p>
      <w:pPr>
        <w:ind w:left="900" w:right="20" w:hanging="383"/>
        <w:spacing w:after="0" w:line="250" w:lineRule="auto"/>
        <w:tabs>
          <w:tab w:leader="none" w:pos="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69" w:lineRule="exact"/>
        <w:rPr>
          <w:rFonts w:ascii="Times New Roman" w:cs="Times New Roman" w:eastAsia="Times New Roman" w:hAnsi="Times New Roman"/>
          <w:sz w:val="13"/>
          <w:szCs w:val="13"/>
          <w:color w:val="auto"/>
        </w:rPr>
      </w:pPr>
    </w:p>
    <w:p>
      <w:pPr>
        <w:ind w:left="900" w:right="280" w:hanging="383"/>
        <w:spacing w:after="0" w:line="266" w:lineRule="auto"/>
        <w:tabs>
          <w:tab w:leader="none" w:pos="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54" w:lineRule="exact"/>
        <w:rPr>
          <w:rFonts w:ascii="Times New Roman" w:cs="Times New Roman" w:eastAsia="Times New Roman" w:hAnsi="Times New Roman"/>
          <w:sz w:val="13"/>
          <w:szCs w:val="13"/>
          <w:color w:val="auto"/>
        </w:rPr>
      </w:pPr>
    </w:p>
    <w:p>
      <w:pPr>
        <w:ind w:left="900" w:right="20" w:hanging="383"/>
        <w:spacing w:after="0" w:line="250" w:lineRule="auto"/>
        <w:tabs>
          <w:tab w:leader="none" w:pos="9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52" w:name="page53"/>
    <w:bookmarkEnd w:id="52"/>
    <w:p>
      <w:pPr>
        <w:ind w:left="900" w:right="480" w:hanging="383"/>
        <w:spacing w:after="0" w:line="250" w:lineRule="auto"/>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82" w:lineRule="exact"/>
        <w:rPr>
          <w:rFonts w:ascii="Times New Roman" w:cs="Times New Roman" w:eastAsia="Times New Roman" w:hAnsi="Times New Roman"/>
          <w:sz w:val="13"/>
          <w:szCs w:val="13"/>
          <w:color w:val="auto"/>
        </w:rPr>
      </w:pPr>
    </w:p>
    <w:p>
      <w:pPr>
        <w:ind w:left="900" w:right="360" w:hanging="383"/>
        <w:spacing w:after="0" w:line="266" w:lineRule="auto"/>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federal consumer protection and unfair competition laws, which broadly regulate marketplace activities and activities that potentially harm consumers;</w:t>
      </w:r>
    </w:p>
    <w:p>
      <w:pPr>
        <w:spacing w:after="0" w:line="54" w:lineRule="exact"/>
        <w:rPr>
          <w:rFonts w:ascii="Times New Roman" w:cs="Times New Roman" w:eastAsia="Times New Roman" w:hAnsi="Times New Roman"/>
          <w:sz w:val="13"/>
          <w:szCs w:val="13"/>
          <w:color w:val="auto"/>
        </w:rPr>
      </w:pPr>
    </w:p>
    <w:p>
      <w:pPr>
        <w:ind w:left="900" w:right="60" w:hanging="383"/>
        <w:spacing w:after="0" w:line="247" w:lineRule="auto"/>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1" w:lineRule="exact"/>
        <w:rPr>
          <w:rFonts w:ascii="Times New Roman" w:cs="Times New Roman" w:eastAsia="Times New Roman" w:hAnsi="Times New Roman"/>
          <w:sz w:val="13"/>
          <w:szCs w:val="13"/>
          <w:color w:val="auto"/>
        </w:rPr>
      </w:pPr>
    </w:p>
    <w:p>
      <w:pPr>
        <w:ind w:left="900" w:right="20" w:hanging="383"/>
        <w:spacing w:after="0" w:line="243" w:lineRule="auto"/>
        <w:tabs>
          <w:tab w:leader="none" w:pos="9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9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9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5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3" w:name="page54"/>
    <w:bookmarkEnd w:id="53"/>
    <w:p>
      <w:pPr>
        <w:ind w:right="300"/>
        <w:spacing w:after="0" w:line="282" w:lineRule="auto"/>
        <w:rPr>
          <w:sz w:val="20"/>
          <w:szCs w:val="20"/>
          <w:color w:val="auto"/>
        </w:rPr>
      </w:pPr>
      <w:r>
        <w:rPr>
          <w:rFonts w:ascii="Times New Roman" w:cs="Times New Roman" w:eastAsia="Times New Roman" w:hAnsi="Times New Roman"/>
          <w:sz w:val="18"/>
          <w:szCs w:val="18"/>
          <w:color w:val="231F20"/>
        </w:rPr>
        <w:t>as Medicare and Medicaid, integrity oversight and reporting obligations, contractual damages, reputational harm, diminished profits and future earnings and the curtailment or restructuring of our operations.</w:t>
      </w:r>
    </w:p>
    <w:p>
      <w:pPr>
        <w:spacing w:after="0" w:line="14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63"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83"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8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7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231F20"/>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72"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there is no certainty that all of our employees, agents, representatives, business partners and third-party intermediaries, or those of our affiliates, will comply with our policies or applicable laws and regulations, for which we may be ultimately held responsible.</w:t>
      </w:r>
    </w:p>
    <w:p>
      <w:pPr>
        <w:spacing w:after="0" w:line="8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right="60" w:firstLine="509"/>
        <w:spacing w:after="0" w:line="243"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tax law could increase the tax burden on our orphan drug programs and adversely affect our business and financial condition.</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231F20"/>
        </w:rPr>
        <w:t>In 2017, the U.S. government enacted the Tax Act, which as modified by the CARES Act, includes significant changes to the taxation of business entities. These changes include, among others, a reduction in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may increase our total federal tax liability attributable to such programs. Additionally, the current administration has proposed an increase of the corporate tax rate and other changes, including a global minimum tax, which, if enacted would further increase our total federal tax liability when and if we become profitable.</w:t>
      </w:r>
    </w:p>
    <w:p>
      <w:pPr>
        <w:spacing w:after="0" w:line="11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231F20"/>
        </w:rPr>
        <w:t>In addition, it is uncertain if and to what extent various states will conform to the Tax Act and proposed tax legislation, and states may enact suspensions or limitations on the use of NOLs and tax credits (including, without limitation, California legislation enacted in 2020 that suspends the use of California NOLs and limits the use of certain California tax credits for certain periods). The impact of the Tax Act and any proposed tax legislation on holders of our common stock is also uncertain and could be adverse. Investors should consult with their legal and tax advisors with respect to the Tax Act and any proposed tax legislation and the potential tax consequences of investing in or holding our common stock.</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Employee Matters, Managing Our Growth and Other 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is highly dependent on our ability to attract and retain highly skilled executive officers and employees.</w:t>
      </w:r>
    </w:p>
    <w:p>
      <w:pPr>
        <w:spacing w:after="0" w:line="108"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M.B.A., our Chief Executive Officer. Additionally, the effects of the COVID-19 pandemic may interfere with our ability to hire or retain qualified and key personnel.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9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73"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3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As of March 31, 2022, we had more than 125 full-time employees. In order to successfully implement our development and commercialization plans and strategies, and as we continue to operate as a public company, we expect to need additional managerial, operational, sales, marketing, financial and other personnel. Future growth would impose significant added responsibilities on members of management, including:</w:t>
      </w:r>
    </w:p>
    <w:p>
      <w:pPr>
        <w:spacing w:after="0" w:line="61"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identifying, recruiting, integrating, maintaining and motivating additional employees;</w:t>
      </w:r>
    </w:p>
    <w:p>
      <w:pPr>
        <w:spacing w:after="0" w:line="103" w:lineRule="exact"/>
        <w:rPr>
          <w:rFonts w:ascii="Times New Roman" w:cs="Times New Roman" w:eastAsia="Times New Roman" w:hAnsi="Times New Roman"/>
          <w:sz w:val="13"/>
          <w:szCs w:val="13"/>
          <w:color w:val="auto"/>
        </w:rPr>
      </w:pPr>
    </w:p>
    <w:p>
      <w:pPr>
        <w:ind w:left="900" w:right="240" w:hanging="383"/>
        <w:spacing w:after="0" w:line="258" w:lineRule="auto"/>
        <w:tabs>
          <w:tab w:leader="none" w:pos="9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61"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improving our operational, financial and management controls, reporting systems and procedures.</w:t>
      </w:r>
    </w:p>
    <w:p>
      <w:pPr>
        <w:spacing w:after="0" w:line="10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1"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7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6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50"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231F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8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231F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6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6" w:name="page57"/>
    <w:bookmarkEnd w:id="56"/>
    <w:p>
      <w:pPr>
        <w:ind w:right="80"/>
        <w:spacing w:after="0" w:line="243" w:lineRule="auto"/>
        <w:rPr>
          <w:sz w:val="20"/>
          <w:szCs w:val="20"/>
          <w:color w:val="auto"/>
        </w:rPr>
      </w:pPr>
      <w:r>
        <w:rPr>
          <w:rFonts w:ascii="Times New Roman" w:cs="Times New Roman" w:eastAsia="Times New Roman" w:hAnsi="Times New Roman"/>
          <w:sz w:val="18"/>
          <w:szCs w:val="18"/>
          <w:color w:val="231F20"/>
        </w:rPr>
        <w:t>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and incidents from inadvertent or intentional actions by our employees, contractors, consultants, business partners, and other third parties, cyber-attacks and other hacking attempts by malicious third parties (including supply chain cyber-attacks or attacks by nation-state or nation-state supported actors, or the deployment of harmful malware, ransomware, distributed denial-of-service (DDoS)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other data that we process or maintain or that is processed or maintained on our behalf, or other assets, which could result in financial, legal, business and reputational harm to us.</w:t>
      </w:r>
    </w:p>
    <w:p>
      <w:pPr>
        <w:spacing w:after="0" w:line="7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including consequential damages,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7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231F20"/>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7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231F20"/>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1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3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Our facilities are located in the San Francisco Bay Area. We have not undertaken a systematic analysis of the potential consequences to our business and financial results from a major flood, blizzard, wildfire, earthquake, power loss, terrorist activity,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7" w:name="page58"/>
    <w:bookmarkEnd w:id="57"/>
    <w:p>
      <w:pPr>
        <w:ind w:right="180"/>
        <w:spacing w:after="0" w:line="250" w:lineRule="auto"/>
        <w:rPr>
          <w:sz w:val="20"/>
          <w:szCs w:val="20"/>
          <w:color w:val="auto"/>
        </w:rPr>
      </w:pPr>
      <w:r>
        <w:rPr>
          <w:rFonts w:ascii="Times New Roman" w:cs="Times New Roman" w:eastAsia="Times New Roman" w:hAnsi="Times New Roman"/>
          <w:sz w:val="18"/>
          <w:szCs w:val="18"/>
          <w:color w:val="231F20"/>
        </w:rPr>
        <w:t>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marketing our product candidates internationally could materially adversely affect our business.</w:t>
      </w:r>
    </w:p>
    <w:p>
      <w:pPr>
        <w:spacing w:after="0" w:line="10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231F20"/>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40"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differing regulatory requirements and reimbursement regimes in foreign countries;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unexpected changes in tariffs, trade barriers, price and exchange controls and other regulatory requirements;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compliance with tax, employment, immigration and labor laws for employees living or traveling abroad;</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foreign taxes, including withholding of payroll taxes;</w:t>
      </w:r>
    </w:p>
    <w:p>
      <w:pPr>
        <w:spacing w:after="0" w:line="103" w:lineRule="exact"/>
        <w:rPr>
          <w:rFonts w:ascii="Times New Roman" w:cs="Times New Roman" w:eastAsia="Times New Roman" w:hAnsi="Times New Roman"/>
          <w:sz w:val="13"/>
          <w:szCs w:val="13"/>
          <w:color w:val="231F20"/>
        </w:rPr>
      </w:pPr>
    </w:p>
    <w:p>
      <w:pPr>
        <w:ind w:left="900" w:right="80" w:hanging="383"/>
        <w:spacing w:after="0" w:line="282" w:lineRule="auto"/>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foreign currency fluctuations, which could result in increased operating expenses and reduced revenue, and other obligations incident to doing business in another country;</w:t>
      </w:r>
    </w:p>
    <w:p>
      <w:pPr>
        <w:spacing w:after="0" w:line="40"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difficulties staffing and managing foreign operations;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workforce uncertainty in countries where labor unrest is more common than in the United States;</w:t>
      </w:r>
    </w:p>
    <w:p>
      <w:pPr>
        <w:spacing w:after="0" w:line="117"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potential liability under the FCPA or comparable foreign regulations;</w:t>
      </w:r>
    </w:p>
    <w:p>
      <w:pPr>
        <w:spacing w:after="0" w:line="103" w:lineRule="exact"/>
        <w:rPr>
          <w:rFonts w:ascii="Times New Roman" w:cs="Times New Roman" w:eastAsia="Times New Roman" w:hAnsi="Times New Roman"/>
          <w:sz w:val="13"/>
          <w:szCs w:val="13"/>
          <w:color w:val="231F20"/>
        </w:rPr>
      </w:pPr>
    </w:p>
    <w:p>
      <w:pPr>
        <w:ind w:left="900" w:right="420" w:hanging="383"/>
        <w:spacing w:after="0" w:line="266" w:lineRule="auto"/>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67"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production shortages resulting from any events affecting raw material supply or manufacturing capabilities abroad; and</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business interruptions resulting from geo-political actions, including war and terrorism, including effects of the recent Russia-Ukraine conflict.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and other risks associated with our international operations may materially adversely affect our ability to attain or maintain profitable operations.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212"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231F20"/>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7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8" w:name="page59"/>
    <w:bookmarkEnd w:id="58"/>
    <w:p>
      <w:pPr>
        <w:ind w:right="120"/>
        <w:spacing w:after="0" w:line="282" w:lineRule="auto"/>
        <w:rPr>
          <w:sz w:val="20"/>
          <w:szCs w:val="20"/>
          <w:color w:val="auto"/>
        </w:rPr>
      </w:pPr>
      <w:r>
        <w:rPr>
          <w:rFonts w:ascii="Times New Roman" w:cs="Times New Roman" w:eastAsia="Times New Roman" w:hAnsi="Times New Roman"/>
          <w:sz w:val="18"/>
          <w:szCs w:val="18"/>
          <w:color w:val="231F20"/>
        </w:rPr>
        <w:t>any such issued patents will afford sufficient protection against competitors with similar technology, nor can there be any assurance that the patents issued will not be infringed, designed around, or invalidated by third parties.</w:t>
      </w:r>
    </w:p>
    <w:p>
      <w:pPr>
        <w:spacing w:after="0" w:line="4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231F20"/>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87"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231F20"/>
        </w:rPr>
        <w:t>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85" w:lineRule="exact"/>
        <w:rPr>
          <w:sz w:val="20"/>
          <w:szCs w:val="20"/>
          <w:color w:val="auto"/>
        </w:rPr>
      </w:pPr>
    </w:p>
    <w:p>
      <w:pPr>
        <w:jc w:val="both"/>
        <w:ind w:right="260" w:firstLine="509"/>
        <w:spacing w:after="0" w:line="250" w:lineRule="auto"/>
        <w:rPr>
          <w:sz w:val="20"/>
          <w:szCs w:val="20"/>
          <w:color w:val="auto"/>
        </w:rPr>
      </w:pPr>
      <w:r>
        <w:rPr>
          <w:rFonts w:ascii="Times New Roman" w:cs="Times New Roman" w:eastAsia="Times New Roman" w:hAnsi="Times New Roman"/>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82" w:lineRule="exact"/>
        <w:rPr>
          <w:sz w:val="20"/>
          <w:szCs w:val="20"/>
          <w:color w:val="auto"/>
        </w:rPr>
      </w:pPr>
    </w:p>
    <w:p>
      <w:pPr>
        <w:jc w:val="both"/>
        <w:ind w:left="900" w:right="60" w:hanging="383"/>
        <w:spacing w:after="0" w:line="250" w:lineRule="auto"/>
        <w:tabs>
          <w:tab w:leader="none" w:pos="900"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2"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patent applications may not result in any patents being issued;</w:t>
      </w:r>
    </w:p>
    <w:p>
      <w:pPr>
        <w:spacing w:after="0" w:line="103" w:lineRule="exact"/>
        <w:rPr>
          <w:rFonts w:ascii="Times New Roman" w:cs="Times New Roman" w:eastAsia="Times New Roman" w:hAnsi="Times New Roman"/>
          <w:sz w:val="13"/>
          <w:szCs w:val="13"/>
          <w:color w:val="231F20"/>
        </w:rPr>
      </w:pPr>
    </w:p>
    <w:p>
      <w:pPr>
        <w:ind w:left="900" w:right="100" w:hanging="383"/>
        <w:spacing w:after="0" w:line="266" w:lineRule="auto"/>
        <w:tabs>
          <w:tab w:leader="none" w:pos="900"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patents may be challenged, invalidated, modified, revoked, circumvented, found to be unenforceable, narrowed in scope or otherwise may not provide any competitive advantage;</w:t>
      </w:r>
    </w:p>
    <w:p>
      <w:pPr>
        <w:spacing w:after="0" w:line="67" w:lineRule="exact"/>
        <w:rPr>
          <w:rFonts w:ascii="Times New Roman" w:cs="Times New Roman" w:eastAsia="Times New Roman" w:hAnsi="Times New Roman"/>
          <w:sz w:val="13"/>
          <w:szCs w:val="13"/>
          <w:color w:val="231F20"/>
        </w:rPr>
      </w:pPr>
    </w:p>
    <w:p>
      <w:pPr>
        <w:ind w:left="900" w:right="80" w:hanging="383"/>
        <w:spacing w:after="0" w:line="250" w:lineRule="auto"/>
        <w:tabs>
          <w:tab w:leader="none" w:pos="900"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2" w:lineRule="exact"/>
        <w:rPr>
          <w:rFonts w:ascii="Times New Roman" w:cs="Times New Roman" w:eastAsia="Times New Roman" w:hAnsi="Times New Roman"/>
          <w:sz w:val="13"/>
          <w:szCs w:val="13"/>
          <w:color w:val="231F20"/>
        </w:rPr>
      </w:pPr>
    </w:p>
    <w:p>
      <w:pPr>
        <w:ind w:left="900" w:right="280" w:hanging="383"/>
        <w:spacing w:after="0" w:line="250" w:lineRule="auto"/>
        <w:tabs>
          <w:tab w:leader="none" w:pos="900"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2" w:lineRule="exact"/>
        <w:rPr>
          <w:rFonts w:ascii="Times New Roman" w:cs="Times New Roman" w:eastAsia="Times New Roman" w:hAnsi="Times New Roman"/>
          <w:sz w:val="13"/>
          <w:szCs w:val="13"/>
          <w:color w:val="231F20"/>
        </w:rPr>
      </w:pPr>
    </w:p>
    <w:p>
      <w:pPr>
        <w:ind w:left="900" w:right="420" w:hanging="383"/>
        <w:spacing w:after="0" w:line="250" w:lineRule="auto"/>
        <w:tabs>
          <w:tab w:leader="none" w:pos="900" w:val="left"/>
        </w:tabs>
        <w:numPr>
          <w:ilvl w:val="0"/>
          <w:numId w:val="42"/>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69"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9" w:name="page60"/>
    <w:bookmarkEnd w:id="59"/>
    <w:p>
      <w:pPr>
        <w:ind w:right="80" w:firstLine="509"/>
        <w:spacing w:after="0" w:line="250" w:lineRule="auto"/>
        <w:rPr>
          <w:sz w:val="20"/>
          <w:szCs w:val="20"/>
          <w:color w:val="auto"/>
        </w:rPr>
      </w:pPr>
      <w:r>
        <w:rPr>
          <w:rFonts w:ascii="Times New Roman" w:cs="Times New Roman" w:eastAsia="Times New Roman" w:hAnsi="Times New Roman"/>
          <w:sz w:val="18"/>
          <w:szCs w:val="18"/>
          <w:color w:val="231F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6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5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83" w:lineRule="exact"/>
        <w:rPr>
          <w:sz w:val="20"/>
          <w:szCs w:val="20"/>
          <w:color w:val="auto"/>
        </w:rPr>
      </w:pPr>
    </w:p>
    <w:p>
      <w:pPr>
        <w:ind w:right="120" w:firstLine="509"/>
        <w:spacing w:after="0" w:line="243" w:lineRule="auto"/>
        <w:rPr>
          <w:sz w:val="20"/>
          <w:szCs w:val="20"/>
          <w:color w:val="auto"/>
        </w:rPr>
      </w:pPr>
      <w:r>
        <w:rPr>
          <w:rFonts w:ascii="Times New Roman" w:cs="Times New Roman" w:eastAsia="Times New Roman" w:hAnsi="Times New Roman"/>
          <w:sz w:val="18"/>
          <w:szCs w:val="18"/>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78"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231F20"/>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9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231F20"/>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0" w:name="page61"/>
    <w:bookmarkEnd w:id="60"/>
    <w:p>
      <w:pPr>
        <w:ind w:right="60"/>
        <w:spacing w:after="0" w:line="258" w:lineRule="auto"/>
        <w:rPr>
          <w:sz w:val="20"/>
          <w:szCs w:val="20"/>
          <w:color w:val="auto"/>
        </w:rPr>
      </w:pPr>
      <w:r>
        <w:rPr>
          <w:rFonts w:ascii="Times New Roman" w:cs="Times New Roman" w:eastAsia="Times New Roman" w:hAnsi="Times New Roman"/>
          <w:sz w:val="18"/>
          <w:szCs w:val="18"/>
          <w:color w:val="231F20"/>
        </w:rPr>
        <w:t>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Intellectual property rights do not necessarily address all potential threats to our competitive advantage.</w:t>
      </w:r>
    </w:p>
    <w:p>
      <w:pPr>
        <w:spacing w:after="0" w:line="121"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231F20"/>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right="820" w:hanging="383"/>
        <w:spacing w:after="0" w:line="282" w:lineRule="auto"/>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others may be able to develop products that are similar to our product candidates but that are not covered by the claims of the patent applications that we own or license;</w:t>
      </w:r>
    </w:p>
    <w:p>
      <w:pPr>
        <w:spacing w:after="0" w:line="40" w:lineRule="exact"/>
        <w:rPr>
          <w:rFonts w:ascii="Times New Roman" w:cs="Times New Roman" w:eastAsia="Times New Roman" w:hAnsi="Times New Roman"/>
          <w:sz w:val="13"/>
          <w:szCs w:val="13"/>
          <w:color w:val="231F20"/>
        </w:rPr>
      </w:pPr>
    </w:p>
    <w:p>
      <w:pPr>
        <w:ind w:left="900" w:right="260" w:hanging="383"/>
        <w:spacing w:after="0" w:line="266" w:lineRule="auto"/>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we or our current or future licensors or collaborators might not have been the first to make the inventions covered by the patent applications that we own or license now or may own or license in the future;</w:t>
      </w:r>
    </w:p>
    <w:p>
      <w:pPr>
        <w:spacing w:after="0" w:line="54"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we or our current or future licensors or collaborators might not have been the first to file patent applications covering certain of our inventions;</w:t>
      </w:r>
    </w:p>
    <w:p>
      <w:pPr>
        <w:spacing w:after="0" w:line="117" w:lineRule="exact"/>
        <w:rPr>
          <w:rFonts w:ascii="Times New Roman" w:cs="Times New Roman" w:eastAsia="Times New Roman" w:hAnsi="Times New Roman"/>
          <w:sz w:val="13"/>
          <w:szCs w:val="13"/>
          <w:color w:val="231F20"/>
        </w:rPr>
      </w:pPr>
    </w:p>
    <w:p>
      <w:pPr>
        <w:ind w:left="900" w:right="240" w:hanging="383"/>
        <w:spacing w:after="0" w:line="266" w:lineRule="auto"/>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it is possible that the pending patent applications we own or license will not lead to issued patents;</w:t>
      </w:r>
    </w:p>
    <w:p>
      <w:pPr>
        <w:spacing w:after="0" w:line="117" w:lineRule="exact"/>
        <w:rPr>
          <w:rFonts w:ascii="Times New Roman" w:cs="Times New Roman" w:eastAsia="Times New Roman" w:hAnsi="Times New Roman"/>
          <w:sz w:val="13"/>
          <w:szCs w:val="13"/>
          <w:color w:val="231F20"/>
        </w:rPr>
      </w:pPr>
    </w:p>
    <w:p>
      <w:pPr>
        <w:ind w:left="900" w:right="140" w:hanging="383"/>
        <w:spacing w:after="0" w:line="266" w:lineRule="auto"/>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issued patents that we may hold rights to may be held invalid or unenforceable, including as a result of legal challenges by our competitors or other third parties;</w:t>
      </w:r>
    </w:p>
    <w:p>
      <w:pPr>
        <w:spacing w:after="0" w:line="54"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others may have access to the same intellectual property rights licensed to us in the future on a nonexclusive basis;</w:t>
      </w:r>
    </w:p>
    <w:p>
      <w:pPr>
        <w:spacing w:after="0" w:line="117" w:lineRule="exact"/>
        <w:rPr>
          <w:rFonts w:ascii="Times New Roman" w:cs="Times New Roman" w:eastAsia="Times New Roman" w:hAnsi="Times New Roman"/>
          <w:sz w:val="13"/>
          <w:szCs w:val="13"/>
          <w:color w:val="231F20"/>
        </w:rPr>
      </w:pPr>
    </w:p>
    <w:p>
      <w:pPr>
        <w:ind w:left="900" w:right="840" w:hanging="383"/>
        <w:spacing w:after="0" w:line="266" w:lineRule="auto"/>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we may not develop additional proprietary technologies that are patentable;</w:t>
      </w:r>
    </w:p>
    <w:p>
      <w:pPr>
        <w:spacing w:after="0" w:line="117"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patents of others may have an adverse effect on our business; and</w:t>
      </w:r>
    </w:p>
    <w:p>
      <w:pPr>
        <w:spacing w:after="0" w:line="103" w:lineRule="exact"/>
        <w:rPr>
          <w:rFonts w:ascii="Times New Roman" w:cs="Times New Roman" w:eastAsia="Times New Roman" w:hAnsi="Times New Roman"/>
          <w:sz w:val="13"/>
          <w:szCs w:val="13"/>
          <w:color w:val="231F20"/>
        </w:rPr>
      </w:pPr>
    </w:p>
    <w:p>
      <w:pPr>
        <w:ind w:left="900" w:right="360" w:hanging="383"/>
        <w:spacing w:after="0" w:line="266" w:lineRule="auto"/>
        <w:tabs>
          <w:tab w:leader="none" w:pos="900" w:val="left"/>
        </w:tabs>
        <w:numPr>
          <w:ilvl w:val="0"/>
          <w:numId w:val="43"/>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we may choose not to file a patent in order to maintain certain trade secrets or know-how, and a third- party may subsequently file a patent covering such intellectual property.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Should any of these events occur, it could significantly harm our business, results of operations and prospects.</w:t>
      </w:r>
    </w:p>
    <w:p>
      <w:pPr>
        <w:spacing w:after="0" w:line="20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6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94"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1" w:name="page62"/>
    <w:bookmarkEnd w:id="61"/>
    <w:p>
      <w:pPr>
        <w:ind w:right="20"/>
        <w:spacing w:after="0" w:line="312" w:lineRule="auto"/>
        <w:rPr>
          <w:sz w:val="20"/>
          <w:szCs w:val="20"/>
          <w:color w:val="auto"/>
        </w:rPr>
      </w:pPr>
      <w:r>
        <w:rPr>
          <w:rFonts w:ascii="Times New Roman" w:cs="Times New Roman" w:eastAsia="Times New Roman" w:hAnsi="Times New Roman"/>
          <w:sz w:val="17"/>
          <w:szCs w:val="17"/>
          <w:color w:val="231F20"/>
        </w:rPr>
        <w:t>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As the biotechnology industry expands and more patents are issued, the risk increases that our product candidates may be subject to claims of</w:t>
      </w:r>
    </w:p>
    <w:p>
      <w:pPr>
        <w:spacing w:after="0" w:line="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61"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result in costly litigation that may cause negative publicity;</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divert the time and attention of our technical personnel and management;</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cause development delays;</w:t>
      </w:r>
    </w:p>
    <w:p>
      <w:pPr>
        <w:spacing w:after="0" w:line="103" w:lineRule="exact"/>
        <w:rPr>
          <w:rFonts w:ascii="Times New Roman" w:cs="Times New Roman" w:eastAsia="Times New Roman" w:hAnsi="Times New Roman"/>
          <w:sz w:val="13"/>
          <w:szCs w:val="13"/>
          <w:color w:val="auto"/>
        </w:rPr>
      </w:pPr>
    </w:p>
    <w:p>
      <w:pPr>
        <w:ind w:left="900" w:right="180" w:hanging="383"/>
        <w:spacing w:after="0" w:line="266" w:lineRule="auto"/>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prevent us from commercializing any of our product candidates until the asserted patent expires or is held finally invalid or not infringed in a court of law;</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require us to develop non-infringing technology, which may not be possible on a cost-effective basis;</w:t>
      </w:r>
    </w:p>
    <w:p>
      <w:pPr>
        <w:spacing w:after="0" w:line="117" w:lineRule="exact"/>
        <w:rPr>
          <w:rFonts w:ascii="Times New Roman" w:cs="Times New Roman" w:eastAsia="Times New Roman" w:hAnsi="Times New Roman"/>
          <w:sz w:val="13"/>
          <w:szCs w:val="13"/>
          <w:color w:val="auto"/>
        </w:rPr>
      </w:pPr>
    </w:p>
    <w:p>
      <w:pPr>
        <w:ind w:left="900" w:right="620" w:hanging="383"/>
        <w:spacing w:after="0" w:line="266" w:lineRule="auto"/>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subject us to significant liability and damages to third parties, including treble damages if we are found to willfully infringe third-party intellectual property; or</w:t>
      </w:r>
    </w:p>
    <w:p>
      <w:pPr>
        <w:spacing w:after="0" w:line="54" w:lineRule="exact"/>
        <w:rPr>
          <w:rFonts w:ascii="Times New Roman" w:cs="Times New Roman" w:eastAsia="Times New Roman" w:hAnsi="Times New Roman"/>
          <w:sz w:val="13"/>
          <w:szCs w:val="13"/>
          <w:color w:val="auto"/>
        </w:rPr>
      </w:pPr>
    </w:p>
    <w:p>
      <w:pPr>
        <w:ind w:left="900" w:right="440" w:hanging="383"/>
        <w:spacing w:after="0" w:line="282" w:lineRule="auto"/>
        <w:tabs>
          <w:tab w:leader="none" w:pos="9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4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231F20"/>
        </w:rPr>
        <w:t>Although no third party has asserted a claim of patent infringement against us as of the date of this periodic report,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9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In addition, even if we or our future strategic partners were able to obtain a license, the rights may be nonexclusive, which could result in our competitors gaining access to the same intellectual property. Moreover,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2" w:name="page63"/>
    <w:bookmarkEnd w:id="62"/>
    <w:p>
      <w:pPr>
        <w:jc w:val="both"/>
        <w:ind w:right="380"/>
        <w:spacing w:after="0" w:line="258" w:lineRule="auto"/>
        <w:rPr>
          <w:sz w:val="20"/>
          <w:szCs w:val="20"/>
          <w:color w:val="auto"/>
        </w:rPr>
      </w:pPr>
      <w:r>
        <w:rPr>
          <w:rFonts w:ascii="Times New Roman" w:cs="Times New Roman" w:eastAsia="Times New Roman" w:hAnsi="Times New Roman"/>
          <w:sz w:val="18"/>
          <w:szCs w:val="18"/>
          <w:color w:val="231F20"/>
        </w:rPr>
        <w:t>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1" w:lineRule="exact"/>
        <w:rPr>
          <w:sz w:val="20"/>
          <w:szCs w:val="20"/>
          <w:color w:val="auto"/>
        </w:rPr>
      </w:pPr>
    </w:p>
    <w:p>
      <w:pPr>
        <w:ind w:right="180" w:firstLine="509"/>
        <w:spacing w:after="0" w:line="243" w:lineRule="auto"/>
        <w:rPr>
          <w:sz w:val="20"/>
          <w:szCs w:val="20"/>
          <w:color w:val="auto"/>
        </w:rPr>
      </w:pPr>
      <w:r>
        <w:rPr>
          <w:rFonts w:ascii="Times New Roman" w:cs="Times New Roman" w:eastAsia="Times New Roman" w:hAnsi="Times New Roman"/>
          <w:sz w:val="18"/>
          <w:szCs w:val="18"/>
          <w:color w:val="231F20"/>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7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7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candidates through acquisitions and in-licenses.</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79"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spacing w:after="0" w:line="1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231F20"/>
        </w:rPr>
        <w:t>Competitors and other third parties may infringe, misappropriate or otherwise violate our intellectual property rights. To prevent infringement, misappropriation, unauthorized use or other violation, we may be required to file infringement claims, which can be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3" w:name="page64"/>
    <w:bookmarkEnd w:id="63"/>
    <w:p>
      <w:pPr>
        <w:spacing w:after="0" w:line="244" w:lineRule="auto"/>
        <w:rPr>
          <w:sz w:val="20"/>
          <w:szCs w:val="20"/>
          <w:color w:val="auto"/>
        </w:rPr>
      </w:pPr>
      <w:r>
        <w:rPr>
          <w:rFonts w:ascii="Times New Roman" w:cs="Times New Roman" w:eastAsia="Times New Roman" w:hAnsi="Times New Roman"/>
          <w:sz w:val="18"/>
          <w:szCs w:val="18"/>
          <w:color w:val="231F20"/>
        </w:rPr>
        <w:t>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231F20"/>
        </w:rPr>
        <w:t>Third parties may also raise similar invalidity claims before the USPTO or patent offices abroad, even outside the context of litigation. Such</w:t>
      </w:r>
    </w:p>
    <w:p>
      <w:pPr>
        <w:spacing w:after="0" w:line="1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231F20"/>
        </w:rPr>
        <w:t>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9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54"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3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231F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91"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50" w:lineRule="exact"/>
        <w:rPr>
          <w:sz w:val="20"/>
          <w:szCs w:val="20"/>
          <w:color w:val="auto"/>
        </w:rPr>
      </w:pPr>
    </w:p>
    <w:p>
      <w:pPr>
        <w:ind w:right="160" w:firstLine="509"/>
        <w:spacing w:after="0" w:line="247" w:lineRule="auto"/>
        <w:rPr>
          <w:sz w:val="20"/>
          <w:szCs w:val="20"/>
          <w:color w:val="auto"/>
        </w:rPr>
      </w:pPr>
      <w:r>
        <w:rPr>
          <w:rFonts w:ascii="Times New Roman" w:cs="Times New Roman" w:eastAsia="Times New Roman" w:hAnsi="Times New Roman"/>
          <w:sz w:val="18"/>
          <w:szCs w:val="18"/>
          <w:color w:val="231F20"/>
        </w:rPr>
        <w:t>Derivation proceedings provoked by third parties or brought by us or declared by the USPTO may be necessary to determine the priority of inventions with respect to our patent applications or the patents or patent 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64" w:name="page65"/>
    <w:bookmarkEnd w:id="64"/>
    <w:p>
      <w:pPr>
        <w:ind w:right="940"/>
        <w:spacing w:after="0" w:line="282" w:lineRule="auto"/>
        <w:rPr>
          <w:sz w:val="20"/>
          <w:szCs w:val="20"/>
          <w:color w:val="auto"/>
        </w:rPr>
      </w:pPr>
      <w:r>
        <w:rPr>
          <w:rFonts w:ascii="Times New Roman" w:cs="Times New Roman" w:eastAsia="Times New Roman" w:hAnsi="Times New Roman"/>
          <w:sz w:val="18"/>
          <w:szCs w:val="18"/>
          <w:color w:val="231F20"/>
        </w:rPr>
        <w:t>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44"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63"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231F20"/>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the U.S. Congress or other foreign legislative bodies may pass patent reform legislation that is unfavorable to us.</w:t>
      </w:r>
    </w:p>
    <w:p>
      <w:pPr>
        <w:spacing w:after="0" w:line="92"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231F20"/>
        </w:rPr>
        <w:t xml:space="preserve">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18"/>
          <w:szCs w:val="18"/>
          <w:i w:val="1"/>
          <w:iCs w:val="1"/>
          <w:color w:val="231F20"/>
        </w:rPr>
        <w:t>inter partes</w:t>
      </w:r>
      <w:r>
        <w:rPr>
          <w:rFonts w:ascii="Times New Roman" w:cs="Times New Roman" w:eastAsia="Times New Roman" w:hAnsi="Times New Roman"/>
          <w:sz w:val="18"/>
          <w:szCs w:val="18"/>
          <w:color w:val="231F20"/>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first-to-file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81"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231F20"/>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197"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challenging the inventorship or ownership of our owned patent applications or in-licensed patent rights and other intellectual property.</w:t>
      </w:r>
    </w:p>
    <w:p>
      <w:pPr>
        <w:spacing w:after="0" w:line="50"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231F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9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5" w:name="page66"/>
    <w:bookmarkEnd w:id="65"/>
    <w:p>
      <w:pPr>
        <w:ind w:right="80"/>
        <w:spacing w:after="0" w:line="247" w:lineRule="auto"/>
        <w:rPr>
          <w:sz w:val="20"/>
          <w:szCs w:val="20"/>
          <w:color w:val="auto"/>
        </w:rPr>
      </w:pPr>
      <w:r>
        <w:rPr>
          <w:rFonts w:ascii="Times New Roman" w:cs="Times New Roman" w:eastAsia="Times New Roman" w:hAnsi="Times New Roman"/>
          <w:sz w:val="18"/>
          <w:szCs w:val="18"/>
          <w:color w:val="231F20"/>
        </w:rPr>
        <w:t>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do not obtain patent term extension for our product candidates, our business may be materially harmed.</w:t>
      </w:r>
    </w:p>
    <w:p>
      <w:pPr>
        <w:spacing w:after="0" w:line="12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231F20"/>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7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throughout the world.</w:t>
      </w:r>
    </w:p>
    <w:p>
      <w:pPr>
        <w:spacing w:after="0" w:line="108"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231F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 future patents, the patents of our licensors, or other intellectual property rights may not be effective or sufficient to prevent them from competing.</w:t>
      </w:r>
    </w:p>
    <w:p>
      <w:pPr>
        <w:spacing w:after="0" w:line="7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7"/>
          <w:szCs w:val="17"/>
          <w:color w:val="231F20"/>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6" w:name="page67"/>
    <w:bookmarkEnd w:id="66"/>
    <w:p>
      <w:pPr>
        <w:ind w:right="40"/>
        <w:spacing w:after="0" w:line="250" w:lineRule="auto"/>
        <w:rPr>
          <w:sz w:val="20"/>
          <w:szCs w:val="20"/>
          <w:color w:val="auto"/>
        </w:rPr>
      </w:pPr>
      <w:r>
        <w:rPr>
          <w:rFonts w:ascii="Times New Roman" w:cs="Times New Roman" w:eastAsia="Times New Roman" w:hAnsi="Times New Roman"/>
          <w:sz w:val="18"/>
          <w:szCs w:val="18"/>
          <w:color w:val="231F20"/>
        </w:rPr>
        <w:t>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82"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231F20"/>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8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231F20"/>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80" w:lineRule="exact"/>
        <w:rPr>
          <w:sz w:val="20"/>
          <w:szCs w:val="20"/>
          <w:color w:val="auto"/>
        </w:rPr>
      </w:pPr>
    </w:p>
    <w:p>
      <w:pPr>
        <w:ind w:right="160" w:firstLine="509"/>
        <w:spacing w:after="0" w:line="243" w:lineRule="auto"/>
        <w:rPr>
          <w:sz w:val="20"/>
          <w:szCs w:val="20"/>
          <w:color w:val="auto"/>
        </w:rPr>
      </w:pPr>
      <w:r>
        <w:rPr>
          <w:rFonts w:ascii="Times New Roman" w:cs="Times New Roman" w:eastAsia="Times New Roman" w:hAnsi="Times New Roman"/>
          <w:sz w:val="18"/>
          <w:szCs w:val="18"/>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would be harmed.</w:t>
      </w:r>
    </w:p>
    <w:p>
      <w:pPr>
        <w:spacing w:after="0" w:line="108"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8"/>
          <w:szCs w:val="18"/>
          <w:color w:val="231F20"/>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ind w:right="20"/>
        <w:spacing w:after="0" w:line="246" w:lineRule="auto"/>
        <w:rPr>
          <w:sz w:val="20"/>
          <w:szCs w:val="20"/>
          <w:color w:val="auto"/>
        </w:rPr>
      </w:pPr>
      <w:r>
        <w:rPr>
          <w:rFonts w:ascii="Times New Roman" w:cs="Times New Roman" w:eastAsia="Times New Roman" w:hAnsi="Times New Roman"/>
          <w:sz w:val="18"/>
          <w:szCs w:val="18"/>
          <w:color w:val="231F20"/>
        </w:rPr>
        <w:t>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7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3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231F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19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that we have wrongfully hired an employee from our competitors or that we or our employees have wrongfully used or disclosed alleged confidential information or trade secrets of their former employers.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8" w:name="page69"/>
    <w:bookmarkEnd w:id="68"/>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rights to develop and commercialize our technology and product candidates may be subject, in part, to the terms and conditions of licenses granted to us by others.</w:t>
      </w:r>
    </w:p>
    <w:p>
      <w:pPr>
        <w:spacing w:after="0" w:line="37"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231F20"/>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87" w:lineRule="exact"/>
        <w:rPr>
          <w:sz w:val="20"/>
          <w:szCs w:val="20"/>
          <w:color w:val="auto"/>
        </w:rPr>
      </w:pPr>
    </w:p>
    <w:p>
      <w:pPr>
        <w:ind w:right="120" w:firstLine="509"/>
        <w:spacing w:after="0" w:line="244" w:lineRule="auto"/>
        <w:rPr>
          <w:sz w:val="20"/>
          <w:szCs w:val="20"/>
          <w:color w:val="auto"/>
        </w:rPr>
      </w:pPr>
      <w:r>
        <w:rPr>
          <w:rFonts w:ascii="Times New Roman" w:cs="Times New Roman" w:eastAsia="Times New Roman" w:hAnsi="Times New Roman"/>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74"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83"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231F20"/>
        </w:rPr>
        <w:t>Additionally, our licenses may be subject to certain rights of third parties, and, as a result, our current and future licenses may not provide us with exclusive rights to use the licensed intellectual property and technology. For example, the intellectual property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8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7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78"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231F20"/>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9" w:name="page70"/>
    <w:bookmarkEnd w:id="69"/>
    <w:p>
      <w:pPr>
        <w:ind w:right="78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Disputes may arise between us and our current or future licensors regarding intellectual property subject to a license agreement, including:</w:t>
      </w:r>
    </w:p>
    <w:p>
      <w:pPr>
        <w:spacing w:after="0" w:line="104"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scope of rights granted under the license agreement and other interpretation-related issues;</w:t>
      </w:r>
    </w:p>
    <w:p>
      <w:pPr>
        <w:spacing w:after="0" w:line="117" w:lineRule="exact"/>
        <w:rPr>
          <w:rFonts w:ascii="Times New Roman" w:cs="Times New Roman" w:eastAsia="Times New Roman" w:hAnsi="Times New Roman"/>
          <w:sz w:val="13"/>
          <w:szCs w:val="13"/>
          <w:color w:val="auto"/>
        </w:rPr>
      </w:pPr>
    </w:p>
    <w:p>
      <w:pPr>
        <w:ind w:left="900" w:hanging="383"/>
        <w:spacing w:after="0" w:line="266" w:lineRule="auto"/>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whether and the extent to which our technology and processes infringe on intellectual property of the licensor that is not subject to the licensing agreement;</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right to sublicense patents and other rights to third parties;</w:t>
      </w:r>
    </w:p>
    <w:p>
      <w:pPr>
        <w:spacing w:after="0" w:line="117" w:lineRule="exact"/>
        <w:rPr>
          <w:rFonts w:ascii="Times New Roman" w:cs="Times New Roman" w:eastAsia="Times New Roman" w:hAnsi="Times New Roman"/>
          <w:sz w:val="13"/>
          <w:szCs w:val="13"/>
          <w:color w:val="auto"/>
        </w:rPr>
      </w:pPr>
    </w:p>
    <w:p>
      <w:pPr>
        <w:ind w:left="900" w:right="560" w:hanging="383"/>
        <w:spacing w:after="0" w:line="266" w:lineRule="auto"/>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whether third parties are entitled to compensation or equitable relief, such as an injunction, for our use of the intellectual property rights without their authorization;</w:t>
      </w:r>
    </w:p>
    <w:p>
      <w:pPr>
        <w:spacing w:after="0" w:line="54" w:lineRule="exact"/>
        <w:rPr>
          <w:rFonts w:ascii="Times New Roman" w:cs="Times New Roman" w:eastAsia="Times New Roman" w:hAnsi="Times New Roman"/>
          <w:sz w:val="13"/>
          <w:szCs w:val="13"/>
          <w:color w:val="auto"/>
        </w:rPr>
      </w:pPr>
    </w:p>
    <w:p>
      <w:pPr>
        <w:ind w:left="900" w:right="460" w:hanging="383"/>
        <w:spacing w:after="0" w:line="266" w:lineRule="auto"/>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involvement or lack of involvement in the prosecution, defense, and enforcement of licensed patents and our licensors’ overall patent enforcement strategy;</w:t>
      </w:r>
    </w:p>
    <w:p>
      <w:pPr>
        <w:spacing w:after="0" w:line="6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diligence obligations under the license agreement and what activities satisfy those diligence obligations;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amounts of royalties, milestones or other payments due under the license agreement;</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right to transfer or assign the license;</w:t>
      </w:r>
    </w:p>
    <w:p>
      <w:pPr>
        <w:spacing w:after="0" w:line="117" w:lineRule="exact"/>
        <w:rPr>
          <w:rFonts w:ascii="Times New Roman" w:cs="Times New Roman" w:eastAsia="Times New Roman" w:hAnsi="Times New Roman"/>
          <w:sz w:val="13"/>
          <w:szCs w:val="13"/>
          <w:color w:val="auto"/>
        </w:rPr>
      </w:pPr>
    </w:p>
    <w:p>
      <w:pPr>
        <w:ind w:left="900" w:right="260" w:hanging="383"/>
        <w:spacing w:after="0" w:line="266" w:lineRule="auto"/>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inventorship and ownership of inventions and know-how resulting from the joint creation or use of intellectual property by our licensors and us and our partners; and</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priority of invention of patented technology.</w:t>
      </w:r>
    </w:p>
    <w:p>
      <w:pPr>
        <w:spacing w:after="0" w:line="11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78" w:lineRule="exact"/>
        <w:rPr>
          <w:sz w:val="20"/>
          <w:szCs w:val="20"/>
          <w:color w:val="auto"/>
        </w:rPr>
      </w:pPr>
    </w:p>
    <w:p>
      <w:pPr>
        <w:ind w:right="240" w:firstLine="509"/>
        <w:spacing w:after="0" w:line="246" w:lineRule="auto"/>
        <w:rPr>
          <w:sz w:val="20"/>
          <w:szCs w:val="20"/>
          <w:color w:val="auto"/>
        </w:rPr>
      </w:pPr>
      <w:r>
        <w:rPr>
          <w:rFonts w:ascii="Times New Roman" w:cs="Times New Roman" w:eastAsia="Times New Roman" w:hAnsi="Times New Roman"/>
          <w:sz w:val="18"/>
          <w:szCs w:val="18"/>
          <w:color w:val="231F20"/>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patent protection and patent prosecution for some of our product candidates may be dependent on third parties.</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231F20"/>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70" w:name="page71"/>
    <w:bookmarkEnd w:id="70"/>
    <w:p>
      <w:pPr>
        <w:ind w:right="40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0"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231F20"/>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21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6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61"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231F20"/>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the COVID-19 pandemic.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7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231F20"/>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EMA also requires us to comply with similar standards. Regulatory authorities enforce these GCP requirements through periodic inspections of trial sponsors,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1" w:name="page72"/>
    <w:bookmarkEnd w:id="71"/>
    <w:p>
      <w:pPr>
        <w:ind w:right="20"/>
        <w:spacing w:after="0" w:line="246" w:lineRule="auto"/>
        <w:rPr>
          <w:sz w:val="20"/>
          <w:szCs w:val="20"/>
          <w:color w:val="auto"/>
        </w:rPr>
      </w:pPr>
      <w:r>
        <w:rPr>
          <w:rFonts w:ascii="Times New Roman" w:cs="Times New Roman" w:eastAsia="Times New Roman" w:hAnsi="Times New Roman"/>
          <w:sz w:val="18"/>
          <w:szCs w:val="18"/>
          <w:color w:val="231F20"/>
        </w:rPr>
        <w:t>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7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231F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6"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We contract with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66"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231F20"/>
        </w:rPr>
        <w:t>We do not currently have the infrastructure or internal capability to manufacture supplies of our product candidates for use in development and commercialization. We plan to fully integrate and internalize AAV manufacturing capabilities to support our Gene Therapy and Cellular Regeneration platforms and have initiated construction of a cGMP manufacturing facility. Until our manufacturing facility is complete and operational, we will continue to rely on third-party manufacturers for our Gene Therapy and Cellular Regeneration platforms. Moreover, to optimize our use of resources and utilize extensive third-party experience in small molecule manufacturing, we intend to continue to rely on third-party manufacturers for our small molecule programs.</w:t>
      </w:r>
    </w:p>
    <w:p>
      <w:pPr>
        <w:spacing w:after="0" w:line="72"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231F20"/>
        </w:rPr>
        <w:t>Competition for third-party manufacturers and supplies has increased as a result of the COVID-19 pandemic and we have experienced delays in supply chain activities as a result. Changing third-party manufacturers could result in delays in our manufacturing supply chain which could delay or otherwise impact development of our programs and result in increased costs.</w:t>
      </w:r>
    </w:p>
    <w:p>
      <w:pPr>
        <w:spacing w:after="0" w:line="61"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231F20"/>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7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231F20"/>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40" w:lineRule="exact"/>
        <w:rPr>
          <w:sz w:val="20"/>
          <w:szCs w:val="20"/>
          <w:color w:val="auto"/>
        </w:rPr>
      </w:pPr>
    </w:p>
    <w:p>
      <w:pPr>
        <w:ind w:left="900" w:right="20" w:hanging="383"/>
        <w:spacing w:after="0" w:line="258" w:lineRule="auto"/>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1"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termination or nonrenewal of arrangements or agreements by our third-party contractors at a time that is costly or inconvenient for us;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breach by the third-party contractors of our agreements with them;</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failure of third-party contractors to comply with applicable regulatory requirements, including cGMPs;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failure of the third party to manufacture our product candidates according to our specifications;</w:t>
      </w:r>
    </w:p>
    <w:p>
      <w:pPr>
        <w:spacing w:after="0" w:line="103" w:lineRule="exact"/>
        <w:rPr>
          <w:rFonts w:ascii="Times New Roman" w:cs="Times New Roman" w:eastAsia="Times New Roman" w:hAnsi="Times New Roman"/>
          <w:sz w:val="13"/>
          <w:szCs w:val="13"/>
          <w:color w:val="auto"/>
        </w:rPr>
      </w:pPr>
    </w:p>
    <w:p>
      <w:pPr>
        <w:ind w:left="900" w:hanging="383"/>
        <w:spacing w:after="0" w:line="282" w:lineRule="auto"/>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mislabeling of clinical supplies, potentially resulting in the wrong dose amounts being supplied or active drug or placebo not being properly identified;</w:t>
      </w:r>
    </w:p>
    <w:p>
      <w:pPr>
        <w:spacing w:after="0" w:line="40" w:lineRule="exact"/>
        <w:rPr>
          <w:rFonts w:ascii="Times New Roman" w:cs="Times New Roman" w:eastAsia="Times New Roman" w:hAnsi="Times New Roman"/>
          <w:sz w:val="13"/>
          <w:szCs w:val="13"/>
          <w:color w:val="auto"/>
        </w:rPr>
      </w:pPr>
    </w:p>
    <w:p>
      <w:pPr>
        <w:ind w:left="900" w:right="200" w:hanging="383"/>
        <w:spacing w:after="0" w:line="266" w:lineRule="auto"/>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54" w:lineRule="exact"/>
        <w:rPr>
          <w:rFonts w:ascii="Times New Roman" w:cs="Times New Roman" w:eastAsia="Times New Roman" w:hAnsi="Times New Roman"/>
          <w:sz w:val="13"/>
          <w:szCs w:val="13"/>
          <w:color w:val="auto"/>
        </w:rPr>
      </w:pPr>
    </w:p>
    <w:p>
      <w:pPr>
        <w:ind w:left="900" w:right="340" w:hanging="383"/>
        <w:spacing w:after="0" w:line="282" w:lineRule="auto"/>
        <w:tabs>
          <w:tab w:leader="none" w:pos="9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infringement, misappropriation or other violation of our intellectual property or proprietary information, including our trade secrets and know-how.</w:t>
      </w:r>
    </w:p>
    <w:p>
      <w:pPr>
        <w:spacing w:after="0" w:line="4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231F20"/>
        </w:rPr>
        <w:t>We do not have complete control over all aspects of the manufacturing process of our CDMOs and are dependent on these CDMOs for compliance with cGMP regulations for manufacturing active pharmaceutical ingredients (API), drug substance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ind w:right="60"/>
        <w:spacing w:after="0" w:line="250" w:lineRule="auto"/>
        <w:rPr>
          <w:sz w:val="20"/>
          <w:szCs w:val="20"/>
          <w:color w:val="auto"/>
        </w:rPr>
      </w:pPr>
      <w:r>
        <w:rPr>
          <w:rFonts w:ascii="Times New Roman" w:cs="Times New Roman" w:eastAsia="Times New Roman" w:hAnsi="Times New Roman"/>
          <w:sz w:val="18"/>
          <w:szCs w:val="18"/>
          <w:color w:val="231F20"/>
        </w:rPr>
        <w:t>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6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231F20"/>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QC, QA,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8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231F20"/>
        </w:rPr>
        <w:t>We rely on third-party suppliers for the raw materials required for the production of our product candidates for all of our programs. Our reliance on third-party supplies will continue even after we operationalize our cGMP manufacturing facility to support our Gene Therapy and Cellular Regeneration platforms.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especially in light of the supply chain issues caused by the effects of the COVID-19 pandemic,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9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reliance on third parties may require us to share our trade secrets, which increases the possibility that our competitors will discover them or that our trade secrets will be misappropriated or disclosed.</w:t>
      </w:r>
    </w:p>
    <w:p>
      <w:pPr>
        <w:spacing w:after="0" w:line="37"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231F20"/>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3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68"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increased operating expenses and cash requirements;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3" w:name="page74"/>
    <w:bookmarkEnd w:id="73"/>
    <w:p>
      <w:pPr>
        <w:ind w:left="900" w:hanging="383"/>
        <w:spacing w:after="0"/>
        <w:tabs>
          <w:tab w:leader="none" w:pos="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assumption of additional indebtedness or contingent liabilities;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issuance of our equity securities;</w:t>
      </w:r>
    </w:p>
    <w:p>
      <w:pPr>
        <w:spacing w:after="0" w:line="103" w:lineRule="exact"/>
        <w:rPr>
          <w:rFonts w:ascii="Times New Roman" w:cs="Times New Roman" w:eastAsia="Times New Roman" w:hAnsi="Times New Roman"/>
          <w:sz w:val="13"/>
          <w:szCs w:val="13"/>
          <w:color w:val="auto"/>
        </w:rPr>
      </w:pPr>
    </w:p>
    <w:p>
      <w:pPr>
        <w:ind w:left="900" w:right="280" w:hanging="383"/>
        <w:spacing w:after="0" w:line="266" w:lineRule="auto"/>
        <w:tabs>
          <w:tab w:leader="none" w:pos="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assimilation of operations, intellectual property and products of an acquired company, including difficulties associated with integrating new personnel;</w:t>
      </w:r>
    </w:p>
    <w:p>
      <w:pPr>
        <w:spacing w:after="0" w:line="6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diversion of our management’s attention from our existing programs and initiatives in pursuing such a strategic merger or acquisition;</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retention of key employees, the loss of key personnel and uncertainties in our ability to maintain key business relationships;</w:t>
      </w:r>
    </w:p>
    <w:p>
      <w:pPr>
        <w:spacing w:after="0" w:line="103" w:lineRule="exact"/>
        <w:rPr>
          <w:rFonts w:ascii="Times New Roman" w:cs="Times New Roman" w:eastAsia="Times New Roman" w:hAnsi="Times New Roman"/>
          <w:sz w:val="13"/>
          <w:szCs w:val="13"/>
          <w:color w:val="auto"/>
        </w:rPr>
      </w:pPr>
    </w:p>
    <w:p>
      <w:pPr>
        <w:ind w:left="900" w:right="120" w:hanging="383"/>
        <w:spacing w:after="0" w:line="282" w:lineRule="auto"/>
        <w:tabs>
          <w:tab w:leader="none" w:pos="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risks and uncertainties associated with the other party to such a transaction, including the prospects of that party and their existing products or product candidates and marketing approvals;</w:t>
      </w:r>
    </w:p>
    <w:p>
      <w:pPr>
        <w:spacing w:after="0" w:line="40" w:lineRule="exact"/>
        <w:rPr>
          <w:rFonts w:ascii="Times New Roman" w:cs="Times New Roman" w:eastAsia="Times New Roman" w:hAnsi="Times New Roman"/>
          <w:sz w:val="13"/>
          <w:szCs w:val="13"/>
          <w:color w:val="auto"/>
        </w:rPr>
      </w:pPr>
    </w:p>
    <w:p>
      <w:pPr>
        <w:ind w:left="900" w:right="180" w:hanging="383"/>
        <w:spacing w:after="0" w:line="266" w:lineRule="auto"/>
        <w:tabs>
          <w:tab w:leader="none" w:pos="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inability to realize anticipated efficiencies and strategic benefits from such acquisitions or strategic partnerships.</w:t>
      </w:r>
    </w:p>
    <w:p>
      <w:pPr>
        <w:spacing w:after="0" w:line="11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37" w:lineRule="exact"/>
        <w:rPr>
          <w:sz w:val="20"/>
          <w:szCs w:val="20"/>
          <w:color w:val="auto"/>
        </w:rPr>
      </w:pPr>
    </w:p>
    <w:p>
      <w:pPr>
        <w:ind w:right="380" w:firstLine="509"/>
        <w:spacing w:after="0" w:line="246" w:lineRule="auto"/>
        <w:rPr>
          <w:sz w:val="20"/>
          <w:szCs w:val="20"/>
          <w:color w:val="auto"/>
        </w:rPr>
      </w:pPr>
      <w:r>
        <w:rPr>
          <w:rFonts w:ascii="Times New Roman" w:cs="Times New Roman" w:eastAsia="Times New Roman" w:hAnsi="Times New Roman"/>
          <w:sz w:val="18"/>
          <w:szCs w:val="18"/>
          <w:color w:val="231F20"/>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8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95"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82"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231F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4" w:name="page75"/>
    <w:bookmarkEnd w:id="74"/>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37"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69" w:lineRule="exact"/>
        <w:rPr>
          <w:sz w:val="20"/>
          <w:szCs w:val="20"/>
          <w:color w:val="auto"/>
        </w:rPr>
      </w:pPr>
    </w:p>
    <w:p>
      <w:pPr>
        <w:ind w:left="900" w:right="80" w:hanging="383"/>
        <w:spacing w:after="0" w:line="282"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collaborators have significant discretion in determining the efforts and resources that they will apply to, and the manner in which they perform their obligations under, these collaborations and may not</w:t>
      </w:r>
    </w:p>
    <w:p>
      <w:pPr>
        <w:spacing w:after="0" w:line="40"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perform their obligations as expected;</w:t>
      </w:r>
    </w:p>
    <w:p>
      <w:pPr>
        <w:spacing w:after="0" w:line="103" w:lineRule="exact"/>
        <w:rPr>
          <w:rFonts w:ascii="Times New Roman" w:cs="Times New Roman" w:eastAsia="Times New Roman" w:hAnsi="Times New Roman"/>
          <w:sz w:val="13"/>
          <w:szCs w:val="13"/>
          <w:color w:val="231F20"/>
        </w:rPr>
      </w:pPr>
    </w:p>
    <w:p>
      <w:pPr>
        <w:ind w:left="900" w:right="100" w:hanging="383"/>
        <w:spacing w:after="0" w:line="250"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69" w:lineRule="exact"/>
        <w:rPr>
          <w:rFonts w:ascii="Times New Roman" w:cs="Times New Roman" w:eastAsia="Times New Roman" w:hAnsi="Times New Roman"/>
          <w:sz w:val="13"/>
          <w:szCs w:val="13"/>
          <w:color w:val="231F20"/>
        </w:rPr>
      </w:pPr>
    </w:p>
    <w:p>
      <w:pPr>
        <w:ind w:left="900" w:right="600" w:hanging="383"/>
        <w:spacing w:after="0" w:line="282"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0" w:lineRule="exact"/>
        <w:rPr>
          <w:rFonts w:ascii="Times New Roman" w:cs="Times New Roman" w:eastAsia="Times New Roman" w:hAnsi="Times New Roman"/>
          <w:sz w:val="13"/>
          <w:szCs w:val="13"/>
          <w:color w:val="231F20"/>
        </w:rPr>
      </w:pPr>
    </w:p>
    <w:p>
      <w:pPr>
        <w:ind w:left="900" w:right="160" w:hanging="383"/>
        <w:spacing w:after="0" w:line="258"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1" w:lineRule="exact"/>
        <w:rPr>
          <w:rFonts w:ascii="Times New Roman" w:cs="Times New Roman" w:eastAsia="Times New Roman" w:hAnsi="Times New Roman"/>
          <w:sz w:val="13"/>
          <w:szCs w:val="13"/>
          <w:color w:val="231F20"/>
        </w:rPr>
      </w:pPr>
    </w:p>
    <w:p>
      <w:pPr>
        <w:ind w:left="900" w:right="20" w:hanging="383"/>
        <w:spacing w:after="0" w:line="266"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a collaborator with marketing and distribution rights to multiple products may not commit sufficient resources to the marketing and distribution of our product relative to other products;</w:t>
      </w:r>
    </w:p>
    <w:p>
      <w:pPr>
        <w:spacing w:after="0" w:line="67"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we may grant exclusive rights to our collaborators that would prevent us from collaborating with others;</w:t>
      </w:r>
    </w:p>
    <w:p>
      <w:pPr>
        <w:spacing w:after="0" w:line="103" w:lineRule="exact"/>
        <w:rPr>
          <w:rFonts w:ascii="Times New Roman" w:cs="Times New Roman" w:eastAsia="Times New Roman" w:hAnsi="Times New Roman"/>
          <w:sz w:val="13"/>
          <w:szCs w:val="13"/>
          <w:color w:val="231F20"/>
        </w:rPr>
      </w:pPr>
    </w:p>
    <w:p>
      <w:pPr>
        <w:ind w:left="900" w:right="20" w:hanging="383"/>
        <w:spacing w:after="0" w:line="250"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69" w:lineRule="exact"/>
        <w:rPr>
          <w:rFonts w:ascii="Times New Roman" w:cs="Times New Roman" w:eastAsia="Times New Roman" w:hAnsi="Times New Roman"/>
          <w:sz w:val="13"/>
          <w:szCs w:val="13"/>
          <w:color w:val="231F20"/>
        </w:rPr>
      </w:pPr>
    </w:p>
    <w:p>
      <w:pPr>
        <w:ind w:left="900" w:hanging="383"/>
        <w:spacing w:after="0" w:line="266"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67" w:lineRule="exact"/>
        <w:rPr>
          <w:rFonts w:ascii="Times New Roman" w:cs="Times New Roman" w:eastAsia="Times New Roman" w:hAnsi="Times New Roman"/>
          <w:sz w:val="13"/>
          <w:szCs w:val="13"/>
          <w:color w:val="231F20"/>
        </w:rPr>
      </w:pPr>
    </w:p>
    <w:p>
      <w:pPr>
        <w:ind w:left="900" w:right="1140" w:hanging="383"/>
        <w:spacing w:after="0" w:line="266"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product candidates;</w:t>
      </w:r>
    </w:p>
    <w:p>
      <w:pPr>
        <w:spacing w:after="0" w:line="54"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collaboration agreements may not lead to development or commercialization of product candidates in the most efficient manner or at all;</w:t>
      </w:r>
    </w:p>
    <w:p>
      <w:pPr>
        <w:spacing w:after="0" w:line="117" w:lineRule="exact"/>
        <w:rPr>
          <w:rFonts w:ascii="Times New Roman" w:cs="Times New Roman" w:eastAsia="Times New Roman" w:hAnsi="Times New Roman"/>
          <w:sz w:val="13"/>
          <w:szCs w:val="13"/>
          <w:color w:val="231F20"/>
        </w:rPr>
      </w:pPr>
    </w:p>
    <w:p>
      <w:pPr>
        <w:jc w:val="both"/>
        <w:ind w:left="900" w:right="200" w:hanging="383"/>
        <w:spacing w:after="0" w:line="250"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82" w:lineRule="exact"/>
        <w:rPr>
          <w:rFonts w:ascii="Times New Roman" w:cs="Times New Roman" w:eastAsia="Times New Roman" w:hAnsi="Times New Roman"/>
          <w:sz w:val="13"/>
          <w:szCs w:val="13"/>
          <w:color w:val="231F20"/>
        </w:rPr>
      </w:pPr>
    </w:p>
    <w:p>
      <w:pPr>
        <w:ind w:left="900" w:right="140" w:hanging="383"/>
        <w:spacing w:after="0" w:line="266"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4" w:lineRule="exact"/>
        <w:rPr>
          <w:rFonts w:ascii="Times New Roman" w:cs="Times New Roman" w:eastAsia="Times New Roman" w:hAnsi="Times New Roman"/>
          <w:sz w:val="13"/>
          <w:szCs w:val="13"/>
          <w:color w:val="231F20"/>
        </w:rPr>
      </w:pPr>
    </w:p>
    <w:p>
      <w:pPr>
        <w:ind w:left="900" w:right="160" w:hanging="383"/>
        <w:spacing w:after="0" w:line="282" w:lineRule="auto"/>
        <w:tabs>
          <w:tab w:leader="none" w:pos="900" w:val="left"/>
        </w:tabs>
        <w:numPr>
          <w:ilvl w:val="0"/>
          <w:numId w:val="49"/>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40" w:lineRule="exact"/>
        <w:rPr>
          <w:sz w:val="20"/>
          <w:szCs w:val="20"/>
          <w:color w:val="auto"/>
        </w:rPr>
      </w:pPr>
    </w:p>
    <w:p>
      <w:pPr>
        <w:ind w:right="260" w:firstLine="509"/>
        <w:spacing w:after="0" w:line="262" w:lineRule="auto"/>
        <w:rPr>
          <w:sz w:val="20"/>
          <w:szCs w:val="20"/>
          <w:color w:val="auto"/>
        </w:rPr>
      </w:pPr>
      <w:r>
        <w:rPr>
          <w:rFonts w:ascii="Times New Roman" w:cs="Times New Roman" w:eastAsia="Times New Roman" w:hAnsi="Times New Roman"/>
          <w:sz w:val="17"/>
          <w:szCs w:val="17"/>
          <w:color w:val="231F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5" w:name="page76"/>
    <w:bookmarkEnd w:id="75"/>
    <w:p>
      <w:pPr>
        <w:ind w:right="160"/>
        <w:spacing w:after="0" w:line="282" w:lineRule="auto"/>
        <w:rPr>
          <w:sz w:val="20"/>
          <w:szCs w:val="20"/>
          <w:color w:val="auto"/>
        </w:rPr>
      </w:pPr>
      <w:r>
        <w:rPr>
          <w:rFonts w:ascii="Times New Roman" w:cs="Times New Roman" w:eastAsia="Times New Roman" w:hAnsi="Times New Roman"/>
          <w:sz w:val="18"/>
          <w:szCs w:val="18"/>
          <w:color w:val="231F20"/>
        </w:rPr>
        <w:t>also be subject to many of the risks relating to product development, regulatory approval, and commercialization described in this “Risk Factors” section, and any negative impact on our collaborators may adversely affect us.</w:t>
      </w:r>
    </w:p>
    <w:p>
      <w:pPr>
        <w:spacing w:after="0" w:line="14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63" w:lineRule="exact"/>
        <w:rPr>
          <w:sz w:val="20"/>
          <w:szCs w:val="20"/>
          <w:color w:val="auto"/>
        </w:rPr>
      </w:pPr>
    </w:p>
    <w:p>
      <w:pPr>
        <w:ind w:right="400" w:firstLine="509"/>
        <w:spacing w:after="0" w:line="250" w:lineRule="auto"/>
        <w:rPr>
          <w:sz w:val="20"/>
          <w:szCs w:val="20"/>
          <w:color w:val="auto"/>
        </w:rPr>
      </w:pPr>
      <w:r>
        <w:rPr>
          <w:rFonts w:ascii="Times New Roman" w:cs="Times New Roman" w:eastAsia="Times New Roman" w:hAnsi="Times New Roman"/>
          <w:sz w:val="18"/>
          <w:szCs w:val="18"/>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6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231F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Factors that may inhibit our efforts to commercialize any approved product on our own include:</w:t>
      </w:r>
    </w:p>
    <w:p>
      <w:pPr>
        <w:spacing w:after="0" w:line="117" w:lineRule="exact"/>
        <w:rPr>
          <w:sz w:val="20"/>
          <w:szCs w:val="20"/>
          <w:color w:val="auto"/>
        </w:rPr>
      </w:pPr>
    </w:p>
    <w:p>
      <w:pPr>
        <w:ind w:left="900" w:hanging="383"/>
        <w:spacing w:after="0" w:line="266" w:lineRule="auto"/>
        <w:tabs>
          <w:tab w:leader="none" w:pos="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inability to recruit and retain adequate numbers of effective sales, marketing, reimbursement, compliance, customer service, medical affairs and other support personnel;</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inability to recruit and build a commercial infrastructure due to the impacts of the COVID-19 pandemic;</w:t>
      </w:r>
    </w:p>
    <w:p>
      <w:pPr>
        <w:spacing w:after="0" w:line="117" w:lineRule="exact"/>
        <w:rPr>
          <w:rFonts w:ascii="Times New Roman" w:cs="Times New Roman" w:eastAsia="Times New Roman" w:hAnsi="Times New Roman"/>
          <w:sz w:val="13"/>
          <w:szCs w:val="13"/>
          <w:color w:val="auto"/>
        </w:rPr>
      </w:pPr>
    </w:p>
    <w:p>
      <w:pPr>
        <w:ind w:left="900" w:right="340" w:hanging="383"/>
        <w:spacing w:after="0" w:line="266" w:lineRule="auto"/>
        <w:tabs>
          <w:tab w:leader="none" w:pos="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inability of sales personnel to obtain access to physicians or persuade adequate numbers of physicians to prescribe any future approved products;</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inability to price our products at a sufficient price point to ensure an adequate and attractive level of profitability;</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restricted or closed distribution channels that make it difficult to distribute our products to segments of the patient population;</w:t>
      </w:r>
    </w:p>
    <w:p>
      <w:pPr>
        <w:spacing w:after="0" w:line="103" w:lineRule="exact"/>
        <w:rPr>
          <w:rFonts w:ascii="Times New Roman" w:cs="Times New Roman" w:eastAsia="Times New Roman" w:hAnsi="Times New Roman"/>
          <w:sz w:val="13"/>
          <w:szCs w:val="13"/>
          <w:color w:val="auto"/>
        </w:rPr>
      </w:pPr>
    </w:p>
    <w:p>
      <w:pPr>
        <w:ind w:left="900" w:right="280" w:hanging="383"/>
        <w:spacing w:after="0" w:line="282" w:lineRule="auto"/>
        <w:tabs>
          <w:tab w:leader="none" w:pos="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lack of complementary products to be offered by sales personnel, which may put us at a competitive disadvantage relative to companies with more extensive product lines; and</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unforeseen costs and expenses associated with creating an independent commercialization organization.</w:t>
      </w:r>
    </w:p>
    <w:p>
      <w:pPr>
        <w:spacing w:after="0" w:line="10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Securities Market and Ownership of Our Common Stock</w:t>
      </w:r>
    </w:p>
    <w:p>
      <w:pPr>
        <w:spacing w:after="0" w:line="21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 active, liquid and orderly trading market may not continue to be developed or sustained for our common stock and as a result it may be difficult for you to sell your shares of our common stock.</w:t>
      </w:r>
    </w:p>
    <w:p>
      <w:pPr>
        <w:spacing w:after="0" w:line="37"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231F20"/>
        </w:rPr>
        <w:t xml:space="preserve">Prior to our initial public offering, no market for shares of our common stock existed. </w:t>
      </w:r>
      <w:r>
        <w:rPr>
          <w:rFonts w:ascii="Times New Roman" w:cs="Times New Roman" w:eastAsia="Times New Roman" w:hAnsi="Times New Roman"/>
          <w:sz w:val="18"/>
          <w:szCs w:val="18"/>
          <w:color w:val="000000"/>
        </w:rPr>
        <w:t>The trading market for our common stock on the Nasdaq</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Global Select Market has been limited </w:t>
      </w:r>
      <w:r>
        <w:rPr>
          <w:rFonts w:ascii="Times New Roman" w:cs="Times New Roman" w:eastAsia="Times New Roman" w:hAnsi="Times New Roman"/>
          <w:sz w:val="18"/>
          <w:szCs w:val="18"/>
          <w:color w:val="231F20"/>
        </w:rPr>
        <w:t>and an active trading market for our shares may not be sustained. The lack of an active market may also reduce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fair market value of your shares of common stock.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price of our stock may be volatile, and you could lose all or part of your investment.</w:t>
      </w:r>
    </w:p>
    <w:p>
      <w:pPr>
        <w:spacing w:after="0" w:line="10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231F20"/>
        </w:rPr>
        <w:t>The trading price of our common stock is highly volatile and subject to wide fluctuations in response to various factors, some of which we cannot control. The stock market in general, and pharmaceutical and biotechnology companies in particular, have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231F20"/>
        </w:rPr>
        <w:t>experienced extreme price and volume fluctuations that have often been unrelated or disproportionate to the operating performance of these companies.</w:t>
      </w:r>
    </w:p>
    <w:p>
      <w:pPr>
        <w:spacing w:after="0" w:line="11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54" w:lineRule="exact"/>
        <w:rPr>
          <w:sz w:val="20"/>
          <w:szCs w:val="20"/>
          <w:color w:val="auto"/>
        </w:rPr>
      </w:pPr>
    </w:p>
    <w:p>
      <w:pPr>
        <w:ind w:left="900" w:right="580" w:hanging="383"/>
        <w:spacing w:after="0" w:line="282" w:lineRule="auto"/>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timing and results of preclinical studies and clinical trials of our product candidates, those conducted by third parties or those of our competitors;</w:t>
      </w:r>
    </w:p>
    <w:p>
      <w:pPr>
        <w:spacing w:after="0" w:line="40"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success of competitive products or announcements by potential competitors of their product development efforts;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regulatory actions with respect to our products or our competitors’ products;</w:t>
      </w:r>
    </w:p>
    <w:p>
      <w:pPr>
        <w:spacing w:after="0" w:line="117"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actual or anticipated changes in our growth rate relative to our competitors;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regulatory or legal developments in the United States and other countries;</w:t>
      </w:r>
    </w:p>
    <w:p>
      <w:pPr>
        <w:spacing w:after="0" w:line="90"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developments or disputes concerning patent applications, issued patents or other intellectual property or proprietary rights;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recruitment or departure of key personnel;</w:t>
      </w:r>
    </w:p>
    <w:p>
      <w:pPr>
        <w:spacing w:after="0" w:line="103" w:lineRule="exact"/>
        <w:rPr>
          <w:rFonts w:ascii="Times New Roman" w:cs="Times New Roman" w:eastAsia="Times New Roman" w:hAnsi="Times New Roman"/>
          <w:sz w:val="13"/>
          <w:szCs w:val="13"/>
          <w:color w:val="231F20"/>
        </w:rPr>
      </w:pPr>
    </w:p>
    <w:p>
      <w:pPr>
        <w:ind w:left="900" w:right="840" w:hanging="383"/>
        <w:spacing w:after="0" w:line="250" w:lineRule="auto"/>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announcements by us or our competitors of significant acquisitions, strategic collaborations, joint ventures, collaborations or capital commitments;</w:t>
      </w:r>
    </w:p>
    <w:p>
      <w:pPr>
        <w:spacing w:after="0" w:line="68" w:lineRule="exact"/>
        <w:rPr>
          <w:rFonts w:ascii="Times New Roman" w:cs="Times New Roman" w:eastAsia="Times New Roman" w:hAnsi="Times New Roman"/>
          <w:sz w:val="13"/>
          <w:szCs w:val="13"/>
          <w:color w:val="231F20"/>
        </w:rPr>
      </w:pPr>
    </w:p>
    <w:p>
      <w:pPr>
        <w:ind w:left="900" w:right="380" w:hanging="383"/>
        <w:spacing w:after="0" w:line="266" w:lineRule="auto"/>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actual or anticipated changes in estimates as to financial results, development timelines or coverage and/or recommendations by securities analysts;</w:t>
      </w:r>
    </w:p>
    <w:p>
      <w:pPr>
        <w:spacing w:after="0" w:line="40"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fluctuations in the valuation of companies perceived by investors to be comparable to us;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market conditions in the pharmaceutical and biotechnology sector;</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changes in the structure of healthcare payment systems;</w:t>
      </w:r>
    </w:p>
    <w:p>
      <w:pPr>
        <w:spacing w:after="0" w:line="90"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share price and volume fluctuations attributable to inconsistent trading volume levels of our shares;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announcement or expectation of additional financing efforts;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sales of our common stock by us, our insiders or our other stockholders;</w:t>
      </w:r>
    </w:p>
    <w:p>
      <w:pPr>
        <w:spacing w:after="0" w:line="90"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expiration of market stand-off or lock-up agreements;</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impact of any natural disasters or public health emergencies, such as the COVID-19 pandemic;</w:t>
      </w:r>
    </w:p>
    <w:p>
      <w:pPr>
        <w:spacing w:after="0" w:line="103" w:lineRule="exact"/>
        <w:rPr>
          <w:rFonts w:ascii="Times New Roman" w:cs="Times New Roman" w:eastAsia="Times New Roman" w:hAnsi="Times New Roman"/>
          <w:sz w:val="13"/>
          <w:szCs w:val="13"/>
          <w:color w:val="231F20"/>
        </w:rPr>
      </w:pPr>
    </w:p>
    <w:p>
      <w:pPr>
        <w:ind w:left="900" w:right="40" w:hanging="383"/>
        <w:spacing w:after="0" w:line="250" w:lineRule="auto"/>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the availability of fiscal and monetary stimulus measures to counteract the impact of natural disasters or public health emergencies, such as the COVID-19 pandemic;</w:t>
      </w:r>
    </w:p>
    <w:p>
      <w:pPr>
        <w:spacing w:after="0" w:line="68"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fluctuations in interest rates and inflation rates; and</w:t>
      </w:r>
    </w:p>
    <w:p>
      <w:pPr>
        <w:spacing w:after="0" w:line="103" w:lineRule="exact"/>
        <w:rPr>
          <w:rFonts w:ascii="Times New Roman" w:cs="Times New Roman" w:eastAsia="Times New Roman" w:hAnsi="Times New Roman"/>
          <w:sz w:val="13"/>
          <w:szCs w:val="13"/>
          <w:color w:val="231F20"/>
        </w:rPr>
      </w:pPr>
    </w:p>
    <w:p>
      <w:pPr>
        <w:ind w:left="900" w:hanging="383"/>
        <w:spacing w:after="0"/>
        <w:tabs>
          <w:tab w:leader="none" w:pos="900" w:val="left"/>
        </w:tabs>
        <w:numPr>
          <w:ilvl w:val="0"/>
          <w:numId w:val="51"/>
        </w:numPr>
        <w:rPr>
          <w:rFonts w:ascii="Times New Roman" w:cs="Times New Roman" w:eastAsia="Times New Roman" w:hAnsi="Times New Roman"/>
          <w:sz w:val="13"/>
          <w:szCs w:val="13"/>
          <w:color w:val="231F20"/>
        </w:rPr>
      </w:pPr>
      <w:r>
        <w:rPr>
          <w:rFonts w:ascii="Times New Roman" w:cs="Times New Roman" w:eastAsia="Times New Roman" w:hAnsi="Times New Roman"/>
          <w:sz w:val="18"/>
          <w:szCs w:val="18"/>
          <w:color w:val="231F20"/>
        </w:rPr>
        <w:t>general economic, political, industry and market conditions.</w:t>
      </w:r>
    </w:p>
    <w:p>
      <w:pPr>
        <w:spacing w:after="0" w:line="10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7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36" w:lineRule="exact"/>
        <w:rPr>
          <w:sz w:val="20"/>
          <w:szCs w:val="20"/>
          <w:color w:val="auto"/>
        </w:rPr>
      </w:pPr>
    </w:p>
    <w:p>
      <w:pPr>
        <w:ind w:right="140" w:firstLine="509"/>
        <w:spacing w:after="0" w:line="239" w:lineRule="auto"/>
        <w:rPr>
          <w:sz w:val="20"/>
          <w:szCs w:val="20"/>
          <w:color w:val="auto"/>
        </w:rPr>
      </w:pPr>
      <w:r>
        <w:rPr>
          <w:rFonts w:ascii="Times New Roman" w:cs="Times New Roman" w:eastAsia="Times New Roman" w:hAnsi="Times New Roman"/>
          <w:sz w:val="18"/>
          <w:szCs w:val="18"/>
          <w:color w:val="231F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6" w:lineRule="exact"/>
        <w:rPr>
          <w:sz w:val="20"/>
          <w:szCs w:val="20"/>
          <w:color w:val="auto"/>
        </w:rPr>
      </w:pPr>
    </w:p>
    <w:p>
      <w:pPr>
        <w:jc w:val="both"/>
        <w:ind w:right="80" w:firstLine="509"/>
        <w:spacing w:after="0"/>
        <w:rPr>
          <w:sz w:val="20"/>
          <w:szCs w:val="20"/>
          <w:color w:val="auto"/>
        </w:rPr>
      </w:pPr>
      <w:r>
        <w:rPr>
          <w:rFonts w:ascii="Times New Roman" w:cs="Times New Roman" w:eastAsia="Times New Roman" w:hAnsi="Times New Roman"/>
          <w:sz w:val="18"/>
          <w:szCs w:val="18"/>
          <w:color w:val="231F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231F20"/>
        </w:rPr>
        <w:t>Furthermore, our operating results may fluctuate due to a variety of other factors, many of which are outside of our control and may be difficult to predict, including the following:</w:t>
      </w:r>
    </w:p>
    <w:p>
      <w:pPr>
        <w:spacing w:after="0" w:line="40" w:lineRule="exact"/>
        <w:rPr>
          <w:sz w:val="20"/>
          <w:szCs w:val="20"/>
          <w:color w:val="auto"/>
        </w:rPr>
      </w:pPr>
    </w:p>
    <w:p>
      <w:pPr>
        <w:ind w:left="900" w:right="300" w:hanging="383"/>
        <w:spacing w:after="0" w:line="266" w:lineRule="auto"/>
        <w:tabs>
          <w:tab w:leader="none" w:pos="9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timing and cost of, and level of investment in, research and development activities relating to our programs, product candidates and any future programs and product candidates, which will change from time to time;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7" w:name="page78"/>
    <w:bookmarkEnd w:id="77"/>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ability to enroll patients in clinical trials and the timing of enrollment;</w:t>
      </w:r>
    </w:p>
    <w:p>
      <w:pPr>
        <w:spacing w:after="0" w:line="117" w:lineRule="exact"/>
        <w:rPr>
          <w:rFonts w:ascii="Times New Roman" w:cs="Times New Roman" w:eastAsia="Times New Roman" w:hAnsi="Times New Roman"/>
          <w:sz w:val="13"/>
          <w:szCs w:val="13"/>
          <w:color w:val="auto"/>
        </w:rPr>
      </w:pPr>
    </w:p>
    <w:p>
      <w:pPr>
        <w:ind w:left="900" w:right="280" w:hanging="383"/>
        <w:spacing w:after="0" w:line="250" w:lineRule="auto"/>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cost of establishing and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82"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expenditures that we will or may incur to acquire or develop additional product candidates and technologies or other assets;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timing and outcomes of clinical trials for our product candidates, or competing product candidates;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3"/>
          <w:szCs w:val="13"/>
          <w:color w:val="auto"/>
        </w:rPr>
      </w:pPr>
    </w:p>
    <w:p>
      <w:pPr>
        <w:ind w:left="900" w:right="880" w:hanging="383"/>
        <w:spacing w:after="0" w:line="266" w:lineRule="auto"/>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competition from existing and potential future products that compete with our programs and product candidates, and changes in the competitive landscape of our industry, including consolidation among our competitors or partners;</w:t>
      </w:r>
    </w:p>
    <w:p>
      <w:pPr>
        <w:spacing w:after="0" w:line="54"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any delays in regulatory review or approval of our product candidates;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level of demand for our product candidates, if approved, which may fluctuate significantly and be difficult to predict;</w:t>
      </w:r>
    </w:p>
    <w:p>
      <w:pPr>
        <w:spacing w:after="0" w:line="117" w:lineRule="exact"/>
        <w:rPr>
          <w:rFonts w:ascii="Times New Roman" w:cs="Times New Roman" w:eastAsia="Times New Roman" w:hAnsi="Times New Roman"/>
          <w:sz w:val="13"/>
          <w:szCs w:val="13"/>
          <w:color w:val="auto"/>
        </w:rPr>
      </w:pPr>
    </w:p>
    <w:p>
      <w:pPr>
        <w:ind w:left="900" w:right="200" w:hanging="383"/>
        <w:spacing w:after="0" w:line="266" w:lineRule="auto"/>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risk/benefit profile, cost and reimbursement policies with respect to our product candidates, if approved, and existing and potential future products that compete with any of our product candidates;</w:t>
      </w:r>
    </w:p>
    <w:p>
      <w:pPr>
        <w:spacing w:after="0" w:line="54" w:lineRule="exact"/>
        <w:rPr>
          <w:rFonts w:ascii="Times New Roman" w:cs="Times New Roman" w:eastAsia="Times New Roman" w:hAnsi="Times New Roman"/>
          <w:sz w:val="13"/>
          <w:szCs w:val="13"/>
          <w:color w:val="auto"/>
        </w:rPr>
      </w:pPr>
    </w:p>
    <w:p>
      <w:pPr>
        <w:ind w:left="900" w:right="600" w:hanging="383"/>
        <w:spacing w:after="0" w:line="282" w:lineRule="auto"/>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ability to commercialize any of our product candidates, if approved, inside and outside of the United States, either independently or working with third parties;</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ability to establish and maintain collaborations, licensing or other arrangements;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our ability to adequately support future growth;</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potential unforeseen business disruptions that increase our costs or expenses;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future accounting pronouncements or changes in our accounting policies;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the changing and volatile global economic and political environment; and</w:t>
      </w:r>
    </w:p>
    <w:p>
      <w:pPr>
        <w:spacing w:after="0" w:line="117" w:lineRule="exact"/>
        <w:rPr>
          <w:rFonts w:ascii="Times New Roman" w:cs="Times New Roman" w:eastAsia="Times New Roman" w:hAnsi="Times New Roman"/>
          <w:sz w:val="13"/>
          <w:szCs w:val="13"/>
          <w:color w:val="auto"/>
        </w:rPr>
      </w:pPr>
    </w:p>
    <w:p>
      <w:pPr>
        <w:ind w:left="900" w:right="500" w:hanging="383"/>
        <w:spacing w:after="0" w:line="266" w:lineRule="auto"/>
        <w:tabs>
          <w:tab w:leader="none" w:pos="9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increased impact from the COVID-19 pandemic on the costs and timing associated with the conduct of our clinical trial and other related business activities.</w:t>
      </w:r>
    </w:p>
    <w:p>
      <w:pPr>
        <w:spacing w:after="0" w:line="54"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231F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7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231F20"/>
        </w:rPr>
        <w:t>As of March 31, 2022, our executive officers, directors, holders of 5% or more of our capital stock and their respective affiliates beneficially owned approximately 75% of our common stock.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of a substantial number of shares of our common stock in the public market could cause our stock price to fall.</w:t>
      </w:r>
    </w:p>
    <w:p>
      <w:pPr>
        <w:spacing w:after="0" w:line="108"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8" w:name="page79"/>
    <w:bookmarkEnd w:id="78"/>
    <w:p>
      <w:pPr>
        <w:ind w:right="260"/>
        <w:spacing w:after="0" w:line="258" w:lineRule="auto"/>
        <w:rPr>
          <w:sz w:val="20"/>
          <w:szCs w:val="20"/>
          <w:color w:val="auto"/>
        </w:rPr>
      </w:pPr>
      <w:r>
        <w:rPr>
          <w:rFonts w:ascii="Times New Roman" w:cs="Times New Roman" w:eastAsia="Times New Roman" w:hAnsi="Times New Roman"/>
          <w:sz w:val="18"/>
          <w:szCs w:val="18"/>
          <w:color w:val="auto"/>
        </w:rPr>
        <w:t>Registration of these shares under the Securities Act of 1933, as amended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165"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231F20"/>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231F20"/>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Stock Market LLC (Nasdaq).</w:t>
      </w:r>
    </w:p>
    <w:p>
      <w:pPr>
        <w:spacing w:after="0" w:line="6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231F20"/>
        </w:rPr>
        <w:t>Our management and other personnel need to devote a substantial amount of time to these compliance initiatives. Moreover, these rules, regulations and standards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7"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231F20"/>
        </w:rPr>
        <w:t>In addition, as a public company we are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61"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8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securities litigation, which is expensive and could divert management attention.</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3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231F20"/>
        </w:rPr>
        <w:t>Our amended and restated certificate of incorporation and amended and restated bylaws contain provisions that could depress the market price of our common stock by acting to discourage, delay or prevent a change in control of our company or changes in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ind w:right="260"/>
        <w:spacing w:after="0" w:line="258" w:lineRule="auto"/>
        <w:rPr>
          <w:sz w:val="20"/>
          <w:szCs w:val="20"/>
          <w:color w:val="auto"/>
        </w:rPr>
      </w:pPr>
      <w:r>
        <w:rPr>
          <w:rFonts w:ascii="Times New Roman" w:cs="Times New Roman" w:eastAsia="Times New Roman" w:hAnsi="Times New Roman"/>
          <w:sz w:val="18"/>
          <w:szCs w:val="18"/>
          <w:color w:val="231F20"/>
        </w:rPr>
        <w:t>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75" w:lineRule="exact"/>
        <w:rPr>
          <w:sz w:val="20"/>
          <w:szCs w:val="20"/>
          <w:color w:val="auto"/>
        </w:rPr>
      </w:pPr>
    </w:p>
    <w:p>
      <w:pPr>
        <w:ind w:left="900" w:hanging="383"/>
        <w:spacing w:after="0"/>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establish a classified board of directors so that not all members of our board are elected at one time;</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permit only the board of directors to establish the number of directors and fill vacancies on the board;</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provide that directors may only be removed “for cause” and only with the approval of two-thirds of our stockholders;</w:t>
      </w:r>
    </w:p>
    <w:p>
      <w:pPr>
        <w:spacing w:after="0" w:line="103" w:lineRule="exact"/>
        <w:rPr>
          <w:rFonts w:ascii="Times New Roman" w:cs="Times New Roman" w:eastAsia="Times New Roman" w:hAnsi="Times New Roman"/>
          <w:sz w:val="13"/>
          <w:szCs w:val="13"/>
          <w:color w:val="auto"/>
        </w:rPr>
      </w:pPr>
    </w:p>
    <w:p>
      <w:pPr>
        <w:ind w:left="900" w:right="500" w:hanging="383"/>
        <w:spacing w:after="0" w:line="282" w:lineRule="auto"/>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authorize the issuance of “blank check” preferred stock that our board could use to implement a stockholder rights plan (also known as a poison pill);</w:t>
      </w:r>
    </w:p>
    <w:p>
      <w:pPr>
        <w:spacing w:after="0" w:line="40"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eliminate the ability of our stockholders to call special meetings of stockholders;</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prohibit cumulative voting;</w:t>
      </w:r>
    </w:p>
    <w:p>
      <w:pPr>
        <w:spacing w:after="0" w:line="103"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authorize our board of directors to amend the bylaws;</w:t>
      </w:r>
    </w:p>
    <w:p>
      <w:pPr>
        <w:spacing w:after="0" w:line="103" w:lineRule="exact"/>
        <w:rPr>
          <w:rFonts w:ascii="Times New Roman" w:cs="Times New Roman" w:eastAsia="Times New Roman" w:hAnsi="Times New Roman"/>
          <w:sz w:val="13"/>
          <w:szCs w:val="13"/>
          <w:color w:val="auto"/>
        </w:rPr>
      </w:pPr>
    </w:p>
    <w:p>
      <w:pPr>
        <w:ind w:left="900" w:hanging="383"/>
        <w:spacing w:after="0" w:line="282" w:lineRule="auto"/>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establish advance notice requirements for nominations for election to our board or for proposing matters that can be acted upon by stockholders at annual stockholder meetings; and</w:t>
      </w:r>
    </w:p>
    <w:p>
      <w:pPr>
        <w:spacing w:after="0" w:line="40" w:lineRule="exact"/>
        <w:rPr>
          <w:rFonts w:ascii="Times New Roman" w:cs="Times New Roman" w:eastAsia="Times New Roman" w:hAnsi="Times New Roman"/>
          <w:sz w:val="13"/>
          <w:szCs w:val="13"/>
          <w:color w:val="auto"/>
        </w:rPr>
      </w:pPr>
    </w:p>
    <w:p>
      <w:pPr>
        <w:ind w:left="900" w:right="160" w:hanging="383"/>
        <w:spacing w:after="0" w:line="266" w:lineRule="auto"/>
        <w:tabs>
          <w:tab w:leader="none" w:pos="9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require a super-majority vote of stockholders to amend or repeal specified provisions of our amended and restated certificate of incorporation and amended and restated bylaws.</w:t>
      </w:r>
    </w:p>
    <w:p>
      <w:pPr>
        <w:spacing w:after="0" w:line="68"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231F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231F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231F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87" w:lineRule="exact"/>
        <w:rPr>
          <w:sz w:val="20"/>
          <w:szCs w:val="20"/>
          <w:color w:val="auto"/>
        </w:rPr>
      </w:pPr>
    </w:p>
    <w:p>
      <w:pPr>
        <w:ind w:left="900" w:hanging="383"/>
        <w:spacing w:after="0"/>
        <w:tabs>
          <w:tab w:leader="none" w:pos="9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any derivative action or proceeding brought on our behalf;</w:t>
      </w:r>
    </w:p>
    <w:p>
      <w:pPr>
        <w:spacing w:after="0" w:line="11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any action asserting a claim of breach of fiduciary duty;</w:t>
      </w:r>
    </w:p>
    <w:p>
      <w:pPr>
        <w:spacing w:after="0" w:line="103" w:lineRule="exact"/>
        <w:rPr>
          <w:rFonts w:ascii="Times New Roman" w:cs="Times New Roman" w:eastAsia="Times New Roman" w:hAnsi="Times New Roman"/>
          <w:sz w:val="13"/>
          <w:szCs w:val="13"/>
          <w:color w:val="auto"/>
        </w:rPr>
      </w:pPr>
    </w:p>
    <w:p>
      <w:pPr>
        <w:ind w:left="900" w:right="400" w:hanging="383"/>
        <w:spacing w:after="0" w:line="266" w:lineRule="auto"/>
        <w:tabs>
          <w:tab w:leader="none" w:pos="9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any action asserting a claim against us arising under the DGCL, our amended and restated certificate of incorporation or our amended and restated bylaws; and</w:t>
      </w:r>
    </w:p>
    <w:p>
      <w:pPr>
        <w:spacing w:after="0" w:line="67" w:lineRule="exact"/>
        <w:rPr>
          <w:rFonts w:ascii="Times New Roman" w:cs="Times New Roman" w:eastAsia="Times New Roman" w:hAnsi="Times New Roman"/>
          <w:sz w:val="13"/>
          <w:szCs w:val="13"/>
          <w:color w:val="auto"/>
        </w:rPr>
      </w:pPr>
    </w:p>
    <w:p>
      <w:pPr>
        <w:ind w:left="900" w:hanging="383"/>
        <w:spacing w:after="0"/>
        <w:tabs>
          <w:tab w:leader="none" w:pos="9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231F20"/>
        </w:rPr>
        <w:t>any action asserting a claim against us that is governed by the internal-affairs doctrine.</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or any other claim for which the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federal courts have exclusive jurisdiction.</w:t>
      </w:r>
    </w:p>
    <w:p>
      <w:pPr>
        <w:spacing w:after="0" w:line="97"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231F20"/>
        </w:rPr>
        <w:t>Our amended and restated bylaws further provide that the federal district courts of the United States of America will be the exclusive forum for resolving any complaint asserting a cause of action arising under the Securities Act.</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80" w:name="page81"/>
    <w:bookmarkEnd w:id="80"/>
    <w:p>
      <w:pPr>
        <w:ind w:firstLine="509"/>
        <w:spacing w:after="0" w:line="250" w:lineRule="auto"/>
        <w:rPr>
          <w:sz w:val="20"/>
          <w:szCs w:val="20"/>
          <w:color w:val="auto"/>
        </w:rPr>
      </w:pPr>
      <w:r>
        <w:rPr>
          <w:rFonts w:ascii="Times New Roman" w:cs="Times New Roman" w:eastAsia="Times New Roman" w:hAnsi="Times New Roman"/>
          <w:sz w:val="18"/>
          <w:szCs w:val="18"/>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ind w:left="620" w:right="8260" w:hanging="612"/>
        <w:spacing w:after="0" w:line="537" w:lineRule="auto"/>
        <w:tabs>
          <w:tab w:leader="none" w:pos="517"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of Unregistered Securities </w:t>
      </w:r>
      <w:r>
        <w:rPr>
          <w:rFonts w:ascii="Times New Roman" w:cs="Times New Roman" w:eastAsia="Times New Roman" w:hAnsi="Times New Roman"/>
          <w:sz w:val="18"/>
          <w:szCs w:val="18"/>
          <w:color w:val="auto"/>
        </w:rPr>
        <w:t>None.</w:t>
      </w:r>
    </w:p>
    <w:p>
      <w:pPr>
        <w:spacing w:after="0" w:line="32" w:lineRule="exact"/>
        <w:rPr>
          <w:rFonts w:ascii="Times New Roman" w:cs="Times New Roman" w:eastAsia="Times New Roman" w:hAnsi="Times New Roman"/>
          <w:sz w:val="18"/>
          <w:szCs w:val="18"/>
          <w:b w:val="1"/>
          <w:bCs w:val="1"/>
          <w:color w:val="auto"/>
        </w:rPr>
      </w:pPr>
    </w:p>
    <w:p>
      <w:pPr>
        <w:ind w:left="520" w:right="6400" w:hanging="512"/>
        <w:spacing w:after="0" w:line="396" w:lineRule="auto"/>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Public Offering of Common Stock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20" w:right="7840" w:hanging="512"/>
        <w:spacing w:after="0" w:line="412" w:lineRule="auto"/>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40" w:type="dxa"/>
            <w:vAlign w:val="bottom"/>
          </w:tcPr>
          <w:p>
            <w:pPr>
              <w:jc w:val="center"/>
              <w:ind w:left="134"/>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80" w:type="dxa"/>
            <w:vAlign w:val="bottom"/>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29"/>
        </w:trPr>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highlight w:val="white"/>
                <w:w w:val="97"/>
              </w:rPr>
              <w:t>3.1</w:t>
            </w:r>
          </w:p>
        </w:tc>
        <w:tc>
          <w:tcPr>
            <w:tcW w:w="134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10"/>
            <w:vMerge w:val="continue"/>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4580" w:type="dxa"/>
            <w:vAlign w:val="bottom"/>
            <w:gridSpan w:val="16"/>
          </w:tcPr>
          <w:p>
            <w:pPr>
              <w:spacing w:after="0" w:line="142"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Amended and Restated Certificate of Incorporation of Tenaya</w:t>
              </w:r>
            </w:hyperlink>
          </w:p>
        </w:tc>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8-K</w:t>
            </w:r>
          </w:p>
        </w:tc>
        <w:tc>
          <w:tcPr>
            <w:tcW w:w="154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001-40656</w:t>
            </w:r>
          </w:p>
        </w:tc>
        <w:tc>
          <w:tcPr>
            <w:tcW w:w="1040" w:type="dxa"/>
            <w:vAlign w:val="bottom"/>
          </w:tcPr>
          <w:p>
            <w:pPr>
              <w:jc w:val="center"/>
              <w:ind w:left="134"/>
              <w:spacing w:after="0" w:line="142" w:lineRule="exact"/>
              <w:rPr>
                <w:sz w:val="20"/>
                <w:szCs w:val="20"/>
                <w:color w:val="auto"/>
              </w:rPr>
            </w:pPr>
            <w:r>
              <w:rPr>
                <w:rFonts w:ascii="Times New Roman" w:cs="Times New Roman" w:eastAsia="Times New Roman" w:hAnsi="Times New Roman"/>
                <w:sz w:val="16"/>
                <w:szCs w:val="16"/>
                <w:color w:val="auto"/>
              </w:rPr>
              <w:t>3.1</w:t>
            </w:r>
          </w:p>
        </w:tc>
        <w:tc>
          <w:tcPr>
            <w:tcW w:w="128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6"/>
                <w:szCs w:val="16"/>
                <w:color w:val="auto"/>
              </w:rPr>
              <w:t>8-3-2021</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221">
              <w:r>
                <w:rPr>
                  <w:rFonts w:ascii="Times New Roman" w:cs="Times New Roman" w:eastAsia="Times New Roman" w:hAnsi="Times New Roman"/>
                  <w:sz w:val="18"/>
                  <w:szCs w:val="18"/>
                  <w:color w:val="0000FF"/>
                  <w:w w:val="98"/>
                </w:rPr>
                <w:t>Therapeutics,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318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3.2</w:t>
            </w:r>
          </w:p>
        </w:tc>
        <w:tc>
          <w:tcPr>
            <w:tcW w:w="1340" w:type="dxa"/>
            <w:vAlign w:val="bottom"/>
          </w:tcPr>
          <w:p>
            <w:pPr>
              <w:spacing w:after="0"/>
              <w:rPr>
                <w:sz w:val="24"/>
                <w:szCs w:val="24"/>
                <w:color w:val="auto"/>
              </w:rPr>
            </w:pPr>
          </w:p>
        </w:tc>
        <w:tc>
          <w:tcPr>
            <w:tcW w:w="43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Amended and Restated Bylaws of Tenaya Therapeutics, Inc.</w:t>
              </w:r>
            </w:hyperlink>
          </w:p>
        </w:tc>
        <w:tc>
          <w:tcPr>
            <w:tcW w:w="20" w:type="dxa"/>
            <w:vAlign w:val="bottom"/>
            <w:tcBorders>
              <w:bottom w:val="single" w:sz="8" w:color="0000EE"/>
            </w:tcBorders>
          </w:tcPr>
          <w:p>
            <w:pPr>
              <w:spacing w:after="0"/>
              <w:rPr>
                <w:sz w:val="24"/>
                <w:szCs w:val="24"/>
                <w:color w:val="auto"/>
              </w:rPr>
            </w:pPr>
          </w:p>
        </w:tc>
        <w:tc>
          <w:tcPr>
            <w:tcW w:w="200" w:type="dxa"/>
            <w:vAlign w:val="bottom"/>
            <w:gridSpan w:val="5"/>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001-40656</w:t>
            </w:r>
          </w:p>
        </w:tc>
        <w:tc>
          <w:tcPr>
            <w:tcW w:w="1040" w:type="dxa"/>
            <w:vAlign w:val="bottom"/>
          </w:tcPr>
          <w:p>
            <w:pPr>
              <w:jc w:val="center"/>
              <w:ind w:left="134"/>
              <w:spacing w:after="0"/>
              <w:rPr>
                <w:sz w:val="20"/>
                <w:szCs w:val="20"/>
                <w:color w:val="auto"/>
              </w:rPr>
            </w:pPr>
            <w:r>
              <w:rPr>
                <w:rFonts w:ascii="Times New Roman" w:cs="Times New Roman" w:eastAsia="Times New Roman" w:hAnsi="Times New Roman"/>
                <w:sz w:val="18"/>
                <w:szCs w:val="18"/>
                <w:color w:val="auto"/>
                <w:w w:val="97"/>
              </w:rPr>
              <w:t>3.2</w:t>
            </w:r>
          </w:p>
        </w:tc>
        <w:tc>
          <w:tcPr>
            <w:tcW w:w="12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8-3-2021</w:t>
            </w:r>
          </w:p>
        </w:tc>
        <w:tc>
          <w:tcPr>
            <w:tcW w:w="0" w:type="dxa"/>
            <w:vAlign w:val="bottom"/>
          </w:tcPr>
          <w:p>
            <w:pPr>
              <w:spacing w:after="0"/>
              <w:rPr>
                <w:sz w:val="1"/>
                <w:szCs w:val="1"/>
                <w:color w:val="auto"/>
              </w:rPr>
            </w:pPr>
          </w:p>
        </w:tc>
      </w:tr>
      <w:tr>
        <w:trPr>
          <w:trHeight w:val="304"/>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w w:val="99"/>
              </w:rPr>
              <w:t>13a-14(a) and 15d-14(a) under the Securities Exchange Act of</w:t>
            </w:r>
          </w:p>
        </w:tc>
        <w:tc>
          <w:tcPr>
            <w:tcW w:w="60" w:type="dxa"/>
            <w:vAlign w:val="bottom"/>
            <w:tcBorders>
              <w:bottom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540" w:type="dxa"/>
            <w:vAlign w:val="bottom"/>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820" w:type="dxa"/>
            <w:vAlign w:val="bottom"/>
            <w:tcBorders>
              <w:top w:val="single" w:sz="8" w:color="0000FF"/>
            </w:tcBorders>
            <w:gridSpan w:val="3"/>
          </w:tcPr>
          <w:p>
            <w:pPr>
              <w:spacing w:after="0"/>
              <w:rPr>
                <w:sz w:val="14"/>
                <w:szCs w:val="14"/>
                <w:color w:val="auto"/>
              </w:rPr>
            </w:pPr>
          </w:p>
        </w:tc>
        <w:tc>
          <w:tcPr>
            <w:tcW w:w="20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140" w:type="dxa"/>
            <w:vAlign w:val="bottom"/>
            <w:gridSpan w:val="4"/>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58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54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1934, as Adopted Pursuant to Section 302 of the Sarbanes-</w:t>
            </w: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820" w:type="dxa"/>
            <w:vAlign w:val="bottom"/>
            <w:tcBorders>
              <w:top w:val="single" w:sz="8" w:color="0000FF"/>
            </w:tcBorders>
            <w:gridSpan w:val="3"/>
          </w:tcPr>
          <w:p>
            <w:pPr>
              <w:spacing w:after="0"/>
              <w:rPr>
                <w:sz w:val="14"/>
                <w:szCs w:val="14"/>
                <w:color w:val="auto"/>
              </w:rPr>
            </w:pPr>
          </w:p>
        </w:tc>
        <w:tc>
          <w:tcPr>
            <w:tcW w:w="340" w:type="dxa"/>
            <w:vAlign w:val="bottom"/>
            <w:gridSpan w:val="7"/>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420" w:type="dxa"/>
            <w:vAlign w:val="bottom"/>
            <w:gridSpan w:val="8"/>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460" w:type="dxa"/>
            <w:vAlign w:val="bottom"/>
            <w:tcBorders>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6"/>
              </w:rPr>
              <w:t>Act of</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bottom w:val="single" w:sz="8" w:color="0000EE"/>
            </w:tcBorders>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5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auto"/>
              </w:rPr>
              <w:t>not appear in the Interactive Data File because XBRL tags are</w:t>
            </w:r>
          </w:p>
        </w:tc>
        <w:tc>
          <w:tcPr>
            <w:tcW w:w="1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1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-4251325</wp:posOffset>
            </wp:positionV>
            <wp:extent cx="88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1560" w:firstLine="8"/>
        <w:spacing w:after="0" w:line="243" w:lineRule="auto"/>
        <w:tabs>
          <w:tab w:leader="none" w:pos="1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2" w:name="page83"/>
    <w:bookmarkEnd w:id="8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198" w:lineRule="exact"/>
        <w:rPr>
          <w:sz w:val="20"/>
          <w:szCs w:val="20"/>
          <w:color w:val="auto"/>
        </w:rPr>
      </w:pPr>
    </w:p>
    <w:p>
      <w:pPr>
        <w:ind w:left="20"/>
        <w:spacing w:after="0"/>
        <w:tabs>
          <w:tab w:leader="none" w:pos="5640" w:val="left"/>
          <w:tab w:leader="none" w:pos="782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Faraz Ali, M.B.A.</w:t>
      </w:r>
    </w:p>
    <w:p>
      <w:pPr>
        <w:ind w:left="7180"/>
        <w:spacing w:after="0" w:line="219" w:lineRule="auto"/>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ind w:left="75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78" w:lineRule="exact"/>
        <w:rPr>
          <w:sz w:val="20"/>
          <w:szCs w:val="20"/>
          <w:color w:val="auto"/>
        </w:rPr>
      </w:pPr>
    </w:p>
    <w:p>
      <w:pPr>
        <w:ind w:left="20"/>
        <w:spacing w:after="0"/>
        <w:tabs>
          <w:tab w:leader="none" w:pos="5640" w:val="left"/>
          <w:tab w:leader="none" w:pos="7460" w:val="left"/>
        </w:tabs>
        <w:rPr>
          <w:sz w:val="20"/>
          <w:szCs w:val="20"/>
          <w:color w:val="auto"/>
        </w:rPr>
      </w:pPr>
      <w:r>
        <w:rPr>
          <w:rFonts w:ascii="Times New Roman" w:cs="Times New Roman" w:eastAsia="Times New Roman" w:hAnsi="Times New Roman"/>
          <w:sz w:val="18"/>
          <w:szCs w:val="18"/>
          <w:color w:val="auto"/>
        </w:rPr>
        <w:t>Date: 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Leone D. Patterson, M.B.A.</w:t>
      </w:r>
    </w:p>
    <w:p>
      <w:pPr>
        <w:ind w:left="720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and Business Officer</w:t>
      </w:r>
    </w:p>
    <w:p>
      <w:pPr>
        <w:ind w:left="68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ind w:right="-59"/>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Faraz Ali, M.B.A., certify that:</w:t>
      </w:r>
    </w:p>
    <w:p>
      <w:pPr>
        <w:spacing w:after="0" w:line="212" w:lineRule="exact"/>
        <w:rPr>
          <w:sz w:val="20"/>
          <w:szCs w:val="20"/>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Tenaya Therapeutics, Inc.;</w:t>
      </w:r>
    </w:p>
    <w:p>
      <w:pPr>
        <w:spacing w:after="0" w:line="211" w:lineRule="exact"/>
        <w:rPr>
          <w:rFonts w:ascii="Times New Roman" w:cs="Times New Roman" w:eastAsia="Times New Roman" w:hAnsi="Times New Roman"/>
          <w:sz w:val="18"/>
          <w:szCs w:val="18"/>
          <w:color w:val="auto"/>
        </w:rPr>
      </w:pPr>
    </w:p>
    <w:p>
      <w:pPr>
        <w:jc w:val="both"/>
        <w:ind w:left="380" w:right="360" w:hanging="372"/>
        <w:spacing w:after="0" w:line="258"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380" w:right="320" w:hanging="372"/>
        <w:spacing w:after="0" w:line="282"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ind w:left="380" w:right="360" w:hanging="372"/>
        <w:spacing w:after="0" w:line="266"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ind w:left="760" w:right="240" w:hanging="378"/>
        <w:spacing w:after="0" w:line="250"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60" w:right="720" w:hanging="378"/>
        <w:spacing w:after="0" w:line="312" w:lineRule="auto"/>
        <w:tabs>
          <w:tab w:leader="none" w:pos="7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7"/>
          <w:szCs w:val="17"/>
          <w:color w:val="auto"/>
        </w:rPr>
      </w:pPr>
    </w:p>
    <w:p>
      <w:pPr>
        <w:ind w:left="760" w:right="240" w:hanging="378"/>
        <w:spacing w:after="0" w:line="258"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380" w:right="40" w:hanging="372"/>
        <w:spacing w:after="0" w:line="266"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84" w:name="page85"/>
    <w:bookmarkEnd w:id="84"/>
    <w:p>
      <w:pPr>
        <w:ind w:left="59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Faraz Ali, M.B.A.</w:t>
            </w:r>
          </w:p>
        </w:tc>
      </w:tr>
      <w:tr>
        <w:trPr>
          <w:trHeight w:val="250"/>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Faraz Ali, M.B.A.</w:t>
            </w:r>
          </w:p>
        </w:tc>
      </w:tr>
      <w:tr>
        <w:trPr>
          <w:trHeight w:val="223"/>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Chief Executive Officer and Director </w:t>
            </w:r>
            <w:r>
              <w:rPr>
                <w:rFonts w:ascii="Times New Roman" w:cs="Times New Roman" w:eastAsia="Times New Roman" w:hAnsi="Times New Roman"/>
                <w:sz w:val="18"/>
                <w:szCs w:val="18"/>
                <w:i w:val="1"/>
                <w:iCs w:val="1"/>
                <w:color w:val="auto"/>
              </w:rPr>
              <w:t>(Principal Executive</w:t>
            </w:r>
          </w:p>
        </w:tc>
      </w:tr>
      <w:tr>
        <w:trPr>
          <w:trHeight w:val="236"/>
        </w:trPr>
        <w:tc>
          <w:tcPr>
            <w:tcW w:w="670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Officer)</w:t>
            </w:r>
          </w:p>
        </w:tc>
      </w:tr>
      <w:tr>
        <w:trPr>
          <w:trHeight w:val="560"/>
        </w:trPr>
        <w:tc>
          <w:tcPr>
            <w:tcW w:w="6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Leone D. Patterson, M.B.A., certify that:</w:t>
      </w:r>
    </w:p>
    <w:p>
      <w:pPr>
        <w:spacing w:after="0" w:line="225"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Tenaya Therapeutics, Inc.;</w:t>
      </w:r>
    </w:p>
    <w:p>
      <w:pPr>
        <w:spacing w:after="0" w:line="211" w:lineRule="exact"/>
        <w:rPr>
          <w:rFonts w:ascii="Times New Roman" w:cs="Times New Roman" w:eastAsia="Times New Roman" w:hAnsi="Times New Roman"/>
          <w:sz w:val="18"/>
          <w:szCs w:val="18"/>
          <w:color w:val="auto"/>
        </w:rPr>
      </w:pPr>
    </w:p>
    <w:p>
      <w:pPr>
        <w:jc w:val="both"/>
        <w:ind w:left="380" w:right="360" w:hanging="372"/>
        <w:spacing w:after="0" w:line="258"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380" w:right="320" w:hanging="372"/>
        <w:spacing w:after="0" w:line="266"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8"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760" w:right="720" w:hanging="378"/>
        <w:spacing w:after="0" w:line="296" w:lineRule="auto"/>
        <w:tabs>
          <w:tab w:leader="none" w:pos="76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ind w:left="760" w:right="240" w:hanging="378"/>
        <w:spacing w:after="0" w:line="250"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380" w:right="40" w:hanging="372"/>
        <w:spacing w:after="0" w:line="266" w:lineRule="auto"/>
        <w:tabs>
          <w:tab w:leader="none" w:pos="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6" w:name="page87"/>
    <w:bookmarkEnd w:id="86"/>
    <w:p>
      <w:pPr>
        <w:ind w:left="598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Leone D. Patterson, M.B.A.</w:t>
            </w:r>
          </w:p>
        </w:tc>
      </w:tr>
      <w:tr>
        <w:trPr>
          <w:trHeight w:val="250"/>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Leone D. Patterson, M.B.A.</w:t>
            </w:r>
          </w:p>
        </w:tc>
      </w:tr>
      <w:tr>
        <w:trPr>
          <w:trHeight w:val="223"/>
        </w:trPr>
        <w:tc>
          <w:tcPr>
            <w:tcW w:w="670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and Business Officer</w:t>
            </w:r>
          </w:p>
        </w:tc>
      </w:tr>
      <w:tr>
        <w:trPr>
          <w:trHeight w:val="236"/>
        </w:trPr>
        <w:tc>
          <w:tcPr>
            <w:tcW w:w="670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588"/>
        </w:trPr>
        <w:tc>
          <w:tcPr>
            <w:tcW w:w="6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w:t>
      </w:r>
    </w:p>
    <w:p>
      <w:pPr>
        <w:spacing w:after="0" w:line="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PURSUANT TO</w:t>
      </w:r>
    </w:p>
    <w:p>
      <w:pPr>
        <w:ind w:left="4720"/>
        <w:spacing w:after="0" w:line="235" w:lineRule="auto"/>
        <w:rPr>
          <w:sz w:val="20"/>
          <w:szCs w:val="20"/>
          <w:color w:val="auto"/>
        </w:rPr>
      </w:pPr>
      <w:r>
        <w:rPr>
          <w:rFonts w:ascii="Times New Roman" w:cs="Times New Roman" w:eastAsia="Times New Roman" w:hAnsi="Times New Roman"/>
          <w:sz w:val="16"/>
          <w:szCs w:val="16"/>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 Faraz Ali, M.B.A., certify, pursuant to 18 U.S.C. Section 1350 as adopted pursuant to Section 906 of the Sarbanes-Oxley Act of 2002, that, (1) the Quarterly Report on Form 10-Q of Tenaya Therapeutics, Inc. for the quarterly period ended March 31, 2022, as filed with the Securities and Exchange Commission on the date hereof (the “Report”), fully complies with the requirements of Section 13(a) or 15(d) of the Securities Exchange Act of 1934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3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Faraz Ali, M.B.A.</w:t>
      </w:r>
    </w:p>
    <w:p>
      <w:pPr>
        <w:spacing w:after="0" w:line="3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 Leone D. Patterson, M.B.A., certify, pursuant to 18 U.S.C. Section 1350 as adopted pursuant to Section 906 of the Sarbanes-Oxley Act of 2002, that, (1) the Quarterly Report on Form 10-Q of Tenaya Therapeutics, Inc. for the quarterly period ended March 31, 2022, as filed with the Securities and Exchange Commission on the date hereof (the “Report”), fully complies with the requirements of Section 13(a) or 15(d) of the Securities Exchange Act of 1934 and</w:t>
      </w:r>
    </w:p>
    <w:p>
      <w:pPr>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Leone D. Patterson, M.B.A.</w:t>
      </w:r>
    </w:p>
    <w:p>
      <w:pPr>
        <w:spacing w:after="0" w:line="3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1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2"/>
    </w:lvl>
  </w:abstractNum>
  <w:abstractNum w:abstractNumId="6">
    <w:nsid w:val="4516DDE9"/>
    <w:multiLevelType w:val="hybridMultilevel"/>
    <w:lvl w:ilvl="0">
      <w:lvlJc w:val="left"/>
      <w:lvlText w:val="%1."/>
      <w:numFmt w:val="decimal"/>
      <w:start w:val="3"/>
    </w:lvl>
  </w:abstractNum>
  <w:abstractNum w:abstractNumId="7">
    <w:nsid w:val="3006C83E"/>
    <w:multiLevelType w:val="hybridMultilevel"/>
    <w:lvl w:ilvl="0">
      <w:lvlJc w:val="left"/>
      <w:lvlText w:val="%1."/>
      <w:numFmt w:val="decimal"/>
      <w:start w:val="5"/>
    </w:lvl>
  </w:abstractNum>
  <w:abstractNum w:abstractNumId="8">
    <w:nsid w:val="614FD4A1"/>
    <w:multiLevelType w:val="hybridMultilevel"/>
    <w:lvl w:ilvl="0">
      <w:lvlJc w:val="left"/>
      <w:lvlText w:val="%1."/>
      <w:numFmt w:val="decimal"/>
      <w:start w:val="6"/>
    </w:lvl>
  </w:abstractNum>
  <w:abstractNum w:abstractNumId="9">
    <w:nsid w:val="419AC241"/>
    <w:multiLevelType w:val="hybridMultilevel"/>
    <w:lvl w:ilvl="0">
      <w:lvlJc w:val="left"/>
      <w:lvlText w:val="%1."/>
      <w:numFmt w:val="decimal"/>
      <w:start w:val="7"/>
    </w:lvl>
  </w:abstractNum>
  <w:abstractNum w:abstractNumId="10">
    <w:nsid w:val="5577F8E1"/>
    <w:multiLevelType w:val="hybridMultilevel"/>
    <w:lvl w:ilvl="0">
      <w:lvlJc w:val="left"/>
      <w:lvlText w:val="%1."/>
      <w:numFmt w:val="decimal"/>
      <w:start w:val="8"/>
    </w:lvl>
  </w:abstractNum>
  <w:abstractNum w:abstractNumId="11">
    <w:nsid w:val="440BADFC"/>
    <w:multiLevelType w:val="hybridMultilevel"/>
    <w:lvl w:ilvl="0">
      <w:lvlJc w:val="left"/>
      <w:lvlText w:val="%1."/>
      <w:numFmt w:val="decimal"/>
      <w:start w:val="9"/>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lvl w:ilvl="1">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21" Type="http://schemas.openxmlformats.org/officeDocument/2006/relationships/hyperlink" Target="https://www.sec.gov/Archives/edgar/data/1858848/000119312521235079/d193163dex31.htm" TargetMode="External"/><Relationship Id="rId222" Type="http://schemas.openxmlformats.org/officeDocument/2006/relationships/hyperlink" Target="https://www.sec.gov/Archives/edgar/data/1858848/000119312521235079/d19316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2022-05-11T15:36:15Z</dcterms:created>
  <dcterms:modified xsi:type="dcterms:W3CDTF">2022-05-11T15:36:15Z</dcterms:modified>
</cp:coreProperties>
</file>