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40" w:hanging="4079"/>
        <w:spacing w:after="0" w:line="325"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3120" w:right="2500" w:hanging="3099"/>
        <w:spacing w:after="0" w:line="334" w:lineRule="auto"/>
        <w:tabs>
          <w:tab w:leader="none" w:pos="482"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FROM___________TO___________</w:t>
      </w:r>
    </w:p>
    <w:p>
      <w:pPr>
        <w:ind w:left="43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001-40656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TENAYA THERAPEUTICS, INC.</w:t>
      </w:r>
    </w:p>
    <w:p>
      <w:pPr>
        <w:sectPr>
          <w:pgSz w:w="11900" w:h="16838" w:orient="portrait"/>
          <w:cols w:equalWidth="0" w:num="1">
            <w:col w:w="11240"/>
          </w:cols>
          <w:pgMar w:left="320" w:top="1249" w:right="339" w:bottom="1440" w:gutter="0" w:footer="0" w:header="0"/>
        </w:sectPr>
      </w:pPr>
    </w:p>
    <w:p>
      <w:pPr>
        <w:spacing w:after="0" w:line="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6"/>
          <w:szCs w:val="16"/>
          <w:b w:val="1"/>
          <w:bCs w:val="1"/>
          <w:color w:val="auto"/>
        </w:rPr>
        <w:t>171 Oyster Point Boulevard, Suite 500</w:t>
      </w:r>
    </w:p>
    <w:p>
      <w:pPr>
        <w:spacing w:after="0" w:line="1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6"/>
          <w:szCs w:val="16"/>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81-3789973</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15"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94080</w:t>
      </w:r>
    </w:p>
    <w:p>
      <w:pPr>
        <w:spacing w:after="0" w:line="28" w:lineRule="exact"/>
        <w:rPr>
          <w:sz w:val="24"/>
          <w:szCs w:val="24"/>
          <w:color w:val="auto"/>
        </w:rPr>
      </w:pPr>
    </w:p>
    <w:p>
      <w:pPr>
        <w:sectPr>
          <w:pgSz w:w="11900" w:h="16838" w:orient="portrait"/>
          <w:cols w:equalWidth="0" w:num="2">
            <w:col w:w="7640" w:space="300"/>
            <w:col w:w="3300"/>
          </w:cols>
          <w:pgMar w:left="320" w:top="1249"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(650) 825-6990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22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5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40" w:type="dxa"/>
            <w:vAlign w:val="bottom"/>
          </w:tcPr>
          <w:p>
            <w:pPr>
              <w:spacing w:after="0"/>
              <w:rPr>
                <w:sz w:val="13"/>
                <w:szCs w:val="13"/>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220" w:type="dxa"/>
            <w:vAlign w:val="bottom"/>
          </w:tcPr>
          <w:p>
            <w:pPr>
              <w:spacing w:after="0"/>
              <w:rPr>
                <w:sz w:val="13"/>
                <w:szCs w:val="13"/>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158"/>
        </w:trPr>
        <w:tc>
          <w:tcPr>
            <w:tcW w:w="4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Common Stock $0.0001 par value per share</w:t>
            </w:r>
          </w:p>
        </w:tc>
        <w:tc>
          <w:tcPr>
            <w:tcW w:w="2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TNYA</w:t>
            </w:r>
          </w:p>
        </w:tc>
        <w:tc>
          <w:tcPr>
            <w:tcW w:w="220" w:type="dxa"/>
            <w:vAlign w:val="bottom"/>
          </w:tcPr>
          <w:p>
            <w:pPr>
              <w:spacing w:after="0"/>
              <w:rPr>
                <w:sz w:val="13"/>
                <w:szCs w:val="13"/>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r>
      <w:tr>
        <w:trPr>
          <w:trHeight w:val="171"/>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80" w:type="dxa"/>
            <w:vAlign w:val="bottom"/>
          </w:tcPr>
          <w:p>
            <w:pPr>
              <w:spacing w:after="0"/>
              <w:rPr>
                <w:sz w:val="14"/>
                <w:szCs w:val="14"/>
                <w:color w:val="auto"/>
              </w:rPr>
            </w:pPr>
          </w:p>
        </w:tc>
      </w:tr>
    </w:tbl>
    <w:p>
      <w:pPr>
        <w:spacing w:after="0" w:line="10" w:lineRule="exact"/>
        <w:rPr>
          <w:sz w:val="24"/>
          <w:szCs w:val="24"/>
          <w:color w:val="auto"/>
        </w:rPr>
      </w:pPr>
    </w:p>
    <w:p>
      <w:pPr>
        <w:ind w:right="4580"/>
        <w:spacing w:after="0" w:line="20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 w:lineRule="exact"/>
        <w:rPr>
          <w:sz w:val="24"/>
          <w:szCs w:val="24"/>
          <w:color w:val="auto"/>
        </w:rPr>
      </w:pPr>
    </w:p>
    <w:p>
      <w:pPr>
        <w:ind w:right="1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0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78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Accelerated filer</w:t>
            </w:r>
          </w:p>
        </w:tc>
        <w:tc>
          <w:tcPr>
            <w:tcW w:w="620" w:type="dxa"/>
            <w:vAlign w:val="bottom"/>
          </w:tcPr>
          <w:p>
            <w:pPr>
              <w:ind w:left="52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57"/>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78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20" w:type="dxa"/>
            <w:vAlign w:val="bottom"/>
          </w:tcPr>
          <w:p>
            <w:pPr>
              <w:ind w:left="52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78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pacing w:after="0" w:line="18"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 w:lineRule="exact"/>
        <w:rPr>
          <w:sz w:val="24"/>
          <w:szCs w:val="24"/>
          <w:color w:val="auto"/>
        </w:rPr>
      </w:pPr>
    </w:p>
    <w:p>
      <w:pPr>
        <w:ind w:right="1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40"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20"/>
        <w:spacing w:after="0"/>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on the Nasdaq Global Select Stock Market on June 30, 2024 was approximately $170.5 million.</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4, 2025 was 87,582,646.</w:t>
      </w:r>
    </w:p>
    <w:p>
      <w:pPr>
        <w:spacing w:after="0" w:line="4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15" w:lineRule="exact"/>
        <w:rPr>
          <w:sz w:val="24"/>
          <w:szCs w:val="24"/>
          <w:color w:val="auto"/>
        </w:rPr>
      </w:pPr>
    </w:p>
    <w:p>
      <w:pPr>
        <w:ind w:right="400"/>
        <w:spacing w:after="0" w:line="238" w:lineRule="auto"/>
        <w:rPr>
          <w:sz w:val="20"/>
          <w:szCs w:val="20"/>
          <w:color w:val="auto"/>
        </w:rPr>
      </w:pPr>
      <w:r>
        <w:rPr>
          <w:rFonts w:ascii="Times New Roman" w:cs="Times New Roman" w:eastAsia="Times New Roman" w:hAnsi="Times New Roman"/>
          <w:sz w:val="13"/>
          <w:szCs w:val="13"/>
          <w:color w:val="auto"/>
        </w:rPr>
        <w:t>Portions of the definitive proxy statement for the Registrant’s 2024 Annual Meeting of Stockholders are incorporated by reference in Part III of this Form 10-K. Such definitive proxy statement will be filed with the Securities and Exchange Commission within 120 days after the end of the Registrant’s 2024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4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1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7"/>
            <w:vMerge w:val="continue"/>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7"/>
                <w:szCs w:val="17"/>
                <w:color w:val="auto"/>
              </w:rPr>
            </w:pPr>
          </w:p>
        </w:tc>
        <w:tc>
          <w:tcPr>
            <w:tcW w:w="8260" w:type="dxa"/>
            <w:vAlign w:val="bottom"/>
            <w:gridSpan w:val="19"/>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140" w:type="dxa"/>
            <w:vAlign w:val="bottom"/>
            <w:gridSpan w:val="1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180" w:type="dxa"/>
            <w:vAlign w:val="bottom"/>
            <w:gridSpan w:val="18"/>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7"/>
                <w:szCs w:val="17"/>
                <w:color w:val="auto"/>
              </w:rPr>
            </w:pPr>
          </w:p>
        </w:tc>
        <w:tc>
          <w:tcPr>
            <w:tcW w:w="8440" w:type="dxa"/>
            <w:vAlign w:val="bottom"/>
            <w:gridSpan w:val="21"/>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60" w:type="dxa"/>
            <w:vAlign w:val="bottom"/>
            <w:gridSpan w:val="4"/>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400" w:type="dxa"/>
            <w:vAlign w:val="bottom"/>
            <w:tcBorders>
              <w:top w:val="single" w:sz="8" w:color="0000FF"/>
            </w:tcBorders>
            <w:gridSpan w:val="22"/>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20" w:type="dxa"/>
            <w:vAlign w:val="bottom"/>
            <w:gridSpan w:val="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840" w:type="dxa"/>
            <w:vAlign w:val="bottom"/>
            <w:gridSpan w:val="6"/>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2"/>
          </w:tcPr>
          <w:p>
            <w:pPr>
              <w:spacing w:after="0"/>
              <w:rPr>
                <w:sz w:val="17"/>
                <w:szCs w:val="17"/>
                <w:color w:val="auto"/>
              </w:rPr>
            </w:pPr>
          </w:p>
        </w:tc>
        <w:tc>
          <w:tcPr>
            <w:tcW w:w="2720" w:type="dxa"/>
            <w:vAlign w:val="bottom"/>
            <w:gridSpan w:val="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38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2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100" w:type="dxa"/>
            <w:vAlign w:val="bottom"/>
            <w:gridSpan w:val="7"/>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00" w:type="dxa"/>
            <w:vAlign w:val="bottom"/>
            <w:gridSpan w:val="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740" w:type="dxa"/>
            <w:vAlign w:val="bottom"/>
            <w:gridSpan w:val="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412"/>
        </w:trPr>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400" w:type="dxa"/>
            <w:vAlign w:val="bottom"/>
            <w:gridSpan w:val="3"/>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2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300" w:type="dxa"/>
            <w:vAlign w:val="bottom"/>
            <w:gridSpan w:val="10"/>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3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within the meaning of Section 27A of the Securities Act of 1933, as amended (Securities Act) and Section 21E of the Securities Exchange Act of 1934, as amended (Exchange Act). All statements other than statements of historical facts contained in this Annual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spacing w:after="0" w:line="8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vision to change the treatment paradigm for heart disease;</w:t>
      </w:r>
    </w:p>
    <w:p>
      <w:pPr>
        <w:spacing w:after="0" w:line="117" w:lineRule="exact"/>
        <w:rPr>
          <w:rFonts w:ascii="Times New Roman" w:cs="Times New Roman" w:eastAsia="Times New Roman" w:hAnsi="Times New Roman"/>
          <w:sz w:val="18"/>
          <w:szCs w:val="18"/>
          <w:color w:val="231F20"/>
        </w:rPr>
      </w:pPr>
    </w:p>
    <w:p>
      <w:pPr>
        <w:ind w:left="1020" w:right="66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ongoing preclinical studies and ongoing or planned clinical trials to demonstrate safety and efficacy of our product candidates, and other positive results;</w:t>
      </w:r>
    </w:p>
    <w:p>
      <w:pPr>
        <w:spacing w:after="0" w:line="53" w:lineRule="exact"/>
        <w:rPr>
          <w:rFonts w:ascii="Times New Roman" w:cs="Times New Roman" w:eastAsia="Times New Roman" w:hAnsi="Times New Roman"/>
          <w:sz w:val="18"/>
          <w:szCs w:val="18"/>
          <w:color w:val="231F20"/>
        </w:rPr>
      </w:pPr>
    </w:p>
    <w:p>
      <w:pPr>
        <w:ind w:left="1020" w:right="16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dosing, patient enrollment and populations, progress, and results of preclinical studies and ongoing or planned clinical trials for our current product candidates and other product candidates we may develop;</w:t>
      </w:r>
    </w:p>
    <w:p>
      <w:pPr>
        <w:spacing w:after="0" w:line="53" w:lineRule="exact"/>
        <w:rPr>
          <w:rFonts w:ascii="Times New Roman" w:cs="Times New Roman" w:eastAsia="Times New Roman" w:hAnsi="Times New Roman"/>
          <w:sz w:val="18"/>
          <w:szCs w:val="18"/>
          <w:color w:val="231F20"/>
        </w:rPr>
      </w:pPr>
    </w:p>
    <w:p>
      <w:pPr>
        <w:ind w:left="1020" w:right="120" w:hanging="503"/>
        <w:spacing w:after="0" w:line="266"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scope and likelihood of regulatory filings and approvals, including timing of investigational new drugs (INDs), clinical trial applications (CTAs), U.S. Food and Drug Administration (FDA) approvals, and final regulatory approval of our current product candidates and any other future product candidates;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develop and advance our current product candidates and programs into, and successfully complete, clinical trials;</w:t>
      </w:r>
    </w:p>
    <w:p>
      <w:pPr>
        <w:spacing w:after="0" w:line="117" w:lineRule="exact"/>
        <w:rPr>
          <w:rFonts w:ascii="Times New Roman" w:cs="Times New Roman" w:eastAsia="Times New Roman" w:hAnsi="Times New Roman"/>
          <w:sz w:val="18"/>
          <w:szCs w:val="18"/>
          <w:color w:val="231F20"/>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market opportunity for our product candidates, including our estimates of the number of patients who suffer from the diseases we are targeting;</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manufacturing, commercialization, and marketing capabilities and strategy;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competitive position and the success of competing therapies that are or may become available;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relating to the further development of our product candidates, including additional indications and targets we may pursue;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existing laws and regulations and regulatory developments in the United States (U.S.), Europe and other jurisdictions;</w:t>
      </w:r>
    </w:p>
    <w:p>
      <w:pPr>
        <w:spacing w:after="0" w:line="117" w:lineRule="exact"/>
        <w:rPr>
          <w:rFonts w:ascii="Times New Roman" w:cs="Times New Roman" w:eastAsia="Times New Roman" w:hAnsi="Times New Roman"/>
          <w:sz w:val="18"/>
          <w:szCs w:val="18"/>
          <w:color w:val="231F20"/>
        </w:rPr>
      </w:pPr>
    </w:p>
    <w:p>
      <w:pPr>
        <w:ind w:left="1020" w:right="80" w:hanging="503"/>
        <w:spacing w:after="0" w:line="261"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1" w:lineRule="exact"/>
        <w:rPr>
          <w:rFonts w:ascii="Times New Roman" w:cs="Times New Roman" w:eastAsia="Times New Roman" w:hAnsi="Times New Roman"/>
          <w:sz w:val="18"/>
          <w:szCs w:val="18"/>
          <w:color w:val="231F20"/>
        </w:rPr>
      </w:pPr>
    </w:p>
    <w:p>
      <w:pPr>
        <w:ind w:left="1020" w:right="46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continued reliance on third parties to conduct additional preclinical studies and clinical trials of our product candidates, and for the development and manufacture of our product candidates for preclinical studies and clinical trials;</w:t>
      </w:r>
    </w:p>
    <w:p>
      <w:pPr>
        <w:spacing w:after="0" w:line="53"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and negotiate favorable terms of, any collaboration, partnership, licensing or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231F20"/>
        </w:rPr>
      </w:pPr>
    </w:p>
    <w:p>
      <w:pPr>
        <w:ind w:left="1020" w:right="18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 w:name="page4"/>
    <w:bookmarkEnd w:id="3"/>
    <w:p>
      <w:pPr>
        <w:spacing w:after="0" w:line="86"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rate and degree of market acceptance and clinical utility of our current product candidates and other product candidates we may develop;</w:t>
      </w:r>
    </w:p>
    <w:p>
      <w:pPr>
        <w:spacing w:after="0" w:line="117" w:lineRule="exact"/>
        <w:rPr>
          <w:rFonts w:ascii="Times New Roman" w:cs="Times New Roman" w:eastAsia="Times New Roman" w:hAnsi="Times New Roman"/>
          <w:sz w:val="18"/>
          <w:szCs w:val="18"/>
          <w:color w:val="231F20"/>
        </w:rPr>
      </w:pPr>
    </w:p>
    <w:p>
      <w:pPr>
        <w:ind w:left="1020" w:right="340" w:hanging="503"/>
        <w:spacing w:after="0" w:line="282" w:lineRule="auto"/>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estimates regarding expenses, operating losses, future revenue, cash outlays, capital requirements and needs for additional financing, including expenses arising as a result of being a public company;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financial performance;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facilities;</w:t>
      </w:r>
    </w:p>
    <w:p>
      <w:pPr>
        <w:spacing w:after="0" w:line="117"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period over which we estimate our existing cash, cash equivalents and investments in marketable securities will be sufficient to fund our future operating expenses and capital expenditure requirements;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critical accounting policies on investor’s ability to understand our financial performance; and</w:t>
      </w:r>
    </w:p>
    <w:p>
      <w:pPr>
        <w:spacing w:after="0" w:line="117"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expectations regarding the period during which we will remain an emerging growth company under the </w:t>
      </w:r>
      <w:r>
        <w:rPr>
          <w:rFonts w:ascii="Times New Roman" w:cs="Times New Roman" w:eastAsia="Times New Roman" w:hAnsi="Times New Roman"/>
          <w:sz w:val="18"/>
          <w:szCs w:val="18"/>
          <w:color w:val="000000"/>
        </w:rPr>
        <w:t>Jumpstart Our Business Startups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Act of 2012 (</w:t>
      </w:r>
      <w:r>
        <w:rPr>
          <w:rFonts w:ascii="Times New Roman" w:cs="Times New Roman" w:eastAsia="Times New Roman" w:hAnsi="Times New Roman"/>
          <w:sz w:val="18"/>
          <w:szCs w:val="18"/>
          <w:color w:val="231F20"/>
        </w:rPr>
        <w:t>JOBS Act).</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committed to a bold mission: to discover, develop and deliver potentially curative therapies that address the underlying drivers of heart disease. Heart disease is the leading cause of death in the world, representing an estimated 32% of all global fatalities. In the U.S., one in every five deaths is attributable to heart disease, and an estimated 40,000 infants are born each year with congenital heart conditions. While there is a clear need for improved treatments, the rate of cardiovascular drug product approvals has declined in recent years and few of the approved treatments address the underlying cause of such diseases.</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collective understanding of the links between heart disease and genetic factors is increasing exponentially, creating new opportunities for the advancement of novel disease-modifying therapeutics that target the underlying cause of disease. Roughly one-third to one-half of all heart diseases are linked to genetic risks, regardless of major racial and ethnic backgrounds, and there are over 250 known genetically defined disorders where the primary source of morbidity and mortality involves the heart. Leveraging this improved understanding of the genetic causes of heart disease, as well as an increased recognition that precision medicine initiatives may accelerate the advancement of scientific breakthroughs, our vision is to change the treatment paradigm for heart disease and in doing so, improve and extend the lives of patients.</w:t>
      </w:r>
    </w:p>
    <w:p>
      <w:pPr>
        <w:spacing w:after="0" w:line="7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are primarily focused on advancing our lead investigational product candidates, TN-201, a gene therapy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hypertrophic cardiomyopathy (HCM) and TN-401, a gene therapy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arrhythmogenic right ventricular cardiomyopathy (ARVC). Each candidate is currently in clinical testing to establish the safety profile of two different doses in adults with disease due to pathogenic/likely pathogenic mutations. We anticipate that data generated in the next year will inform late-stage development by characterizing each candidates’ safety and tolerability profile, ability to transduce target heart cells, and produce the lacking protein underlying disease to slow – or even halt – disease progression.</w:t>
      </w:r>
    </w:p>
    <w:p>
      <w:pPr>
        <w:spacing w:after="0" w:line="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were founded with a long-term goal of building a fully integrated biopharmaceutical company focused on discovering, developing and ultimately commercializing first/best in class precision medicines for heart disease. Early on in our company history, we invested in differentiated capabilities to enable modality agnostic target identification, validation, anchored in human genetics and the use of human disease models. . To support our initial focus on gene therapy candidates, we internalized expertise in capsid engineering and manufacturing anchored on the use of adeno-associated viruses (AAVs) as the method of delivery to the heart and that in-depth expertise has directly informed the design, optimization and production of our lead gene therapy candidates, TN-201 and TN-401</w:t>
      </w:r>
    </w:p>
    <w:p>
      <w:pPr>
        <w:spacing w:after="0" w:line="7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For programs addressing relatively rare conditions – for example, our gene therapies for genetic cardiomyopathies – our strategy is to develop, manufacture, and commercialize at least some of these programs on our own, although we may selectively consider partnerships to access technology, accelerate our progress, or improve our global reach to patients. Where our discovery efforts lead to product candidates intended for relatively prevalent indications, such as TN-301, our small molecule histone deacetylase-6 (HDAC6) inhibitor for heart failure with preserved ejection fraction (HFpEF), our strategy is to out-license or partner such programs.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 Pipeline</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are advancing a diverse pipeline of product candidates intended to target the underlying causes of rare and highly prevalent forms of heart disease.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1722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Each of our most advanced product candidates, TN-201, TN-401, and TN-301, emerged from an initial examination of the genetic underpinnings of heart conditions and has progressed to clinical stage with the support of our proprietary internal capabilities.</w:t>
      </w:r>
    </w:p>
    <w:p>
      <w:pPr>
        <w:spacing w:after="0" w:line="50" w:lineRule="exact"/>
        <w:rPr>
          <w:sz w:val="20"/>
          <w:szCs w:val="20"/>
          <w:color w:val="auto"/>
        </w:rPr>
      </w:pPr>
    </w:p>
    <w:p>
      <w:pPr>
        <w:ind w:left="1020" w:hanging="503"/>
        <w:spacing w:after="0" w:line="24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TN-201 gene therapy for HCM caused by variants in the Myosin Binding Protein C3 (MYBPC3) gene: </w:t>
      </w:r>
      <w:r>
        <w:rPr>
          <w:rFonts w:ascii="Times New Roman" w:cs="Times New Roman" w:eastAsia="Times New Roman" w:hAnsi="Times New Roman"/>
          <w:sz w:val="18"/>
          <w:szCs w:val="18"/>
          <w:color w:val="auto"/>
        </w:rPr>
        <w:t>TN-201 is our AAV serotype 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(AAV9)-based gene therapy being developed to treat the underlying cause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by delivering a working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to specific cells of the heart via a single infusion.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mutations are the most common genetic cause of HCM, accounting for approximately 20% of the overall HCM population or more than 120,000 people in the U.S. alone. Patients may experience serious complications such as shortness of breath, fainting and palpitations, significant impairment in overall quality of life, heart failure, and sudden cardiac death. We are currently conducting the Phase 1b/2 MyPEAK</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-1 clinical trial in symptomatic adults diagnosed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nonobstructive HCM, for which we presented promising initial data on the first cohort of patients in December 2024. We plan to report additional Cohort 1 data in the first half of 2025. We also anticipate completing Cohort 2 enrollment in the first half of 2025 and providing initial Cohort 2 data and a further update on Cohort 1 in the second half of 2025. TN-201 has received orphan drug designation and rare pediatric disease designation from the FDA and orphan medicinal product designation from the European Commission (EC), as well as Fast Track Designation from the FDA.</w:t>
      </w:r>
    </w:p>
    <w:p>
      <w:pPr>
        <w:spacing w:after="0" w:line="86" w:lineRule="exact"/>
        <w:rPr>
          <w:rFonts w:ascii="Times New Roman" w:cs="Times New Roman" w:eastAsia="Times New Roman" w:hAnsi="Times New Roman"/>
          <w:sz w:val="18"/>
          <w:szCs w:val="18"/>
          <w:color w:val="auto"/>
        </w:rPr>
      </w:pPr>
    </w:p>
    <w:p>
      <w:pPr>
        <w:ind w:left="1020" w:right="100" w:hanging="503"/>
        <w:spacing w:after="0" w:line="24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TN-401 gene therapy for arrhythmogenic right ventricular cardiomyopathy (ARVC) caused by variants in the Plakophilin-2 (PKP2) gene: </w:t>
      </w:r>
      <w:r>
        <w:rPr>
          <w:rFonts w:ascii="Times New Roman" w:cs="Times New Roman" w:eastAsia="Times New Roman" w:hAnsi="Times New Roman"/>
          <w:sz w:val="18"/>
          <w:szCs w:val="18"/>
          <w:color w:val="auto"/>
        </w:rPr>
        <w:t>TN-401 is our AAV9-based gene therapy being developed for the treatment of ARVC due to disease-causing variants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gene.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are the most common genetic cause of ARVC, also known as arrhythmogenic cardiomyopathy (ACM), a condition characterized by arrhythmias, palpitations, lightheadedness, dizziness and fainting that typically strikes before age 40. The prevalence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is estimated at more than 70,000 people in the U.S. alone, though it frequently goes undiagnosed as sudden cardiac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death is the first sign of disease in nearly one quarter of known cases. We commenced patient dosing in the Phase 1b RIDGE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-1 clinical trial of TN-401 in November 2024 and expect to complete Cohort 1 enrollment in the first half of 2025. Initial data from the RIDGE-1 is anticipated in the second half of 2025. TN-401 has received orphan drug designation from the FDA and orphan medicinal product designation from the EC, as well as Fast Track Designation from the FDA.</w:t>
      </w:r>
    </w:p>
    <w:p>
      <w:pPr>
        <w:spacing w:after="0" w:line="82"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TN-301 small molecule HDAC6 inhibitor for the potential treatment of HFpEF: </w:t>
      </w:r>
      <w:r>
        <w:rPr>
          <w:rFonts w:ascii="Times New Roman" w:cs="Times New Roman" w:eastAsia="Times New Roman" w:hAnsi="Times New Roman"/>
          <w:sz w:val="18"/>
          <w:szCs w:val="18"/>
          <w:color w:val="auto"/>
        </w:rPr>
        <w:t>HFpEF accounts for approximately 50 percent of all heart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failure, or an estimated 3 million patients in the U.S. alone. We initially discovered the cardioprotective qualities of selective HDAC6 inhibition in a genetic model of dilated cardiomyopathy. In preclinical studies, TN-301 was subsequently shown to reverse many of the signs and symptoms of HFpEF, with evidence of improved cardiac function and glucose tolerance and reduced inflammation and fibrosis. We completed Phase 1 clinical testing of TN-301 in healthy volunteers, observing an encouraging safety profile, suitability for once-daily dosing, and dose-dependent target engagement. Due to the large HFpEF patient population, we believe that TN-301’s late-stage development and commercialization would best be led by a strategic pharmaceutical partner with the global resources to explore the full potential of the molecule and are currently evaluating opportunities to partner TN-301.</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8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While our investments are firmly focused on our lead product candidates, we have multiple early-stage programs progressing through preclinical development using various therapeutic approaches, including gene addition, gene editing, gene silencing, and cellular regeneration to address other forms of rare and/or prevalent heart disease. Today, our pipeline consists of programs to which we have exclusive worldwide rights and that have emerged from our internal efforts, with select product candidates originating based on intellectual property licensed from academic institutions.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Integrated Capabilities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distinct suite of integrated capabilities broadly enable target identification and validation, design of AAV-based genetic medicines and in-house manufacturing to support our efforts to discover and develop disease-modifying treatments focused on heart disease. We have invested in our interrelated capabilities, including the use of human-induced Pluripotent Stem Cell (iPSC) and engineered heart tissue disease models, machine learning and phenotypic screening, capsid engineering and novel promoter constructs, to enable the discovery, design, delivery and development of therapeutics that are best suited to a given cardiovascular condition. We have also chosen to have complete ownership of process development, analytical development, and quality control for our gene therapy product candidates and have already produced the clinical trial material needed for our AAV-based clinical stage gene therapy candidates TN-201 and TN-401 at our Good Manufacturing Practice (cGMP)-certified Genetic Medicines Manufacturing Center (GMMC) in Union City, California.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Heart Disease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Heart disease is the leading cause of death in the world, representing an estimated 32% of all global fatalities. The heart is a complex organ due to its biological structure as well as its tightly regulated and coordinated electrophysiological and biomechanical properties. Heart disease comes in many forms, affects individuals at many ages, and is a result of many factors. In each case, the underlying cause could be genetic or due to normal aging or due to environmental factors. Our initial research and development focus has been on the genetics associated with conditions affecting the heart muscle, also known as cardiomyopathies, that can lead to heart failure. Heart failure occurs when the heart cannot pump enough blood to meet the body’s demands. Rates of heart failure are on the rise, and a recent study places the lifetime risk of heart failure at 24%. In spite of recent advancements in heart failure treatment, the five-year mortality rate remains 50%, highlighting the need for improved treatments.</w:t>
      </w:r>
    </w:p>
    <w:p>
      <w:pPr>
        <w:spacing w:after="0" w:line="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Historically, the most common treatments for heart disease have been aimed at broadly addressing symptoms and the development of novel treatments has been stymied by the need for lengthy studies primarily focused on survival and hospitalization outcomes. Such studies required enrolling large, heterogeneous patient populations in an effort to achieve statistically significant signals of efficacy. Consequently, innovation in heart disease drug development has lagged in comparison to therapeutic areas such as oncology and rare diseases where more targeted approaches have achieved clinical and regulatory success.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Growing Momentum for Precision Approaches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the past several years, increasing clinical and regulatory validation for more targeted approaches have emerged for precision approaches to heart disease and AAV-based gene therapies. These include FDA draft guidance supporting smaller clinical studies that emphasize the use of clinically meaningful endpoints of “feel and function” and a small but growing number of examples of clinical success and regulatory approvals for disease-modifying treatments geared toward targeted disease populations, including in genetic cardiomyopathies, that have followed similar development and regulatory paths.</w:t>
      </w:r>
    </w:p>
    <w:p>
      <w:pPr>
        <w:spacing w:after="0" w:line="7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 combination of increasing insights into the genetic causes of heart disease and recognition of the importance of genetic testing support the discovery, development and commercial opportunities for precision medicines that target the underlying genetic cause of heart conditions. More than 250 genetically defined disorders are now known where the primary source of morbidity and mortality involves the heart, providing numerous potentially druggable targets for characterization. Updated clinical practice guidelines from the American College of Cardiology, American Heart Association and European Society of Cardiology recommending genetic testing and family counseling, and the push for mandatory screening of young athletes, are all leading to improved access to genetic testing, patient diagnosis and disease management.</w:t>
      </w:r>
    </w:p>
    <w:p>
      <w:pPr>
        <w:spacing w:after="0" w:line="7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At the same time, the field of gene therapy drug development has matured. The safety and efficacy of genetic medicines, and AAV9-based gene therapies in particular, continues to grow with multiple new regulatory approvals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recent years resulting in thousands of patients dosed worldwide. A study by the Association for Regenerative Medicine found that gene therapies for rare disease have a 2 to 3.5-fold higher likelihood of achieving regulatory approval as compared to other modalities. This report is bolstered by FDA actions with gene therapy sponsors indicating a willingness to consider surrogate markers of efficacy and expedited regulatory review, as well as the FDA’s issuance of important guidance to help streamline the development of gene therapies and mitigate safety and tolerability concerns that can delay development timelines.</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believe with the evolving understanding of heart disease, and the genetic underpinnings of disease in particular, there are significant opportunities where our proprietary capabilities and singular focus will enable us to benefit from and support the evolution towards more precise diagnosis, drug development, and treatment for heart disease.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long-term goal is to become a leading, fully integrated biotechnology company delivering next-generation therapies that address the underlying causes of heart disease. We are taking advantage of an expanded understanding of heart biology and advances in the science of genetics and disease models to discover, develop, manufacture and ultimately commercialize a deep and diverse pipeline of novel heart disease therapies. The key components of our strategy to achieve these goals are:</w:t>
      </w:r>
    </w:p>
    <w:p>
      <w:pPr>
        <w:spacing w:after="0" w:line="68" w:lineRule="exact"/>
        <w:rPr>
          <w:sz w:val="20"/>
          <w:szCs w:val="20"/>
          <w:color w:val="auto"/>
        </w:rPr>
      </w:pPr>
    </w:p>
    <w:p>
      <w:pPr>
        <w:ind w:left="1020" w:hanging="503"/>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Focus exclusively on heart disease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Heart disease remains a leading cause of death globally, and the unmet medical need remains high.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see significant opportunity to address this sizable market with our dedicated strategy. The heart is a complex organ to target, in part due to the tightly regulated and coordinated electrophysiological and biomechanical properties that can complicate delivery of effective therapies and necessitates a deep understanding of heart biology. Our laser focus leads to insights that underpin our foundational and differentiated capabilities to address challenges that have historically presented barriers to the successful development of novel therapies for the heart.</w:t>
      </w:r>
    </w:p>
    <w:p>
      <w:pPr>
        <w:spacing w:after="0" w:line="71" w:lineRule="exact"/>
        <w:rPr>
          <w:rFonts w:ascii="Times New Roman" w:cs="Times New Roman" w:eastAsia="Times New Roman" w:hAnsi="Times New Roman"/>
          <w:sz w:val="18"/>
          <w:szCs w:val="18"/>
          <w:color w:val="auto"/>
        </w:rPr>
      </w:pPr>
    </w:p>
    <w:p>
      <w:pPr>
        <w:ind w:left="1020" w:right="2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 disease-modifying therapies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focused on developing disease-modifying and potentially life-saving novel therapies that target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underlying causes of heart disease. We are particularly interested in areas where there is no current standard-of-care or where we believe the nature and the magnitude of the effect of our therapies will be significant relative to existing standards-of-care. For example, we believe our AAV-based gene therapy candidates for genetically defined conditions have the potential to be curative after a single dose.</w:t>
      </w:r>
    </w:p>
    <w:p>
      <w:pPr>
        <w:spacing w:after="0" w:line="81" w:lineRule="exact"/>
        <w:rPr>
          <w:rFonts w:ascii="Times New Roman" w:cs="Times New Roman" w:eastAsia="Times New Roman" w:hAnsi="Times New Roman"/>
          <w:sz w:val="18"/>
          <w:szCs w:val="18"/>
          <w:color w:val="auto"/>
        </w:rPr>
      </w:pPr>
    </w:p>
    <w:p>
      <w:pPr>
        <w:ind w:left="1020" w:right="120" w:hanging="503"/>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Target defined sub-populations of patients most likely to respond to our therapies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seek to focus on patient populations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genetic cause of the disease is well-established, including genetic cardiomyopathies and other monogenic disorders. We also seek to use different strategies to sub-segment larger heart failure populations through the use of genetics or biomarkers to improve selection of patients with attributes that are more suited to the specific mechanism of action of a given product candidate. We believe this strategy can accelerate clinical development, reduce overall development costs, and improve the probability of clinical and regulatory success.</w:t>
      </w:r>
    </w:p>
    <w:p>
      <w:pPr>
        <w:spacing w:after="0" w:line="7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Internalize and integrate core capabilities to support our innovation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Powering our drug discovery engine are genetic insights into cardiac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biology, coupled with a suite of core capabilities centered on modality agnostic target discovery and validation and design, production and delivery know-how for AAV-based genetic medicines. We believe the integration of our know-how and innovations in these areas will allow us to generate scientific insights more rapidly and improve the probability of technical and regulatory success of our product candidates.</w:t>
      </w:r>
    </w:p>
    <w:p>
      <w:pPr>
        <w:spacing w:after="0" w:line="53" w:lineRule="exact"/>
        <w:rPr>
          <w:rFonts w:ascii="Times New Roman" w:cs="Times New Roman" w:eastAsia="Times New Roman" w:hAnsi="Times New Roman"/>
          <w:sz w:val="17"/>
          <w:szCs w:val="17"/>
          <w:color w:val="auto"/>
        </w:rPr>
      </w:pPr>
    </w:p>
    <w:p>
      <w:pPr>
        <w:ind w:left="1020" w:right="40" w:hanging="503"/>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a deep and diverse pipeline of therapies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diversity of our programs illustrates the ambition of our vision and the versatility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depth of our scientific approach. Our pipeline includes therapeutics for both rare and prevalent heart diseases across multiple treatment modalities. Our most advanced rare disease programs include two AAV-based gene therapy candidates in early clinical development: TN-201, our product candidate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and TN-401, our product candidate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TN-301, a small molecule inhibitor of HDAC6 intended to address HFpEF has successfully completed a Phase 1 clinical trial. We are also working on several other early-stage programs, that we believe will add to our future pipeline opportunities.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2" w:lineRule="exact"/>
        <w:rPr>
          <w:sz w:val="20"/>
          <w:szCs w:val="20"/>
          <w:color w:val="auto"/>
        </w:rPr>
      </w:pPr>
    </w:p>
    <w:p>
      <w:pPr>
        <w:ind w:left="1020" w:right="20" w:hanging="503"/>
        <w:spacing w:after="0" w:line="259"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Seek partnerships that can expand our reach and accelerate our efforts. </w:t>
      </w:r>
      <w:r>
        <w:rPr>
          <w:rFonts w:ascii="Times New Roman" w:cs="Times New Roman" w:eastAsia="Times New Roman" w:hAnsi="Times New Roman"/>
          <w:sz w:val="18"/>
          <w:szCs w:val="18"/>
          <w:color w:val="auto"/>
        </w:rPr>
        <w:t>We believe our singular focus on heart disease and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and core capabilities make us a potential partner of choice for academics and larger companies alike who wish to access deep expertise in next-generation therapies for heart disease. We also strategically evaluate collaborations and partnerships with biopharmaceutical companies that may have more robust and complimentary capabilities and resources to accelerate the development and maximize the availability and potential of our product candidates, particularly for more prevalent indications.</w:t>
      </w:r>
    </w:p>
    <w:p>
      <w:pPr>
        <w:spacing w:after="0" w:line="71"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Become a fully integrated biopharmaceutical company with commercial capabilities. </w:t>
      </w:r>
      <w:r>
        <w:rPr>
          <w:rFonts w:ascii="Times New Roman" w:cs="Times New Roman" w:eastAsia="Times New Roman" w:hAnsi="Times New Roman"/>
          <w:sz w:val="18"/>
          <w:szCs w:val="18"/>
          <w:color w:val="auto"/>
        </w:rPr>
        <w:t>We aim to discover, develop, manufacture,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eventually commercialize therapies, with an initial focus on those therapies for rare disease populations that could be marketed by a relatively small salesforce.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Gene Therapy Programs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Gene therapy is a way of treating or preventing diseases or medical conditions caused by genetic mutations. Our initial programs target loss-of-function mutations that affect a given gene’s ability to make a protein resulting in a pathogenic protein deficiency. Gene therapy replaces the mutated gene by delivering a working gene to target cells in order to restore healthy function and thereby address the underlying cause of a disease.</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utilize AAVs, and specifically AAV9, to deliver the therapeutic working gene to target cells of the heart muscle. AAVs are naturally occurring viruses that are not known to cause diseases in people and are the most common viral vectors used in gene therapy. Viral DNA is removed and the resulting viral shell, or capsid, is loaded with a working gene and regulatory elements to ensure preferential delivery to target tissues and successful transfer of the gene into cells, known as transduction. AAV9 is the most widely studied and clinically validated capsid and has been proven to transduce human cardiomyocytes.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TN-201: Gene Therapy for MYBPC3-associated HCM</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are developing TN-201, an investigational and potential first-in-class and best-in-class AAV-based gene therapy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a condition caused by insufficient levels of myosin-binding protein C (MyBP-C).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genetic mutations are the most common cause of familial HCM. These mutations and the associated deficiency in MyBP-C protein, result in dysregulation of the heart’s contractile mechanism which in turn causes the heart walls of affected individuals to become significantly thickened, leading to fibrosis, abnormal heart rhythms, cardiac dysfunction, heart failure, and increased risk of sudden cardiac death. There are currently no approved therapies that address the underlying cause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HCM</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HCM is a condition in which the heart walls become thickened (hypertrophy) due to excess contraction, resulting in a reduced ability of the left ventricle (LV) to relax and fill (diastole) and pump (systole) blood effectively with each heartbeat. HCM is a chronic, progressive disease associated with significant impairment to patients’ overall quality of life, as well as an elevated risk of sudden cardiac death. Symptoms include chest pain, shortness of breath (dyspnea), fainting (syncope), fatigue and palpitations. As the disease progresses, patients may suffer premature death due to end-stage heart failure or malignant ventricular arrhythmia (VA) sometimes leading to sudden cardiac death or stroke. Disease onset can occur at any age, with HCM most frequently emerging in adults in their mid-40s. When HCM emerges in children and young adults, the disease course is typically more aggressive and prognosis is worse than that observed in older patients. While a relatively rare occurrence, HCM is the leading cause of sudden cardiac death in young adults.</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HCM is estimated to affect one in every 500 people, approximating more than 600,000 people in the U.S. A majority of HCM patients are currently undiagnosed, with diagnosis typically starting with the onset of symptoms, family screening, or the discovery of an abnormal electrocardiogram (ECG) pattern. A clinical diagnosis of HCM in adults is defined as a left ventricular wall thickening of greater than 15mm. Patients with HCM can present with either the obstructive form (oHCM) or the nonobstructive form (nHCM) of the disease. Both forms of the disease involve significant LV hypertrophy; however, in oHCM, the thickening of the LV wall is such that the LV outflow tract (LVOT) narrows and “obstructs” the proper flow of blood to the rest of the body. Nonobstructive HCM is more frequently characterized by diastolic dysfunction resulting in increased LV filling pressures that leads to chest pain and dyspnea. The genetic causes of HCM may be diverse, but approximately 60% of patients with HCM have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clearly identifiable familial disease with an autosomal dominant pattern of inheritance. Mutations in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are estimated to represent approximately 20% of the overall HCM population and to affect approximately 120,000 patients in the U.S.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may result in either form of HCM. In contrast to the general HCM population in which oHCM makes up approximately two-thirds of diagnoses, a majority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patients have the nonobstructive form of the disease, with one study involving a series of more than 1,000 patients finding that 69% of patients with truncating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mutations had nHCM, while 31% presented with LVOT characteristic of oHCM.</w:t>
      </w:r>
    </w:p>
    <w:p>
      <w:pPr>
        <w:spacing w:after="0" w:line="75"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HCM patients who are heterozygous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are typically diagnosed earlier in life as compared to genotype negative HCM patients and have more severe disease associated with increases in arrhythmia, sudden cardiac death and cardiovascular mortality. Those diagnosed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before the age of eighteen represent a sizeable severe population subject to more rapid disease progression and a markedly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greater cumulative disease burden compared to those with adult-onset. Infants with homozygous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represent a rare, but particularly severe patient group. With high risk of death and no available treatment options to address the underlying genetic mutation, the only option for those born with homozygous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is a heart transplant, typically within the first year of life.</w:t>
      </w:r>
    </w:p>
    <w:p>
      <w:pPr>
        <w:spacing w:after="0" w:line="7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encodes the MyBP-C protein, which forms a key component of the cardiac sarcomere, the fundamental contractile unit of the cardiomyocyte. MyBP-C protein is central to regulation of both contraction and relaxation of the cardiac muscle. Reduced MyBP-C protein levels associated with heterozygous mutations in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result in increased activity of the myosin contractile machinery, which over time leads to LV muscle thickening, known as hypertrophy, excess deposition of extracellular matrix in the cardiac muscle, known as fibrosis, and disorganized muscle cells. As a result, the LV wall stiffens, and the chamber is reduced in size, decreasing the heart’s ability to pump. The contractile strength of the muscle declines in some cases, resulting in LV systolic dysfunction, which ultimately can necessitate advanced therapies, such as an LV assist device (LVAD) or transplantation, in the most severely affected patients. Fibrosis and muscle cell disarray may also lead to arrhythmias in some patients, including life-threatening VA and atrial fibrillation, which can lead to stroke.</w:t>
      </w:r>
    </w:p>
    <w:p>
      <w:pPr>
        <w:spacing w:after="0" w:line="7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Analysis of the hearts of patients who carry truncation mutations of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show on average an approximately 40% reduction in the level of functional MyBP-C protein. In the most severe cases in which both copies of the gene are affected, there is a complete lack of functional MyBP-C protein expression. We believe these findings support the idea that mutations of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cause human disease through haploinsufficiency, and also support the hypothesis that gene replacement may address the underlying cause of disease by increasing the levels of functional MyBP-C protein.</w:t>
      </w:r>
    </w:p>
    <w:p>
      <w:pPr>
        <w:spacing w:after="0" w:line="7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current goal of HCM treatment is to relieve symptoms and prevent sudden cardiac death in people at high risk. In current guideline-directed care, patients are typically prescribed one or more symptomatic therapies, including beta-blockers, calcium channel blockers and antiarrhythmics. These therapies do not address the underlying genetic cause of HCM and do not appear to affect disease progression. No randomized clinical trials have assessed these therapies specifically in HCM. The standards of care are slightly different for patients with oHCM versus nHCM, but the unmet need is high in both forms of the disease. Cardioverter-defibrillators may be implanted for patients at high risk for malignant arrhythmias and sudden death. For a subset of oHCM patients with severe and disabling disease, invasive interventions, such as myectomy and septal ablation in which portions of the enlarged septum are removed, may be appropriate. For patients with severe nHCM implantation of an LVAD or a heart transplant may be the only options.</w:t>
      </w:r>
    </w:p>
    <w:p>
      <w:pPr>
        <w:spacing w:after="0" w:line="8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recent years, a class of agents known as cardiac myosin inhibitors have emerged as potential treatments for HCM. One of these agents, mavacamten, is approved for the treatment of adults with oHCM. However, there are currently no therapies approved specifically for HCM patients with nonobstructive disease or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Solution</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believe TN-201 has the potential to address the underlying biological basis of disease in adult and pediatric HCM patients with homozygous or heterozygous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Based on our preclinical data, TN-201 gene therapy has the potential to achieve highly selective and robust expression of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and to slow or even reverse the course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including LV hypertrophy, outflow tract obstruction, heart failure, atrial fibrillation, and malignant arrhythmias. By improving upon these aspects of disease, TN-201 may improve heart functional capacity, stabilize or reverse disease symptoms, reduce the need for invasive treatments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8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and improve survival. As with other AAV-based gene therapies, benefits are expected to be durable and a one-time dose may be sufficient to halt or even reverse disease. TN-201 has received orphan drug, Fast Track and Rare Pediatric Disease designations from the FDA and orphan medicinal product designation from the EC.</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MyPEAK-1 Phase 1b/2 Clinical Trial of TN-201</w:t>
      </w:r>
    </w:p>
    <w:p>
      <w:pPr>
        <w:spacing w:after="0" w:line="119"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 xml:space="preserve">MyPEAK-1 is a multi-center, open-label clinical trial designed to assess the safety, tolerability and efficacy of a one-time intravenous infusion of TN-201. The trial may enroll up to thirty symptomatic (New York Heart Association class II or III) adults (ages 18-75) with low titers of AAV9 neutralizing antibodies who have been diagnosed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Endpoints for the trial include safety and tolerability, pharmacokinetics (PK) (as measured by transgene. mRNA expression and MyBP-C protein level changes via cardiac biopsies), pharmacodynamic (PD) (as measured by imaging and plasma biomarkers), exercise capacity (as measured by a six-minute walk test and cardiopulmonary exercise testing (CPET)) and patient-reported outcomes (as measured by a Kansas City Cardiomyopathy Questionnaire). These assessments are taken at regular intervals during the first year of the study. Patients enrolled in MyPEAK-1 are monitored for an additional four years to gather long-term safety and efficacy data. The trial includes a preventative immunosuppressive regimen at the time of dosing, close safety monitoring, and the gradual tapering of immunosuppressive medications. We plan to assess two dose levels of TN-201 in the trial, 3×10</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color w:val="auto"/>
        </w:rPr>
        <w:t xml:space="preserve"> vg/kg and 6x10</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8"/>
          <w:szCs w:val="18"/>
          <w:color w:val="auto"/>
        </w:rPr>
        <w:t xml:space="preserve"> vg/kg, doses associated with near-maximal efficacy in preclinical studies of a homozygous knock-out model. The first three patients in each dose cohort will be dosed sequentially, with a pause between patient doses to monitor for safety. Following dosing of the first three sentinel patients, an independent data and safety monitoring board (DSMB) will convene to review all available data before dose escalation or cohort expansion may proceed.</w:t>
      </w:r>
    </w:p>
    <w:p>
      <w:pPr>
        <w:spacing w:after="0" w:line="86"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8"/>
          <w:szCs w:val="18"/>
          <w:color w:val="auto"/>
        </w:rPr>
        <w:t>In October 2023, we dosed our first patient in MyPEAK-1 at the 3×10</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color w:val="auto"/>
        </w:rPr>
        <w:t xml:space="preserve"> vg/kg level. In October 2024, we announced that three patients had been dosed in Cohort 1 and that the DSMB endorsed our plans to proceed with dose escalation to 6x10</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8"/>
          <w:szCs w:val="18"/>
          <w:color w:val="auto"/>
        </w:rPr>
        <w:t xml:space="preserve"> vg/kg. At that time, we also shared protocol amendments, including the addition of a cardiac biopsy at baseline and greater flexibility in timing for post-dose biopsies to help characterize pharmacokinetics. In December 2024, Tenaya announced early but encouraging initial interim safety and biopsy data from Cohort 1. TN-201 administered at the starting dose of 3×10</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color w:val="auto"/>
        </w:rPr>
        <w:t xml:space="preserve"> vg/kg was generally well-tolerated among the first three patients enrolled in the study. Among the first two patients for whom Week 8 biopsy results were available, TN-201 achieved readily detectable vector DNA in the heart and evidence of transgene RNA expression. Serial biopsies at Week 8 and Week 52 for Patient 1 demonstrated increasing TN-201 mRNA and MyBP-C protein levels over time. Circulating biomarkers of cardiac muscle strain and injury remained largely stable, and certain clinical markers of disease showed stability or directional improvement in the first two individuals dosed, while other measures were not yet available, interpretable or were mixed. We plan to present additional follow-up data from Cohort 1 during the first half of 2025.</w:t>
      </w:r>
    </w:p>
    <w:p>
      <w:pPr>
        <w:spacing w:after="0" w:line="104"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We have dosed two patients in the sentinel phase of Cohort 2 at the 6x10</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8"/>
          <w:szCs w:val="18"/>
          <w:color w:val="auto"/>
        </w:rPr>
        <w:t xml:space="preserve"> vg/kg dose and anticipate completing enrollment of Cohort 2 in the first half of 2025. Initial Cohort 2 data, along with an update on Cohort 1 patients, is anticipated in the second half of 2025. Based on safety and initial efficacy data from the first two cohorts of the MyPEAK-1 clinical trial, we will determine whether to enroll expansion cohorts and at which dose(s). We also plan to initiate discussions with regulatory authorities to pursue alignment on plans for pivotal studies in pediatric and/or adult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populations.</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Noninterventional Studies in Support of TN-201's Clinical Development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support our development efforts for TN-201, we initiated two noninterventional studies: a study evaluating seroprevalence to AAV9</w:t>
      </w:r>
    </w:p>
    <w:p>
      <w:pPr>
        <w:spacing w:after="0" w:line="6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antibodies among adults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and MyClimb, a prospective and retrospective global natural history study focused on pediatric patients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mutation-associated cardiomyopathy. The seroprevalence study has completed enrollment and initial data indicated that antibodies to AAV9 in the majority of participants were below the eligibility threshold that would allow for participation in MyPEAK-1. The MyClimb natural history study is following patient medical history to characterize the outcomes, burden of illness, risk factors, quality of life, and biomarkers associated with disease progression in pediatric patients. This study complements existing disease registries focused primarily on adult patient HCM populations and may support and expedite the development of TN-201 in the pediatric patient population. To date, we have activated more than 40 sites in the U.S. and Europe in connection with these noninterventional studies.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Evidence Supporting TN-201 Clinical Development</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preclinical studies, we systemically administered a mouse surrogate of TN-201 (AAV:mMybpc3 or mTN-201) in two-week-old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knockout (KO) mice.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KO model develops marked LV hypertrophy, poor cardiac function, and dilation at two weeks of age, comparable to HCM patients with truncating or null mutations. Due to the severe phenotype of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KO mice and the lack of any MyBP-C protein, this is considered a demanding model to demonstrate efficacy particularly for modeling heterozygous patients, who lack only 35% to 40% of normal sarcomeric MyBP-C protein levels. Treatment with mTN-201 improved LV hypertrophy and cardiac function compared to their pre-treatment baseline levels, indicating partial reversal of the disease and dramatically extended lifespan. Treated mice exhibited an absolute improvement of ejection fraction (EF) of more than 20% versus untreated controls that eventually increases to more than 30% at 13 months, the last echocardiography measurement. EF and LV hypertrophy (LV mass normalized to body weight) improvements did not diminish over time, suggesting that a single systemic dose may be sufficient for a durable reversal of </w:t>
      </w:r>
      <w:r>
        <w:rPr>
          <w:rFonts w:ascii="Times New Roman" w:cs="Times New Roman" w:eastAsia="Times New Roman" w:hAnsi="Times New Roman"/>
          <w:sz w:val="18"/>
          <w:szCs w:val="18"/>
          <w:i w:val="1"/>
          <w:iCs w:val="1"/>
          <w:color w:val="auto"/>
        </w:rPr>
        <w:t>MYBPC3-associated</w:t>
      </w:r>
      <w:r>
        <w:rPr>
          <w:rFonts w:ascii="Times New Roman" w:cs="Times New Roman" w:eastAsia="Times New Roman" w:hAnsi="Times New Roman"/>
          <w:sz w:val="18"/>
          <w:szCs w:val="18"/>
          <w:color w:val="auto"/>
        </w:rPr>
        <w:t xml:space="preserve"> HCM. Additionally, we observed improvements in LV diameter and ECG measurements. There is also a clear survival benefit with no deaths due to heart failure in the mTN-201 arm and 100% mortality in the untreated control arm out to 20 months following dosing.</w:t>
      </w:r>
    </w:p>
    <w:p>
      <w:pPr>
        <w:spacing w:after="0" w:line="86"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8"/>
          <w:szCs w:val="18"/>
          <w:color w:val="auto"/>
        </w:rPr>
        <w:t>In addition, a dose-response relationship has been demonstrated with mTN-201. Weight-based doses, 1×10</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color w:val="auto"/>
        </w:rPr>
        <w:t xml:space="preserve"> vg/kg, 3×10</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color w:val="auto"/>
        </w:rPr>
        <w:t xml:space="preserve"> vg/kg and 1×10</w:t>
      </w:r>
      <w:r>
        <w:rPr>
          <w:rFonts w:ascii="Times New Roman" w:cs="Times New Roman" w:eastAsia="Times New Roman" w:hAnsi="Times New Roman"/>
          <w:sz w:val="20"/>
          <w:szCs w:val="20"/>
          <w:color w:val="auto"/>
          <w:vertAlign w:val="superscript"/>
        </w:rPr>
        <w:t>14</w:t>
      </w:r>
      <w:r>
        <w:rPr>
          <w:rFonts w:ascii="Times New Roman" w:cs="Times New Roman" w:eastAsia="Times New Roman" w:hAnsi="Times New Roman"/>
          <w:sz w:val="18"/>
          <w:szCs w:val="18"/>
          <w:color w:val="auto"/>
        </w:rPr>
        <w:t xml:space="preserve"> vg/kg, all produced significant improvements in EF, LV hypertrophy, and measures of electrophysiological function (QT interval) at eight months post-injection in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KO HCM mouse model. The 1×10</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color w:val="auto"/>
        </w:rPr>
        <w:t xml:space="preserve"> vg/kg dose had the lowest levels of efficacy, while the 3×10</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color w:val="auto"/>
        </w:rPr>
        <w:t xml:space="preserve"> vg/kg had high improvement with a mean decrease of hypertrophy of more 5.3 mg/g LV Mass (± 1.3) and a mean improvement of EF of 26% (± 3.7%), similar to the 1×10</w:t>
      </w:r>
      <w:r>
        <w:rPr>
          <w:rFonts w:ascii="Times New Roman" w:cs="Times New Roman" w:eastAsia="Times New Roman" w:hAnsi="Times New Roman"/>
          <w:sz w:val="20"/>
          <w:szCs w:val="20"/>
          <w:color w:val="auto"/>
          <w:vertAlign w:val="superscript"/>
        </w:rPr>
        <w:t>14</w:t>
      </w:r>
      <w:r>
        <w:rPr>
          <w:rFonts w:ascii="Times New Roman" w:cs="Times New Roman" w:eastAsia="Times New Roman" w:hAnsi="Times New Roman"/>
          <w:sz w:val="18"/>
          <w:szCs w:val="18"/>
          <w:color w:val="auto"/>
        </w:rPr>
        <w:t xml:space="preserve"> vg/kg dose, suggesting a plateau in the dose-response curve.</w:t>
      </w:r>
    </w:p>
    <w:p>
      <w:pPr>
        <w:spacing w:after="0" w:line="9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our preclinical studies with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KO model, we have not observed MyBP-C protein levels substantially above normal levels, suggesting that protein accumulation does not occur and lowers the potential concern of overexpression-related toxicities. In addition, histological assessments of mTN-201 treated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KO model murine hearts support the uniform and robust distribution of expression following mTN-201 infusion, suggesting gene therapy may be able to replace the missing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uniformly across the heart. This observation is consistent with heart biopsy samples from patients treated with other AAV9-based gene therapies in development. Consistent with observed therapeutic benefit, treatment of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KO mice with mTN-201 is also associated with a substantial reduction of expression of genes associated with fibrosis and B-type natriuretic peptide (BNP), a circulating factor associated with cardiac wall stress.</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Differentiating Characteristics for TN-201</w:t>
      </w:r>
    </w:p>
    <w:p>
      <w:pPr>
        <w:spacing w:after="0" w:line="117"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During optimization of our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therapies, we discovered a cardiomyocyte-specific promoter, TNP-CM1, with improved performance attributes as compared to the standard cardiac troponin T (cTnT) promoter.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analyses confirmed that TNP-CM1 significantly increased expression of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compared to what can be achieved with the standard cTnT promoter.</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TN-401: Gene Therapy for PKP2-associated ARVC</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are developing TN-401, an investigational and potential best-in-class AAV-based gene therapy for the potential treatment of ARVC, also known as arrhythmogenic cardiomyopathy or ACM, caused by mutations to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Such mutations are estimated to affect more than 70,000 patients in the U.S.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result in insufficient expression of a protein needed for the proper functioning of desmosome, a complex that maintains physical connections and electrical signaling between heart muscle cells. As the desmosome structure is impaired, cardiac muscle cells are progressively replaced by fibrofatty tissue and electrical pulses in the heart become unstable, resulting in adverse remodeling and irregular heart rhythms. TN-401 is designed to deliver a working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into heart muscle cells using an AAV9 capsid where the functional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produces the missing protein, restoring function and reversing or slowing progression of disease by addressing the genetic mutation most frequently underlying ARVC.</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ARVC</w:t>
      </w:r>
    </w:p>
    <w:p>
      <w:pPr>
        <w:spacing w:after="0" w:line="11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ARVC is a chronic, progressive disease with an estimated prevalence in the general population of approximately 1:1000 to 1:5000. It occurs when the structure and electrical signals of cardiomyocytes are disrupted,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8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resulting in irregular heart rhythms and a gradual replacement of heart muscle cells with fatty deposits and fibrotic tissue which can lead to heart failure over time.</w:t>
      </w:r>
    </w:p>
    <w:p>
      <w:pPr>
        <w:spacing w:after="0" w:line="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Patients with ARVC most commonly present with symptoms related to VAs, particularly abnormally high heart rates known as ventricular tachycardia and premature ventricular contractions (PVCs). These dangerous rhythm abnormalities place patients at increased risk for sudden cardiac arrest or sudden cardiac death. To reduce the risk of sudden cardiac death, patients with ARVC are typically discouraged from competitive or endurance sports activities and physical exercise may be limited. The mean age of diagnosis in patients occurs before the age of 40. ARVC is a common cause of sudden cardiac arrest in young patients, and particularly in athletes. In an estimated 23% of ARVC cases, the first sign of disease is sudden cardiac death. ARVC patients may also grapple with additional symptoms, including palpitations, lightheadedness, dizziness, and fainting.</w:t>
      </w:r>
    </w:p>
    <w:p>
      <w:pPr>
        <w:spacing w:after="0" w:line="7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Mutations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are the most common genetic cause of ARVC, with more than 40% of ARVC patients carrying pathogenic variants. PKP2 protein is an integral component of cell adhesion protein complexes known as desmosomes which connect adjacent cardiomyocytes in the heart. Desmosomes are responsible for maintaining the heart tissue integrity and for stabilizing channels called gap junctions that allow for cellular communication among heart cells, which in turn is important to proper synchronization of cardiomyocyte contractions across the myocardium contributing to each heartbeat. When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is mutated, reduction of PKP2 protein disrupts structure and function of desmosomes and gap junctions. As a result of these disruptions, cardiomyocytes become more sensitive to the normal mechanical stress of the beating heart, leading to progressive cell loss, inflammation, scar formation, and fat deposition, illustrating the crucial role the PKP2 protein plays in maintaining the structural and functional integrity of heart tissue.</w:t>
      </w:r>
    </w:p>
    <w:p>
      <w:pPr>
        <w:spacing w:after="0" w:line="77"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Mutations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are commonly heterozygous and inherited in an autosomal dominant fashion, i.e., a mutation in one gene is sufficient to cause the disease. Most of these mutations lead to a reduction of wild-type protein level of less than or equal to 50%. We believe these findings support the idea that mutations of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cause human disease through haploinsufficiency, and also support the hypothesis that gene replacement may address the underlying cause of disease by increasing the levels of functional PKP2 protein.</w:t>
      </w:r>
    </w:p>
    <w:p>
      <w:pPr>
        <w:spacing w:after="0" w:line="7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Following a diagnosis, ARVC patients are typically implanted with an ICD to control arrhythmias and prevent sudden cardiac death. ICD implantation is currently the only proven effective treatment for preventing sudden cardiac death in ARVC patients, but ICDs are also associated with complications, including inappropriate interventions. Patients may progress to catheter ablation procedures which have a high rate of recurrence of VA and have not been shown to reduce risk of sudden cardiac death or improve survival. ARVC treatment options may also include beta blockers and other anti-arrhythmic or heart failure medications, intended to reduce VAs. However, studies comparing the efficacy of such treatments have not been conducted. Despite the availability of these treatments, clinical heart failure has been documented in up to 40% of ARVC patients and there remains no approved therapies that address the underlying genetic causes of the disease.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Solution</w:t>
      </w:r>
    </w:p>
    <w:p>
      <w:pPr>
        <w:spacing w:after="0" w:line="11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TN-401 is a potential best-in-class AAV-based gene replacement therapy designed to deliver a fully functional copy of the human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the hearts of ARVC patients carrying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We believe that delivery of a working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cardiomyocytes represents a promising treatment that can address the underlying genetic cause of this disease. As the disease is most often caused by haploinsufficiency, expression of a functional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increase PKP2 protein levels in cardiomyocytes is expected to restore proper structure and function of the desmosome. This in turn has the potential to slow and even reverse the progression of disease in patients.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will be delivered using AAV9 capsid with well-established tropism for the heart and expression of the PKP2 protein will be selective to the heart through use of a cardiomyocyte-specific promoter.</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TN-401 Clinical Development Plan</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we dosed our first patient in RIDGE-1, our multi-center, open-label clinical trial designed to assess the safety, tolerability and efficacy of a one-time intravenous infusion of TN-401. A second patient was also dosed in early 2025. Overall, the trial will seek to enroll at least six symptomatic (New York Heart Association class I, II or III) adults (ages 18-65) with low titers of AAV9 neutralizing antibodies who have been diagnosed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and have an ICD. The primary endpoints for the trial include safety and tolerability, PK (as measured by transgene and mRNA expression via cardiac biopsies at 8 weeks and 52 weeks) and PD (as measured by changes in daily PVCs and non-sustained ventricular tachycardia).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Additional endpoints include frequency of ICD shocks or pacing, frequency of ventricular tachycardia, changes in premature ventricular contractions, imaging biomarkers by echo evaluating structural/hemodynamic changes, plasma biomarkers and patient-reported outcomes. The trial will include a preventative immunosuppressive regimen and close safety monitoring, as well as a 5-year follow-up on safety and efficacy. We plan to assess two dose levels of TN-401 in the trial, starting with 3×10</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color w:val="auto"/>
        </w:rPr>
        <w:t xml:space="preserve"> vg/kg, a dose associated with near-maximal efficacy in preclinical studies. We expect to complete enrollment of the first cohort of patients in the first half of 2025. An independent safety review will then inform plans for dose escalation to 6×10</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color w:val="auto"/>
        </w:rPr>
        <w:t xml:space="preserve"> vg/kg, as needed, and/or enrollment of additional patients in the first cohort. Initial clinical data from the first cohort of patients receiving TN-401 at the 3×10</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color w:val="auto"/>
        </w:rPr>
        <w:t xml:space="preserve"> vg/kg dose is expected in the second half of 2025.</w:t>
      </w:r>
    </w:p>
    <w:p>
      <w:pPr>
        <w:spacing w:after="0" w:line="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To support our development efforts for TN-401, we have initiated RIDGE a global noninterventional study to collect treatment history and seroprevalence to AAV9 antibodies data among ARVC patients who carry pathogenic or likely pathogenic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mutations. Initial data from RIDGE indicated that antibodies to AAV9 in a majority of these patients were below the eligibility threshold that would allow for participation in RIDGE-1. We plan to present additional data from RIDGE in the first half of 2025.</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TN-401 has received Fast Track and orphan drug designation from the FDA and orphan medicinal product designation from the EC. In January 2025, we were awarded a Clinical Grant (Clin2) of $8.0 million from the California Institute for Regenerative Medicine (CIRM), a state of California Agency that funds regenerative medicine, stem cell, and gene therapy research. Proceeds from the grant will help fund clinical trial costs for our ongoing Phase 1b RIDGE-1 clinical trial of TN-401 gene therapy.</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Evidence Supporting TN-401 Clinical Development Plan</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preclinical efficacy studies employed a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cardiac conditional knockout (</w:t>
      </w:r>
      <w:r>
        <w:rPr>
          <w:rFonts w:ascii="Times New Roman" w:cs="Times New Roman" w:eastAsia="Times New Roman" w:hAnsi="Times New Roman"/>
          <w:sz w:val="18"/>
          <w:szCs w:val="18"/>
          <w:i w:val="1"/>
          <w:iCs w:val="1"/>
          <w:color w:val="auto"/>
        </w:rPr>
        <w:t>Pkp2-cKO</w:t>
      </w:r>
      <w:r>
        <w:rPr>
          <w:rFonts w:ascii="Times New Roman" w:cs="Times New Roman" w:eastAsia="Times New Roman" w:hAnsi="Times New Roman"/>
          <w:sz w:val="18"/>
          <w:szCs w:val="18"/>
          <w:color w:val="auto"/>
        </w:rPr>
        <w:t xml:space="preserve">) mouse model that simulates key aspects of ARVC including dilation of the right ventricle (RV) and LV, decline in LV heart function, severe ventricular arrhythmia, and early mortality. The onset of symptoms in this model is very rapid and occurs within three weeks after induction of the gene deletion. It is important to note that this </w:t>
      </w:r>
      <w:r>
        <w:rPr>
          <w:rFonts w:ascii="Times New Roman" w:cs="Times New Roman" w:eastAsia="Times New Roman" w:hAnsi="Times New Roman"/>
          <w:sz w:val="18"/>
          <w:szCs w:val="18"/>
          <w:i w:val="1"/>
          <w:iCs w:val="1"/>
          <w:color w:val="auto"/>
        </w:rPr>
        <w:t>Pkp2-cKO</w:t>
      </w:r>
      <w:r>
        <w:rPr>
          <w:rFonts w:ascii="Times New Roman" w:cs="Times New Roman" w:eastAsia="Times New Roman" w:hAnsi="Times New Roman"/>
          <w:sz w:val="18"/>
          <w:szCs w:val="18"/>
          <w:color w:val="auto"/>
        </w:rPr>
        <w:t xml:space="preserve"> model is homozygous with no production of PKP2 protein in cardiomyocytes, resulting in a severity of disease and rate of disease progression that is greater than what is normally observed in most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patients who are almost all heterozygous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mutations, and likely produce less than or equal to 50% of the necessary PKP2 protein. The </w:t>
      </w:r>
      <w:r>
        <w:rPr>
          <w:rFonts w:ascii="Times New Roman" w:cs="Times New Roman" w:eastAsia="Times New Roman" w:hAnsi="Times New Roman"/>
          <w:sz w:val="18"/>
          <w:szCs w:val="18"/>
          <w:i w:val="1"/>
          <w:iCs w:val="1"/>
          <w:color w:val="auto"/>
        </w:rPr>
        <w:t>Pkp2-cKO</w:t>
      </w:r>
      <w:r>
        <w:rPr>
          <w:rFonts w:ascii="Times New Roman" w:cs="Times New Roman" w:eastAsia="Times New Roman" w:hAnsi="Times New Roman"/>
          <w:sz w:val="18"/>
          <w:szCs w:val="18"/>
          <w:color w:val="auto"/>
        </w:rPr>
        <w:t xml:space="preserve"> model is nonetheless useful as it provides important proof of concept for the potentially beneficial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effect of the PKP2 protein replacement via a gene therapy approach.</w:t>
      </w:r>
    </w:p>
    <w:p>
      <w:pPr>
        <w:spacing w:after="0" w:line="77"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 xml:space="preserve">In preclinical studies, we systemically administered either TN-401 or a mouse surrogate (referred to interchangeably as a “PKP2 gene therapy”) in </w:t>
      </w:r>
      <w:r>
        <w:rPr>
          <w:rFonts w:ascii="Times New Roman" w:cs="Times New Roman" w:eastAsia="Times New Roman" w:hAnsi="Times New Roman"/>
          <w:sz w:val="18"/>
          <w:szCs w:val="18"/>
          <w:i w:val="1"/>
          <w:iCs w:val="1"/>
          <w:color w:val="auto"/>
        </w:rPr>
        <w:t xml:space="preserve">Pkp2-cKO </w:t>
      </w:r>
      <w:r>
        <w:rPr>
          <w:rFonts w:ascii="Times New Roman" w:cs="Times New Roman" w:eastAsia="Times New Roman" w:hAnsi="Times New Roman"/>
          <w:sz w:val="18"/>
          <w:szCs w:val="18"/>
          <w:color w:val="auto"/>
        </w:rPr>
        <w:t>mice across a range of dose levels from 1×10</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vg/kg to 1×10</w:t>
      </w:r>
      <w:r>
        <w:rPr>
          <w:rFonts w:ascii="Times New Roman" w:cs="Times New Roman" w:eastAsia="Times New Roman" w:hAnsi="Times New Roman"/>
          <w:sz w:val="20"/>
          <w:szCs w:val="20"/>
          <w:color w:val="auto"/>
          <w:vertAlign w:val="superscript"/>
        </w:rPr>
        <w:t>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vg/kg and observed near maximal efficacy in the mouse model at 3×10</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vg/kg.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severity and rapid progression of this disease model, combined with the homozygous gene KO and near complete loss of PKP2 protein in cardiac tissue, resulted in 100% mortality within 4-6 weeks post induction of KO. This model represents a high bar for demonstration of efficacy with gene therapy, particularly given the slow kinetics (weeks) of AAV-based gene expression and protein production. Nevertheless, whether administered prior to or following disease onset, PKP2 gene therapy demonstrated prevention or attenuation and/or reversal of disease progression, ultimately culminating in improved survival in both modes of treatment. These improvements in disease state were accompanied by restoration of desmosomes and gap junctions at the molecular and cellular level. PKP2 gene therapy was well tolerated in GLP-compliant preclinical studies.</w:t>
      </w:r>
    </w:p>
    <w:p>
      <w:pPr>
        <w:spacing w:after="0" w:line="7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Specifically, when administered prior to disease onset, PKP2 gene therapy prevented all ARVC disease characteristics in </w:t>
      </w:r>
      <w:r>
        <w:rPr>
          <w:rFonts w:ascii="Times New Roman" w:cs="Times New Roman" w:eastAsia="Times New Roman" w:hAnsi="Times New Roman"/>
          <w:sz w:val="18"/>
          <w:szCs w:val="18"/>
          <w:i w:val="1"/>
          <w:iCs w:val="1"/>
          <w:color w:val="auto"/>
        </w:rPr>
        <w:t>Pkp2-cKO</w:t>
      </w:r>
      <w:r>
        <w:rPr>
          <w:rFonts w:ascii="Times New Roman" w:cs="Times New Roman" w:eastAsia="Times New Roman" w:hAnsi="Times New Roman"/>
          <w:sz w:val="18"/>
          <w:szCs w:val="18"/>
          <w:color w:val="auto"/>
        </w:rPr>
        <w:t xml:space="preserve"> mice including RV enlargement, LVEF decline, ventricular arrhythmias, and adverse fibrotic remodeling. Even when administered after disease onset in this rapidly progressing model,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therapy attenuated LVEF decline with an average 15% (+/- 5.6%) increase in absolute EF versus the vehicle-treated group and attenuated worsening of VA event frequency and severity. Administration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therapy also supported a near-complete reversal of RV enlargement leading to a restoration of the wild-type level. In either intervention, the beneficial effects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therapy have been shown to be dose dependent and durable following a single dose lasting the remainder of the </w:t>
      </w:r>
      <w:r>
        <w:rPr>
          <w:rFonts w:ascii="Times New Roman" w:cs="Times New Roman" w:eastAsia="Times New Roman" w:hAnsi="Times New Roman"/>
          <w:sz w:val="18"/>
          <w:szCs w:val="18"/>
          <w:i w:val="1"/>
          <w:iCs w:val="1"/>
          <w:color w:val="auto"/>
        </w:rPr>
        <w:t>Pkp2-cKO</w:t>
      </w:r>
      <w:r>
        <w:rPr>
          <w:rFonts w:ascii="Times New Roman" w:cs="Times New Roman" w:eastAsia="Times New Roman" w:hAnsi="Times New Roman"/>
          <w:sz w:val="18"/>
          <w:szCs w:val="18"/>
          <w:color w:val="auto"/>
        </w:rPr>
        <w:t xml:space="preserve"> mouse model’s natural life span. Survival was also improved in a dose-dependent manner and the effect was sustained for the duration of the study;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therapy extended median lifespan from 4.7 weeks to ≥ 50 weeks, regardless of preventative or post-onset dosing.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Clinical-Stage Small Molecule Program</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While much of our research, development and manufacturing focus is on cardiac conditions for which genetic medicines can address the underlying cause of disease, our target discovery and validation capabilities allow us to pursue modality-agnostic drug discovery efforts.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TN-301: HDAC6 Inhibitor Program for HFpEF</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Using our proprietary modality-agnostic drug discovery capabilities, we discovered an HDAC6 small molecule inhibitor for the potential treatment of HFpEF. HFpEF is one of the greatest areas of unmet need in heart disease with more than three million patients in the U.S. for which there are few approved disease-specific treatment options. A complex syndrome, the causes of HFpEF are diverse, but result in a shared pathophysiology with systemic inflammation and metabolic dysfunction leading to hypertrophy, fibrosis, and diastolic dysfunction among other characteristic consequences. The result is high morbidity and mortality in affected individuals. Our product candidate, TN-301, is a differentiated compound with unique chemical structure and high specificity for HDAC6. We have completed a Phase 1 clinical trial in which TN-301 demonstrated safety and tolerability in healthy participants with dose-proportional pharmacokinetics and robust target engagement. We have also generated robust preclinical evidence that selective HDAC6 inhibition with our compound improves many of the hallmarks of HFpEF when utilized alone or in combination with sodium-glucose cotransporter-2 (SGLT2) inhibitors, a relatively new class of medicines that have shown some efficacy in HFpEF. Based on the large HFpEF patient population, we believe that TN-301’s late-stage development and commercialization would best be led by a strategic partner with the global resources to explore the full potential of the molecule in HFpEF and other indications.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HFpEF</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HFpEF is generally defined as heart failure with an EF greater than or equal to 50%. In patients with HFpEF, the LV is stiffened and does not adequately relax, and increased pressure is needed for the ventricle to properly fill. As a result, blood begins to build up inside the left atrium of the heart and eventually swells into the lungs, veins and tissues of the body. HFpEF is a progressive disease in many patients. Symptoms initially include fatigue, shortness of breath, and edema, resulting in reduced physical activity. Over time, this results in a substantial limitation in activities and impact on quality of life, and patients are at risk of premature death.</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Patients with HFpEF represent approximately half of heart failure patients, with prevalence of the disease anticipated to increase by more than 45% by 2030. The increase in HFpEF prevalence is at least in part due to the high overlap of this condition with diabetes and obesity which are also on the rise in the U.S. and globally. At least half of all hospital admissions for heart failure are related to HFpEF and approximately 24% of the HFpEF population is considered to have New York Heart Association Class III or Class IV disease, representing a disease burden that markedly impacts quality of life and limits physical activity. Among patients hospitalized for HFpEF, readmission for heart failure and mortality rates over a five-year period are as high as 40% and 75%, respectively. Historically, HFpEF patients have generally been prescribed therapies for HFrEF, including diuretics, beta-blockers, and ACE inhibitors, in spite of a limited data demonstrating efficacy or improved outcomes. Recent clinical evidence indicates that glucagon-like peptide-1 receptor agonists may have potential in the treatment and prevention of HFpEF. In spite of this recent progress, HFpEF remains one of the greatest unmet needs in cardiovascular medicine.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Solution</w:t>
      </w:r>
    </w:p>
    <w:p>
      <w:pPr>
        <w:spacing w:after="0" w:line="119"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TN-301 is a small molecule inhibitor of HDAC6 intended for the potential treatment of HFpEF. TN-301 has demonstrated up to 2500-fold preferential selectivity to inhibit HDAC6 in contrast to pan HDACs which have been utilized in oncology. We believe that TN-301’s selectivity may reduce the risk of off target effects observed with less selective HDAC6 inhibitors or pan-HDAC inhibition.</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Key aspects of HFpEF disease biology include oxidative stress and inflammation, cardiac fibrosis, cardiac hypertrophy and cardiac stiffness, which all result in diastolic dysfunction, and decreased ability of the heart to fill its chambers during contraction. Defects in glucose tolerance and insulin sensitivity and overall defective metabolism have also been proposed to play a role in HFpEF onset and progression due to high overlap between patients with HFpEF population and those suffering from diabetes and obesity.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preclinical data is suggestive of a multi-modal mechanism of action that may address many of the hallmarks of HFpEF. In the preclinical setting, TN-301 was shown to reverse measures of HFpEF, including restoration of LV wall thickness, LV end diastolic pressure, LV relaxation and filling, and LV mass. Treatment with TN-301 also resulted in a trend of decreased lung weight, indicative of improvement in pulmonary congestion consistent with the reduction of filling pressure. In addition, we observed an improvement in glucose tolerance, suggesting that treatment with a selective HDAC6i may have a positive impact on glucose metabolism, as well as reductions of key biomarkers of fibrosis, hypertrophy and cardiac damage, and inflammation.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TN-301 Clinical Development Plan</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Building on our preclinical data, we designed and conducted a randomized (3:1), double-blind, placebo-controlled Phase 1 clinical trial to assess the safety and tolerability of escalating oral doses of TN-301 in healthy adult participants. Secondary objectives of the clinical trial included assessment of PK and PD measures. We shared positive data from our Phase 1 clinical trial of TN-301 in healthy participants at the 2023 Heart Failure Society of America (HFSA) Annual Scientific Meeting. The Phase 1 trial enrolled participants in two stages. In Stage 1, participants received single ascending doses (SAD) (1mg – 700mg) and in Stage 2, participants received multiple ascending doses (MAD) (25mg, 100mg and 300mg once daily for 14 days). TN-301 was generally well tolerated across the broad range of doses studied.</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PK results showed dose proportional increase in plasma exposure in the SAD and MAD stages of the study with a half-life supportive of once-daily dosing. Increasing TN-301 doses and exposures in both stages of the clinical trial also resulted in corresponding increases in PD effect (as measured by acetylated tubulin). HDAC6 is localized to the cell cytoplasm where it interacts with multiple proteins to coordinate cellular processes and one of its main substrates is tubulin. Inhibition of HDAC6 therefore, results in an increase in acetylated tubulin over baseline. In the Phase 1 clinical trial, acetylated tubulin was evaluated in circulating cells in a robust and reproducible manner. There were no corresponding changes in histone acetylation with TN-301, underscoring the selectivity of TN-301 for HDAC6 and potentially reducing the risk of off target effects observed with less selective HDAC6 inhibitors or pan-HDAC inhibition. Most adverse events were gastro-intestinal related, occurred with similar frequency in the placebo group and did not increase as doses of TN-301 increased.</w:t>
      </w:r>
    </w:p>
    <w:p>
      <w:pPr>
        <w:spacing w:after="0" w:line="8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Given the encouraging safety profile, potential for once-daily dosing and robust target engagement observed, we believe the results from the Phase 1 clinical trial of TN-301 provide early evidence of a suitable profile for the treatment of HFpEF and warrant further testing in HFpEF patients.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with SGLT2 Inhibitors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conducted a comparison study of TYA-018, a structurally and functionally equivalent compound to TN-301 with empagliflozin, an SGLT2 inhibitor approved for HFpEF in a proprietary mouse model of disease using a combination of high fat diet (60%) and Nω-nitrol-arginine methyl ester (L-NAME, 0.5 g/L) to recapitulate systemic and cardiovascular features of HFpEF in humans. In the study, empagliflozin behaved as anticipated based on the data generated from large clinical trials providing validation of our mouse model.TYA-018 improved glucose tolerance, reduced LV mass and diastolic pressure, and increased diastolic function with comparable efficacy, suggesting that preclinical results may translate to the clinic. Additionally, using a validated mouse model of disease, we demonstrated that TYA-018 co-administered with empagliflozin demonstrated additive benefit compared to either agent alone improving several measures of heart function. Taken together, these data support the potential for a selective HDAC6 inhibitor such as TN-301 to be used either alone or in combination with SGLT2 inhibitors, as a treatment for patients with HFpEF.</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Indications for HDAC6 Inhibitors Beyond HFpEF</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Data from preclinical studies evaluating TN-301 as a treatment for HFpEF suggest that there may also be a role for TN-301 in the treatment of sub-populations of patients with obesity, diabetes or metabolic syndrome, as well as potentially in sub-populations of patients with dilated cardiomyopathy (DCM) where there is strong alignment between the multi-modal mechanism of action of TN-301 with the pathophysiology of the HFpEF disease.</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to improvements in glucose metabolism associated with TN-301 treatment in HFpEF mouse models, treatment with TN-301 also led to improvements in glucose tolerance (after a single dose) and insulin sensitivity (after once daily dosing for four weeks) in a diet-induced obesity (DIO) mouse model. A single dose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8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TN-301 in the DIO model was also associated with a significant reduction in inflammatory markers in adipose tissue, which are thought to be linked to glucose tolerance and insulin sensitivity.</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small molecule HDAC6 inhibitors were initially discovered and validated as having cardioprotective qualities in preclinical studies of a rapidly worsening mouse model of BAG3 mutant DCM. In this model, treatment resulted in a greater than 20% improvement in EF after eight weeks of treatment relative to controls. These initial data support the potential of TN-301 as a potential treatment for DCM, a form of cardiomyopathy characterized by an enlarged and weakened left ventricle. Collectively, these data are supportive of a role for HDAC6 inhibition in multiple indications beyond HFpEF.</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Next Steps in TN-301’s Development</w:t>
      </w:r>
    </w:p>
    <w:p>
      <w:pPr>
        <w:spacing w:after="0" w:line="119" w:lineRule="exact"/>
        <w:rPr>
          <w:sz w:val="20"/>
          <w:szCs w:val="20"/>
          <w:color w:val="auto"/>
        </w:rPr>
      </w:pPr>
    </w:p>
    <w:p>
      <w:pPr>
        <w:jc w:val="both"/>
        <w:ind w:right="160" w:firstLine="509"/>
        <w:spacing w:after="0" w:line="282" w:lineRule="auto"/>
        <w:rPr>
          <w:sz w:val="20"/>
          <w:szCs w:val="20"/>
          <w:color w:val="auto"/>
        </w:rPr>
      </w:pPr>
      <w:r>
        <w:rPr>
          <w:rFonts w:ascii="Times New Roman" w:cs="Times New Roman" w:eastAsia="Times New Roman" w:hAnsi="Times New Roman"/>
          <w:sz w:val="18"/>
          <w:szCs w:val="18"/>
          <w:color w:val="auto"/>
        </w:rPr>
        <w:t>Given the extensive preclinical data generated and the positive Phase 1 clinical trial results, we are encouraged by TN-301’s emerging therapeutic profile as a potential differentiated treatment for HFpEF. We believe that TN-301 will best be advanced into efficacy studies by a well-resourced partner.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Integrated Capabilities</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Foundational to our modality-agnostic research and drug discovery efforts are our proprietary integrated capabilities that collectively support discovery of novel targets,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optimization and lead validation,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characterization, rapid product development, precise product delivery, and efficient production.</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our early integration of these in-house capabilities has by now provided us with several advantages and differentiates our efforts relative to other drug discovery companies, especially for gene therapy drug development. For example, we believe the application of our capsid engineering and promoter design and delivery expertise may enable us to overcome the limitations faced by prior cardiac gene therapy approaches by enabling more precise delivery and more robust gene expression and lowering the risk of off-target effects. Leveraging our extensive in-house capabilities, we are able to take a competitively advantageous approach to target identification and validation and preclinical characterization of each of our prospective candidates, which we believe provides us with deeper insights, shortened product development cycles, reduced scientific risks and improved probability of technical and regulatory success for our product candidates. Ultimately, we believe our differentiated capabilities can support development of product candidates that, if approved, could address the high unmet need of patients with heart diseases. Our core internal capabilities include disease models, capsid engineering, promoters and regulatory elements, drug delivery and manufacturing, each described in more detail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Disease Models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have internalized the ability to create and integrate proprietary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within our research organization, which allows us to simulate human heart disease phenotypes. This combination of human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rodent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creates significant value to the organization, as singular models of human heart disease may not be adequate to assess the efficacy or safety of novel therapies. Our disease modeling capabilities serve to facilitate the discovery of new leads and to characterize the activity of existing leads as we move through preclinical development.</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For our</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human iPSC-cardiomyocyte (iPSC-CM) disease models, we use multiple methods to induce phenotypes within cell 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simulate human diseases and then use these models for high throughput target identification and drug discovery. We have developed our own high throughput imaging analysis technologies to characterize the impact of drug leads directly on cardiomyocytes and cardiac fibroblasts. Taken together, our advancements in disease modeling, including our practice of characterizing targets using three-dimensional human engineering heart tissues, our ability to produce human iPSC-CMs reliably and at an increasing scale, our combination of immunostaining, high-resolution imaging and application of machine learning algorithms to support high-throughput phenotypic screening, enhance our ability to both identify and characterize potential product candidates early in the discovery process.</w:t>
      </w:r>
    </w:p>
    <w:p>
      <w:pPr>
        <w:spacing w:after="0" w:line="75"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We have to date established approximately 20 rodent heart disease models in pursuit of our early pipeline. Our rodent models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in-licensed and novel genetically modified lines, as well as surgically or pharmacologically induced models. We have over time developed important insights into the advantages and limitations of specific models and have learned how to optimize experimental design to maximize learnings and</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de-risk program advancement. This insight influences our preclinical drug development strategies and our discussions with regulatory agencies.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Capsid Engineering</w:t>
      </w:r>
    </w:p>
    <w:p>
      <w:pPr>
        <w:spacing w:after="0" w:line="121" w:lineRule="exact"/>
        <w:rPr>
          <w:sz w:val="20"/>
          <w:szCs w:val="20"/>
          <w:color w:val="auto"/>
        </w:rPr>
      </w:pPr>
    </w:p>
    <w:p>
      <w:pPr>
        <w:ind w:right="460" w:firstLine="509"/>
        <w:spacing w:after="0" w:line="256" w:lineRule="auto"/>
        <w:rPr>
          <w:sz w:val="20"/>
          <w:szCs w:val="20"/>
          <w:color w:val="auto"/>
        </w:rPr>
      </w:pPr>
      <w:r>
        <w:rPr>
          <w:rFonts w:ascii="Times New Roman" w:cs="Times New Roman" w:eastAsia="Times New Roman" w:hAnsi="Times New Roman"/>
          <w:sz w:val="18"/>
          <w:szCs w:val="18"/>
          <w:color w:val="auto"/>
        </w:rPr>
        <w:t>We believe selection of the right capsid for optimal delivery and safety of genetic medicines can make a profound difference in patient safety, therapeutic efficacy, manufacturing productivity and cost of goods. For our initial pipeline programs, we elected to use AAV9 as the capsid due to its clinically established safety profile and cardiac tropism and proven manufacturability. As part of our early product design efforts, we tested AAV9 alongside several other capsids for tropism to cardiomyocytes and for resulting mRNA and protein expression, and in our hands AAV9 proved to be superior to other available capsids. This work contributed to the selection of AAV9 for use with TN-201 and TN-401, and also contributed to the foundations of our novel capsid engineering efforts.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goal is to discover, design, and develop novel cardiac-tropic AAV capsids with superior attributes in order to enable more precise targeting of heart cells and to improve the safety profile of our product candidates by reducing tropism for other organs, particularly the liver. We also believe that using capsids that more specifically target one cell type over another can also help lower cost of goods for our future product candidates by lowering doses while increasing efficacy. To achieve our goals related to capsid engineering, we have established in-house AAV capsid engineering capabilities and have designed and screened over one billion variants from diverse, proprietary libraries to discover, design, and develop novel capsids to support our programs.</w:t>
      </w:r>
    </w:p>
    <w:p>
      <w:pPr>
        <w:spacing w:after="0" w:line="7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approach includes the use of diverse screening methods across a variety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libraries to enable our ability to identify novel capsids, followed by the application of broad criteria for the selection of novel capsids, including improved tropism for the heart compared to other organs, with a particular interest in de-targeting the liver; improved transduction of specific heart cell types; lower susceptibility to neutralizing antibodies; and comparable manufacturing in both HEK293- and Sf9/rBV-based manufacturing systems. We then evaluate these novel capsids to identify ones that can outperform the relevant parental capsids, which may vary depending on the intended use.</w:t>
      </w:r>
    </w:p>
    <w:p>
      <w:pPr>
        <w:spacing w:after="0" w:line="77"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Through these efforts, we have discovered proprietary capsids with superior performance over parental variants across multiple species. These next-generation capsids have improved tropism for the heart compared to other organs and even for specific cells within the heart; improved transduction and expression within the heart cells; and lower susceptibility to neutralizing antibodies We have identified novel capsids capable of equivalent or superior transduction in the heart, lower transduction of the liver and a better ability to evade human neutralizing antibodies as compared to AAV9. We have also generated data that demonstrate that certain of these capsids have a greater ability to improve heart function compared to AAV9 in specific disease models.</w:t>
      </w:r>
    </w:p>
    <w:p>
      <w:pPr>
        <w:spacing w:after="0" w:line="6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Overall, these data provide important proof of concept of the potential utility of capsid engineering. We believe our capsid engineering efforts will be critical in supporting the successful clinical development of future product candidates and enabling those product candidates, if approved, to reach more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Promoters and Regulatory Elements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have created novel promoters and regulatory elements that support our gene therapy and cellular regeneration programs by controlling the expression of genes within the cells. We use these innovations, which are essential to the success of gene therapy, to help ensure more precise and more robust expression of therapeutic payloads in the different cell types of the heart as compared to what can be achieved with currently available methods. We believe our innovations can support successful clinical development in part by improving the efficacy and safety profile of our product candidates. For example, we have developed cardiac-specific promoters that enable more selective and robust expression in the heart as compared to other organs. Specifically, during optimization of TN-201, we developed a cardiomyocyte-specific promoter, TNP-CM1, with improved performance attributes as compared to the standard cTnT promoter.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analyses confirmed that TNP-CM1 significantly increased expression of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compared to what can be achieved with the standard cTnT promoter. In addition, in a mouse model we observed 1000-fold selectivity of expression in cardiac tissue relative to other tissues, including skeletal muscle, brain and liver.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Delivery</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Delivery of drugs to the heart is widely considered to be an important challenge to successful translation of cardiac gene therapy and regenerative medicines into approved products. In an effort to maximize the success of programs within our diverse pipeline, we have actively explored different routes of administration, as well as different infusion- or injection-based catheters to support more targeted delivery and more efficient uptake of therapies based on viral vectors. For our gene therapy product candidates, including TN-201 and TN-401, we generally need broad distribution across the heart tissue that is best suited to infusion-based approaches. For other programs where we need more precise delivery into the heart tissue, e.g. directly around a scar area of the LVin a way that is more suited to injection-based approaches, we have developed a proprietary injection catheter. We believe our discoveries in drug delivery may widen the therapeutic index of certain product candidates by reducing the dose required for a therapeutic benefit.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strategy is to have complete ownership of our process development, analytical development, manufacturing and quality control (QC). Maintaining internalized manufacturing increases our understanding of the attributes of our drug substance and drug product, enables continuous process improvement, consistency (quality and productivity) and supports manufacturing requirements for clinical development and commercialization. The resulting innovation and insights are expected to apply not only for rare populations, but also for more prevalent indications, and allow us to be a partner of choice in strategic drug development partnerships and with early-stage academic programs. Overall, the internalization of manufacturing efforts provides us with know-how that yields several advantages that allow us to be in a better position to support our future capacity expansion needs or swiftly transfer technology know-how to contract development and manufacturing organizations (CDMOs) to achieve sourcing for product candidates across multiple third parties for risk mitigation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intellectual property. We believe our scientific know-how, core internal capabilities and experience provides us with competitive advantages. However, we face substantial competition from many different sources, including large and specialty pharmaceutical companies and biotechnology companies, academic research institutions and governmental agencies, and public and private research institutions. Any product candidate we develop and commercialize will have to compete with existing therapies, as well as therapies currently in development or that may be developed in the future.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Due to the depth and diversity of our pipeline, we may face competition from a variety of companies, including:</w:t>
      </w:r>
    </w:p>
    <w:p>
      <w:pPr>
        <w:spacing w:after="0" w:line="11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TN-201: </w:t>
      </w:r>
      <w:r>
        <w:rPr>
          <w:rFonts w:ascii="Times New Roman" w:cs="Times New Roman" w:eastAsia="Times New Roman" w:hAnsi="Times New Roman"/>
          <w:sz w:val="18"/>
          <w:szCs w:val="18"/>
          <w:color w:val="auto"/>
        </w:rPr>
        <w:t>We believe the principal competition for TN-201 will be programs that address the underlying genetic cause of</w:t>
      </w:r>
      <w:r>
        <w:rPr>
          <w:rFonts w:ascii="Times New Roman" w:cs="Times New Roman" w:eastAsia="Times New Roman" w:hAnsi="Times New Roman"/>
          <w:sz w:val="18"/>
          <w:szCs w:val="18"/>
          <w:i w:val="1"/>
          <w:iCs w:val="1"/>
          <w:color w:val="auto"/>
        </w:rPr>
        <w:t xml:space="preserve"> MYBPC3</w:t>
      </w:r>
      <w:r>
        <w:rPr>
          <w:rFonts w:ascii="Times New Roman" w:cs="Times New Roman" w:eastAsia="Times New Roman" w:hAnsi="Times New Roman"/>
          <w:sz w:val="18"/>
          <w:szCs w:val="18"/>
          <w:color w:val="auto"/>
        </w:rPr>
        <w:t>-associated HCM.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publicly available data, we don’t believe any such treatments have received approval from a regulatory agency or reached clinical development. Notwithstanding, we may face competition from treatments for both nHCM and oHCM, including Bristol Myers Squibb’s myosin inhibitor Camzyos approved for oHCM. There are also several other programs at the regulatory review stage or in clinical development for HCM, including Cytokinetics’ Aficamten and Edgewise Therapeutics’ EDG-7500, respectively.</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TN-301: </w:t>
      </w:r>
      <w:r>
        <w:rPr>
          <w:rFonts w:ascii="Times New Roman" w:cs="Times New Roman" w:eastAsia="Times New Roman" w:hAnsi="Times New Roman"/>
          <w:sz w:val="18"/>
          <w:szCs w:val="18"/>
          <w:color w:val="auto"/>
        </w:rPr>
        <w:t>We believe that the principal competition for TN-301 in HFpEF includes agents approved in the U.S. and/or Europe for the treatment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HFpEF, including Novartis’ Entresto and Eli Lilly and Boehringer Ingleheim’s SGLT2 inhibitor, Jardiance and Astra Zeneca’s SGLT2 inhibitor, Farxiga. While there are no approved HDAC6 inhibitors for cardiovascular indications, HFpEF clinical development is an area of robust investment and multiple additional agents for the treatment of HFpEF are in clinical development, including Eli Lilly and Company’s Tirzepatide.</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TN-401: </w:t>
      </w:r>
      <w:r>
        <w:rPr>
          <w:rFonts w:ascii="Times New Roman" w:cs="Times New Roman" w:eastAsia="Times New Roman" w:hAnsi="Times New Roman"/>
          <w:sz w:val="18"/>
          <w:szCs w:val="18"/>
          <w:color w:val="auto"/>
        </w:rPr>
        <w:t>We believe the principal competition for TN-401 will be programs that address the underlying genetic cause of</w:t>
      </w:r>
      <w:r>
        <w:rPr>
          <w:rFonts w:ascii="Times New Roman" w:cs="Times New Roman" w:eastAsia="Times New Roman" w:hAnsi="Times New Roman"/>
          <w:sz w:val="18"/>
          <w:szCs w:val="18"/>
          <w:i w:val="1"/>
          <w:iCs w:val="1"/>
          <w:color w:val="auto"/>
        </w:rPr>
        <w:t xml:space="preserve"> PKP2</w:t>
      </w:r>
      <w:r>
        <w:rPr>
          <w:rFonts w:ascii="Times New Roman" w:cs="Times New Roman" w:eastAsia="Times New Roman" w:hAnsi="Times New Roman"/>
          <w:sz w:val="18"/>
          <w:szCs w:val="18"/>
          <w:color w:val="auto"/>
        </w:rPr>
        <w:t>-associated ARVC.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Based on publicly available data, we don’t believe any such treatments have received approval from a regulatory agency. However, there are several programs in clinical development for treating the underlying cause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including Rocket Pharmaceutical’s RP-A601 and Lexeo Therapeutics’ LX2020. We may also face competition from therapies and medical devices directed to treat the symptoms of ARVC.</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4" w:lineRule="exact"/>
        <w:rPr>
          <w:sz w:val="20"/>
          <w:szCs w:val="20"/>
          <w:color w:val="auto"/>
        </w:rPr>
      </w:pPr>
    </w:p>
    <w:p>
      <w:pPr>
        <w:ind w:right="380" w:firstLine="509"/>
        <w:spacing w:after="0" w:line="284" w:lineRule="auto"/>
        <w:rPr>
          <w:sz w:val="20"/>
          <w:szCs w:val="20"/>
          <w:color w:val="auto"/>
        </w:rPr>
      </w:pPr>
      <w:r>
        <w:rPr>
          <w:rFonts w:ascii="Times New Roman" w:cs="Times New Roman" w:eastAsia="Times New Roman" w:hAnsi="Times New Roman"/>
          <w:sz w:val="18"/>
          <w:szCs w:val="18"/>
          <w:color w:val="auto"/>
        </w:rPr>
        <w:t>For information regarding the risks related to competition, see “</w:t>
      </w:r>
      <w:r>
        <w:rPr>
          <w:rFonts w:ascii="Times New Roman" w:cs="Times New Roman" w:eastAsia="Times New Roman" w:hAnsi="Times New Roman"/>
          <w:sz w:val="18"/>
          <w:szCs w:val="18"/>
          <w:i w:val="1"/>
          <w:iCs w:val="1"/>
          <w:color w:val="auto"/>
        </w:rPr>
        <w:t>Risk Factors—Risks Related to the Discovery Development, Manufacturing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Commercialization of Our Product Candidates.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product candidates, technology, manufacturing processes and know-how, to operate without infringing, misappropriating or otherwise violating the intellectual property or other proprietary rights of others and to prevent others from infringing, misappropriating or otherwise violating our intellectual property or other proprietary rights. To protect our intellectual property rights, we primarily rely on patent and trade secret laws, confidentiality procedures, and agreements, including employee disclosure and invention assignment agreements. Our policy is to seek to protect our proprietary position by, among other methods, pursuing patent applications in the U.S., European Union (EU) and other select jurisdictions related to our proprietary technology, inventions, improvements and product candidates that are important to our business. Our patent portfolio is intended to cover our product candidates and components thereof, their methods of use and processes for their manufacture, medical devices and systems for their administration, our proprietary reagents and assays and any other inventions that are commercially important to our business.</w:t>
      </w:r>
    </w:p>
    <w:p>
      <w:pPr>
        <w:spacing w:after="0" w:line="80" w:lineRule="exact"/>
        <w:rPr>
          <w:sz w:val="20"/>
          <w:szCs w:val="20"/>
          <w:color w:val="auto"/>
        </w:rPr>
      </w:pPr>
    </w:p>
    <w:p>
      <w:pPr>
        <w:ind w:right="280" w:firstLine="509"/>
        <w:spacing w:after="0" w:line="262" w:lineRule="auto"/>
        <w:rPr>
          <w:sz w:val="20"/>
          <w:szCs w:val="20"/>
          <w:color w:val="auto"/>
        </w:rPr>
      </w:pPr>
      <w:r>
        <w:rPr>
          <w:rFonts w:ascii="Times New Roman" w:cs="Times New Roman" w:eastAsia="Times New Roman" w:hAnsi="Times New Roman"/>
          <w:sz w:val="18"/>
          <w:szCs w:val="18"/>
          <w:color w:val="auto"/>
        </w:rPr>
        <w:t>Each of our lead product candidates is covered by at least one or more issued U.S. patents, which are described below. We also have numerous pending patent applications, and will continue to file new patent applications, in the U.S., the EU and other select countries covering our lead product candidates, as well as our early-stage programs in preclinical development. Beyond these issued patents and pending patent applications, our owned and exclusively licensed patent portfolio also covers various aspects of our core capabilities, including our gene delivery expression cassettes and vectors, recombinant capsid proteins, gene editing technology, manufacturing processes and medical devices.</w:t>
      </w:r>
    </w:p>
    <w:p>
      <w:pPr>
        <w:spacing w:after="0" w:line="70"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TN-201</w:t>
      </w:r>
      <w:r>
        <w:rPr>
          <w:rFonts w:ascii="Times New Roman" w:cs="Times New Roman" w:eastAsia="Times New Roman" w:hAnsi="Times New Roman"/>
          <w:sz w:val="18"/>
          <w:szCs w:val="18"/>
          <w:color w:val="auto"/>
        </w:rPr>
        <w:t>: With regard to TN-201, we own three issued U.S. patents covering a recombinant adeno-associated virus (rAAV) virion whose vector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genome encodes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and methods of using the same for treating cardiomyopathy, two pending non-provisional U.S. patent applications, and twenty-five pending foreign patent applications. Any U.S. or foreign patents issued from the pending patent applications are expected to expire in 2041, assuming payment of all appropriate maintenance, renewal, annuity or other governmental fees, and without taking potential patent term extensions or adjustments into account. The issued U.S. patents and pending U.S. non-provisional patent applications are directed to various aspects of TN-201, including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expression cassettes, rAAV vectors, rAAV viral genomes and methods of using such compositions for therapeutic indications.</w:t>
      </w:r>
    </w:p>
    <w:p>
      <w:pPr>
        <w:spacing w:after="0" w:line="7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TN-301: </w:t>
      </w:r>
      <w:r>
        <w:rPr>
          <w:rFonts w:ascii="Times New Roman" w:cs="Times New Roman" w:eastAsia="Times New Roman" w:hAnsi="Times New Roman"/>
          <w:sz w:val="18"/>
          <w:szCs w:val="18"/>
          <w:color w:val="auto"/>
        </w:rPr>
        <w:t>With regard to TN-301, we own two issued U.S. patents, one pending non-provisional U.S. patent application and thirty pending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applications covering TN-301 and various analogs. Any U.S. or foreign patents issued from these pending patent applications are expected to expire in 2040, assuming payment of all appropriate maintenance, renewal, annuity or other governmental fees, and without taking potential patent term extensions or adjustments into account. . We also own three patent families that cover methods of treatment of various diseases and disorders with TN-301 and its analogs, with one issued U.S. patent, two pending non-provisional U.S. patent applications, one pending PCT application and forty-four foreign patent applications. Any U.S. or foreign patents issued from the pending applications are expected to expire between 2040 and 2044, assuming payment of all appropriate maintenance, renewal, annuity or other governmental fees, and without taking potential patent term extensions or adjustments into account. We also own one patent family that covers additional HDAC6i compounds, with one pending non-provisional U.S. patent application and three pending foreign patent applications. Any U.S. or foreign patents issued from these pending patent applications are expected to expire in 2040, assuming payment of all appropriate maintenance, renewal, annuity or other governmental fees, and without taking potential patent term extensions or adjustments into account.</w:t>
      </w:r>
    </w:p>
    <w:p>
      <w:pPr>
        <w:spacing w:after="0" w:line="7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TN-401: </w:t>
      </w:r>
      <w:r>
        <w:rPr>
          <w:rFonts w:ascii="Times New Roman" w:cs="Times New Roman" w:eastAsia="Times New Roman" w:hAnsi="Times New Roman"/>
          <w:sz w:val="18"/>
          <w:szCs w:val="18"/>
          <w:color w:val="auto"/>
        </w:rPr>
        <w:t>With regard to TN-401, we own one issued U.S. patent, four pending U.S. non-provisional patent applications, two issued foreign patents,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twenty-five foreign patent applications. Any U.S. or foreign patents issued from the pending patent applications are expected to expire in 2041, assuming payment of all appropriate maintenance, renewal, annuity or other governmental fees and without taking potential patent term extensions or adjustments into account. These patent applications are related to proprietary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expression vectors and methods of use. We own one pending U.S. non-provisional patent application and four foreign patent applications related to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therapeutic treatment methods. Any U.S. or foreign patents issued from the pending patent applications are expected to expire in 2043, assuming payment of all appropriate maintenance, renewal, annuity or</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other governmental fees, and without taking potential patent term extensions or adjustments into account. We own one pending U.S. non-provisional patent application and three foreign patent applications related to capsids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therapy and methods of use. Any U.S. or foreign patents issued from the pending patent applications are expected to expire in 2043, assuming payment of all appropriate maintenance, renewal, annuity or other governmental fees, and without taking potential patent term extensions or adjustments into account. We own one pending PCT patent application related to methods for modulating gene expression. Any U.S. or foreign patents issued from national stage filings of this PCT patent application are expected to expire in 2044, assuming payment of all appropriate maintenance, renewal, annuity or other governmental fees, and without taking potential patent term extensions or adjustments into account. We own one issued U.S. patent and one pending non-provisional U.S. patent application related to methods for treating arrhythmogenic right ventricular cardiomyopathy. Any U.S. patent issued from the pending patent application is expected to expire in 2040, assuming payment of all appropriate maintenance, renewal, annuity or other governmental fees, and without taking potential patent term extensions or adjustments into account. We own one pending U.S. provisional patent application related to methods for measuring a response to PKP2 gene therapy. Patents claiming priority to this U.S. provisional patent application are expected to expire in 2046, assuming payment of all appropriate maintenance, renewal, annuity or other governmental fees, and without taking potential patent term extensions or adjustments into account.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to our reliance on patent protection for our technology and product candidates, we also rely on trade secret protection of our confidential information and know-how relating to our proprietary technology, product platforms and product candidates. Through development of internal manufacturing capabilities for AAV-based gene vectors, we have secured proprietary know-how and trade secrets related to our most-advanced programs as well as vector technologies widely applicable to potential AAV therapies. However, trade secrets can be difficult to protect. We seek to protect our trade secrets, proprietary technology and processes, in part, by entering into confidentiality and invention assignment agreements with our employees, consultants, scientific advisors, contractors and other third parties. We also seek to preserve the integrity and confidentiality of our data and trade secrets by maintaining physical security of our premises and physical and electronic security of our information technology systems.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information regarding the risks related to our intellectual property, see “</w:t>
      </w:r>
      <w:r>
        <w:rPr>
          <w:rFonts w:ascii="Times New Roman" w:cs="Times New Roman" w:eastAsia="Times New Roman" w:hAnsi="Times New Roman"/>
          <w:sz w:val="18"/>
          <w:szCs w:val="18"/>
          <w:i w:val="1"/>
          <w:iCs w:val="1"/>
          <w:color w:val="auto"/>
        </w:rPr>
        <w:t>Risk Factors—Risks Related to Our Intellectual Property.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rely on a combination of our internal manufacturing capabilities as well as on external CDMOs for the manufacture of the drug substance and/or drug product of our portfolio programs and intend to continue to utilize this strategy as our programs progress through various stages of clinical development and eventually to commercialization, if approved.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AAV Manufacturing</w:t>
      </w:r>
    </w:p>
    <w:p>
      <w:pPr>
        <w:spacing w:after="0" w:line="11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Supported by in-licensed and internally developed manufacturing technologies, we have fully integrated and internalized AAV manufacturing capabilities to support product candidates emerging from our product pipeline that utilize AAV for delivery. In addition, we have established a Quality Management System to oversee our GxP operations, including cGMP, GLP and Good Clinical Practice (GCP).</w:t>
      </w:r>
    </w:p>
    <w:p>
      <w:pPr>
        <w:spacing w:after="0" w:line="6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Manufacturing Technology Development Center,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MTDC,</w:t>
      </w:r>
      <w:r>
        <w:rPr>
          <w:rFonts w:ascii="Times New Roman" w:cs="Times New Roman" w:eastAsia="Times New Roman" w:hAnsi="Times New Roman"/>
          <w:sz w:val="18"/>
          <w:szCs w:val="18"/>
          <w:color w:val="auto"/>
        </w:rPr>
        <w:t xml:space="preserve"> includes a Vector Core, upstream and downstream process development labs, as well as assay development and QC capabilities, and is co-located with our research labs in the San Francisco Bay Area. The MTDC does non-GMP work and operates at the shake flask, 50L, and 200L scales to support all non-clinical studies including, IND-enabling efficacy, pharmacology, toxicology, and biodistribution studies involving both small and large animal models. We also rely on the MTDC for technology transfer of our proprietary processes to our GMMC, a dedicated cGMP facility for AAV drug substance and drug product manufacturing strategically located in the San Francisco Bay Area.</w:t>
      </w:r>
    </w:p>
    <w:p>
      <w:pPr>
        <w:spacing w:after="0" w:line="75" w:lineRule="exact"/>
        <w:rPr>
          <w:sz w:val="20"/>
          <w:szCs w:val="20"/>
          <w:color w:val="auto"/>
        </w:rPr>
      </w:pPr>
    </w:p>
    <w:p>
      <w:pPr>
        <w:ind w:right="220" w:firstLine="509"/>
        <w:spacing w:after="0" w:line="275"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Genetic Medicines Manufacturing Center,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GMMC</w:t>
      </w:r>
      <w:r>
        <w:rPr>
          <w:rFonts w:ascii="Times New Roman" w:cs="Times New Roman" w:eastAsia="Times New Roman" w:hAnsi="Times New Roman"/>
          <w:sz w:val="18"/>
          <w:szCs w:val="18"/>
          <w:color w:val="auto"/>
        </w:rPr>
        <w:t>, facility has the ability to operate at the 200L and 1000L scales to support clinical development activities from FIH clinical trials through to late-stage development, as well as initial commercialization, if regulatory approval is obtained.</w:t>
      </w:r>
    </w:p>
    <w:p>
      <w:pPr>
        <w:ind w:right="100"/>
        <w:spacing w:after="0" w:line="297" w:lineRule="auto"/>
        <w:rPr>
          <w:sz w:val="20"/>
          <w:szCs w:val="20"/>
          <w:color w:val="auto"/>
        </w:rPr>
      </w:pPr>
      <w:r>
        <w:rPr>
          <w:rFonts w:ascii="Times New Roman" w:cs="Times New Roman" w:eastAsia="Times New Roman" w:hAnsi="Times New Roman"/>
          <w:sz w:val="18"/>
          <w:szCs w:val="18"/>
          <w:color w:val="auto"/>
        </w:rPr>
        <w:t>We utilized the GMMC to produce drug product for our FIH clinical trials for both TN-201 and TN-401. We customized approximately half of the 94,000 square foot GMMC facility using a modular design that could support our ability to scale-out and/or scale-up of</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capacity in response to evolving needs, including future potential clinical and commercial production needs.</w:t>
      </w:r>
    </w:p>
    <w:p>
      <w:pPr>
        <w:spacing w:after="0" w:line="117"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internal cGMP manufacturing capabilities, we have also negotiated and entered into master service agreements with multiple CDMOs for additional AAV manufacturing and filling capacity and related risk mitigation. Additionally, we will rely on third parties for certain manufacturing of ancillary materials and release assays, for which we have already secured or intend to secure dual-sourced capacity.</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Small Molecule Manufacturing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optimize our use of resources, we work with CDMOs for our small molecule programs.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360" w:firstLine="509"/>
        <w:spacing w:after="0" w:line="254"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regulate, among other things, the research, development, testing, manufacture, QC, approval, labeling, packaging, storage, record-keeping, promotion, advertising, distribution, post-approval monitoring and reporting, marketing and export and import of biologic and small molecule therapeutic products. Generally, before a new therapeutic product can be marketed, considerable data demonstrating a biologic candidate’s quality, safety, purity and potency, or a small molecule candidate’s quality, safety and efficacy, must be obtained, organized into a format specific for each regulatory authority, submitted for review and approved by the regulatory authority. For biologic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Biologic and Small Molecule Drug Product Development</w:t>
      </w:r>
    </w:p>
    <w:p>
      <w:pPr>
        <w:spacing w:after="0" w:line="121"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In the U.S., the FDA regulates small molecule and biologic therapeutic products under the Food, Drug and Cosmetic Act (FDCA) and the Public Health Service Act (PHSA). Biopharmaceuticals, including both small molecule and biologic products,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Biologics must be licensed by the FDA through a biologics license application (BLA), and small molecule products must be approved by the FDA through a new drug application (NDA), before they may be legally marketed in the U.S. The process generally involves the following:</w:t>
      </w:r>
    </w:p>
    <w:p>
      <w:pPr>
        <w:spacing w:after="0" w:line="54" w:lineRule="exact"/>
        <w:rPr>
          <w:sz w:val="20"/>
          <w:szCs w:val="20"/>
          <w:color w:val="auto"/>
        </w:rPr>
      </w:pPr>
    </w:p>
    <w:p>
      <w:pPr>
        <w:ind w:left="1020" w:right="1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GLP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trial site before each trial may be initiated;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GCP requirements and other clinical trial-related regulations to establish the safety and potency or efficacy of the investigational product for each proposed indication;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or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or NDA to accept the filing for review;</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 FDA pre-approval inspection of the manufacturing facility or facilities where biologic or small molecule product will be produced to assess compliance with cGMP requirements to assure that the facilities, methods and controls are adequate to preserve the biologic’s identity, strength, purity, potency, and QCs, or the small molecule product’s identity, chemistry, and QCs;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86"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study and/or clinical trial sites that generated the data in support of the BLA or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other studies required by the FDA, including immunogenicity, carcinogenicity, genotoxicity, and stability studies;</w:t>
      </w:r>
    </w:p>
    <w:p>
      <w:pPr>
        <w:spacing w:after="0" w:line="11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or NDA, including consideration of the views of any FDA advisory committee, prior to any commercial marketing or sale of the biologic or small molecule therapeutic in the United States;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risk evaluation and mitigation strategies (REMS), and the potential requirement to conduct post-approval studies.</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data required to support a BLA or NDA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IND</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Preclinical studies include laboratory evaluation of product biochemistry, formulation and stability,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potential for toxicity and to establish a rationale for therapeutic use for supporting subsequent clinical testing.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or NDA.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 trials in the United States generally are conducted in three sequential phases, known as Phase 1, Phase 2 and Phase 3, and may overlap.</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7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among other information, must be submitted at least annually to the FDA and written IND safety reports must be submitted to the FDA and the investigators for serious and unexpected adverse events, findings from other studies suggesting a significant risk to humans exposed to the investigational product,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and any clinically important increase in the rate of a serious suspected adverse reaction over that listed in the protocol or investigator brochure.</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or non-compliance with GCP requirements. Similarly, an IRB can suspend or terminate approval of a clinical trial at its institution if the clinical trial is not being conducted in accordance with the IRB’s requirements or if the investigational product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Concurrent with clinical trials, companies usually complete additional animal studies and also must develop additional information about the biochemical and physical characteristics of the investigational product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NDA and BLA Review Process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Following completion of the clinical trials, data is analyzed to assess whether the investigational product is safe and effective for the proposed indicated use or uses. The results of preclinical studies and clinical trials are then submitted to the FDA as part of a BLA for a biologic product or an NDA for a small molecule drug product, along with proposed labeling, biochemistry and manufacturing information to ensure product quality, identity, purity and other relevant data. In short, the BLA or NDA is a request for approval to market the biologic or drug product for one or more specified indications and must contain proof of safety, purity and potency for a biologic, or safety and efficacy for a small molecule drug product. The application may include both negative and ambiguous results of preclinical studies and clinical trials, as well as positive findings. Data may come from company-sponsored clinical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or NDA must be obtained before the product may be marketed in the United States.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Under the Prescription Drug User Fee Act (PDUFA), as amended, each BLA or NDA must be accompanied by a user fee. FDA adjusts the PDUFA user fees on an annual basis. According to the FDA’s FY 2025 fee schedule, effective through September 30, 2025, the user fee for an application requiring clinical data, such as a BLA or NDA, is approximately $4.3 million. PDUFA also imposes an annual program fee for each marketed human prescription drug product ($403,889 in 2025) and an annual establishment fee on facilities used to manufacture prescription biologics or small molecular drug products. Fee waivers or reductions are available in certain circumstances, including a waiver of the application fee for the first application filed by a small business. Additionally, no user fees are assessed on BLAs or NDA for products designated as orphan drugs, unless the product also includes a non-orphan indication.</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FDA reviews all submitted BLAs and NDAs before it accepts them for filing and may request additional information rather than accepting the BLA or NDA for filing. The FDA must make a decision on accepting a BLA or NDA for filing within 60 days of receipt. Once the submission is accepted for filing, the FDA begins an in-depth review of the BLA or NDA. Under the goals and policies agreed to by the FDA under PDUFA, the FDA has ten months, from the filing date, in which to complete its initial review of an original BLA or NDA and respond to the applicant, and six months from the filing date of an original BLA or NDA designated for priority review. The FDA does not always meet its PDUFA goal dates for standard and priority BLAs or NDAs, and the review process is often extended by FDA requests for additional information or clarification.</w:t>
      </w:r>
    </w:p>
    <w:p>
      <w:pPr>
        <w:spacing w:after="0" w:line="7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Before approving a BLA or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physicians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 BLA or NDA, it will issue an approval letter or a Complete Response Letter. An approval letter authorizes commercial marketing of the drug product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BLA or NDA identified by the FDA. The Complete Response Letter may require additional clinical data, additional pivotal Phase 3 clinical trial(s) and/ or other significant and time-consuming requirements related to clinical trials, preclinical studies or manufacturing. If a Complete Response Letter is issued, the applicant may either resubmit the BLA or NDA, addressing all of the deficiencies identified in the letter, or withdraw the application. Even if such data and information are submitted, the FDA may decide that the BLA or NDA does not satisfy the criteria for approval. Data obtained from clinical trials are not always conclusive and the FDA may interpret data differently than we interpret the same data.</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7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For biologic or small molecule drug products, an orphan drug designation must be requested before submitting a BLA or NDA. After the FDA grants orphan drug designation, the identity of the therapeutic agent and its potential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orphan use are disclosed publicly by the FDA. Orphan drug designation does not convey any advantage in or shorten the duration of the regulatory review and approval process.</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or disease. If one of our products designated as an orphan drug receives marketing approval for an indication broader than the indication for which it is designated, it may not be entitled to orphan drug exclusivity. Orphan drug status in the European Union has similar, but not identical, requirements and benefits.</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231F20"/>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Catalyst Pharms., Inc. v. Becerra</w:t>
      </w:r>
      <w:r>
        <w:rPr>
          <w:rFonts w:ascii="Times New Roman" w:cs="Times New Roman" w:eastAsia="Times New Roman" w:hAnsi="Times New Roman"/>
          <w:sz w:val="18"/>
          <w:szCs w:val="18"/>
          <w:color w:val="231F20"/>
        </w:rPr>
        <w:t>, 14 F.4th 1299 (11th Cir. 2021), the court disagreed with the FDA’s longstanding position that the orphan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exclusivity only applies to the approved use or indication within an eligible disease. On January 24,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the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75"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231F20"/>
        </w:rPr>
        <w:t xml:space="preserve">In June 2024, the U.S. Supreme Court overruled the </w:t>
      </w:r>
      <w:r>
        <w:rPr>
          <w:rFonts w:ascii="Times New Roman" w:cs="Times New Roman" w:eastAsia="Times New Roman" w:hAnsi="Times New Roman"/>
          <w:sz w:val="18"/>
          <w:szCs w:val="18"/>
          <w:i w:val="1"/>
          <w:iCs w:val="1"/>
          <w:color w:val="231F20"/>
        </w:rPr>
        <w:t>Chevron</w:t>
      </w:r>
      <w:r>
        <w:rPr>
          <w:rFonts w:ascii="Times New Roman" w:cs="Times New Roman" w:eastAsia="Times New Roman" w:hAnsi="Times New Roman"/>
          <w:sz w:val="18"/>
          <w:szCs w:val="18"/>
          <w:color w:val="231F20"/>
        </w:rPr>
        <w:t xml:space="preserve"> doctrine, which gives deference to regulatory agencies’ statutory interpretations in litigation against federal government agencies, such as the FDA, where the law is ambiguous. This landmark Supreme Court decision may invite more stakeholders to bring lawsuits against the FDA and other federal agencies to challenge longstanding decisions and policies, including the FDA’s statutory interpretations of market exclusivities and the “substantial evidence” requirements for drug approvals, which could undermine the FDA's authority and lead to uncertainties in the industry. Further, changes in the leadership of the FDA and other federal agencies under the new Trump administration may lead to new policies and regulatory changes that can impact our clinical development programs and timelines.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FDA has a fast-track program that is intended to expedite or facilitate the process for reviewing new drug products that meet certain criteria. Specifically, new drug products are eligible for fast-track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fast-track status any time before receiving a BLA or NDA approval, but ideally no later than the pre-BLA or pre-NDA meeting.</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Any product submitted to the FDA for marketing, including under a fast-track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6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product receiving accelerated approval to perform adequate and well-controlled post-marketing clinical trials. If the FDA concludes that a biologic or small molecule drug product shown to be potent or effective for the proposed indication can be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safely used only if distribution or use is restricted, it may require such post-marketing restrictions as it deems necessary to assure safe use of the product. In some cases, FDA may limit the scope of the indication.</w:t>
      </w:r>
    </w:p>
    <w:p>
      <w:pPr>
        <w:spacing w:after="0" w:line="5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Additionally, a drug product may be eligible for designation as a breakthrough therapy if the product is intended, alone or in combination with one or more other drug products,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 Depending on other factors that impact clinical trial timelines and development, such as our ability to identify and onboard clinical sites and rates of study participant enrollment and drop-out, we may not realize all the benefits of these expedited or accelerated review programs. For accelerated approval, the FDA has the authority to specify conditions for post approval study requirements and can withdraw a product on an expedited basis for noncompliance with post-approval requirements.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Abbreviated Licensure Pathway of Biological Products as Biosimilars or Interchangeable Biosimilars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(Affordable Care Act or ACA), signed into law in 2010, includes the Biologics Price Competition and Innovation Act of 2009 (BPCIA), which created an abbreviated approval pathway for biological products shown to be highly similar to an FDA-licensed reference biological 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spacing w:after="0" w:line="75" w:lineRule="exact"/>
        <w:rPr>
          <w:sz w:val="20"/>
          <w:szCs w:val="20"/>
          <w:color w:val="auto"/>
        </w:rPr>
      </w:pPr>
    </w:p>
    <w:p>
      <w:pPr>
        <w:ind w:left="1020" w:right="5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 studies demonstrating that the proposed biosimilar product is highly similar to the approved product notwithstanding minor differences in clinically inactive components;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Animal studies (including the assessment of toxicity); and</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trial or trials (including the assessment of immunogenicity and pharmacokinetic or pharmacodynamic) sufficient to demonstrate safety, purity and potency in one or more conditions for which the reference product is licensed and intended to be used.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an application must include information demonstrating that:</w:t>
      </w:r>
    </w:p>
    <w:p>
      <w:pPr>
        <w:spacing w:after="0" w:line="117" w:lineRule="exact"/>
        <w:rPr>
          <w:sz w:val="20"/>
          <w:szCs w:val="20"/>
          <w:color w:val="auto"/>
        </w:rPr>
      </w:pPr>
    </w:p>
    <w:p>
      <w:pPr>
        <w:ind w:left="1020" w:right="140" w:hanging="503"/>
        <w:spacing w:after="0" w:line="312"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31" w:lineRule="exact"/>
        <w:rPr>
          <w:rFonts w:ascii="Times New Roman" w:cs="Times New Roman" w:eastAsia="Times New Roman" w:hAnsi="Times New Roman"/>
          <w:sz w:val="17"/>
          <w:szCs w:val="17"/>
          <w:color w:val="auto"/>
        </w:rPr>
      </w:pPr>
    </w:p>
    <w:p>
      <w:pPr>
        <w:ind w:left="1020" w:right="4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or conditions of use prescribed, recommended or suggested in the labeling for the proposed biosimilar product have been previously approved for the reference product;</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route of administration, the dosage form and the strength of the proposed biosimilar product are the same as those for the reference product;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in which the biological product is manufactured, processed, packed or held meets standards designed to assure that the biological product continues to be safe, pure and potent.</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healthcare provider who prescribed the reference product. The higher standard of interchangeability must be demonstrated by information sufficient to show that:</w:t>
      </w:r>
    </w:p>
    <w:p>
      <w:pPr>
        <w:spacing w:after="0" w:line="7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product is biosimilar to the reference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product is expected to produce the same clinical result as the reference product in any given patient; 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86" w:lineRule="exact"/>
        <w:rPr>
          <w:sz w:val="20"/>
          <w:szCs w:val="20"/>
          <w:color w:val="auto"/>
        </w:rPr>
      </w:pPr>
    </w:p>
    <w:p>
      <w:pPr>
        <w:ind w:left="1020" w:right="26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84"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one year after the first commercial marketing of the first interchangeable product; 18 months after resolution of a patent infringement suit against the applicant that submitted the application for the first interchangeable product, based on a final court decision regarding all of the patents in the litigation or dismissal of the litigation with or without prejudice; 42 months after approval of the first interchangeable product, if a patent infringement suit against the applicant that submitted the application for the first interchangeable product is still ongoing; or 18 months after approval of the first interchangeable product if the applicant that submitted the application for the first interchangeable product has not been sued.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Abbreviated NDA Pathway for Generic Drug Products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Drug Price Competition and Patent Term Restoration Act of 1984, commonly known as “the Hatch-Waxman Act,” established abbreviated FDA approval procedures for drugs that are shown to be bioequivalent to drugs previously approved by the FDA through its NDA process, which are commonly referred to as the “innovator” or “reference” drugs. Approval to market and to distribute these bioequivalent drugs is obtained by filing an abbreviated NDA (ANDA) with the FDA. An ANDA is a comprehensive submission that contains, among other things, data and information pertaining to the </w:t>
      </w:r>
      <w:r>
        <w:rPr>
          <w:rFonts w:ascii="Times New Roman" w:cs="Times New Roman" w:eastAsia="Times New Roman" w:hAnsi="Times New Roman"/>
          <w:sz w:val="18"/>
          <w:szCs w:val="18"/>
          <w:color w:val="231F20"/>
        </w:rPr>
        <w:t>active pharmaceutical ingredients (</w:t>
      </w:r>
      <w:r>
        <w:rPr>
          <w:rFonts w:ascii="Times New Roman" w:cs="Times New Roman" w:eastAsia="Times New Roman" w:hAnsi="Times New Roman"/>
          <w:sz w:val="18"/>
          <w:szCs w:val="18"/>
          <w:color w:val="auto"/>
        </w:rPr>
        <w:t>API), drug product formulation, specifications, stability, analytical methods, manufacturing process validation data, QC procedures and bioequivalence. Rather than demonstrating safety and effectiveness, an ANDA applicant must demonstrate that its product is bioequivalent to an approved reference drug. In certain situations, an applicant may submit an ANDA for a product with a strength or dosage form that differs from a reference drug based upon FDA approval of an ANDA Suitability Petition. The FDA will approve an ANDA Suitability Petition if it finds that the product does not raise questions of safety and efficacy requiring new clinical data. ANDAs generally cannot be submitted for products that are not bioequivalent to the referenced drug or that are labeled for a use that is not approved for the reference drug. Applicants seeking to market such products can submit an NDA under Section 505(b)(2) of the FDCA with supportive data from clinical trials.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product, including changes in indications, labeling or manufacturing processes or facilities, the applicant may be required to submit and obtain FDA approval of a new application or supplement, which may require the development of additional data or preclinical studies and clinical trials.</w:t>
      </w:r>
    </w:p>
    <w:p>
      <w:pPr>
        <w:spacing w:after="0" w:line="8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holds on post-approval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or suspension or revocation of product license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and biologics may be promoted only for the approved indications and in accordance with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Combination Biologic-Medical Device Products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Certain products may be comprised of components, such as biologic components and device components, that would normally be regulated under different types of regulatory authorities and frequently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biologic-device combination product candidate is attributable to the biologic product candidate,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combination product with a biologic product candidate as the primary mode of action generally would be reviewed and approved pursuant to the biologic approval processes under the FDCA. In reviewing the BLA application for such a product, however, FDA reviewers in the Center for Biologics Evaluation and Research could consult with their counterparts in the device center to ensure that the device component of the combination product meet applicable requirements regarding safety, effectiveness, durability and performance. In addition, under FDA regulations, combination products are subject to cGMP requirements applicable to both biologics and devices, including the Quality System Regulations (QSR) applicable to medical devices. Further, in February 2024, the FDA issued a final rule replacing the QSR with the Quality Management System Regulation (QMSR) which incorporates by reference the quality management system requirements of ISO 13485:2016. The FDA has stated that the standards contained in ISO 13485:216 are substantially similar to those set forth in the existing QSR. This final rule does not go into effect until February 2026.</w:t>
      </w:r>
    </w:p>
    <w:p>
      <w:pPr>
        <w:spacing w:after="0" w:line="84"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We may develop one or more of our biologic product candidates in combination with a novel delivery medical device. Regulatory review of such combination product candidate will increase the timing, cost, and the complexity of the FDA review and approval process, and subject us to additional regulations and exposure to liability. Pending discussion with the FDA, if the medical device is considered a significant risk device under the FDA’s Investigational Device Exemption (IDE) regulations, then we may be required to comply with the IDE regulations for clinical studies in addition to the IND regulations and may be required to submit both an IDE and an IND before commencing clinical testing of the combination product. We cannot provide any assurance regarding how FDA will regulate our combination product, or if we will be successful in obtaining approval for any combination product.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510(k) clearance process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Premarket Approval Application (PMA). The FDA’s 510(k) clearance process may take three to twelve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 novo classification process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 Obtaining FDA marketing authorization, de novo down-classification, or approval for medical devices is expensive and uncertain, and may take several years, and generally requires significant scientific and clinical data.</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PMA approval process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QSR, or QMSR when it comes into effect, which imposes extensive testing, control, documentation, and other Quality Assurance and GMP requirements.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U.S. Regulatory Matters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product approval are also subject to regulation by numerous regulatory authorities in the United States in addition to the FDA, including the Centers for Medicare &amp; Medicaid Services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example, in the United States, sales, marketing and scientific and 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 resulting from a violation of the federal Anti-Kickback Statute constitutes a false or fraudulent claim for purposes of the False Claims Act.</w:t>
      </w:r>
    </w:p>
    <w:p>
      <w:pPr>
        <w:spacing w:after="0" w:line="81"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firms to possible legal or regulatory action, including fines, penalties, injunctions, requests for recall, and exclusion from participating in government programs. Any action against us for violation of these laws, even if we successfully defend against it, could cause us to incur significant legal expenses and divert our management’s attention from the operation of our business. Changes in regulations, statutes or the interpretation of existing regulations could impact our business and increase our exposure to additional liabilities. For more information, see “</w:t>
      </w:r>
      <w:r>
        <w:rPr>
          <w:rFonts w:ascii="Times New Roman" w:cs="Times New Roman" w:eastAsia="Times New Roman" w:hAnsi="Times New Roman"/>
          <w:sz w:val="18"/>
          <w:szCs w:val="18"/>
          <w:i w:val="1"/>
          <w:iCs w:val="1"/>
          <w:color w:val="auto"/>
        </w:rPr>
        <w:t>Risk Factors— Risks Related to Regulatory Approval and Other Legal Compliance Matters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Data Privacy and Security Laws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United States, a broad variety of laws, rules, regulations and standards relating to privacy, data protection and information security may apply to our activities, such as state data breach notification laws, state personal data privacy laws (for example, the California Consumer Privacy Act of 2018, as amended by the California Privacy Rights Act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Aspects of the CCPA and its interpretation and enforcement remain uncertain. Although there are limited exemptions for clinical trial data under the CCPA, the CCPA and other similar laws could impact our business activities, depending on their interpretation. Other states have enacted laws similar to the CCPA that are either in operation or slated to go into operation over the next three years, and other state legislatures are currently considering, and may pass, their own comprehensive data privacy and security laws, with potentially greater penalties and more rigorous compliance requirements, and laws in all 50 states require businesses to provide notice to customers whose personal data has been disclosed as a result of a data breach. We will continue to monitor and assess the impact of these state laws, which may impose substantial penalties for violations, impose significant costs for investigation and compliance, allow private class-action litigation and carry significant potential liability for our business. For more information, see “</w:t>
      </w:r>
      <w:r>
        <w:rPr>
          <w:rFonts w:ascii="Times New Roman" w:cs="Times New Roman" w:eastAsia="Times New Roman" w:hAnsi="Times New Roman"/>
          <w:sz w:val="18"/>
          <w:szCs w:val="18"/>
          <w:i w:val="1"/>
          <w:iCs w:val="1"/>
          <w:color w:val="auto"/>
        </w:rPr>
        <w:t>Risk Factors— Risks Related to Regulatory Approval and Other Legal Compliance Matters.</w:t>
      </w:r>
      <w:r>
        <w:rPr>
          <w:rFonts w:ascii="Times New Roman" w:cs="Times New Roman" w:eastAsia="Times New Roman" w:hAnsi="Times New Roman"/>
          <w:sz w:val="18"/>
          <w:szCs w:val="18"/>
          <w:color w:val="auto"/>
        </w:rPr>
        <w:t>” We are subject to stringent laws, rules, regulations, policies, industry standards and 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Patent-Term Restoration and Marketing Exclusivity</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 BLA or NDA plus the time between the submission date of a BLA or NDA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United States Patent and Trademark Office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BLA or NDA. However, there can be no assurance that our pending patent applications will issue or that we will benefit from any patent term extension or favorable adjustments to the terms of any patents we may own or in-license in the future.</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Market exclusivity provisions under the FDCA also can delay the submission or the approval of certain applications. 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FDCA provides a five-year period of non-patent marketing exclusivity 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with respect to one or more patents listed for the drug in the FDA’s Approved Drug Products with Therapeutic Equivalence Evaluations publication.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Clinical Trials Regulation EU No 536/2014 (the Regulation) repealed the Clinical Trials Directive No. 2001/20/EC on January 31, 2022, which harmonizes the processes for assessment and supervision of clinical trials throughout the European Union. Under the Regulation, clinical trial sponsors can use the Clinical Trials Information System (CTIS) from January 31, 2022, but are not required to use it immediately, in line with a three-year transition period. All ongoing clinical trials in the European Union were required to be transitioned to the CTIS by January 30, 2025, the end of the transition period. CTIS publishes certain clinical trial information on a searchable public website and supports the flow of information and interactions between clinical trial sponsors and regulatory authorities in European Union Member States, European Economic Area countries, and the EC.</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 Drug Review and Approval</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MAs:</w:t>
      </w:r>
    </w:p>
    <w:p>
      <w:pPr>
        <w:spacing w:after="0" w:line="68" w:lineRule="exact"/>
        <w:rPr>
          <w:sz w:val="20"/>
          <w:szCs w:val="20"/>
          <w:color w:val="auto"/>
        </w:rPr>
      </w:pPr>
    </w:p>
    <w:p>
      <w:pPr>
        <w:ind w:left="102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Community MA is issued by the EC through the Centralized Procedure, based on the opinion of the Committee for Medicinal Products for Human Use (CHMP), of the </w:t>
      </w:r>
      <w:r>
        <w:rPr>
          <w:rFonts w:ascii="Times New Roman" w:cs="Times New Roman" w:eastAsia="Times New Roman" w:hAnsi="Times New Roman"/>
          <w:sz w:val="18"/>
          <w:szCs w:val="18"/>
          <w:color w:val="231F20"/>
        </w:rPr>
        <w:t>European Medicines Agency (</w:t>
      </w:r>
      <w:r>
        <w:rPr>
          <w:rFonts w:ascii="Times New Roman" w:cs="Times New Roman" w:eastAsia="Times New Roman" w:hAnsi="Times New Roman"/>
          <w:sz w:val="18"/>
          <w:szCs w:val="18"/>
          <w:color w:val="auto"/>
        </w:rPr>
        <w:t>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86" w:lineRule="exact"/>
        <w:rPr>
          <w:sz w:val="20"/>
          <w:szCs w:val="20"/>
          <w:color w:val="auto"/>
        </w:rPr>
      </w:pPr>
    </w:p>
    <w:p>
      <w:pPr>
        <w:ind w:left="1020" w:right="40"/>
        <w:spacing w:after="0" w:line="266" w:lineRule="auto"/>
        <w:rPr>
          <w:sz w:val="20"/>
          <w:szCs w:val="20"/>
          <w:color w:val="auto"/>
        </w:rPr>
      </w:pPr>
      <w:r>
        <w:rPr>
          <w:rFonts w:ascii="Times New Roman" w:cs="Times New Roman" w:eastAsia="Times New Roman" w:hAnsi="Times New Roman"/>
          <w:sz w:val="18"/>
          <w:szCs w:val="18"/>
          <w:color w:val="auto"/>
        </w:rPr>
        <w:t>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spacing w:after="0" w:line="68" w:lineRule="exact"/>
        <w:rPr>
          <w:sz w:val="20"/>
          <w:szCs w:val="20"/>
          <w:color w:val="auto"/>
        </w:rPr>
      </w:pPr>
    </w:p>
    <w:p>
      <w:pPr>
        <w:ind w:left="1020" w:hanging="503"/>
        <w:spacing w:after="0" w:line="253"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8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Data Privacy and Security Laws</w:t>
      </w:r>
    </w:p>
    <w:p>
      <w:pPr>
        <w:spacing w:after="0" w:line="12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Outside of the United States, legal requirements relating to the collection, storage, processing, and transfer of personal data continue to evolve. For example, in the EU, the General Data Protection Regulation (GDPR) requires data controllers to implement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We are also subject to the UK GDPR, which implements the GDPR in the UK post-Brexit. Failure to comply with the GDPR or UK GDPR may result in fines up to €20,000,000 (£17.5 million in the UK) or 4% of the total worldwide annual turnover of the preceding financial year, whichever is higher, and other administrative penalties. The GDPR and UK GDPR have increased our responsibility and liability in relation to personal data that we may process, and we may be required to implement additional measures in an effort to comply with the GDPR and UK GDPR and with other laws, rules and regulations in the EEA, United Kingdom (UK) and Switzerland relating to privacy and data protection. If our efforts to comply with GDPR and UK GDPR or other applicable foreign laws, rules and regulations are not successful, or are perceived to be unsuccessful, it could adversely affect our business. For more information, see “</w:t>
      </w:r>
      <w:r>
        <w:rPr>
          <w:rFonts w:ascii="Times New Roman" w:cs="Times New Roman" w:eastAsia="Times New Roman" w:hAnsi="Times New Roman"/>
          <w:sz w:val="18"/>
          <w:szCs w:val="18"/>
          <w:i w:val="1"/>
          <w:iCs w:val="1"/>
          <w:color w:val="auto"/>
        </w:rPr>
        <w:t>Risk Factors—Risks Related to Regulatory Approval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Legal Compliance Matters.</w:t>
      </w:r>
      <w:r>
        <w:rPr>
          <w:rFonts w:ascii="Times New Roman" w:cs="Times New Roman" w:eastAsia="Times New Roman" w:hAnsi="Times New Roman"/>
          <w:sz w:val="18"/>
          <w:szCs w:val="18"/>
          <w:color w:val="auto"/>
        </w:rPr>
        <w:t>” We are subject to stringent laws, rules, regulations, policies, industry standards and contractual obligations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86"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and requiring pharmaceutical manufacturers to pay rebates on Medicaid managed care utilization and enlarging the population potentially eligible for Medicaid drug benefits. The American Rescue Plan Act of 2021, beginning January 1, 2024,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our business. Moreover, there has been heightened governmental scrutiny over the manner in which drug manufacturers set prices for their marketed products, which has resulted in several Congressional inquiries as well as proposed and enacted federal and state legislation designed to, among other things, bring more transparency to product pricing, impose limitations on drug price increases and reform government program reimbursement methodologies for drug products. Changes in the leadership of the Department of Health &amp; Human Services (HHS) and various federal agencies under the new Trump administration may lead to new policies and regulatory changes that can increase our compliance costs and impact our operations.</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82"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The impact of such judicial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8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challenges, legislative, executive, and administrative actions and any future healthcare measures and agency rules implemented by the new Trump administration on us and the pharmaceutical industry as a whole is unclear.</w:t>
      </w:r>
    </w:p>
    <w:p>
      <w:pPr>
        <w:spacing w:after="0" w:line="5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in order to control the prices of medicinal products for human use. A member state may approve a specific price for the medicinal product or it may instead adopt a system of direct or indirect controls on the profitability of the company placing the medicinal product in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U.S. or foreign legislation directed at containing or lowering the cost of healthcare and prescription drug prices. These and any further changes in the law or regulatory framework that reduce our revenue or increase our costs could have a material and adverse effect on our business, financial condition and results of operations. For more information,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Regulatory Approval and Other Legal Compliance Matters.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we had 97 full-time employees. Of the full-time employees employed as of December 31, 2024, 79 engaged in research, development and technical operations. 25 of such employees hold Ph.D. or M.D. (or foreign equivalent) degrees and 7 hold other professional degrees such as a J.D. or M.B.A. None of our employees are represented by a labor union or covered under a collective bargaining agreement. We focus on employee engagement and consider our relationship with our employees to be good, in part as measured by relatively high scores from employee surveys.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In addition, we provide a variety of programs and services to help employees meet and balance their needs at work, at home and in life, including healthcare, insurance and other benefit plans. We regularly assess our benefit programs, employee engagement and turnover, recruitment initiatives, workforce diversity and other matters relevant to human capital management and review those results with our board of directors on a periodic basis.</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an equal opportunity employer and maintain policies that prohibit unlawful discrimination based on race, color, religion, gender, sexual orientation, gender identity/expression, national origin/ancestry, age, disability, marital and veteran status. We employ a diverse workforce that, as December 31, 2024, was approximately 61% non-white and 56% women based on our employees’ voluntary self-identification. We strive to create a collaborative culture that fosters internal engagement around our company and our mission to discover, develop and deliver curative therapies that address the underlying drivers of heart disease.</w:t>
      </w:r>
    </w:p>
    <w:p>
      <w:pPr>
        <w:spacing w:after="0" w:line="7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are committed to advancing diversity and inclusion (D&amp;I) in our workforce and have a D&amp;I Committee dedicated to promoting and advancing diversity, equity, and inclusion initiatives. We acknowledge that diversity in thought, experience, background, and culture makes our science and our community stronger. Our mission is to foster and create a unique culture where belonging and empowerment are at the forefront of our community. We advocate for diverse perspectives and encourage employees to be authentic, inclusive, and respectful to each other. We discourage behaviors that do not have a positive impact on our community or support our mission to discover, develop, and deliver curative therapies that target the underlying causes of heart disease.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8" w:lineRule="exact"/>
        <w:rPr>
          <w:sz w:val="20"/>
          <w:szCs w:val="20"/>
          <w:color w:val="auto"/>
        </w:rPr>
      </w:pPr>
    </w:p>
    <w:p>
      <w:pPr>
        <w:ind w:right="100" w:firstLine="509"/>
        <w:spacing w:after="0" w:line="227" w:lineRule="auto"/>
        <w:rPr>
          <w:sz w:val="20"/>
          <w:szCs w:val="20"/>
          <w:color w:val="auto"/>
        </w:rPr>
      </w:pPr>
      <w:r>
        <w:rPr>
          <w:rFonts w:ascii="Times New Roman" w:cs="Times New Roman" w:eastAsia="Times New Roman" w:hAnsi="Times New Roman"/>
          <w:sz w:val="18"/>
          <w:szCs w:val="18"/>
          <w:color w:val="auto"/>
        </w:rPr>
        <w:t>We were incorporated in Delaware in August 2016. Our principal executive offices are located at 171 Oyster Point Boulevard,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South San Francisco, California 94080. Our telephone number is (650) 825-6990. We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maintain a site on the worldwide web at www.tenayatherapeutics.com; however, information found on our website is not incorporated by reference into this report.</w:t>
      </w:r>
    </w:p>
    <w:p>
      <w:pPr>
        <w:spacing w:after="0" w:line="54"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information to the public through filings with the SEC, our website (www.tenayatherapeutics.com), press releases, public conference calls, and public webcasts. We use these channels, as well as social media, to communicate with the public about us, our product candidates and other matters. As such, investors, the media and others are encouraged to review the information disclosed through our social media and other channels listed above as such information could be deemed to be material information. Please note that this list may be updated from time to time.</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SEC maintains a site on the worldwide web that contains reports, proxy and information statements and other information regarding our filings at www.sec.gov.</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231F20"/>
        </w:rPr>
        <w:t>Investing in our common stock involves a high degree of risk. You should carefully consider the risks described below, as well as the other information in this annual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 Factors Summary</w:t>
      </w:r>
    </w:p>
    <w:p>
      <w:pPr>
        <w:spacing w:after="0" w:line="119" w:lineRule="exact"/>
        <w:rPr>
          <w:sz w:val="20"/>
          <w:szCs w:val="20"/>
          <w:color w:val="auto"/>
        </w:rPr>
      </w:pPr>
    </w:p>
    <w:p>
      <w:pPr>
        <w:ind w:right="260"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execute on our business strategy is subject to a number of risks and uncertainties, including those outside of our control, that could cause our actual results to be harmed, including risks regarding the following:</w:t>
      </w:r>
    </w:p>
    <w:p>
      <w:pPr>
        <w:spacing w:after="0" w:line="52" w:lineRule="exact"/>
        <w:rPr>
          <w:sz w:val="20"/>
          <w:szCs w:val="20"/>
          <w:color w:val="auto"/>
        </w:rPr>
      </w:pPr>
    </w:p>
    <w:p>
      <w:pPr>
        <w:ind w:left="1020" w:right="28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53" w:lineRule="exact"/>
        <w:rPr>
          <w:rFonts w:ascii="Times New Roman" w:cs="Times New Roman" w:eastAsia="Times New Roman" w:hAnsi="Times New Roman"/>
          <w:sz w:val="18"/>
          <w:szCs w:val="18"/>
          <w:color w:val="231F20"/>
        </w:rPr>
      </w:pPr>
    </w:p>
    <w:p>
      <w:pPr>
        <w:ind w:left="1020" w:right="18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not generated any product revenue to date, have incurred significant net losses since our inception, and expect to continue to incur significant net losses for the foreseeable future.</w:t>
      </w:r>
    </w:p>
    <w:p>
      <w:pPr>
        <w:spacing w:after="0" w:line="53"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61"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71"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loan agreement with Silicon Valley Bank (SVB), </w:t>
      </w:r>
      <w:r>
        <w:rPr>
          <w:rFonts w:ascii="Times New Roman" w:cs="Times New Roman" w:eastAsia="Times New Roman" w:hAnsi="Times New Roman"/>
          <w:sz w:val="18"/>
          <w:szCs w:val="18"/>
          <w:color w:val="000000"/>
        </w:rPr>
        <w:t>a division of First-Citizens Bank &amp; Trust Company (the Loan Agreement),</w:t>
      </w:r>
      <w:r>
        <w:rPr>
          <w:rFonts w:ascii="Times New Roman" w:cs="Times New Roman" w:eastAsia="Times New Roman" w:hAnsi="Times New Roman"/>
          <w:sz w:val="18"/>
          <w:szCs w:val="18"/>
          <w:color w:val="231F20"/>
        </w:rPr>
        <w:t xml:space="preserve"> requires us to comply with specified operating covenants and places restrictions on our operating and financial flexibility.</w:t>
      </w:r>
    </w:p>
    <w:p>
      <w:pPr>
        <w:spacing w:after="0" w:line="53" w:lineRule="exact"/>
        <w:rPr>
          <w:rFonts w:ascii="Times New Roman" w:cs="Times New Roman" w:eastAsia="Times New Roman" w:hAnsi="Times New Roman"/>
          <w:sz w:val="18"/>
          <w:szCs w:val="18"/>
          <w:color w:val="231F20"/>
        </w:rPr>
      </w:pPr>
    </w:p>
    <w:p>
      <w:pPr>
        <w:jc w:val="both"/>
        <w:ind w:left="1020" w:right="240" w:hanging="503"/>
        <w:spacing w:after="0" w:line="266"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7" w:lineRule="exact"/>
        <w:rPr>
          <w:rFonts w:ascii="Times New Roman" w:cs="Times New Roman" w:eastAsia="Times New Roman" w:hAnsi="Times New Roman"/>
          <w:sz w:val="18"/>
          <w:szCs w:val="18"/>
          <w:color w:val="231F20"/>
        </w:rPr>
      </w:pPr>
    </w:p>
    <w:p>
      <w:pPr>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rFonts w:ascii="Times New Roman" w:cs="Times New Roman" w:eastAsia="Times New Roman" w:hAnsi="Times New Roman"/>
          <w:sz w:val="18"/>
          <w:szCs w:val="18"/>
          <w:color w:val="231F20"/>
        </w:rPr>
      </w:pPr>
    </w:p>
    <w:p>
      <w:pPr>
        <w:ind w:left="1020" w:right="46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mechanisms of action of our product candidates are unproven, and we do not know whether we will be able to develop any drug of commercial value.</w:t>
      </w:r>
    </w:p>
    <w:p>
      <w:pPr>
        <w:spacing w:after="0" w:line="53" w:lineRule="exact"/>
        <w:rPr>
          <w:rFonts w:ascii="Times New Roman" w:cs="Times New Roman" w:eastAsia="Times New Roman" w:hAnsi="Times New Roman"/>
          <w:sz w:val="18"/>
          <w:szCs w:val="18"/>
          <w:color w:val="231F20"/>
        </w:rPr>
      </w:pPr>
    </w:p>
    <w:p>
      <w:pPr>
        <w:ind w:left="1020" w:right="120" w:hanging="503"/>
        <w:spacing w:after="0" w:line="258"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5"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product candidates may cause serious adverse events, toxicities or other undesirable side effects when used alone or in combination with other approved products or investigational new drugs that may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6" w:lineRule="exact"/>
        <w:rPr>
          <w:sz w:val="20"/>
          <w:szCs w:val="20"/>
          <w:color w:val="auto"/>
        </w:rPr>
      </w:pPr>
    </w:p>
    <w:p>
      <w:pPr>
        <w:ind w:left="1020" w:right="160"/>
        <w:spacing w:after="0" w:line="266" w:lineRule="auto"/>
        <w:rPr>
          <w:sz w:val="20"/>
          <w:szCs w:val="20"/>
          <w:color w:val="auto"/>
        </w:rPr>
      </w:pPr>
      <w:r>
        <w:rPr>
          <w:rFonts w:ascii="Times New Roman" w:cs="Times New Roman" w:eastAsia="Times New Roman" w:hAnsi="Times New Roman"/>
          <w:sz w:val="18"/>
          <w:szCs w:val="18"/>
          <w:color w:val="231F20"/>
        </w:rPr>
        <w:t>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68" w:lineRule="exact"/>
        <w:rPr>
          <w:sz w:val="20"/>
          <w:szCs w:val="20"/>
          <w:color w:val="auto"/>
        </w:rPr>
      </w:pPr>
    </w:p>
    <w:p>
      <w:pPr>
        <w:jc w:val="both"/>
        <w:ind w:left="1020" w:right="60" w:hanging="503"/>
        <w:spacing w:after="0" w:line="261"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1"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Due to our limited manufacturing experience, there can be no assurance that we will be able to successfully manufacture product candidates to support our clinical development and commercialization plans.</w:t>
      </w:r>
    </w:p>
    <w:p>
      <w:pPr>
        <w:spacing w:after="0" w:line="53" w:lineRule="exact"/>
        <w:rPr>
          <w:rFonts w:ascii="Times New Roman" w:cs="Times New Roman" w:eastAsia="Times New Roman" w:hAnsi="Times New Roman"/>
          <w:sz w:val="18"/>
          <w:szCs w:val="18"/>
          <w:color w:val="231F20"/>
        </w:rPr>
      </w:pPr>
    </w:p>
    <w:p>
      <w:pPr>
        <w:jc w:val="both"/>
        <w:ind w:left="1020" w:right="200" w:hanging="503"/>
        <w:spacing w:after="0" w:line="266"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7" w:lineRule="exact"/>
        <w:rPr>
          <w:rFonts w:ascii="Times New Roman" w:cs="Times New Roman" w:eastAsia="Times New Roman" w:hAnsi="Times New Roman"/>
          <w:sz w:val="18"/>
          <w:szCs w:val="18"/>
          <w:color w:val="231F20"/>
        </w:rPr>
      </w:pPr>
    </w:p>
    <w:p>
      <w:pPr>
        <w:ind w:left="1020" w:right="20" w:hanging="503"/>
        <w:spacing w:after="0" w:line="266"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7" w:lineRule="exact"/>
        <w:rPr>
          <w:rFonts w:ascii="Times New Roman" w:cs="Times New Roman" w:eastAsia="Times New Roman" w:hAnsi="Times New Roman"/>
          <w:sz w:val="18"/>
          <w:szCs w:val="18"/>
          <w:color w:val="231F20"/>
        </w:rPr>
      </w:pPr>
    </w:p>
    <w:p>
      <w:pPr>
        <w:ind w:left="1020" w:right="52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commercial success depends significantly on our ability to operate without infringing, misappropriating or otherwise violating the patents and other intellectual property and proprietary rights of third parties.</w:t>
      </w:r>
    </w:p>
    <w:p>
      <w:pPr>
        <w:spacing w:after="0" w:line="53" w:lineRule="exact"/>
        <w:rPr>
          <w:rFonts w:ascii="Times New Roman" w:cs="Times New Roman" w:eastAsia="Times New Roman" w:hAnsi="Times New Roman"/>
          <w:sz w:val="18"/>
          <w:szCs w:val="18"/>
          <w:color w:val="231F20"/>
        </w:rPr>
      </w:pPr>
    </w:p>
    <w:p>
      <w:pPr>
        <w:jc w:val="both"/>
        <w:ind w:left="1020" w:right="100" w:hanging="503"/>
        <w:spacing w:after="0" w:line="266"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Financial Position, Need for Additional Capital and Limited Operating History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have limited experience conducting clinical trials, have no products approved for commercial sale and have not generated any revenue. We are developing therapies that address the underlying drivers of heart disease, which is an unproven and highly uncertain undertaking and involves a substantial degree of risk. Since our inception, we have devoted substantially all of our focus and financial resources to identifying and developing product candidates, conducting preclinical studies and clinical trials, developing our internal capabilities, acquiring technology, organizing and recruiting management and technical staff, business planning, establishing our intellectual property portfolio, raising capital, and providing general and administrative support for these operations. We have not yet demonstrated our ability to successfully complete any late-stage clinical trials, obtain marketing approvals, manufacture a late stage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spacing w:after="0" w:line="8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not generated any product revenue to date, have incurred significant net losses since our inception, and expect to continue to incur significant net losses for the foreseeable future.</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We have incurred significant net losses since our inception, have not generated any product revenue to date and have financed our operations principally through issuances of our stock. As of December 31, 2024, we had an accumulated deficit of $514.4 million. Substantially all of our losses have resulted from expenses incurred in connection with our research and development programs, manufacturing activities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84"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231F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late-stage clinical development, where costs may increase significantly.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6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5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231F20"/>
        </w:rPr>
        <w:t>Our business depends on the successful research, development, manufacturing, regulatory approval and commercialization of product candidates that we discover. Our ability to generate revenue and achieve profitability depends significantly on our ability, or any future collaborator’s ability, to achieve several objectives, including:</w:t>
      </w:r>
    </w:p>
    <w:p>
      <w:pPr>
        <w:spacing w:after="0" w:line="68" w:lineRule="exact"/>
        <w:rPr>
          <w:sz w:val="20"/>
          <w:szCs w:val="20"/>
          <w:color w:val="auto"/>
        </w:rPr>
      </w:pPr>
    </w:p>
    <w:p>
      <w:pPr>
        <w:ind w:left="1020" w:right="14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and timely completion of preclinical and clinical development of product candidates and programs, including, but not limited to, generating sufficient data to support the initiation or continuation of clinical trials;</w:t>
      </w:r>
    </w:p>
    <w:p>
      <w:pPr>
        <w:spacing w:after="0" w:line="53"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of INDs or other regulatory applications for our planned clinical trials, obtaining regulatory approval to commence clinical trials of our product candidates, and achieving favorable results from clinical trials;</w:t>
      </w:r>
    </w:p>
    <w:p>
      <w:pPr>
        <w:spacing w:after="0" w:line="53"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and maintaining relationships with contract research organizations (CROs) and clinical sites for the clinical development of our product candidates;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initiation and successful patient enrollment and completion of clinical trials on a timely basis;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acceptable frequency and severity of adverse events in the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efficacy and safety profiles that are satisfactory to the FDA or any comparable foreign regulatory authority for marketing approval;</w:t>
      </w:r>
    </w:p>
    <w:p>
      <w:pPr>
        <w:spacing w:after="0" w:line="117"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timely receipt of marketing approvals from applicable regulatory authorities for any product candidates for which we successfully complete clinical development;</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complying with any required post-marketing approval commitments to applicable regulatory authorities;</w:t>
      </w:r>
    </w:p>
    <w:p>
      <w:pPr>
        <w:spacing w:after="0" w:line="117" w:lineRule="exact"/>
        <w:rPr>
          <w:rFonts w:ascii="Times New Roman" w:cs="Times New Roman" w:eastAsia="Times New Roman" w:hAnsi="Times New Roman"/>
          <w:sz w:val="18"/>
          <w:szCs w:val="18"/>
          <w:color w:val="231F20"/>
        </w:rPr>
      </w:pPr>
    </w:p>
    <w:p>
      <w:pPr>
        <w:ind w:left="1020" w:right="4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operating a manufacturing facility and developing an efficient and scalable manufacturing process for our product candidates, and the timely manufacture of sufficient quantities of a product candidate for use in clinical trials and, if approved, commercialization;</w:t>
      </w:r>
    </w:p>
    <w:p>
      <w:pPr>
        <w:spacing w:after="0" w:line="53" w:lineRule="exact"/>
        <w:rPr>
          <w:rFonts w:ascii="Times New Roman" w:cs="Times New Roman" w:eastAsia="Times New Roman" w:hAnsi="Times New Roman"/>
          <w:sz w:val="18"/>
          <w:szCs w:val="18"/>
          <w:color w:val="231F20"/>
        </w:rPr>
      </w:pPr>
    </w:p>
    <w:p>
      <w:pPr>
        <w:ind w:left="1020" w:right="200" w:hanging="503"/>
        <w:spacing w:after="0" w:line="266"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86" w:lineRule="exact"/>
        <w:rPr>
          <w:sz w:val="20"/>
          <w:szCs w:val="20"/>
          <w:color w:val="auto"/>
        </w:rPr>
      </w:pPr>
    </w:p>
    <w:p>
      <w:pPr>
        <w:ind w:left="1020" w:right="40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commercial launch following any marketing approval, including the development of a commercial infrastructure, whether in-house or with one or more collaborators;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outputs from our capsid engineering and promotor and regulatory elements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continued acceptable safety profile following any marketing approval of our product candidates;</w:t>
      </w:r>
    </w:p>
    <w:p>
      <w:pPr>
        <w:spacing w:after="0" w:line="117" w:lineRule="exact"/>
        <w:rPr>
          <w:rFonts w:ascii="Times New Roman" w:cs="Times New Roman" w:eastAsia="Times New Roman" w:hAnsi="Times New Roman"/>
          <w:sz w:val="18"/>
          <w:szCs w:val="18"/>
          <w:color w:val="231F20"/>
        </w:rPr>
      </w:pPr>
    </w:p>
    <w:p>
      <w:pPr>
        <w:ind w:left="1020" w:right="24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market-size, ability to identify patients and the demographics of patients eligible for our product candidates, which may be different than expected;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 acceptance of our product candidates by patients, the medical community and third-party payors;</w:t>
      </w:r>
    </w:p>
    <w:p>
      <w:pPr>
        <w:spacing w:after="0" w:line="117" w:lineRule="exact"/>
        <w:rPr>
          <w:rFonts w:ascii="Times New Roman" w:cs="Times New Roman" w:eastAsia="Times New Roman" w:hAnsi="Times New Roman"/>
          <w:sz w:val="18"/>
          <w:szCs w:val="18"/>
          <w:color w:val="231F20"/>
        </w:rPr>
      </w:pPr>
    </w:p>
    <w:p>
      <w:pPr>
        <w:ind w:left="1020" w:right="34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distribute our products to certain segments of the patient population only accessible through restricted or closed distribution channels;</w:t>
      </w:r>
    </w:p>
    <w:p>
      <w:pPr>
        <w:spacing w:after="0" w:line="53" w:lineRule="exact"/>
        <w:rPr>
          <w:rFonts w:ascii="Times New Roman" w:cs="Times New Roman" w:eastAsia="Times New Roman" w:hAnsi="Times New Roman"/>
          <w:sz w:val="18"/>
          <w:szCs w:val="18"/>
          <w:color w:val="231F20"/>
        </w:rPr>
      </w:pPr>
    </w:p>
    <w:p>
      <w:pPr>
        <w:ind w:left="1020" w:right="4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satisfying any required post-marketing approval commitments to applicable regulatory authorities, and maintaining consistent quality, purity, and potency across clinical supplies and commercial supplies for any approved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identifying, assessing and developing new product candidates, and our ability to expand into multiple indications;</w:t>
      </w:r>
    </w:p>
    <w:p>
      <w:pPr>
        <w:spacing w:after="0" w:line="117" w:lineRule="exact"/>
        <w:rPr>
          <w:rFonts w:ascii="Times New Roman" w:cs="Times New Roman" w:eastAsia="Times New Roman" w:hAnsi="Times New Roman"/>
          <w:sz w:val="18"/>
          <w:szCs w:val="18"/>
          <w:color w:val="231F20"/>
        </w:rPr>
      </w:pPr>
    </w:p>
    <w:p>
      <w:pPr>
        <w:ind w:left="1020" w:right="30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maintaining, and expanding patent and other intellectual property protection, trade secret protection and regulatory exclusivity, both in the U.S. and internationally;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protecting and enforcing our rights in our intellectual property portfolio;</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defending against third-party infringement, misappropriation, or other claims, if any;</w:t>
      </w:r>
    </w:p>
    <w:p>
      <w:pPr>
        <w:spacing w:after="0" w:line="117" w:lineRule="exact"/>
        <w:rPr>
          <w:rFonts w:ascii="Times New Roman" w:cs="Times New Roman" w:eastAsia="Times New Roman" w:hAnsi="Times New Roman"/>
          <w:sz w:val="18"/>
          <w:szCs w:val="18"/>
          <w:color w:val="231F20"/>
        </w:rPr>
      </w:pPr>
    </w:p>
    <w:p>
      <w:pPr>
        <w:ind w:left="1020" w:right="80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entering into, on favorable terms, any collaboration, licensing or other arrangements that may be necessary or desirable to develop, manufacture or commercialize our product candidates and to meet our obligations set forth under such arrangements;</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coverage and adequate reimbursement by third-party payors for our products and patients’ willingness to pay in the absence of such coverage and adequate reimbursement;</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additional funding to develop, manufacture and commercialize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addressing any competing therapies and technological and market developments;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managing costs, including any unforeseen costs, that we may incur as a result of nonclinical study or clinical trial delays;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attracting, hiring and retaining qualified and key personnel including clinical, scientific, management and administrative personnel.</w:t>
      </w:r>
    </w:p>
    <w:p>
      <w:pPr>
        <w:spacing w:after="0" w:line="117"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231F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and continue our operations.</w:t>
      </w:r>
    </w:p>
    <w:p>
      <w:pPr>
        <w:spacing w:after="0" w:line="176"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b w:val="1"/>
          <w:bCs w:val="1"/>
          <w:i w:val="1"/>
          <w:iCs w:val="1"/>
          <w:color w:val="231F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4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the near- and long-term in connection with our ongoing activities, particularly as we initiate and conduct clinical trials of, and seek marketing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231F20"/>
        </w:rPr>
        <w:t>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As of December 31, 2024, we had $61.4 million in cash, cash equivalents and investments in marketable securities.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including those in our Loan Agreement, could adversely impact our ability to conduct our operations and execute our business plan.</w:t>
      </w:r>
    </w:p>
    <w:p>
      <w:pPr>
        <w:spacing w:after="0" w:line="8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231F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 requires us to comply with specified operating covenants and places restrictions on our operating and financial flexibility.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the filing date of this periodic report, under our Loan Agreement, we have the right to draw down $22.5 million at our discretion, up to an additional $2.5 million, subject to specified conditions, and up to an additional $20.0 million may be made available to us at the lender’s sole discretion. Our ability to draw down an additional tranche commitment of $2.5 million is subject to our achievement, as determined by SVB in its discretion, of a clinical milestone or the receipt of specified proceeds from equity financings and other qualified funding. Our ability to draw down an additional tranche of $20.0 million is subject to agreement on the terms and conditions thereof and SVB’s sole discretion. As security for our obligations under the Loan Agreement, we granted SVB a first priority security interest on substantially all of our assets (other than intellectual property), subject to certain exceptions. We intend to satisfy our future debt service obligations with our existing cash and cash equivalents. However, we may not have sufficient funds or may be unable to arrange for additional financing to pay the amounts due under our outstanding debt. Funds from external sources may not be available on acceptable terms, if at all.</w:t>
      </w:r>
    </w:p>
    <w:p>
      <w:pPr>
        <w:spacing w:after="0" w:line="80"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representations and warranties, events of default and affirmative and negative covenants, including covenants that limit or restrict our ability to, among other things, dispose of assets, make changes to our business, merge or consolidate, incur additional indebtedness, incur additional liens, pay dividends or other distributions or repurchase equity, make investments, and enter into certain transactions with affiliates, in each case subject to certain exceptions. These restrictive covenants could limit our flexibility in operating our business and our ability to pursue business opportunities that we or our stockholders may consider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beneficial. In addition, a failure to comply with the conditions of our Loan Agreement, including a breach of any covenant, could limit our ability to draw upon available tranches or result in an event of default and an acceleration of any outstanding loans thereunder.</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event of an acceleration of amounts due under our Loan Agreement as a result of an event of default, including upon the occurrence of an event or circumstance that could be expected to have a material adverse effect on our business, operations, properties, assets or financial condition or a failure to pay any principal or interest due, we may not have sufficient funds or may be unable to arrange for additional financing to repay our indebtedness or to make any accelerated payments, and SVB could seek to enforce security interests in the collateral securing such indebtedness. Even if we are able to repay such accelerated debt amount under the Loan Agreement, the repayment of these sums may significantly reduce our working capital and impair our ability to operate as planned. As such, any declaration by SVB of an event of default could significantly harm our business and prospects and could cause the price of our common stock to decline. Further, if we are liquidated, SVB’s rights to repayment under the Loan Agreement would be senior to the rights of the holders of our common stock to receive any proceeds from the liquidation.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utilize our net operating loss carryforwards and certain other tax attributes to offset future taxable income may be limited.</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Our net operating loss (NOL) carryforwards may be unavailable to offset future taxable income because of restrictions on their use under U.S. tax law. In addition, under Sections 382 and 383 of the Internal Revenue Code of 1986, as amended,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In addition, the use of our NOLs and other tax attributes may be subject to other limitations under applicable law. For example, California has recently enacted a temporary suspension on the use of state NOLs in taxable years beginning in 2024, 2025 and 2026, which would adversely affect our company if we earn taxable income in the impacted tax years. Consequently, our ability to use our NOLs and certain other tax attributes may be limited.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Discovery, Development, Manufacturing and Commercialization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Before we are able to generate any revenue from product sales, each of our programs and product candidates will require additional preclinical and/or clinical development, expansion of manufacturing capabilities and expertise,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If we are unable to optimize our manufacturing processes to produce product candidates that meet applicable regulatory standards, do not successfully initiate and complete our clinical trials in a timely manner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8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231F20"/>
        </w:rPr>
        <w:t>There is a high failure rate for biopharmaceutical products proceeding through clinical trials. It is not uncommon for product candidates to exhibit unforeseen safety issues or inadequate efficacy when tested in humans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31F20"/>
        </w:rPr>
        <w:t>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 w:cs="Times New Roman" w:eastAsia="Times New Roman" w:hAnsi="Times New Roman"/>
          <w:sz w:val="18"/>
          <w:szCs w:val="18"/>
          <w:i w:val="1"/>
          <w:iCs w:val="1"/>
          <w:color w:val="231F20"/>
        </w:rPr>
        <w:t>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ability to generate revenue and achieve profitability depends significantly on our ability to achieve several objectives relating to the discovery, development and commercialization of our product candidates, if approved</w:t>
      </w:r>
      <w:r>
        <w:rPr>
          <w:rFonts w:ascii="Times New Roman" w:cs="Times New Roman" w:eastAsia="Times New Roman" w:hAnsi="Times New Roman"/>
          <w:sz w:val="18"/>
          <w:szCs w:val="18"/>
          <w:color w:val="231F20"/>
        </w:rPr>
        <w:t>.”</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 and market additional product candidates. 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18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how much it will cost, or how likely it will be to obtain regulatory approvals for our product candidates in the U.S., EU or other jurisdictions.</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The regulatory requirements that will govern any novel gene therapy product candidate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or preclude regulatory approval of our product candidates. Moreover, there is substantial overlap in those responsible for regulation of existing gene therapy products and cell therapy products. For example, in the U.S.,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Our product candidates will need to meet safety and efficacy standards applicable to any new biologic under the regulatory framework administered by the FDA. In addition to FDA oversight and oversight by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clinical study sites receive NIH funding and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same applies in the EU. The EMA’s Committee for Advanced Therapies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in the EU may be applied to any gene therapy product candidate we may develop, but that remains uncertain at this point. Furthermore, approvals by the EMA may not be indicative of what the FDA may require for approval.</w:t>
      </w:r>
    </w:p>
    <w:p>
      <w:pPr>
        <w:spacing w:after="0" w:line="8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231F20"/>
        </w:rPr>
        <w:t>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w:t>
      </w:r>
    </w:p>
    <w:p>
      <w:pPr>
        <w:spacing w:after="0" w:line="6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231F20"/>
        </w:rPr>
        <w:t>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mechanisms of action of our product candidates are unproven, and we do not know whether we will be able to develop any drug of commercial value.</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8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Preclinical and </w:t>
      </w:r>
      <w:r>
        <w:rPr>
          <w:rFonts w:ascii="Times New Roman" w:cs="Times New Roman" w:eastAsia="Times New Roman" w:hAnsi="Times New Roman"/>
          <w:sz w:val="18"/>
          <w:szCs w:val="18"/>
          <w:color w:val="231F20"/>
        </w:rPr>
        <w:t>clinical testing is expensive, difficult to design and implement, can take many years to complete and its ultimate outcome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uncertain. We cannot guarantee that any of our preclinical studies or clinical trials will be initiated, conducted or completed on schedule or as planned, or at all. </w:t>
      </w:r>
      <w:r>
        <w:rPr>
          <w:rFonts w:ascii="Times New Roman" w:cs="Times New Roman" w:eastAsia="Times New Roman" w:hAnsi="Times New Roman"/>
          <w:sz w:val="18"/>
          <w:szCs w:val="18"/>
          <w:color w:val="000000"/>
        </w:rPr>
        <w:t>Failure can occur at any stage of testing.</w:t>
      </w:r>
      <w:r>
        <w:rPr>
          <w:rFonts w:ascii="Times New Roman" w:cs="Times New Roman" w:eastAsia="Times New Roman" w:hAnsi="Times New Roman"/>
          <w:sz w:val="18"/>
          <w:szCs w:val="18"/>
          <w:color w:val="231F20"/>
        </w:rPr>
        <w:t xml:space="preserve"> Such failure may result from a multitude of factors, including, among other things, flaws in study design, dose selection issues, placebo effects, patient enrollment criteria, novel assay design and failure to demonstrate favorable safety or efficacy traits, which could delay or prevent the submission of an IND or CTA, initiation of a clinical trial, receipt of marketing approval or our ability to commercialize our product candidates, or require us to suspended or terminate further development of our product candidates. Moreover,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preclinical studies, clinical trials or post-marketing studies that we conduct will demonstrate consistent or adequate efficacy and safety to support marketing approval.</w:t>
      </w:r>
    </w:p>
    <w:p>
      <w:pPr>
        <w:spacing w:after="0" w:line="86"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231F20"/>
        </w:rPr>
        <w:t>Further, FDA and other regulatory authorities may implement new policies and regulations on clinical trials. For example, the EU Clinical Trials Regulation (CTR), which repealed the EU Clinical Trials Directive, became applicable on January 31, 2022, and provided a three-year transition period. The CTR streamlined the processes for applying for authorization and supervision of clinical trials in the EU. From January 31, 2025, any trials approved under the Clinical Trials Directive that continue running will need to comply with the CTR, and their sponsors must enter information on the trials in the Clinical Trials Information System. Trials we initiate in the United Kingdom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are also subject to regulatory requirements and policies of the MHRA. Compliance with the CTR and/or MHRA requirements by us, our collaborators and third-party service providers, such as contract research organizations, may increase our clinical trial costs and impact the timeline of our development plans. If we are slow or unable to adapt to changes in clinical trial requirements or the adoption of new requirements or policies governing clinical trials, our development plans may be negatively impacted.</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8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may experience numerous unforeseen events during, or as a result of, preclinical studies, clinical trials or post-marketing studies that could delay or prevent receipt of marketing approval or our ability to commercialize our product candidates, including:</w:t>
      </w:r>
    </w:p>
    <w:p>
      <w:pPr>
        <w:spacing w:after="0" w:line="52"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inability to generate sufficient preclinical, toxicology, or other </w:t>
      </w:r>
      <w:r>
        <w:rPr>
          <w:rFonts w:ascii="Times New Roman" w:cs="Times New Roman" w:eastAsia="Times New Roman" w:hAnsi="Times New Roman"/>
          <w:sz w:val="18"/>
          <w:szCs w:val="18"/>
          <w:i w:val="1"/>
          <w:iCs w:val="1"/>
          <w:color w:val="231F20"/>
        </w:rPr>
        <w:t>in vivo</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i w:val="1"/>
          <w:iCs w:val="1"/>
          <w:color w:val="231F20"/>
        </w:rPr>
        <w:t>in vitro</w:t>
      </w:r>
      <w:r>
        <w:rPr>
          <w:rFonts w:ascii="Times New Roman" w:cs="Times New Roman" w:eastAsia="Times New Roman" w:hAnsi="Times New Roman"/>
          <w:sz w:val="18"/>
          <w:szCs w:val="18"/>
          <w:color w:val="231F20"/>
        </w:rPr>
        <w:t xml:space="preserve"> data to support the initiation of clinical trials;</w:t>
      </w:r>
    </w:p>
    <w:p>
      <w:pPr>
        <w:spacing w:after="0" w:line="119"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sufficiently developing, characterizing or controlling a manufacturing process suitable for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receipt of feedback from regulatory authorities that requires us to modify the design of our preclinical or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preclinical study or clinical trial observations or results that require us to modify the design of our clinical trials;</w:t>
      </w:r>
    </w:p>
    <w:p>
      <w:pPr>
        <w:spacing w:after="0" w:line="117"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negative or inconclusive preclinical study or clinical trial results that may require us to conduct additional preclinical studies or clinical trials or abandon certain research and/or drug development programs;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extended IRB, IBC and/or EC review process, or inability to obtain approval from one or more of these committees;</w:t>
      </w:r>
    </w:p>
    <w:p>
      <w:pPr>
        <w:spacing w:after="0" w:line="117" w:lineRule="exact"/>
        <w:rPr>
          <w:rFonts w:ascii="Times New Roman" w:cs="Times New Roman" w:eastAsia="Times New Roman" w:hAnsi="Times New Roman"/>
          <w:sz w:val="18"/>
          <w:szCs w:val="18"/>
          <w:color w:val="231F20"/>
        </w:rPr>
      </w:pPr>
    </w:p>
    <w:p>
      <w:pPr>
        <w:ind w:left="1020" w:right="540" w:hanging="503"/>
        <w:spacing w:after="0" w:line="266"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patients required for clinical trials being larger than anticipated, enrollment in these clinical trials being slower than anticipated, participants dropping out of these clinical trials at a higher rate than anticipated, or more patients failing to meet eligibility criteria than anticipated;</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failure or delay in reaching an agreement with CROs and clinical trial sites;</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66"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suspension or termination of our clinical trials, as a result of </w:t>
      </w:r>
      <w:r>
        <w:rPr>
          <w:rFonts w:ascii="Times New Roman" w:cs="Times New Roman" w:eastAsia="Times New Roman" w:hAnsi="Times New Roman"/>
          <w:sz w:val="18"/>
          <w:szCs w:val="18"/>
          <w:color w:val="000000"/>
        </w:rPr>
        <w:t>a clinical hold by regulatory authorities or a voluntary pause,</w:t>
      </w:r>
      <w:r>
        <w:rPr>
          <w:rFonts w:ascii="Times New Roman" w:cs="Times New Roman" w:eastAsia="Times New Roman" w:hAnsi="Times New Roman"/>
          <w:sz w:val="18"/>
          <w:szCs w:val="18"/>
          <w:color w:val="231F20"/>
        </w:rPr>
        <w:t xml:space="preserve"> for various reasons, including a finding that our product candidates have undesirable side effects or other unfavorable or unexpected characteristics or risks or non-compliance with regulatory requirements;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to clinical trial protocol;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sites deviating from trial protocol or dropping out of a trial;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and/or duration of preclinical studies or clinical trials being greater than anticipated;</w:t>
      </w:r>
    </w:p>
    <w:p>
      <w:pPr>
        <w:spacing w:after="0" w:line="117" w:lineRule="exact"/>
        <w:rPr>
          <w:rFonts w:ascii="Times New Roman" w:cs="Times New Roman" w:eastAsia="Times New Roman" w:hAnsi="Times New Roman"/>
          <w:sz w:val="18"/>
          <w:szCs w:val="18"/>
          <w:color w:val="231F20"/>
        </w:rPr>
      </w:pPr>
    </w:p>
    <w:p>
      <w:pPr>
        <w:ind w:left="1020" w:right="680" w:hanging="503"/>
        <w:spacing w:after="0" w:line="282"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supply or quality of our product candidates or other materials necessary to conduct clinical trials of our product candidates being insufficient or inadequate or slower than anticipated;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subjects experiencing serious, severe, unexpected or otherwise important drug-related or study-related adverse effects;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selection of clinical end 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inaccurate clinical data entry or reporting by clinical sites;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variability of efficacy assessments;</w:t>
      </w:r>
    </w:p>
    <w:p>
      <w:pPr>
        <w:spacing w:after="0" w:line="117"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facility manufacturing our product candidates or any of their components being ordered by the FDA or comparable foreign regulatory authorities to temporarily or permanently shut down due to violations of cGMPs, regulations or other applicable requirements, or infections or cross-contaminations of product candidates in the manufacturing process;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changes to our manufacturing process that may be necessary or desired;</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clinical investigators losing the licenses or permits necessary to perform our clinical trials, not performing our clinical trials on our anticipated schedule or consistent with the clinical trial protocol, GCP or other regulatory requirements;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CROs and other third-party contractors not performing data collection or analysis in a timely or accurate manner;</w:t>
      </w:r>
    </w:p>
    <w:p>
      <w:pPr>
        <w:spacing w:after="0" w:line="117"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regulators revising the requirements for approving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unsuccessful post-marketing study or failure to complete such a study;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absence in some countries of established groups with sufficient regulatory expertise for review of AAV gene therapy protocols; and</w:t>
      </w:r>
    </w:p>
    <w:p>
      <w:pPr>
        <w:spacing w:after="0" w:line="117"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burden of complying with a variety of foreign laws, medical standards and regulatory requirements, including the regulation of pharmaceutical and biotechnology products and treatment.</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more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The FDA or other health authorities may require us to complete studies in adults prior to initiating testing in children. Any delays in our planned clinical development activities for pediatric patients could have an adverse effect on our business operations.</w:t>
      </w:r>
    </w:p>
    <w:p>
      <w:pPr>
        <w:spacing w:after="0" w:line="84"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231F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8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231F20"/>
        </w:rPr>
        <w:t>or tests are not positive or are only modestly positive or if there are safety concerns, we may incur unplanned costs and be delayed in sub</w:t>
      </w:r>
      <w:r>
        <w:rPr>
          <w:rFonts w:ascii="Times New Roman" w:cs="Times New Roman" w:eastAsia="Times New Roman" w:hAnsi="Times New Roman"/>
          <w:sz w:val="18"/>
          <w:szCs w:val="18"/>
          <w:color w:val="000000"/>
        </w:rPr>
        <w:t>mitting an IND,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initiating clinical trials or seek</w:t>
      </w:r>
      <w:r>
        <w:rPr>
          <w:rFonts w:ascii="Times New Roman" w:cs="Times New Roman" w:eastAsia="Times New Roman" w:hAnsi="Times New Roman"/>
          <w:sz w:val="18"/>
          <w:szCs w:val="18"/>
          <w:color w:val="231F20"/>
        </w:rPr>
        <w:t>ing and obtaining marketing approval. We may also decide to change the design or protocol of one or more of our planned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w:t>
      </w:r>
    </w:p>
    <w:p>
      <w:pPr>
        <w:spacing w:after="0" w:line="8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which may harm our business, financial condition and prospects significantly.</w:t>
      </w:r>
    </w:p>
    <w:p>
      <w:pPr>
        <w:spacing w:after="0" w:line="18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developing novel therapies for the treatment of heart disease. As a result, there is uncertainty as to the safety profile of product candidates we may develop. Patients in our clinical trials have suffered and may continue to suffer adverse events, including serious adverse events or other side effects, including those not observed in our preclinical studies or previous clinical trials. Patients treated with our product candidates may also be undergoing other therapies or procedures which can cause side effects or adverse events that are unrelated to our product candidates but may still impact the success of our clinical trials. The inclusion of critically ill patients in our clinical trials may result in deaths or other adverse medical events, either during the course of or after participating in such trials. These events may be due to one or more factors, including, without limitation, the underlying heart disease, other therapies or medications that such patients may be using, the drug product formulation of our product candidates, complications arising from protocol regimens, the method of delivery of our product candidates or other diseases the patients have. In some cases, it may not be clear if an adverse event is due to the product candidate, another therapy, the underlying disease, or another cause, and causality may be incorrectly attributed to the product candidate</w:t>
      </w:r>
      <w:r>
        <w:rPr>
          <w:rFonts w:ascii="Times New Roman" w:cs="Times New Roman" w:eastAsia="Times New Roman" w:hAnsi="Times New Roman"/>
          <w:sz w:val="18"/>
          <w:szCs w:val="18"/>
          <w:color w:val="231F20"/>
        </w:rPr>
        <w:t>.</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Serious adverse events or other side effects observed in any of our clinical trials, or similar trials by other sponsors, may result in difficulty recruiting patients to the clinical trials, cause patients to drop out of our trials, or require that we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or that the expected benefit does not justify the risk. Some potential therapeutics developed in the biotechnology industry that initially showed therapeutic promise in early-stage trials have later been found to cause side effects that prevented their further development. There is no guarantee that our product candidates will not have side effects similar to those seen in other gene therapies or that we will be able to prevent such side effects from escalating to an unsafe level for our patients.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8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231F20"/>
        </w:rPr>
        <w:t>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 approval, or if approved, lead to the revocation of regulatory approval based on preclinical studies or early-stage clinical trials.</w:t>
      </w:r>
    </w:p>
    <w:p>
      <w:pPr>
        <w:spacing w:after="0" w:line="17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 and success in one trial does not ensure success in the next.</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do not know whether any clinical trials we may conduct will demonstrate consistent or adequate efficacy and safety sufficient to obtain approval to market any of our product candidates.</w:t>
      </w:r>
    </w:p>
    <w:p>
      <w:pPr>
        <w:spacing w:after="0" w:line="15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experience delays or difficulties in the enrollment and/or maintenance of patients in clinical trials, our regulatory submissions or receipt of necessary marketing approvals could be delayed or prevented.</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We may not be able to initiate or continue clinical trials for our product candidates if we are unable to locate and enroll a sufficient number of eligible patients to participate in these trials to such trial’s conclusion. Patient enrollment and retention are significant factors in the timing of clinical trials and our ability to enroll eligible patients may be limited or slower than we anticipate.</w:t>
      </w:r>
    </w:p>
    <w:p>
      <w:pPr>
        <w:spacing w:after="0" w:line="6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231F20"/>
        </w:rPr>
        <w:t>We are developing product candidates for the treatment of heart disease, including for certain indications, such as rare genetic diseases, that have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 Patients also have the right to withdraw from our clinical trials for any reason. Additionally, the FDA, EMA or other comparable foreign regulatory authorities may require long-term follow-up assessments for a certain number of patients, which could delay marketing approval.</w:t>
      </w:r>
    </w:p>
    <w:p>
      <w:pPr>
        <w:spacing w:after="0" w:line="8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231F20"/>
        </w:rPr>
        <w:t>We also expect patient enrollment to be affected because our competitors have ongoing clinical trials for programs that are under development for the same indications as our product candidates, and patients who would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otherwise be eligible for our clinical trials could instead enroll in clinical trials of our competitors’ programs. Patient enrollment for our clinical trials has been and may continue to be affected by other factors, including:</w:t>
      </w:r>
    </w:p>
    <w:p>
      <w:pPr>
        <w:spacing w:after="0" w:line="5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size and nature of the patient population;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perceived risks and benefits of novel, unproven approaches;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severity of the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and efficacy of approved drugs for the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ongoing clinical trials evaluating other product candidates in the same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eligibility criteria for the trial in question as defined in the protocol;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risks and benefits of the product candidate under study;</w:t>
      </w:r>
    </w:p>
    <w:p>
      <w:pPr>
        <w:spacing w:after="0" w:line="117" w:lineRule="exact"/>
        <w:rPr>
          <w:rFonts w:ascii="Times New Roman" w:cs="Times New Roman" w:eastAsia="Times New Roman" w:hAnsi="Times New Roman"/>
          <w:sz w:val="18"/>
          <w:szCs w:val="18"/>
          <w:color w:val="231F20"/>
        </w:rPr>
      </w:pPr>
    </w:p>
    <w:p>
      <w:pPr>
        <w:jc w:val="both"/>
        <w:ind w:left="1020" w:right="560" w:hanging="503"/>
        <w:spacing w:after="0" w:line="266"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public perception about the use of genetic medicines in human therapeutics or precision medicine;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referral practices of physicians;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challenges associated with recruiting eligible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to monitor patients adequately during and after treatment;</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limited resources at clinical trial sites, including support for clinical trial enrollment and the availability of hospital beds;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activities of key opinion leaders (KOLs) and patient advocacy groups;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proximity and availability of clinical trial sites for prospective patients and the ability of patients to travel to these sites;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burden of the study protocol on patients, including conflicts with their work, family and personal activities;</w:t>
      </w:r>
    </w:p>
    <w:p>
      <w:pPr>
        <w:spacing w:after="0" w:line="117" w:lineRule="exact"/>
        <w:rPr>
          <w:rFonts w:ascii="Times New Roman" w:cs="Times New Roman" w:eastAsia="Times New Roman" w:hAnsi="Times New Roman"/>
          <w:sz w:val="18"/>
          <w:szCs w:val="18"/>
          <w:color w:val="231F20"/>
        </w:rPr>
      </w:pPr>
    </w:p>
    <w:p>
      <w:pPr>
        <w:ind w:left="1020" w:right="240" w:hanging="503"/>
        <w:spacing w:after="0" w:line="282"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risk that patients enrolled in clinical trials will drop out of the trials before completion or, because they may have an advanced disease, will not survive the full terms of the clinical trials;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limitations on the rate of patient enrollment required by the clinical trial protocol, including those that may be requested by health authorities.</w:t>
      </w:r>
    </w:p>
    <w:p>
      <w:pPr>
        <w:spacing w:after="0" w:line="11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7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Due to the significant resources required for the development of product candidates, in particular our product candidates in clinical trials, we must decide which programs, product candidates and indications to pursue and advance the amount of resources to allocate to each. Our decisions concerning the allocation of research, development, collaboration, management and financial resources toward particular programs, product candidates or therapeutic areas may not lead to the development of any viable commercial product and may result in the diversion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231F20"/>
        </w:rPr>
        <w:t>of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assumptions and/or determinations regarding data emerging from our clinical trials,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75"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231F20"/>
        </w:rPr>
        <w:t>We have competitors both in the U.S. and internationally, including major multinational pharmaceutical companies, established biotechnology companies, specialty pharmaceutical companies, emerging and start-up companies, universities and other research institutions. We face competition in recruiting personnel, establishing clinical trial sites, enrolling subjects for clinical trials and in identifying and in-licensing new product candidates.</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8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231F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Initial, interim and topline data from our clinical trials that we announce or publish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From time to time, we may publicly disclose initial, interim or topline data from our clinical trials. These updates are based on a preliminary analysis of then-available data, and the results and related findings and conclusions are subject to change following availability of additional data and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initial, interim and/or topline results that we report may differ from future results of the same studies, or different conclusions or considerations may qualify such results, once additional data have been received and fully evaluated. Initial, interim and/or topline data also remain subject to audit and verification procedures that may result in the final data being materially different from the preliminary data we previously published. As a result, initial, interim and topline data should be viewed with caution until the final data is available. In addition, we may report interim analyses of only certain endpoints rather than all endpoints. Initial and interim data from clinical trials that we may complete are subject to the risk that one or more of the clinical outcomes may materially change as patient enrollment continues and more patient data become available. Adverse changes between initial and/or interim data and final data could significantly harm our business and prospects. Further, additional disclosure of initial and/or interim data by us or by our competitors in the future could result in volatility in the price of our common stock.</w:t>
      </w:r>
    </w:p>
    <w:p>
      <w:pPr>
        <w:spacing w:after="0" w:line="8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Further, others, including regulatory agencies, may not accept or agree with our assumptions, estimates, calculations, conclusions or analyses, may do their own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initial, interim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Problems with the manufacturing process, even minor deviations from the normal process, including during the manufacture of drug substance, drug product filling, labeling, packaging, storage and shipping and quality control and testing, could result in product defects, lot failures, product recalls, product liability claims or insufficient inventory. Additionally, we may encounter problems achieving adequate quantities and quality of clinical-grade materials that meet FDA, or other comparable applicable foreign regulatory authorities’ standards or specifications with consistent and acceptable production yields and costs.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Furthermore, should any of our manufacturing agreements with third parties be terminated for any reason, there are a limited number of manufacturers who would be suitable replacements, and it would take a significant amount of time to transition the manufacturing to a replacement. If we or our third-party manufacturers or suppliers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Due to our limited manufacturing experience, there can be no assurance that we will be able to successfully manufacture product candidates to support our clinical development and commercialization plans.</w:t>
      </w:r>
    </w:p>
    <w:p>
      <w:pPr>
        <w:spacing w:after="0" w:line="5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have fully integrated and internalized AAV manufacturing capabilities to support our gene therapy product candidates</w:t>
      </w:r>
      <w:r>
        <w:rPr>
          <w:rFonts w:ascii="Times New Roman" w:cs="Times New Roman" w:eastAsia="Times New Roman" w:hAnsi="Times New Roman"/>
          <w:sz w:val="18"/>
          <w:szCs w:val="18"/>
          <w:color w:val="231F20"/>
        </w:rPr>
        <w:t>. However, to optimize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our resources and to utilize extensive third-party experience in small molecule manufacturing, we intend to work with CDMOs for our small molecule programs.</w:t>
      </w:r>
    </w:p>
    <w:p>
      <w:pPr>
        <w:spacing w:after="0" w:line="68"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231F20"/>
        </w:rPr>
        <w:t>Although some of our employees have experience in the manufacturing of biopharmaceutical products from prior employment at other companies, we as a company have limited experience in manufacturing. Furthermore, maintaining manufacturing operations requires significant resources, management time and capital expenditures, particularly in areas relating to operations, quality, regulatory, facilities and information technology.</w:t>
      </w:r>
    </w:p>
    <w:p>
      <w:pPr>
        <w:spacing w:after="0" w:line="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cannot guarantee that our facility will be able to produce sufficient quantities of product candidates needed to support our preclinical studies and ongoing and planned clinical trials. We may face delays or increased costs in the production of clinical supply at our manufacturing facility. We also may encounter problems hiring and retaining the experienced scientific, quality control and manufacturing personnel needed to operate our manufacturing facility and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7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231F20"/>
        </w:rPr>
        <w:t>Any delays in the ongoing development of our internal manufacturing capabilities may disrupt or delay the supply of our product candidates if we have not maintained a sufficient back-up supply of such product candidates.</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It may also hamper our ability to further process improvement, maintain quality control, limit our reliance on contract manufacturers and protect our trade secrets and other intellectual property, and could adversely impact the development or commercialization of our product candidates. Moreover, if we were required to change manufacturing facilities during the clinical development process, we may also be required to conduct additional studies, make notifications to regulatory authorities, make additional filings to regulatory authorities, and obtain regulatory authority approval for the new facilities, which approval may be delayed or never received.</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We will need to comply with the FDA’s and applicable foreign regulatory authorities’ cGMP requirements for the production of product candidates for clinical trials and, if approved, commercial supply.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 Furthermore, regulatory requirements for the manufacturing of genetic medicines may change over time. Our failure to comply with such changes could have a material impact on the manufacturing costs for our product candidates, delay our planned preclinical and clinical trial timelines and/or preclude regulatory approval of our product candidates.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9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successfully manufacture our product candidates in sufficient quality and quantity, which would delay or prevent us from developing our product candidates and commercializing resulting approved products, if any.</w:t>
      </w:r>
    </w:p>
    <w:p>
      <w:pPr>
        <w:spacing w:after="0" w:line="5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231F20"/>
        </w:rPr>
        <w:t>To date, our product candidates have been manufactured in quantities adequate for preclinical studies and our Phase 1 clinical trials for our lead product candidates. In order to conduct later-stage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w:t>
      </w:r>
    </w:p>
    <w:p>
      <w:pPr>
        <w:spacing w:after="0" w:line="7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231F20"/>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While the manufacturing process alone is complex, quality issues may also arise during drug product filling, labeling, packaging, storage, shipping and ongoing quality control and testing activities.</w:t>
      </w:r>
    </w:p>
    <w:p>
      <w:pPr>
        <w:spacing w:after="0" w:line="84"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231F20"/>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7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not achieve adequate market acceptance among physicians, patients, healthcare payors and others in the medical community necessary for commercial success.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Even if our product candidates receive regulatory approval, they may not gain adequate market acceptance among physicians, patients, third-party payors and others in the medical community. If we are unable to demonstrate sufficient safety or efficacy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efficacy and safety profile as demonstrated in clinical trials compared to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safety and efficacy profile and ease of use for pediatric patient population if approved for a pediatric indication;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clinical indications for which a product candidate is approved;</w:t>
      </w:r>
    </w:p>
    <w:p>
      <w:pPr>
        <w:spacing w:after="0" w:line="117" w:lineRule="exact"/>
        <w:rPr>
          <w:rFonts w:ascii="Times New Roman" w:cs="Times New Roman" w:eastAsia="Times New Roman" w:hAnsi="Times New Roman"/>
          <w:sz w:val="18"/>
          <w:szCs w:val="18"/>
          <w:color w:val="231F20"/>
        </w:rPr>
      </w:pPr>
    </w:p>
    <w:p>
      <w:pPr>
        <w:jc w:val="both"/>
        <w:ind w:left="1020" w:right="100" w:hanging="503"/>
        <w:spacing w:after="0" w:line="312" w:lineRule="auto"/>
        <w:tabs>
          <w:tab w:leader="none" w:pos="1020"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31" w:lineRule="exact"/>
        <w:rPr>
          <w:rFonts w:ascii="Times New Roman" w:cs="Times New Roman" w:eastAsia="Times New Roman" w:hAnsi="Times New Roman"/>
          <w:sz w:val="17"/>
          <w:szCs w:val="17"/>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physicians, hospitals, treatment centers and patients considering our product candidates as a safe, pure and effective treatment;</w:t>
      </w:r>
    </w:p>
    <w:p>
      <w:pPr>
        <w:spacing w:after="0" w:line="117" w:lineRule="exact"/>
        <w:rPr>
          <w:rFonts w:ascii="Times New Roman" w:cs="Times New Roman" w:eastAsia="Times New Roman" w:hAnsi="Times New Roman"/>
          <w:sz w:val="18"/>
          <w:szCs w:val="18"/>
          <w:color w:val="231F20"/>
        </w:rPr>
      </w:pPr>
    </w:p>
    <w:p>
      <w:pPr>
        <w:ind w:left="1020" w:right="40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perceived prevalence and severity of any side effects for our product candidates compared to the prevalence and severity of any side effects for conventional products and other gene therapies;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of treatment in relation to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relative convenience and ease of administration;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8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willingness of the target patient population or their caregivers to try new therapies and of physicians to prescribe these therapies;</w:t>
      </w:r>
    </w:p>
    <w:p>
      <w:pPr>
        <w:spacing w:after="0" w:line="117"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relevant pediatric patient population if approved for a pediatric indication, including challenges associated with diagnosing or identifying pediatric populations with the applicable target disease or condition;</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coverage and adequate reimbursement by third-party payors, including government authorities;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patients’ willingness to pay for these therapies in the absence of such coverage and adequate reimbursement;</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effectiveness of sales and marketing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support from KOLs and patient advocacy groups;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negative public perception about the use of genetic medicines, whether related to our technology or our competitor’s technology;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unfavorable publicity relating to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approval of other new therapies for the same indications; and</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acceptance and use of genetic testing required to diagnose the disease and identify patients who qualify for treatment with our product candidates.</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231F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5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190"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Any product candidates we develop may become subject to unfavorable third-party coverage and reimbursement practices, as well as pricing regulations.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There is significant uncertainty related to third-party payor coverage and reimbursement of newly approved products. In the U.S., for example, principal decisions about reimbursement for new products are typically made by the </w:t>
      </w:r>
      <w:r>
        <w:rPr>
          <w:rFonts w:ascii="Times New Roman" w:cs="Times New Roman" w:eastAsia="Times New Roman" w:hAnsi="Times New Roman"/>
          <w:sz w:val="18"/>
          <w:szCs w:val="18"/>
          <w:color w:val="000000"/>
        </w:rPr>
        <w:t>Centers for Medicare &amp; Medicaid Services (</w:t>
      </w:r>
      <w:r>
        <w:rPr>
          <w:rFonts w:ascii="Times New Roman" w:cs="Times New Roman" w:eastAsia="Times New Roman" w:hAnsi="Times New Roman"/>
          <w:sz w:val="18"/>
          <w:szCs w:val="18"/>
          <w:color w:val="231F20"/>
        </w:rPr>
        <w:t>CMS), an agency within the U.S. Department of Health and Human 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As clinical trial and product liability insurance becomes increasingly expensive,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may be sued if any of our product candidates or any medications, procedures or activities associated with our clinical trial protocols cause or are perceived to cause injury, or if our product candidates are found to be otherwise unsuitable during clinical testing, manufacturing, marketing, or sale post-approval. Any such product liability claims may include allegations of defects in manufacturing, defects in design, a failure to warn of dangers inherent in the protocol or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Regardless of the merits or eventual outcome, liability claims may result in:</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the development of our product candidates;</w:t>
      </w:r>
    </w:p>
    <w:p>
      <w:pPr>
        <w:spacing w:after="0" w:line="117" w:lineRule="exact"/>
        <w:rPr>
          <w:rFonts w:ascii="Times New Roman" w:cs="Times New Roman" w:eastAsia="Times New Roman" w:hAnsi="Times New Roman"/>
          <w:sz w:val="18"/>
          <w:szCs w:val="18"/>
          <w:color w:val="231F20"/>
        </w:rPr>
      </w:pPr>
    </w:p>
    <w:p>
      <w:pPr>
        <w:ind w:left="1020" w:right="460" w:hanging="503"/>
        <w:spacing w:after="0" w:line="282"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EMA or other regulatory authority investigation of the safety and effectiveness of our products, our manufacturing processes and facilities or our marketing programs;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decreased or interrupted demand for our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injury to our reputation;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withdrawal of clinical trial participants and inability to continue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to defend the related litigation;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diversion of management’s time and our resources;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substantial monetary awards to trial participants or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recalls, withdrawals or labeling, marketing, or promotional restrictions;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revenue;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inability to raise capital or enter into strategic agreements for the development of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exhaustion of any available insurance and our capital resources;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to commercialize any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Regulatory Approval and Other Legal Compliance Matters</w:t>
      </w:r>
    </w:p>
    <w:p>
      <w:pPr>
        <w:spacing w:after="0" w:line="11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distribution and orphan exclusivity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and the availability of alternative therapies.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w:t>
      </w:r>
    </w:p>
    <w:p>
      <w:pPr>
        <w:spacing w:after="0" w:line="86"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231F20"/>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spacing w:after="0" w:line="68" w:lineRule="exact"/>
        <w:rPr>
          <w:sz w:val="20"/>
          <w:szCs w:val="20"/>
          <w:color w:val="auto"/>
        </w:rPr>
      </w:pPr>
    </w:p>
    <w:p>
      <w:pPr>
        <w:ind w:left="1020" w:right="30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disagree with the design, implementation or results of our clinical trials;</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refuse to accept an application or decide not to accept data from our clinical trials conducted in locations outside of their jurisdiction;</w:t>
      </w:r>
    </w:p>
    <w:p>
      <w:pPr>
        <w:spacing w:after="0" w:line="53"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67" w:lineRule="exact"/>
        <w:rPr>
          <w:rFonts w:ascii="Times New Roman" w:cs="Times New Roman" w:eastAsia="Times New Roman" w:hAnsi="Times New Roman"/>
          <w:sz w:val="18"/>
          <w:szCs w:val="18"/>
          <w:color w:val="231F20"/>
        </w:rPr>
      </w:pPr>
    </w:p>
    <w:p>
      <w:pPr>
        <w:ind w:left="1020" w:right="18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231F20"/>
        </w:rPr>
      </w:pPr>
    </w:p>
    <w:p>
      <w:pPr>
        <w:ind w:left="1020" w:right="30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require that we conduct additional preclinical studies or clinical trials;</w:t>
      </w:r>
    </w:p>
    <w:p>
      <w:pPr>
        <w:spacing w:after="0" w:line="117" w:lineRule="exact"/>
        <w:rPr>
          <w:rFonts w:ascii="Times New Roman" w:cs="Times New Roman" w:eastAsia="Times New Roman" w:hAnsi="Times New Roman"/>
          <w:sz w:val="18"/>
          <w:szCs w:val="18"/>
          <w:color w:val="231F20"/>
        </w:rPr>
      </w:pPr>
    </w:p>
    <w:p>
      <w:pPr>
        <w:ind w:left="1020" w:right="36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unable to demonstrate to the FDA, EMA or other comparable foreign regulatory authorities that our product candidate’s risk-benefit ratio for its proposed indication is acceptable;</w:t>
      </w:r>
    </w:p>
    <w:p>
      <w:pPr>
        <w:spacing w:after="0" w:line="53"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231F20"/>
        </w:rPr>
      </w:pPr>
    </w:p>
    <w:p>
      <w:pPr>
        <w:ind w:left="1020" w:right="110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fail to approve companion diagnostic tests required for commercialization of our product candidates; and</w:t>
      </w:r>
    </w:p>
    <w:p>
      <w:pPr>
        <w:spacing w:after="0" w:line="53" w:lineRule="exact"/>
        <w:rPr>
          <w:rFonts w:ascii="Times New Roman" w:cs="Times New Roman" w:eastAsia="Times New Roman" w:hAnsi="Times New Roman"/>
          <w:sz w:val="18"/>
          <w:szCs w:val="18"/>
          <w:color w:val="231F20"/>
        </w:rPr>
      </w:pPr>
    </w:p>
    <w:p>
      <w:pPr>
        <w:ind w:left="1020" w:right="50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8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31F20"/>
        </w:rPr>
        <w:t>have a material and adverse effect on our ability to generate revenue from any particular product candidates we are developing and for which we are seeking approval.</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231F20"/>
        </w:rPr>
        <w:t>If the FDA or EMA grants marketing approval of a product candidate, other comparable regulatory authorities in foreign jurisdictions must still approve the manufacturing, marketing and promotion and reimbursement of the product candidate in those countries.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our product candidates receive regulatory approval, such approval may be for a narrower indication than we seek, and our product candidates will be subject to significant post-marketing regulatory requirements and oversight.</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plan as part of approving an NDA or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their facilities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8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or the rejection of product approvals;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our ability to conduct clinical trials, including full or partial clinical holds on ongoing or planned trials;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spacing w:after="0" w:line="8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the products, manufacturers or manufacturing process;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warning or untitled letters;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civil and criminal penalties;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injunctions;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or withdrawal of regulatory approvals;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seizures, detentions or import bans;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voluntary or mandatory product recalls and publicity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or partial suspension of production;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imposition of restrictions on operations, including costly new manufacturing requirements.</w:t>
      </w:r>
    </w:p>
    <w:p>
      <w:pPr>
        <w:spacing w:after="0" w:line="11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231F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17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To the extent we obtain orphan drug and other designations from the FDA for our product candidates, we may not realize the full benefits of such designations. Further, orphan drug exclusivity may not prevent the FDA, EMA or other comparable foreign regulatory authorities, from approving competing products.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EC,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In the EU, orphan drug designation entitles a party to financial incentives such as reduction of fees or fee waivers and without incentives, it is unlikely that sales of the drug in Europe would be sufficient to justify the necessary investment in developing the drug.</w:t>
      </w:r>
    </w:p>
    <w:p>
      <w:pPr>
        <w:spacing w:after="0" w:line="86"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231F20"/>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In view of the court decision in the </w:t>
      </w:r>
      <w:r>
        <w:rPr>
          <w:rFonts w:ascii="Times New Roman" w:cs="Times New Roman" w:eastAsia="Times New Roman" w:hAnsi="Times New Roman"/>
          <w:sz w:val="18"/>
          <w:szCs w:val="18"/>
          <w:i w:val="1"/>
          <w:iCs w:val="1"/>
          <w:color w:val="231F20"/>
        </w:rPr>
        <w:t>Catalyst Pharms., Inc. v. Becerra</w:t>
      </w:r>
      <w:r>
        <w:rPr>
          <w:rFonts w:ascii="Times New Roman" w:cs="Times New Roman" w:eastAsia="Times New Roman" w:hAnsi="Times New Roman"/>
          <w:sz w:val="18"/>
          <w:szCs w:val="18"/>
          <w:color w:val="231F20"/>
        </w:rPr>
        <w:t>, 14 F.4</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xml:space="preserve"> 1299 (11</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xml:space="preserve"> Cir. 2021) case, in a January 2023 notice, the FDA clarified that while the agency complies with the court’s order in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the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order – that is, the scope of the orphan-drug exclusivity is limited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The applicable exclusivity period for an orphan drug is ten years in the EU. The EU orphan exclusivity period can be reduced to six years if a drug no longer meets the criteria for orphan drug designation or if the drug is sufficiently profitable so that market exclusivity is no longer justified.</w:t>
      </w:r>
    </w:p>
    <w:p>
      <w:pPr>
        <w:spacing w:after="0" w:line="8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Under the Rare Pediatric Disease Priority Review Voucher program, a sponsor who receives an approval for a drug or biological product for a rare pediatric disease may qualify for a voucher that can be redeemed to receive priority review for a different product. The sponsor may also transfer or sell the voucher to another sponsor. FDA</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86"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awards rare pediatric disease priority review vouchers to sponsors of rare pediatric disease products that are approved and meet certain criteria, including a product candidate intended to treat a manifestation of a serious or life-threatening disease or condition in children aged 0 through 18 years of age. The rare pediatric disease priority review program began to sunset on December 20, 2024. The FDA may now only award a voucher for an approved rare pediatric disease product application if the sponsor has rare pediatric disease designation for a drug and that designation was granted before December 20, 2024.</w:t>
      </w:r>
    </w:p>
    <w:p>
      <w:pPr>
        <w:spacing w:after="0" w:line="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After September 30, 2026, the FDA may not award any rare pediatric disease priority review vouchers. There is no guarantee that any of our product candidates will be approved by that date, or at all. We may not obtain a priority review voucher prior to expiration of the program, unless Congress further reauthorizes the program.</w:t>
      </w:r>
    </w:p>
    <w:p>
      <w:pPr>
        <w:spacing w:after="0" w:line="7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lead product candidates from our gene therapy platform, TN-201 and TN-401, have each been granted orphan drug designation by the FDA and the EC, and we may seek orphan drug designation for other product candidates in the U.S., Europe and other jurisdictions. TN-201 has also received rare pediatric disease designation from the FDA for MYBPC3-associated HCM. We may not be able to maintain orphan drug exclusivity for our product candidates and may not realize all the benefits of the orphan drug designation and the rare pediatric disease designation. Receiving these designations does not change FDA’s standards for regulatory approval of our product candidates and may not lead to faster regulatory review of any product candidate or increase the likelihood that any product candidate will receive marketing approval, if at all. We may seek orphan drug designation for other product candidates in the U.S., Europe and other jurisdictions, however, </w:t>
      </w:r>
      <w:r>
        <w:rPr>
          <w:rFonts w:ascii="Times New Roman" w:cs="Times New Roman" w:eastAsia="Times New Roman" w:hAnsi="Times New Roman"/>
          <w:sz w:val="18"/>
          <w:szCs w:val="18"/>
          <w:color w:val="231F20"/>
        </w:rPr>
        <w:t>there can be no assurances that we will be able to obtain orphan drug designation for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other product candidates</w:t>
      </w:r>
      <w:r>
        <w:rPr>
          <w:rFonts w:ascii="Times New Roman" w:cs="Times New Roman" w:eastAsia="Times New Roman" w:hAnsi="Times New Roman"/>
          <w:sz w:val="18"/>
          <w:szCs w:val="18"/>
          <w:color w:val="000000"/>
        </w:rPr>
        <w:t>.</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We may not be the first to obtain marketing approval of any product candidate for which we have obtained orphan drug designation for the orphan-designated indication, in which case we could be precluded from receiving marketing approval for our product candidate for the applicable exclusivity period.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face difficulties from changes to current FDA and healthcare regulations and future legislation.</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Existing regulatory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86"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231F20"/>
        </w:rPr>
        <w:t>In June 2024, the U.S. Supreme Court overruled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For example, in March 2010,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some of which have been successful, that create considerable uncertainty for our business. Although the U.S. Supreme Court held in 2021 that Texas and other challengers had no legal standing to challenge the ACA, we cannot predict how future challenges will impact our business, or what other healthcare measures and regulations, including those directed at pricing and reimbursement, will ultimately be implemented at the federal or state level or the effect of any future legislation or regulation may have on our business.</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 xml:space="preserve">Under the American Rescue Plan Act of 2021,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The impact of these judicial challenges as well as future judicial challenges in view of the Supreme Court’s overturn of the </w:t>
      </w:r>
      <w:r>
        <w:rPr>
          <w:rFonts w:ascii="Times New Roman" w:cs="Times New Roman" w:eastAsia="Times New Roman" w:hAnsi="Times New Roman"/>
          <w:sz w:val="18"/>
          <w:szCs w:val="18"/>
          <w:i w:val="1"/>
          <w:iCs w:val="1"/>
          <w:color w:val="231F20"/>
        </w:rPr>
        <w:t>Chevron</w:t>
      </w:r>
      <w:r>
        <w:rPr>
          <w:rFonts w:ascii="Times New Roman" w:cs="Times New Roman" w:eastAsia="Times New Roman" w:hAnsi="Times New Roman"/>
          <w:sz w:val="18"/>
          <w:szCs w:val="18"/>
          <w:color w:val="231F20"/>
        </w:rPr>
        <w:t xml:space="preserve"> doctrine, legislative, executive, and administrative actions and any future healthcare measures and agency rules implemented by the Trump administration on us and the pharmaceutical industry as a whole is unclear. Further, changes to the leadership of federal agencies under the new Trump administration, as well as new policies, executive orders and actions, such as a freeze on hiring, return-to-office policy, and a freeze on implementing new regulations and on external communications, may impact normal operations of the FDA and other agencies or result in a material impact on our clinical development plans and timelines. The implementation of cost containment measures, including the prescription drug provisions under the IRA, as well as other healthcare reforms may prevent us from being able to generate revenue, attain profitability, or commercialize our product candidates if approved.</w:t>
      </w:r>
    </w:p>
    <w:p>
      <w:pPr>
        <w:spacing w:after="0" w:line="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9"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 xml:space="preserve">Outside of the U.S., relevant legal requirements continue to evolve. For example, the collection and use of health data and other personal data including personal data collected in clinical trials is governed in the EU by the </w:t>
      </w:r>
      <w:r>
        <w:rPr>
          <w:rFonts w:ascii="Times New Roman" w:cs="Times New Roman" w:eastAsia="Times New Roman" w:hAnsi="Times New Roman"/>
          <w:sz w:val="18"/>
          <w:szCs w:val="18"/>
          <w:color w:val="000000"/>
        </w:rPr>
        <w:t>General Data Protection Regulation (</w:t>
      </w:r>
      <w:r>
        <w:rPr>
          <w:rFonts w:ascii="Times New Roman" w:cs="Times New Roman" w:eastAsia="Times New Roman" w:hAnsi="Times New Roman"/>
          <w:sz w:val="18"/>
          <w:szCs w:val="18"/>
          <w:color w:val="231F20"/>
        </w:rPr>
        <w:t xml:space="preserve">GDPR), which imposes substantial obligations upon companies and new rights for individuals, by certain EU member state-level legislation. </w:t>
      </w:r>
      <w:r>
        <w:rPr>
          <w:rFonts w:ascii="Times New Roman" w:cs="Times New Roman" w:eastAsia="Times New Roman" w:hAnsi="Times New Roman"/>
          <w:sz w:val="18"/>
          <w:szCs w:val="18"/>
          <w:color w:val="000000"/>
        </w:rPr>
        <w:t>The GDPR also forms part of the law of England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Wales, Scotland and Northern Ireland by virtue of section 3 of the European Union (Withdrawal) Act 2018 and as amended by the Data Protection, Privacy and Electronic Communications (Amendments etc.) (EU Exit) Regulations 2019 (SI 2019/419), known as UK GDPR. </w:t>
      </w:r>
      <w:r>
        <w:rPr>
          <w:rFonts w:ascii="Times New Roman" w:cs="Times New Roman" w:eastAsia="Times New Roman" w:hAnsi="Times New Roman"/>
          <w:sz w:val="18"/>
          <w:szCs w:val="18"/>
          <w:color w:val="231F20"/>
        </w:rPr>
        <w:t>Failure to comply with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GDPR or UK GDPR may result in fines up to €20,000,000 </w:t>
      </w:r>
      <w:r>
        <w:rPr>
          <w:rFonts w:ascii="Times New Roman" w:cs="Times New Roman" w:eastAsia="Times New Roman" w:hAnsi="Times New Roman"/>
          <w:sz w:val="18"/>
          <w:szCs w:val="18"/>
          <w:color w:val="000000"/>
        </w:rPr>
        <w:t>(£17.5 million in the UK)</w:t>
      </w:r>
      <w:r>
        <w:rPr>
          <w:rFonts w:ascii="Times New Roman" w:cs="Times New Roman" w:eastAsia="Times New Roman" w:hAnsi="Times New Roman"/>
          <w:sz w:val="18"/>
          <w:szCs w:val="18"/>
          <w:color w:val="231F20"/>
        </w:rPr>
        <w:t xml:space="preserve"> or 4% of the total worldwide annual turnover of the preceding financial year, whichever is higher, and other administrative penalties. The GDPR or UK GDPR have increased our responsibility and liability in relation to personal data that we may process, and we may be required to implement additional measures in an effort to comply with the GDPR and UK GDPR or with other laws, rules, regulations and standards in the EEA, UK and Switzerland relating to privacy and data protection. This may be onerous and if our efforts to comply with GDPR and UK GDPR or other applicable laws, rules, regulations and standards are not successful, or are perceived to be unsuccessful, it could adversely affect our business. Further, restrictions on the transfer of personal data from the EEA, UK, Switzerland or other regions to the U.S.,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to the U.S. </w:t>
      </w:r>
      <w:r>
        <w:rPr>
          <w:rFonts w:ascii="Times New Roman" w:cs="Times New Roman" w:eastAsia="Times New Roman" w:hAnsi="Times New Roman"/>
          <w:sz w:val="18"/>
          <w:szCs w:val="18"/>
          <w:color w:val="000000"/>
        </w:rPr>
        <w:t>In Canada, the Personal Information Protection and Electronic Documents Act (PIPEDA) and similar provincial laws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impose obligations on companies with respect to processing personal information, including health-related information, regarding Canadian data subjects and provides individuals certain rights with respect to such information, including the right to access and challenge the accuracy of their personal information held by an organization. Failure to comply with PIPEDA, where applicable, could result in fines and penalties</w:t>
      </w:r>
      <w:r>
        <w:rPr>
          <w:rFonts w:ascii="Times New Roman" w:cs="Times New Roman" w:eastAsia="Times New Roman" w:hAnsi="Times New Roman"/>
          <w:sz w:val="18"/>
          <w:szCs w:val="18"/>
          <w:color w:val="231F20"/>
        </w:rPr>
        <w:t>.</w:t>
      </w:r>
    </w:p>
    <w:p>
      <w:pPr>
        <w:spacing w:after="0" w:line="8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In the U.S., a variety of data privacy, protection and security laws, rules, regulations and standards potentially may apply to our activities, such as state data breach notification laws, state personal data privacy laws, for example, the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judgments and settlements). Although there are limited exemptions for clinical trial data under the CCPA and certain other state laws, the CCPA and other new and evolving state laws could impact our business activities, depending on their interpretation. Numerous </w:t>
      </w:r>
      <w:r>
        <w:rPr>
          <w:rFonts w:ascii="Times New Roman" w:cs="Times New Roman" w:eastAsia="Times New Roman" w:hAnsi="Times New Roman"/>
          <w:sz w:val="18"/>
          <w:szCs w:val="18"/>
          <w:color w:val="000000"/>
        </w:rPr>
        <w:t>other states have enacted laws relating to privacy and data security that either are in operation or slated to go into operation over the next several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years. In many cases, these laws are comprehensive privacy laws similar to the CCPA, with potentially greater penalties and more rigorous compliance requirements</w:t>
      </w:r>
      <w:r>
        <w:rPr>
          <w:rFonts w:ascii="Times New Roman" w:cs="Times New Roman" w:eastAsia="Times New Roman" w:hAnsi="Times New Roman"/>
          <w:sz w:val="18"/>
          <w:szCs w:val="18"/>
          <w:color w:val="231F20"/>
        </w:rPr>
        <w:t>. States also are enacting laws addressing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specific subject matter, such as Washington’s My Health, My Data Act, which includes a private right of action. Laws in all 50 states may require businesses to provide notice to individuals whose personal data has been disclosed as a result of a data breach. Finally, federal, state and foreign laws, rules, regulations and standards may apply generally to the privacy and security of information we maintain, and may differ from each other significantly, thus complicating compliance efforts and potentially requiring us to undertake additional measures to comply with them.</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With the GDPR, PIPEDA, CCPA,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5"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231F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75" w:lineRule="exact"/>
        <w:rPr>
          <w:sz w:val="20"/>
          <w:szCs w:val="20"/>
          <w:color w:val="auto"/>
        </w:rPr>
      </w:pPr>
    </w:p>
    <w:p>
      <w:pPr>
        <w:ind w:left="1020" w:right="20" w:hanging="503"/>
        <w:spacing w:after="0" w:line="261"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231F20"/>
        </w:rPr>
      </w:pPr>
    </w:p>
    <w:p>
      <w:pPr>
        <w:ind w:left="1020" w:right="180" w:hanging="503"/>
        <w:spacing w:after="0" w:line="261"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231F20"/>
        </w:rPr>
      </w:pPr>
    </w:p>
    <w:p>
      <w:pPr>
        <w:ind w:left="1020" w:right="660" w:hanging="503"/>
        <w:spacing w:after="0" w:line="282"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53" w:lineRule="exact"/>
        <w:rPr>
          <w:rFonts w:ascii="Times New Roman" w:cs="Times New Roman" w:eastAsia="Times New Roman" w:hAnsi="Times New Roman"/>
          <w:sz w:val="18"/>
          <w:szCs w:val="18"/>
          <w:color w:val="231F20"/>
        </w:rPr>
      </w:pPr>
    </w:p>
    <w:p>
      <w:pPr>
        <w:ind w:left="1020" w:right="40" w:hanging="503"/>
        <w:spacing w:after="0" w:line="258"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ind w:left="1020" w:right="120" w:hanging="503"/>
        <w:spacing w:after="0" w:line="261"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HIPAA, as amended by the Health Information Technology for Economic and Clinical Health Act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231F20"/>
        </w:rPr>
      </w:pPr>
    </w:p>
    <w:p>
      <w:pPr>
        <w:ind w:left="1020" w:right="220" w:hanging="503"/>
        <w:spacing w:after="0" w:line="282"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consumer protection and unfair competition laws, which broadly regulate marketplace activities and activities that potentially harm consumers;</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56"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231F20"/>
        </w:rPr>
      </w:pPr>
    </w:p>
    <w:p>
      <w:pPr>
        <w:ind w:left="1020" w:hanging="503"/>
        <w:spacing w:after="0" w:line="254"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231F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9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environmental, health and safety laws and regulations, we could become subject to fines or penalties or incur costs that could have a material adverse effect on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and agents from offering or providing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We sometimes leverage third parties to assist with the conduct of our business abroad. As we increase our international business activities, our risks under these laws may increase. We, our employees and agents may have direct or indirect interactions with officials and employees of government agencies or state-owned or affiliated entities and may be held liable for the corrupt or other illegal activities of these employees and agents even if we do not explicitly authorize such activities.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231F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we cannot assure you that all of our employees and agents will not take actions in violation of applicable law for which we may be ultimately held responsible.</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including, without limitation, China, Mexico and Canada,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tax law could increase the tax burden on our orphan drug programs and adversely affect our business and financial condition.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Changes in tax law, including to the orphan drug tax credit and other changes to U.S. and non-U.S. taxation, could increase our tax liability and adversely affect our operating results. For example, starting from January 1, 2022, the Tax Cuts and Jobs Act of 2017 requires taxpayers to capitalize domestic research and development costs in the year incurred and amortize such costs rather than deduct such costs in the year incurred. When and if we become profitable, these changes may cause us to pay federal income taxes earlier under the revised tax law than under the prior law and may increase our total federal tax liability attributable to orphan drug programs and other research and development. In addition, the Inflation Reduction Act of 2022 imposes a 1% excise tax on certain repurchases of stock made on or after January 1, 2023. These changes could increase our total federal tax liability when and if we become profitable.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Employee Matters, Managing Our Growth and Other 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success is highly dependent on our ability to attract and retain highly skilled executive officers and employees.</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231F20"/>
        </w:rPr>
        <w:t>We are highly dependent on the principal members of our management, our scientific founders and other scientific and clinical advisors and consultants, and our scientific and medical staff. If we do not succeed in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8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231F20"/>
        </w:rPr>
        <w:t>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5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18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 order to successfully implement our long-term plans and strategies, we will need to grow the size of our organization, and we may experience difficulties in managing this growth.</w:t>
      </w:r>
    </w:p>
    <w:p>
      <w:pPr>
        <w:spacing w:after="0" w:line="5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231F20"/>
        </w:rPr>
        <w:t>In order to successfully implement our development and commercialization plans and strategies, we expect to need additional managerial, operational, sales, marketing, financial and other personnel in the future.</w:t>
      </w:r>
    </w:p>
    <w:p>
      <w:pPr>
        <w:spacing w:after="0" w:line="5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8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231F20"/>
        </w:rPr>
        <w:t>If, subject to the successful clinical development of our product candidates,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172"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or personal data, which could result in additional costs, loss of revenue, significant liabilities, harm to our brand and material disruption of our operations.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part of our business, we and our CROs, manufacturers, contractors (including sites performing our clinical trials), consultants and other third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collect, maintain and transmit sensitive data on our networks and systems, including our intellectual property and proprietary and 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color w:val="231F20"/>
        </w:rPr>
        <w:t>usiness information (such as research data and personal information). Despite the implementation of security measures in an effort to protect systems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store our information, given their size and complexity and the increasing amounts of information maintained on our internal information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systems, and those of our third-party CROs, manufacturers, contractors (including sites performing our clinical trials), consultants and other third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such systems are vulnerable to breakdown or other damage or interruption from, among other things, inadvertent or intentional actions by our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contractors, consultants, business partners, and other third parties and cyber-attacks and other hacking attempts by malicious third parties, which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disrupt or compromise our system infrastructure or lead to the loss, destruction, alteration, prevention of access to, disclosure, dissemination of, or damage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or unauthorized access to, our data or other data that we process or maintain or that is processed or maintained on our behalf, or other assets. Although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have not observed material impacts of cyber-attacks on our operations and financial condition </w:t>
      </w:r>
      <w:r>
        <w:rPr>
          <w:rFonts w:ascii="Times New Roman" w:cs="Times New Roman" w:eastAsia="Times New Roman" w:hAnsi="Times New Roman"/>
          <w:sz w:val="18"/>
          <w:szCs w:val="18"/>
          <w:color w:val="000000"/>
        </w:rPr>
        <w:t>to date, we and our third-party service providers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frequently been the target of threats of this nature and we expect these threats and attacks to continue.</w:t>
      </w:r>
    </w:p>
    <w:p>
      <w:pPr>
        <w:spacing w:after="0" w:line="9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231F20"/>
        </w:rPr>
        <w:t>Any disruption or security breach or incident resulting in any loss, destruction, unavailability, alteration, disclosure or dissemination of, or damage or unauthorized access to, our data, or any other data that we maintain or otherwise process or that is maintained or otherwise processed on our behalf, or other assets, or for it to be believed or reported that any of the foregoing occurred, could cause us to incur significant liability, including consequential damages, financial harm and reputational damage and the development and commercialization of our product candidates could be delayed. The loss, corruption, or unavailability of clinical trial data for our product candidates also could result in delays in our marketing approval efforts and significantly increase our costs to recover or reproduce the data. We cannot ensure that our data protection or cybersecurity efforts and our investment in information technology, or the efforts or investments of CROs, consultants or other third parties, will prevent breakdowns in our or their systems or have prevented, or will prevent, security breaches or incidents, including those that cause loss, destruction, unavailability, alteration, dissemination of, or damage or unauthorized access to, our data, including personal data, or other assets or other data processed or maintained on our behalf. Any such breakdowns, breaches, or incidents, and any resulting impacts, could have a material adverse effect upon our reputation, business, operations and financial condition.</w:t>
      </w:r>
    </w:p>
    <w:p>
      <w:pPr>
        <w:spacing w:after="0" w:line="8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231F20"/>
        </w:rPr>
        <w:t>We also rely on third parties to support the development and manufacture of our product candidates, and any security breaches or other incidents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cybersecurity practices is limited. Due to applicable laws, rules, regulations and standards or contractual obligations, we may be held responsible for any cyber-attack, security breach or incident or cybersecurity failure attributed to our third-party service providers as relevant to the information they maintain or otherwise process for us. We maintain limited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breaches and other incidents, and we may face increased costs and requirements to expend substantial resources in the event of an actual or perceived security breach or other incident. However, we cannot guarantee that we will be able to detect or prevent any such breaches or incidents, or that we can identify, remediate or otherwise address any such breaches or incidents in an effective or timely manner. Our efforts to improve security and protect data from compromise may also identify previously undiscovered instances of data breaches or other cybersecurity incidents. Any disruption or security breach or incident resulting in any loss, destruction, or alteration of, or damage, unauthorized access to or inappropriate or unauthorized disclosure, dissemination or other processing of, our data, including personal data, or other information maintained or otherwise processed on our behalf, or any belief or reporting of any of these matters having occurred, could expose us to litigation and governmental investigations and inquiries, could lead to delays in the further development and commercialization of our product candidates, and could result in significant fines or penalties for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any noncompliance with certain state, federal and international privacy and security laws, rules, regulations and standards.</w:t>
      </w:r>
    </w:p>
    <w:p>
      <w:pPr>
        <w:spacing w:after="0" w:line="22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operations are vulnerable to interruption by fire, earthquakes, power loss, telecommunications failure, terrorist activity, pandemics and other events beyond our control, which could harm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18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 variety of risks associated with development and marketing our product candidates internationally, subject to regulatory approval in applicable jurisdictions, could materially adversely affect our business.</w:t>
      </w:r>
    </w:p>
    <w:p>
      <w:pPr>
        <w:spacing w:after="0" w:line="5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231F20"/>
        </w:rPr>
        <w:t>We may seek regulatory approval of our product candidates outside of the U.S. and/or work with contractors or partners in foreign jurisdictions, and we expect that we will be subject to additional risks and requirements related to our operations in foreign countries, including:</w:t>
      </w:r>
    </w:p>
    <w:p>
      <w:pPr>
        <w:spacing w:after="0" w:line="5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differing regulatory requirements and reimbursement regimes;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taxes, including withholding of payroll taxes;</w:t>
      </w:r>
    </w:p>
    <w:p>
      <w:pPr>
        <w:spacing w:after="0" w:line="117" w:lineRule="exact"/>
        <w:rPr>
          <w:rFonts w:ascii="Times New Roman" w:cs="Times New Roman" w:eastAsia="Times New Roman" w:hAnsi="Times New Roman"/>
          <w:sz w:val="18"/>
          <w:szCs w:val="18"/>
          <w:color w:val="231F20"/>
        </w:rPr>
      </w:pPr>
    </w:p>
    <w:p>
      <w:pPr>
        <w:ind w:left="1020" w:right="400" w:hanging="503"/>
        <w:spacing w:after="0" w:line="282"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staffing and managing foreign operations;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liability under the FCPA or comparable foreign regulations;</w:t>
      </w:r>
    </w:p>
    <w:p>
      <w:pPr>
        <w:spacing w:after="0" w:line="117" w:lineRule="exact"/>
        <w:rPr>
          <w:rFonts w:ascii="Times New Roman" w:cs="Times New Roman" w:eastAsia="Times New Roman" w:hAnsi="Times New Roman"/>
          <w:sz w:val="18"/>
          <w:szCs w:val="18"/>
          <w:color w:val="231F20"/>
        </w:rPr>
      </w:pPr>
    </w:p>
    <w:p>
      <w:pPr>
        <w:ind w:left="1020" w:right="280" w:hanging="503"/>
        <w:spacing w:after="0" w:line="282"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challenges obtaining, maintaining, protecting, defending and enforcing our contractual and intellectual property rights, especially in those foreign countries that do not respect and protect intellectual property rights to the same extent as the U.S.;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business interruptions resulting from geo-political actions, including war and terrorism.</w:t>
      </w:r>
    </w:p>
    <w:p>
      <w:pPr>
        <w:spacing w:after="0" w:line="117"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231F20"/>
        </w:rPr>
        <w:t>These and other risks associated with our international operations may materially adversely affect our ability to attain or maintain profitable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1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obtain, maintain, protect, defend and enforce patent and other intellectual property coverage for our technology and product candidates, our competitors could develop and commercialize technology and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product candidates similar or identical to ours, and our ability to commercialize our technology and product candidates may be adversely affected.</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We rely on patent, copyright, trade secret and trademark laws in the U.S. and certain other countries to protect our 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Pending patent applications cannot be enforced until issued, and then only to the extent the issued claims cover the product candidate or relevant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spacing w:after="0" w:line="68" w:lineRule="exact"/>
        <w:rPr>
          <w:sz w:val="20"/>
          <w:szCs w:val="20"/>
          <w:color w:val="auto"/>
        </w:rPr>
      </w:pPr>
    </w:p>
    <w:p>
      <w:pPr>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United States Patent and Trademark Office (</w:t>
      </w:r>
      <w:r>
        <w:rPr>
          <w:rFonts w:ascii="Times New Roman" w:cs="Times New Roman" w:eastAsia="Times New Roman" w:hAnsi="Times New Roman"/>
          <w:sz w:val="18"/>
          <w:szCs w:val="18"/>
          <w:color w:val="231F20"/>
        </w:rPr>
        <w:t>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 applications may not result in any patents being issued;</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patents may be challenged, invalidated, modified, revoked, circumvented, found to be unenforceable, narrowed in scope or otherwise may not provide any competitive advantage;</w:t>
      </w:r>
    </w:p>
    <w:p>
      <w:pPr>
        <w:spacing w:after="0" w:line="53" w:lineRule="exact"/>
        <w:rPr>
          <w:rFonts w:ascii="Times New Roman" w:cs="Times New Roman" w:eastAsia="Times New Roman" w:hAnsi="Times New Roman"/>
          <w:sz w:val="18"/>
          <w:szCs w:val="18"/>
          <w:color w:val="231F20"/>
        </w:rPr>
      </w:pPr>
    </w:p>
    <w:p>
      <w:pPr>
        <w:jc w:val="both"/>
        <w:ind w:left="1020" w:right="280" w:hanging="503"/>
        <w:spacing w:after="0" w:line="266"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67"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231F20"/>
        </w:rPr>
      </w:pPr>
    </w:p>
    <w:p>
      <w:pPr>
        <w:ind w:left="1020" w:right="300" w:hanging="503"/>
        <w:spacing w:after="0" w:line="266"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231F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spacing w:after="0" w:line="7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spacing w:after="0" w:line="81"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231F20"/>
        </w:rPr>
        <w:t>The issuance of a patent is not conclusive as to its inventorship, scope, validity or enforceability, and the inventorship, scope, validity or enforceability of our patents, potential future patents or the patents of our licensors that may be challenged in the courts or patent offices in the U.S. and abroad. For example, we may be subject to a third-party pre-issuance submission of prior art, post-grant review or inter partes review at the USPTO, or other similar proceedings including, opposition, derivation, revocation or reexamination proceedings in the U.S. or abroad. 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patents, potential future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patents, potential future patents and patent applications or the patents and patent applications of our licensors is threatened,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regardless of the outcome, it could dissuade companies from collaborating with us to license, develop or commercialize our product candidates.</w:t>
      </w:r>
    </w:p>
    <w:p>
      <w:pPr>
        <w:spacing w:after="0" w:line="22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commercial success depends significantly on our ability to operate without infringing, misappropriating or otherwise violating the patents and other intellectual property and proprietary rights of third parties.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research, development and commercialization activities may be subject to claims that we infringe, misappropriate or otherwise violate patents or other intellectual property rights of others. Additionally,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 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86"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231F20"/>
        </w:rPr>
        <w:t>As the biotechnology industry expands and more patents are issued, the risk increases that our product candidates may be subject to claims of infringement, misappropriation or other violation of the patent or other intellectual property rights of third parties.</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 Generative artificial intelligence (AI) resources that are publicly available also present a risk that a company may inadvertently obtain, incorporate or use a third party’s intellectual property.</w:t>
      </w:r>
    </w:p>
    <w:p>
      <w:pPr>
        <w:spacing w:after="0" w:line="8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231F20"/>
        </w:rPr>
        <w:t>Third parties may assert patent infringement claims against us directed at any of our product candidates based on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r>
        <w:rPr>
          <w:rFonts w:ascii="Times New Roman" w:cs="Times New Roman" w:eastAsia="Times New Roman" w:hAnsi="Times New Roman"/>
          <w:sz w:val="18"/>
          <w:szCs w:val="18"/>
          <w:color w:val="231F20"/>
        </w:rPr>
        <w:t>.</w:t>
      </w:r>
    </w:p>
    <w:p>
      <w:pPr>
        <w:spacing w:after="0" w:line="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successful in obtaining or maintaining necessary rights to our product candidates through acquisitions and in-licenses.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231F20"/>
        </w:rPr>
        <w:t>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6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U.S. patent law, or laws in other countries, could diminish the value of patents in general, thereby impairing our ability to protect our product candidates.</w:t>
      </w:r>
    </w:p>
    <w:p>
      <w:pPr>
        <w:spacing w:after="0" w:line="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231F20"/>
        </w:rPr>
        <w:t>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potential future patents or in third-party patents.</w:t>
      </w:r>
    </w:p>
    <w:p>
      <w:pPr>
        <w:spacing w:after="0" w:line="6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231F20"/>
        </w:rPr>
        <w:t>In addition, the U.S. Congress or other foreign legislative bodies may pass patent reform legislation that is unfavorable to us. Patent reform</w:t>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231F20"/>
        </w:rPr>
        <w:t>legislation could increase the uncertainties and costs surrounding the prosecution of patent applications and the enforcement or defense of issued patents.</w:t>
      </w:r>
    </w:p>
    <w:p>
      <w:pPr>
        <w:spacing w:after="0" w:line="11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w:t>
      </w:r>
      <w:r>
        <w:rPr>
          <w:rFonts w:ascii="Times New Roman" w:cs="Times New Roman" w:eastAsia="Times New Roman" w:hAnsi="Times New Roman"/>
          <w:sz w:val="18"/>
          <w:szCs w:val="18"/>
          <w:color w:val="000000"/>
        </w:rPr>
        <w:t>For example, the U.S. Supreme Court held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Amgen v. Sanofi (2023) that a functionally claimed genus was invalid for failing to comply with the enablement requirement of the Patent Act. In addition, the U.S. Court of Appeals for the Federal Circuit recently issued a decision involving the interaction of a patent term adjustment, terminal disclaimers, and obvious-type double patenting. This combination of events has created uncertainty with respect to the validity and enforceability of patents, once obtained. </w:t>
      </w:r>
      <w:r>
        <w:rPr>
          <w:rFonts w:ascii="Times New Roman" w:cs="Times New Roman" w:eastAsia="Times New Roman" w:hAnsi="Times New Roman"/>
          <w:sz w:val="18"/>
          <w:szCs w:val="18"/>
          <w:color w:val="231F20"/>
        </w:rPr>
        <w:t xml:space="preserve">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w:t>
      </w:r>
      <w:r>
        <w:rPr>
          <w:rFonts w:ascii="Times New Roman" w:cs="Times New Roman" w:eastAsia="Times New Roman" w:hAnsi="Times New Roman"/>
          <w:sz w:val="18"/>
          <w:szCs w:val="18"/>
          <w:color w:val="000000"/>
        </w:rPr>
        <w:t xml:space="preserve">For example, the IRA passed by Congress authorizes the Secretary of the Department of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whether it will affect our patent strategy in the long run. </w:t>
      </w:r>
      <w:r>
        <w:rPr>
          <w:rFonts w:ascii="Times New Roman" w:cs="Times New Roman" w:eastAsia="Times New Roman" w:hAnsi="Times New Roman"/>
          <w:sz w:val="18"/>
          <w:szCs w:val="18"/>
          <w:color w:val="231F20"/>
        </w:rPr>
        <w:t>The laws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regulations governing patents could change in unpredictable ways that would weaken our ability to obtain new patents or to enforce our existing patent and the patents we might obtain or license in the future.</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challenging the inventorship or ownership of our owned patents, patent applications or in-licensed patent rights and other intellectual property.</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We or our licensors may be subject to claims that former employees or other third parties have an ownership interest in our owned patents,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patents,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distraction to management and other employees, and any litigation or the threat of litigation may adversely impact our reputation or affect our ability to hire employees or contract with independent contractors.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terms may be inadequate to protect our competitive position on our product candidates for an adequate amount of time.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do not obtain patent term extension for our product candidates, our business may be materially harmed.</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231F20"/>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w:t>
      </w:r>
    </w:p>
    <w:p>
      <w:pPr>
        <w:spacing w:after="0" w:line="8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8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231F20"/>
        </w:rPr>
        <w:t>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54"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231F20"/>
        </w:rPr>
        <w:t>European patent applications now have the option, upon grant of a patent, of becoming a Unitary Patent which will be subject to the jurisdiction of the Unified Patent Court (UPC). This is a significant change in European patent practice. As the UPC is a relatively new court system, there is limited precedent for the court, increasing the uncertainty of any litigation. As a single court system can invalidate a European patent, we, where applicable, have opted out of the UPC and as such, but for proceedings such as an opposition, each European patent would need to be challenged in each individual country.</w:t>
      </w:r>
    </w:p>
    <w:p>
      <w:pPr>
        <w:spacing w:after="0" w:line="5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spacing w:after="0" w:line="18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Periodic maintenance fees, renewal fees, annuity fees and various other governmental fees on patents and/or patent applications will be due to the USPTO and various foreign patent offices outside of the U.S. at various points over the lifetime of our current,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We intend to use registered or unregistered trademarks or trade names to brand and market ourselves and our products, but we do not yet own a U.S. registered trademark for our corporate name, “Tenaya”.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86"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231F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are unable to protect the confidentiality of our trade secrets, our business and competitive position would be harmed.</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 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that we or our employees, consultants, advisors or contractors have wrongfully used or disclosed alleged confidential information or trade secrets.</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spacing w:after="0" w:line="190"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spacing w:after="0" w:line="6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spacing w:after="0" w:line="7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For example, the intellectual property we licensed from the University of Texas, Southwestern (UTSW) is subject to certain non-commercial rights reserved by UTSW.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8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179"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have in-licensed, and we may develop, acquire or in-license in the future, certain patents, patent applications or other intellectual property generated using U.S. government funding or grants. Pursuant to the Bayh-Dole Act of 1980, the U.S. government has certain rights in inventions developed with government funding. These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w:t>
      </w:r>
    </w:p>
    <w:p>
      <w:pPr>
        <w:spacing w:after="0" w:line="3" w:lineRule="exact"/>
        <w:rPr>
          <w:sz w:val="20"/>
          <w:szCs w:val="20"/>
          <w:color w:val="auto"/>
        </w:rPr>
      </w:pPr>
    </w:p>
    <w:p>
      <w:pPr>
        <w:ind w:firstLine="8"/>
        <w:spacing w:after="0" w:line="251" w:lineRule="auto"/>
        <w:tabs>
          <w:tab w:leader="none" w:pos="255"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government action is necessary to meet public health or safety needs; or (3) government action is necessary to meet requirements for public use under federal regulations (also referred to as march-in rights). If the U.S. government exercises its march-in rights in our current or future intellectual property rights generated using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U.S. This preference for U.S. industry may limit our ability to contract with non-U.S. product manufacturers for products covered by such intellectual property, and may be waived by the federal agency that provided the funding if the owner or assignee of</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Dependence on Third Parties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third parties upon which we rely to conduct our preclinical studies and clinical trials have a significant role in the conduct of such drug development activities and the subsequent collection and analysis of data. These third parties are not our employees, and except for remedies available to us under our agreements with such third parties, we have limited ability to control the amount or timing of resources that any such third party devotes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 development activities, increase costs, and materially impact our ability to meet our desired clinical development timelines.</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spacing w:after="0" w:line="8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produce and maintain certain of our product candidates. This increases the risk that we will not have sufficient quality and quantities of product candidates or such quantities at an acceptable cost, which could delay, prevent or impair our business.</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third-party manufacturer could result in delays in our manufacturing supply chain which could delay or otherwise impact development of our programs and result in increased costs.</w:t>
      </w:r>
    </w:p>
    <w:p>
      <w:pPr>
        <w:spacing w:after="0" w:line="5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231F20"/>
        </w:rPr>
        <w:t>We may be unable to maintain or establish required agreements with third-party manufacturers on acceptable terms. Even if we are able to do so, reliance on third-party manufacturers entails additional risks, including:</w:t>
      </w:r>
    </w:p>
    <w:p>
      <w:pPr>
        <w:spacing w:after="0" w:line="54" w:lineRule="exact"/>
        <w:rPr>
          <w:sz w:val="20"/>
          <w:szCs w:val="20"/>
          <w:color w:val="auto"/>
        </w:rPr>
      </w:pPr>
    </w:p>
    <w:p>
      <w:pPr>
        <w:ind w:left="1020" w:right="300" w:hanging="503"/>
        <w:spacing w:after="0" w:line="266"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termination or nonrenewal of arrangements or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breach by the third-party contractors of our agreements with them;</w:t>
      </w:r>
    </w:p>
    <w:p>
      <w:pPr>
        <w:spacing w:after="0" w:line="117" w:lineRule="exact"/>
        <w:rPr>
          <w:rFonts w:ascii="Times New Roman" w:cs="Times New Roman" w:eastAsia="Times New Roman" w:hAnsi="Times New Roman"/>
          <w:sz w:val="18"/>
          <w:szCs w:val="18"/>
          <w:color w:val="231F20"/>
        </w:rPr>
      </w:pPr>
    </w:p>
    <w:p>
      <w:pPr>
        <w:ind w:left="1020" w:right="60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failure of third-party contractors to manufacture our product candidates according to our specifications or comply with applicable regulatory requirements, including cGMP;</w:t>
      </w:r>
    </w:p>
    <w:p>
      <w:pPr>
        <w:spacing w:after="0" w:line="53" w:lineRule="exact"/>
        <w:rPr>
          <w:rFonts w:ascii="Times New Roman" w:cs="Times New Roman" w:eastAsia="Times New Roman" w:hAnsi="Times New Roman"/>
          <w:sz w:val="18"/>
          <w:szCs w:val="18"/>
          <w:color w:val="231F20"/>
        </w:rPr>
      </w:pPr>
    </w:p>
    <w:p>
      <w:pPr>
        <w:ind w:left="1020" w:right="50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231F20"/>
        </w:rPr>
      </w:pPr>
    </w:p>
    <w:p>
      <w:pPr>
        <w:ind w:left="1020" w:right="4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infringement, misappropriation or other violation of our intellectual property or proprietary information.</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do not have complete control over all aspects of the manufacturing process of our CDMOs and are dependent on these CDMOs for compliance with cGMP regulations for manufacturing API, drug substance and finished drug products. We are in the process of developing our supply chain for certain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8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231F20"/>
        </w:rPr>
        <w:t>Our dependence upon others for the manufacture and ongoing storage and ongoing testing of our product candidates may adversely affect our future profit margins and our ability to commercialize any product candidates that receive marketing approval on a timely and competitive basis.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operating expenses and cash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assumption of additional indebtedness or contingent liabilities;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issuance of our equity securities;</w:t>
      </w:r>
    </w:p>
    <w:p>
      <w:pPr>
        <w:spacing w:after="0" w:line="117" w:lineRule="exact"/>
        <w:rPr>
          <w:rFonts w:ascii="Times New Roman" w:cs="Times New Roman" w:eastAsia="Times New Roman" w:hAnsi="Times New Roman"/>
          <w:sz w:val="18"/>
          <w:szCs w:val="18"/>
          <w:color w:val="231F20"/>
        </w:rPr>
      </w:pPr>
    </w:p>
    <w:p>
      <w:pPr>
        <w:ind w:left="1020" w:right="16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diversion of our management’s attention from our existing programs and initiatives in pursuing such a strategic partnership or acquisition;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unauthorized use or disclosure of our confidential information accessed in connection with partnership activities;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risks and uncertainties associated with the other party to such a transaction, including the prospects of that party and their existing products or product candidates and marketing approvals;</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generate revenue from acquired technology and/or products sufficient to meet our objectives in undertaking the acquisition or even to offset the associated acquisition and maintenance costs;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realize anticipated efficiencies and strategic benefits from such acquisitions or strategic partnerships.</w:t>
      </w:r>
    </w:p>
    <w:p>
      <w:pPr>
        <w:spacing w:after="0" w:line="11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5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spacing w:after="0" w:line="6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regarding our business, the applicable product candidate or technology subject to the collaboration negotiation and the related market potential.</w:t>
      </w:r>
    </w:p>
    <w:p>
      <w:pPr>
        <w:spacing w:after="0" w:line="8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31F20"/>
        </w:rPr>
        <w:t>If we are unable to reach a definitive agreement,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capital, which may not be available to us on acceptable terms or at all. If we do not have sufficient funds, we may not be able to further develop our product candidates or bring them to market and generate product revenue.</w:t>
      </w:r>
    </w:p>
    <w:p>
      <w:pPr>
        <w:spacing w:after="0" w:line="5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2" w:lineRule="exact"/>
        <w:rPr>
          <w:sz w:val="20"/>
          <w:szCs w:val="20"/>
          <w:color w:val="auto"/>
        </w:rPr>
      </w:pPr>
    </w:p>
    <w:p>
      <w:pPr>
        <w:ind w:left="1020" w:right="58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relationship may require us to incur non-recurring and other charges, increase our near- and long-term expenditures, issue securities that dilute our existing stockholders, or disrupt our management and business;</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61"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231F20"/>
        </w:rPr>
      </w:pPr>
    </w:p>
    <w:p>
      <w:pPr>
        <w:ind w:left="1020" w:right="46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66"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231F20"/>
        </w:rPr>
      </w:pPr>
    </w:p>
    <w:p>
      <w:pPr>
        <w:ind w:left="1020" w:right="74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 with marketing and distribution rights to multiple products may not commit sufficient resources to the marketing and distribution of our product relative to other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231F20"/>
        </w:rPr>
      </w:pPr>
    </w:p>
    <w:p>
      <w:pPr>
        <w:ind w:left="1020" w:right="80" w:hanging="503"/>
        <w:spacing w:after="0" w:line="261"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71"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231F20"/>
        </w:rPr>
      </w:pPr>
    </w:p>
    <w:p>
      <w:pPr>
        <w:ind w:left="1020" w:right="100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collaborations may be terminated and, if terminated, may result in a need for additional capital to pursue further development or commercialization of the applicable product candidates;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 agreements may not lead to development or commercialization of product candidates in the most efficient manner or at all;</w:t>
      </w:r>
    </w:p>
    <w:p>
      <w:pPr>
        <w:spacing w:after="0" w:line="117" w:lineRule="exact"/>
        <w:rPr>
          <w:rFonts w:ascii="Times New Roman" w:cs="Times New Roman" w:eastAsia="Times New Roman" w:hAnsi="Times New Roman"/>
          <w:sz w:val="18"/>
          <w:szCs w:val="18"/>
          <w:color w:val="231F20"/>
        </w:rPr>
      </w:pPr>
    </w:p>
    <w:p>
      <w:pPr>
        <w:jc w:val="both"/>
        <w:ind w:left="1020" w:right="60" w:hanging="503"/>
        <w:spacing w:after="0" w:line="266"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67"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86" w:lineRule="exact"/>
        <w:rPr>
          <w:sz w:val="20"/>
          <w:szCs w:val="20"/>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collaborator’s sales and marketing activities or other operations may not be in compliance with applicable laws resulting in civil or criminal proceedings.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5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231F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There are risks involved with both establishing our own commercial capabilities and entering into arrangements with third parties to perform these services. If the commercial launch of a product candidate for which we recruit a sales force and establish marketing and other commercialization capabilities is delayed or does not occur, we would have prematurely or unnecessarily incurred these commercialization expenses. This may be costly, and our investment would be lost if we cannot retain or reposition our commercialization personnel.</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183" w:lineRule="exact"/>
        <w:rPr>
          <w:sz w:val="20"/>
          <w:szCs w:val="20"/>
          <w:color w:val="auto"/>
        </w:rPr>
      </w:pPr>
    </w:p>
    <w:p>
      <w:pPr>
        <w:ind w:right="5120"/>
        <w:spacing w:after="0" w:line="378" w:lineRule="auto"/>
        <w:rPr>
          <w:sz w:val="20"/>
          <w:szCs w:val="20"/>
          <w:color w:val="auto"/>
        </w:rPr>
      </w:pPr>
      <w:r>
        <w:rPr>
          <w:rFonts w:ascii="Times New Roman" w:cs="Times New Roman" w:eastAsia="Times New Roman" w:hAnsi="Times New Roman"/>
          <w:sz w:val="18"/>
          <w:szCs w:val="18"/>
          <w:b w:val="1"/>
          <w:bCs w:val="1"/>
          <w:color w:val="231F20"/>
        </w:rPr>
        <w:t xml:space="preserve">Risks Related to the Securities Market and Ownership of Our Common Stock </w:t>
      </w:r>
      <w:r>
        <w:rPr>
          <w:rFonts w:ascii="Times New Roman" w:cs="Times New Roman" w:eastAsia="Times New Roman" w:hAnsi="Times New Roman"/>
          <w:sz w:val="18"/>
          <w:szCs w:val="18"/>
          <w:b w:val="1"/>
          <w:bCs w:val="1"/>
          <w:i w:val="1"/>
          <w:iCs w:val="1"/>
          <w:color w:val="231F20"/>
        </w:rPr>
        <w:t>The price of our stock is volatile, and you could lose all or part of your investment.</w:t>
      </w:r>
    </w:p>
    <w:p>
      <w:pPr>
        <w:ind w:right="240" w:firstLine="509"/>
        <w:spacing w:after="0" w:line="258" w:lineRule="auto"/>
        <w:rPr>
          <w:sz w:val="20"/>
          <w:szCs w:val="20"/>
          <w:color w:val="auto"/>
        </w:rPr>
      </w:pPr>
      <w:r>
        <w:rPr>
          <w:rFonts w:ascii="Times New Roman" w:cs="Times New Roman" w:eastAsia="Times New Roman" w:hAnsi="Times New Roman"/>
          <w:sz w:val="18"/>
          <w:szCs w:val="18"/>
          <w:color w:val="231F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75"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achievement of our research, clinical, regulatory and other milestones for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results of preclinical studies and clinical trials of our product candidates, those conducted by third parties or those of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success of competitive products or announcements by potential competitors of their product development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actions with respect to our product candidates or those of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our growth rate relative to our competitors;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86"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or legal developments in the U.S. and other countries;</w:t>
      </w:r>
    </w:p>
    <w:p>
      <w:pPr>
        <w:spacing w:after="0" w:line="117"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litigation, including developments or disputes concerning patent applications, issued patents or other intellectual property or proprietary rights;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recruitment or departure of key personnel;</w:t>
      </w:r>
    </w:p>
    <w:p>
      <w:pPr>
        <w:spacing w:after="0" w:line="117" w:lineRule="exact"/>
        <w:rPr>
          <w:rFonts w:ascii="Times New Roman" w:cs="Times New Roman" w:eastAsia="Times New Roman" w:hAnsi="Times New Roman"/>
          <w:sz w:val="18"/>
          <w:szCs w:val="18"/>
          <w:color w:val="231F20"/>
        </w:rPr>
      </w:pPr>
    </w:p>
    <w:p>
      <w:pPr>
        <w:ind w:left="1020" w:right="700" w:hanging="503"/>
        <w:spacing w:after="0" w:line="282"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estimates as to financial results, development timelines or coverage and/or recommendations by securities analysts;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conditions in the pharmaceutical and biotechnology sector;</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structure of healthcare payment systems;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 or expectation of additional financing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sales of our common stock by us, our insiders or our other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expiration of market stand-off or lock-up agreements;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any natural disasters or public health emergencies, such as the COVID-19 pandemic;</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interest rates and inflation rates;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economic, political, industry and market conditions.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The realization of any of the above risks or any of a broad range of other risks, including those described in this “Risk Factors” section, could have a dramatic and adverse impact on the market price of our common stock.</w:t>
      </w:r>
    </w:p>
    <w:p>
      <w:pPr>
        <w:spacing w:after="0" w:line="15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compliance with the minimum listing requirements, our common stock will be subject to delisting. Our ability to publicly or privately sell equity securities and the liquidity of our common stock could be adversely affected if our common stock is delisted.</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continued listing standards of the Nasdaq Global Select Market (Nasdaq) require, among other things, that the minimum price of a listed company’s stock be at or above $1.00. If the minimum bid price is below $1.00 for a period of more than 30 consecutive trading days, the listed company will fail to be in compliance with Nasdaq’s listing rules and, if it does not regain compliance within the 180-day grace period, will be subject to delisting. If the bid price of our common stock closes below the minimum $1.00 per share requirement and we fail to regain compliance prior to the expiration of the initial 30 consecutive trading days, we would expect to receive a notification of noncompliance from Nasdaq. In accordance with Nasdaq’s listing rules, we would expect to be afforded 180 calendar days to regain compliance with the bid price requirement. In order to regain compliance, the bid price of our common stock must close at a price of at least $1.00 per share for a minimum of 10 consecutive trading days within the 180-day grace period. In the event the Company does not regain compliance by the end of the Compliance Period, the Company may be eligible for additional time to regain compliance (the Second Compliance Period) pursuant to Nasdaq Listing Rule 5810(c)(3)(A)(i) by transferring to the Nasdaq Capital Market. To qualify for the Second Compliance Period, the Company would need to submit a transfer application and pay an application fee. In addition, the Company would be required to meet the continued listing requirement for the market value of its publicly held shares and all other initial listing standards for Nasdaq, with the exception of the bid price requirement, and will need to provide written notice of its intention to cure the deficiency during the Second Compliance Period, by effecting a reverse stock split, if necessary. There can be no assurance that the Company will be eligible for the Second Compliance Period, if applicable, or that the Staff would grant the Company’s request for continued listing subsequent to any delisting notification and there can be no assurance that the Company will be able to regain or maintain compliance with the minimum bid price requirement or any other Nasdaq listing standards, if applicable.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86"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If we fail to regain compliance, our common stock will be subject to delisting.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operating results may fluctuate significantly, which makes our future operating results difficult to predict and could cause our operating results to fall below expectations or our guidance.</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Our quarterly and annual operating results may fluctuate significantly in the future due to a variety of factors, many of which are outside of our control and may be difficult to predict. 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As of December 31, 2024, our executive officers, directors, holders of 5% or more of our capital stock and their respective affiliates beneficially owned approximately 47% of our common stock. These stockholders, acting together, may be able to control matters requiring stockholder approval. For example, they may be able to control elections of directors, amendments of our organizational documents or approval of any merger or other major corporate transactions. This concentration of ownership may delay, discourage or prevent a change of control, including unsolicited acquisition proposals or offers for our common stock that you may feel are in your best interest as a stockholder, entrench our management and board of directors or delay or prevent a merger,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and might affect the prevailing market price for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of a substantial number of shares of our common stock in the public market could cause our stock price to fall.</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Sales of a substantial number of shares of our common stock in the public market could occur at any time. For example, we filed a shelf registration statement on Form S-3 that became effective on August 17, 2022, which allows us to undertake various equity and debt offerings up to $300.0 million (the Shelf Registration), and as of December 31, 2024, we have sold 34,854,373 shares of our common stock and pre-funded warrants to purchase 8,458,964 shares of our common stock pursuant to the Shelf Registration</w:t>
      </w:r>
      <w:r>
        <w:rPr>
          <w:rFonts w:ascii="Times New Roman" w:cs="Times New Roman" w:eastAsia="Times New Roman" w:hAnsi="Times New Roman"/>
          <w:sz w:val="18"/>
          <w:szCs w:val="18"/>
          <w:color w:val="000000"/>
        </w:rPr>
        <w:t>. In addition, on March 5, 2025, we completed an underwritten public offering of 75,000,000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units, with each unit consisting of one share of our common stock, a warrant to purchase one share of common stock, and a warrant to purchase one-half share of common stock, pursuant to the Shelf Registration.</w:t>
      </w:r>
    </w:p>
    <w:p>
      <w:pPr>
        <w:spacing w:after="0" w:line="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Moreover, c</w:t>
      </w:r>
      <w:r>
        <w:rPr>
          <w:rFonts w:ascii="Times New Roman" w:cs="Times New Roman" w:eastAsia="Times New Roman" w:hAnsi="Times New Roman"/>
          <w:sz w:val="18"/>
          <w:szCs w:val="18"/>
          <w:color w:val="000000"/>
        </w:rPr>
        <w:t>ertain holders of our common stock have rights, subject to certain conditions, to require us to file registration statements covering their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these shares are sold, or if it is perceived that they will be sold, in the public market, the trading price of our common stock could decline.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8" w:name="page89"/>
    <w:bookmarkEnd w:id="88"/>
    <w:p>
      <w:pPr>
        <w:spacing w:after="0" w:line="1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67"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231F20"/>
        </w:rPr>
        <w:t>As a public company, we are subject to the reporting requirements of the Exchange Act, the Sarbanes-Oxley Act, the Dodd-Frank Wall Street Reform and Protection Act, as well as rules adopted, and to be adopted, by the SEC and the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In particular, as a public company we are required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subject to securities litigation, which is expensive and could divert management attention.</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The market price of our common stock has been and may continue to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Provisions in our certificate of incorporation and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231F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prevent any attempts by our stockholders to replace or remove our current management by making it more difficult for stockholders to replace members of our board of directors. These provisions, among other things:</w:t>
      </w:r>
    </w:p>
    <w:p>
      <w:pPr>
        <w:spacing w:after="0" w:line="54"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provide that directors may only be removed “for cause”;</w:t>
      </w:r>
    </w:p>
    <w:p>
      <w:pPr>
        <w:spacing w:after="0" w:line="117" w:lineRule="exact"/>
        <w:rPr>
          <w:rFonts w:ascii="Times New Roman" w:cs="Times New Roman" w:eastAsia="Times New Roman" w:hAnsi="Times New Roman"/>
          <w:sz w:val="18"/>
          <w:szCs w:val="18"/>
          <w:color w:val="231F20"/>
        </w:rPr>
      </w:pPr>
    </w:p>
    <w:p>
      <w:pPr>
        <w:ind w:left="1020" w:right="340" w:hanging="503"/>
        <w:spacing w:after="0" w:line="282" w:lineRule="auto"/>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prohibit cumulative voting;</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authorize our board of directors to amend the bylaws;</w:t>
      </w:r>
    </w:p>
    <w:p>
      <w:pPr>
        <w:spacing w:after="0" w:line="117" w:lineRule="exact"/>
        <w:rPr>
          <w:rFonts w:ascii="Times New Roman" w:cs="Times New Roman" w:eastAsia="Times New Roman" w:hAnsi="Times New Roman"/>
          <w:sz w:val="18"/>
          <w:szCs w:val="18"/>
          <w:color w:val="231F20"/>
        </w:rPr>
      </w:pPr>
    </w:p>
    <w:p>
      <w:pPr>
        <w:ind w:left="1020" w:right="800" w:hanging="503"/>
        <w:spacing w:after="0" w:line="282" w:lineRule="auto"/>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advance notice requirements for nominations for election to our board or for proposing matters that can be acted upon by stockholders at annual stockholder meetings;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require a super-majority vote of stockholders to amend or repeal specified provisions of our certificate of incorporation and bylaws.</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5"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derivative action or proceeding brought on our behalf;</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of breach of fiduciary duty;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arising under the DGCL, our certificate of incorporation or our bylaws;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that is governed by the internal-affairs doctrine.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This provision would not apply to suits brought to enforce a duty or liability created by the Exchange Act or any other claim for which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federal courts have exclusive jurisdiction.</w:t>
      </w:r>
    </w:p>
    <w:p>
      <w:pPr>
        <w:spacing w:after="0" w:line="9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231F20"/>
        </w:rPr>
        <w:t>Our bylaws further provide that the federal district courts of the United States of America will be the exclusive forum for resolving any complaint asserting a cause of action arising under the Securities Act.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0" w:name="page91"/>
    <w:bookmarkEnd w:id="90"/>
    <w:p>
      <w:pPr>
        <w:spacing w:after="0" w:line="8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have established policies and processes for assessing, identifying, and managing material risk from cybersecurity threats, and have </w:t>
      </w:r>
      <w:r>
        <w:rPr>
          <w:rFonts w:ascii="Times New Roman" w:cs="Times New Roman" w:eastAsia="Times New Roman" w:hAnsi="Times New Roman"/>
          <w:sz w:val="18"/>
          <w:szCs w:val="18"/>
          <w:color w:val="211D1E"/>
        </w:rPr>
        <w:t>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 xml:space="preserve">these processes into our overall risk management systems and processes. In collaboration with our external vendors specializing in cybersecurity management, </w:t>
      </w:r>
      <w:r>
        <w:rPr>
          <w:rFonts w:ascii="Times New Roman" w:cs="Times New Roman" w:eastAsia="Times New Roman" w:hAnsi="Times New Roman"/>
          <w:sz w:val="18"/>
          <w:szCs w:val="18"/>
          <w:color w:val="000000"/>
        </w:rPr>
        <w:t>we r</w:t>
      </w:r>
      <w:r>
        <w:rPr>
          <w:rFonts w:ascii="Times New Roman" w:cs="Times New Roman" w:eastAsia="Times New Roman" w:hAnsi="Times New Roman"/>
          <w:sz w:val="18"/>
          <w:szCs w:val="18"/>
          <w:color w:val="211D1E"/>
        </w:rPr>
        <w:t xml:space="preserve">outinely assess material risks from cybersecurity threats, including </w:t>
      </w:r>
      <w:r>
        <w:rPr>
          <w:rFonts w:ascii="Times New Roman" w:cs="Times New Roman" w:eastAsia="Times New Roman" w:hAnsi="Times New Roman"/>
          <w:sz w:val="18"/>
          <w:szCs w:val="18"/>
          <w:color w:val="000000"/>
        </w:rPr>
        <w:t>any potential unauthorized access to our information systems that</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could result in adverse effects on the confidentiality, integrity, or availability of our information systems or any information residing therein.</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11D1E"/>
        </w:rPr>
        <w:t>We conduct periodic risk assessments to identify cybersecurity threats, as well as assessments of planned material changes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11D1E"/>
        </w:rPr>
        <w:t>Following these risk assessments, we consider whether and how to re-design, implement, and maintain reasonable safeguards to minimize identified risks; reasonably address any identified gaps in existing safeguards; and regularly monitor the effectiveness of our safeguards. In consideration of the size and complexity of our business, we devote significant internal and external resources to manage material risks from cybersecurity threats. We also designate specific personnel, including our Senior Director, Information Technology, to manage the risk assessment and mitigation process and to closely coordinate with our General Counsel on applicable regulatory obligations.</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11D1E"/>
        </w:rPr>
        <w:t>As part of our overall risk management system, we monitor and test our safeguards and train our employees on these safeguards. Personnel at all levels and departments are made aware of our cybersecurity policies through required policy review and trainings at the time of hire and periodically during their employment with us.</w:t>
      </w:r>
    </w:p>
    <w:p>
      <w:pPr>
        <w:spacing w:after="0" w:line="6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211D1E"/>
        </w:rPr>
        <w:t>We engage consultants, auditors, or other third parties in connection with our risk assessment processes. These professionals assist us in the design and implementation of our cybersecurity policies and procedures, as well as to monitor and test our safeguards. In addition, in order to mitigate cybersecurity risks associated with our use of third-party service providers, we require certain third-party service providers to certify that they have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11D1E"/>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entitled “</w:t>
      </w:r>
      <w:r>
        <w:rPr>
          <w:rFonts w:ascii="Times New Roman" w:cs="Times New Roman" w:eastAsia="Times New Roman" w:hAnsi="Times New Roman"/>
          <w:sz w:val="18"/>
          <w:szCs w:val="18"/>
          <w:i w:val="1"/>
          <w:iCs w:val="1"/>
          <w:color w:val="231F20"/>
        </w:rPr>
        <w:t>Our computer systems, or those</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i w:val="1"/>
          <w:iCs w:val="1"/>
          <w:color w:val="231F20"/>
        </w:rPr>
        <w:t>of any of our CROs, manufacturers, contractors, consultants or other third parties or potential future collaborators, may fail or suffer security incidents or data privacy breaches or other unauthorized or improper access to, use of, or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84"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231F20"/>
        </w:rPr>
        <w:t>destruction of our proprietary or confidential data, employee data, or personal data, which could result in additional costs, loss of revenue, significant liabilities, harm to our brand and material disruption of our operations</w:t>
      </w:r>
      <w:r>
        <w:rPr>
          <w:rFonts w:ascii="Times New Roman" w:cs="Times New Roman" w:eastAsia="Times New Roman" w:hAnsi="Times New Roman"/>
          <w:sz w:val="18"/>
          <w:szCs w:val="18"/>
          <w:color w:val="211D1E"/>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One of the key functions of our board of directors (our “Board”) is informed oversight of our risk management process, including risks from cybersecurity threats. Our Board is responsible for monitoring and assessing strategic risk exposure, and our executive officers are responsible for the day-to-day management of the material risks we face. Our Board administers its cybersecurity risk oversight function directly as a whole, as well as through the Audit Committee.</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211D1E"/>
        </w:rPr>
        <w:t>Senior Director, Information Technology, along with the members of our Incident Response Team, which includes our Senior Vice President,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Finance and our General Counsel, are primarily responsible to assess and manage our material risks from cybersecurity threats. Our Incident Response Team is supported by an experienced managed service provider and an incident response provider with extensive global cybersecurity expertise, who each monitor, assess and report threats to us. Additionally, our Senior Director, Information Technology has over twenty years of experience operating in the information technology, security and cybersecurity space. In particular, he has experience with cybersecurity assessment and prevention, incident responses, breach notifications and remediation.</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211D1E"/>
        </w:rPr>
        <w:t>Senior Director, Information Technology oversees our cybersecurity policies and processes, including those described in “Risk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 xml:space="preserve">and Strategy” above and, along with and informed by the Information Technology organization and our Incident Response Team, monitors the prevention, detection, mitigation, and remediation of cybersecurity incidents. </w:t>
      </w:r>
      <w:r>
        <w:rPr>
          <w:rFonts w:ascii="Times New Roman" w:cs="Times New Roman" w:eastAsia="Times New Roman" w:hAnsi="Times New Roman"/>
          <w:sz w:val="18"/>
          <w:szCs w:val="18"/>
          <w:color w:val="000000"/>
        </w:rPr>
        <w:t>Depending on the severity of the security incident, the Incident Response Team will</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 xml:space="preserve">report the security incident to our Audit Committee, including the financial impact of the security incident and any regulatory violations. </w:t>
      </w:r>
      <w:r>
        <w:rPr>
          <w:rFonts w:ascii="Times New Roman" w:cs="Times New Roman" w:eastAsia="Times New Roman" w:hAnsi="Times New Roman"/>
          <w:sz w:val="18"/>
          <w:szCs w:val="18"/>
          <w:color w:val="211D1E"/>
        </w:rPr>
        <w:t>As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1D1E"/>
        </w:rPr>
        <w:t>Information Technology organization monitors the security and effectiveness of our policies and procedures, they also work to keep the Senior Director, Information Technology and other members of leadership informed of critical incidents, process updates, or other material details, in accordance with our internal reporting structure.</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211D1E"/>
        </w:rPr>
        <w:t>Audit Committee receives an annual briefing regarding our company’s cybersecurity risks and activities, including the status of cybersecurity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system development, company-wide cybersecurity training programs, material changes to the cybersecurity system, policies or practices, any recent cybersecurity incidents and related responses, cybersecurity systems testing and engagement of third-party service providers in support of our cybersecurity system. Special meetings may also be called with the Audit Committee to brief the members on any material cybersecurity incidents and related responses thereto. After such briefings, our Audit Committee will provide an update to the Board on such reports. In addition, the Board will receive periodic updates in meeting materials or directly from o</w:t>
      </w:r>
      <w:r>
        <w:rPr>
          <w:rFonts w:ascii="Times New Roman" w:cs="Times New Roman" w:eastAsia="Times New Roman" w:hAnsi="Times New Roman"/>
          <w:sz w:val="18"/>
          <w:szCs w:val="18"/>
          <w:color w:val="000000"/>
        </w:rPr>
        <w:t>ur</w:t>
      </w:r>
      <w:r>
        <w:rPr>
          <w:rFonts w:ascii="Times New Roman" w:cs="Times New Roman" w:eastAsia="Times New Roman" w:hAnsi="Times New Roman"/>
          <w:sz w:val="18"/>
          <w:szCs w:val="18"/>
          <w:color w:val="211D1E"/>
        </w:rPr>
        <w:t xml:space="preserve"> Senior Vice President, Finance on cybersecurity risks and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Our corporate headquarters are in South San Francisco, where we lease a facility containing approximately 32,370 square feet of office and laboratory space located at 171 Oyster Point Blvd., Suite 500, South San Francisco, CA 94080. The lease expires on November 30, 2027, unless earlier terminated in accordance with the lease, and we may renew the lease term for two additional five-year periods.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have a leased space at a facility in Union City containing manufacturing and office space located at 33498 Central Avenue, Union City, CA</w:t>
      </w:r>
    </w:p>
    <w:p>
      <w:pPr>
        <w:spacing w:after="0" w:line="27"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94587. The lease expires in July 2031, unless earlier terminated in accordance with the lease. We may renew the lease term for one additional five-year period.</w:t>
      </w:r>
    </w:p>
    <w:p>
      <w:pPr>
        <w:spacing w:after="0" w:line="73"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these existing facilities are adequate for our current needs and that suitable additional or alternative space will be available in the future on commercially reasonable terms, if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3" w:name="page94"/>
    <w:bookmarkEnd w:id="9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“TNYA”. Public trading of our common stock began on July 30, 2021. Prior to that, there was no public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March 4, 2025, there were 43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anticipate paying cash dividends in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herein by reference to Part III, Item 12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Public Offering of Common Stock</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On August 3, 2021, we completed our initial public offering (IPO) and issued an aggregate of 13,800,000 shares of our common stock (inclusive of 1,800,000 shares pursuant to the underwriters’ overallotment option) at a price of $15.00 per share. We have used all proceeds from our IPO.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included elsewhere in this Annual Report on Form 10-K.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Annual Report on Form 10-K. Please also see the section titled “Special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advancing a deep and diverse pipeline of disease-modifying targeted therapies that includes both gene therapies and small molecules discovered internally and developed using our extensive core capabilities to address rare or highly prevalent forms of heart disease. All of our programs are currently being assessed in clinical trials or are in the preclinical stage; we do not have any products approved for sale and have not generated any revenue to date.</w:t>
      </w:r>
    </w:p>
    <w:p>
      <w:pPr>
        <w:spacing w:after="0" w:line="70" w:lineRule="exact"/>
        <w:rPr>
          <w:sz w:val="20"/>
          <w:szCs w:val="20"/>
          <w:color w:val="auto"/>
        </w:rPr>
      </w:pPr>
    </w:p>
    <w:p>
      <w:pPr>
        <w:ind w:right="40" w:firstLine="509"/>
        <w:spacing w:after="0" w:line="315" w:lineRule="auto"/>
        <w:rPr>
          <w:sz w:val="20"/>
          <w:szCs w:val="20"/>
          <w:color w:val="auto"/>
        </w:rPr>
      </w:pPr>
      <w:r>
        <w:rPr>
          <w:rFonts w:ascii="Times New Roman" w:cs="Times New Roman" w:eastAsia="Times New Roman" w:hAnsi="Times New Roman"/>
          <w:sz w:val="17"/>
          <w:szCs w:val="17"/>
          <w:color w:val="auto"/>
        </w:rPr>
        <w:t xml:space="preserve">Our lead investigational product candidates are TN-201, a gene therapy for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-associated hypertrophic cardiomyopathy (HCM), TN-401, a gene therapy for </w:t>
      </w:r>
      <w:r>
        <w:rPr>
          <w:rFonts w:ascii="Times New Roman" w:cs="Times New Roman" w:eastAsia="Times New Roman" w:hAnsi="Times New Roman"/>
          <w:sz w:val="17"/>
          <w:szCs w:val="17"/>
          <w:i w:val="1"/>
          <w:iCs w:val="1"/>
          <w:color w:val="auto"/>
        </w:rPr>
        <w:t>PKP2</w:t>
      </w:r>
      <w:r>
        <w:rPr>
          <w:rFonts w:ascii="Times New Roman" w:cs="Times New Roman" w:eastAsia="Times New Roman" w:hAnsi="Times New Roman"/>
          <w:sz w:val="17"/>
          <w:szCs w:val="17"/>
          <w:color w:val="auto"/>
        </w:rPr>
        <w:t>-associated arrhythmogenic right ventricular cardiomyopathy (ARVC), and TN-301, a small molecule for heart failure with HFpEF.</w:t>
      </w:r>
    </w:p>
    <w:p>
      <w:pPr>
        <w:spacing w:after="0" w:line="27"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TN-201 is our potential first-in-class and best-in-class gene therapy for adults and children with HCM due to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These mutations result in a deficiency of myosin binding protein,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TN-201 utilizes a recombinant adeno-associated virus serotype 9 (AAV9) capsid and is designed to deliver a working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to specific cells of the heart in order to produce cardiac myosin binding protein and thereby potentially slow or even reverse the course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following a single infusion.</w:t>
      </w:r>
    </w:p>
    <w:p>
      <w:pPr>
        <w:spacing w:after="0" w:line="83" w:lineRule="exact"/>
        <w:rPr>
          <w:sz w:val="20"/>
          <w:szCs w:val="20"/>
          <w:color w:val="auto"/>
        </w:rPr>
      </w:pPr>
    </w:p>
    <w:p>
      <w:pPr>
        <w:ind w:firstLine="509"/>
        <w:spacing w:after="0" w:line="223" w:lineRule="auto"/>
        <w:rPr>
          <w:sz w:val="20"/>
          <w:szCs w:val="20"/>
          <w:color w:val="auto"/>
        </w:rPr>
      </w:pPr>
      <w:r>
        <w:rPr>
          <w:rFonts w:ascii="Times New Roman" w:cs="Times New Roman" w:eastAsia="Times New Roman" w:hAnsi="Times New Roman"/>
          <w:sz w:val="18"/>
          <w:szCs w:val="18"/>
          <w:color w:val="auto"/>
        </w:rPr>
        <w:t>MyPEAK</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-1 is our Phase 1b/2 multi-center, open-label clinical trial, designed to assess the safety, tolerability and efficacy of a one-time intravenous infusion of TN-201. We have completed Cohort 1 dosing at the 3x10</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8"/>
          <w:szCs w:val="18"/>
          <w:color w:val="auto"/>
        </w:rPr>
        <w:t xml:space="preserve"> vg/kg dose in the MyPEAK-1 trial with no unexpected events or toxicities associated with TN-201 observed. Following review of safety data from the first three MyPEAK-1 patients by an independent DSMB, the DSMB recommended that we proceed with the planned escalation to the 6x10</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8"/>
          <w:szCs w:val="18"/>
          <w:color w:val="auto"/>
        </w:rPr>
        <w:t xml:space="preserve"> vg/kg dose, per protocol. We have dosed two patients in the sentinel phase of Cohort 2 at the 6x10</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8"/>
          <w:szCs w:val="18"/>
          <w:color w:val="auto"/>
        </w:rPr>
        <w:t xml:space="preserve"> vg/kg dose and anticipate completing enrollment of Cohort 2 in the first half of 2025.</w:t>
      </w:r>
    </w:p>
    <w:p>
      <w:pPr>
        <w:spacing w:after="0" w:line="17" w:lineRule="exact"/>
        <w:rPr>
          <w:sz w:val="20"/>
          <w:szCs w:val="20"/>
          <w:color w:val="auto"/>
        </w:rPr>
      </w:pPr>
    </w:p>
    <w:p>
      <w:pPr>
        <w:jc w:val="both"/>
        <w:ind w:right="40" w:firstLine="509"/>
        <w:spacing w:after="0" w:line="248" w:lineRule="auto"/>
        <w:rPr>
          <w:sz w:val="20"/>
          <w:szCs w:val="20"/>
          <w:color w:val="auto"/>
        </w:rPr>
      </w:pPr>
      <w:r>
        <w:rPr>
          <w:rFonts w:ascii="Times New Roman" w:cs="Times New Roman" w:eastAsia="Times New Roman" w:hAnsi="Times New Roman"/>
          <w:sz w:val="18"/>
          <w:szCs w:val="18"/>
          <w:color w:val="auto"/>
        </w:rPr>
        <w:t>In December 2024, we announced early but encouraging initial interim safety and biopsy data from Cohort 1 of MyPEAK-1. TN-201 administered at the starting dose of 3×10</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color w:val="auto"/>
        </w:rPr>
        <w:t xml:space="preserve"> vg/kg was generally well-tolerated among the first three patients enrolled in the clinical trial. Among the first two patients for whom Week 8 biopsy results were available, TN-201 achieved readily detectable vector DNA in the heart and evidence of transgene RNA expression.</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Serial biopsies at Week 8 and Week 52 for Patient 1 demonstrated increasing TN-201 mRNA and MyBP-C protein levels over time. Circulating biomarkers of cardiac muscle strain and injury remained largely stable, and certain clinical markers of disease showed stability or directional improvement in the first two individuals dosed, while other measures were not yet available, interpretable or were mixed. We plan to present additional follow-up data from Cohort 1 during the first half of 2025 and initial Cohort 2 data, along with an update on Cohort 1 patients, in the second half of 2025.</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To support our development efforts for TN-201 we are conducting two noninterventional studies: a study evaluating seroprevalence to AAV9 antibodies among adults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and MyClimb, a prospective and retrospective global natural history study focused on pediatric patients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mutation-associated cardiomyopathy. The seroprevalence study has completed enrollment. Initial data from the study indicated that antibodies to AAV9 in the majority of participants were below the eligibility threshold that would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5" w:name="page96"/>
    <w:bookmarkEnd w:id="95"/>
    <w:p>
      <w:pPr>
        <w:spacing w:after="0" w:line="8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allow for participation in MyPEAK-1. The MyClimb natural history study is following patient medical history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We plan to present data from MyClimb in the second half of 2025. In July 2024, we received rare pediatric disease designation from the FDA for TN-201 in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TN-201 has also been granted orphan drug designation from the FDA, orphan medicinal product designation from the European Commission (EC), and Fast Track Designation from the FDA.</w:t>
      </w:r>
    </w:p>
    <w:p>
      <w:pPr>
        <w:spacing w:after="0" w:line="7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TN-401 is our potential best-in-class AAV9-based gene therapy for the treatment of ARVC due to disease-causing variants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ARVC, also known as arrhythmogenic cardiomyopathy, or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are the most common genetic cause of ARVC and result in insufficient expression of a protein needed for proper functioning of the desmosomal complex that maintains physical connections and electrical signaling between heart muscle cells. TN-401 utilizes a recombinant AAV9 capsid and is designed to deliver a working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specific cells of the heart in order to produce plakophilin protein and thereby potentially slow or even reverse the course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following a single infusion.</w:t>
      </w:r>
    </w:p>
    <w:p>
      <w:pPr>
        <w:spacing w:after="0" w:line="86" w:lineRule="exact"/>
        <w:rPr>
          <w:sz w:val="20"/>
          <w:szCs w:val="20"/>
          <w:color w:val="auto"/>
        </w:rPr>
      </w:pPr>
    </w:p>
    <w:p>
      <w:pPr>
        <w:ind w:right="20" w:firstLine="509"/>
        <w:spacing w:after="0" w:line="237" w:lineRule="auto"/>
        <w:rPr>
          <w:sz w:val="20"/>
          <w:szCs w:val="20"/>
          <w:color w:val="auto"/>
        </w:rPr>
      </w:pPr>
      <w:r>
        <w:rPr>
          <w:rFonts w:ascii="Times New Roman" w:cs="Times New Roman" w:eastAsia="Times New Roman" w:hAnsi="Times New Roman"/>
          <w:sz w:val="18"/>
          <w:szCs w:val="18"/>
          <w:color w:val="auto"/>
        </w:rPr>
        <w:t>We have dosed two patients in RIDGE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-1, our Phase 1b multi-center, open-label clinical trial, designed to assess the safety, tolerability and efficacy of a one-time intravenous infusion of TN-401. We have activated multiple clinical trial sites at leading cardiology centers in the U.S. with ARVC expertise and intend to expand enrollment of RIDGE-1 to the United Kingdom following receipt of approval from the United Kingdom Medicines and Healthcare Products Regulatory Agency (MHRA), Research Ethics Committee and Health Research Authority for our TN-401 Clinical Trial Authorization in 2024. We expect to complete enrollment of the first cohort of patients at the 3×10</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color w:val="auto"/>
        </w:rPr>
        <w:t xml:space="preserve"> vg/kg in the first half of 2025. An independent safety review will then inform plans for dose escalation to 6×10</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color w:val="auto"/>
        </w:rPr>
        <w:t xml:space="preserve"> vg/kg, as needed, and/or enrollment of additional patients in the first cohort. Initial clinical data from the first cohort of patients is expected in the second half of 2025. In February 2025, we were awarded a Clinical Grant (Clin2) of $8.0 million from the CIRM. Proceeds from the grant will help fund clinical trial costs for our ongoing Phase 1b RIDGE-1 clinical trial of TN-401 gene therapy.</w:t>
      </w:r>
    </w:p>
    <w:p>
      <w:pPr>
        <w:spacing w:after="0" w:line="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support of our development efforts for TN-401, we initiated RIDGE, a global noninterventional study to collect natural history and seroprevalence to AAV9 antibodies data among ARVC patients who carry pathogenic or likely pathogenic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mutations. Initial data from RIDGE indicated that antibodies to AAV9 in a majority of participants were below the eligibility threshold that would allow for participation in RIDGE-1. We plan to present additional data from RIDGE in the first half of 2025. TN-401 has received orphan drug designation from the FDA and orphan medicinal product designation from the EC, as well as Fast Track Designation from the FDA.</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TN-301 is our small molecule inhibitor of HDAC6, initially being developed for the potential treatment of HFpEF. HFpEF is characterized by a stiffening of the heart muscle resulting in an inability for the left ventricle to relax and fill with oxygenated blood sufficient to meet the body’s needs. There are several cellular processes thought to underlie the pathophysiology of HFpEF, including increases in fibrosis and inflammation and defects in metabolism. Although HFpEF accounts for approximately half of all heart failures, there are few proven treatment options.</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In preclinical studies, selective HDAC6 inhibition has been shown to have comparable efficacy to empagliflozin, a sodium-glucose cotransporter-2 (SGLT2) inhibitor which is approved for the treatment of HFpEF and co-administration of our HDAC6 inhibition with a SGLT2 inhibitor in a HFpEF model demonstrated additive benefit. Taken together, these data support continued development of TN-301 as a potential treatment for patients with HFpEF. We believe late-stage clinical development of TN-301 is best suited for development by or with a well-resourced partner</w:t>
      </w:r>
      <w:r>
        <w:rPr>
          <w:rFonts w:ascii="Times New Roman" w:cs="Times New Roman" w:eastAsia="Times New Roman" w:hAnsi="Times New Roman"/>
          <w:sz w:val="18"/>
          <w:szCs w:val="18"/>
          <w:color w:val="333333"/>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line="8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lead product candidates, we have multiple early-stage programs progressing through preclinical development using various therapeutic approaches, including gene addition, gene editing, gene silencing, and cellular regeneration to address other forms of rare and/or prevalent heart disease.</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have established a distinct suite of integrated capabilities, including the use of human-induced pluripotent stem cell-derived cardiomyocyte disease models, machine learning and phenotypic screening, gene editing, AAV capsid engineering and novel promoter constructs, which support our efforts to discover and develop disease-modifying treatments focused on heart disease and continue to build on these proprietary capabilities with the aim of increasing the safety and efficacy of our product candidates and accelerating early-stage discovery and preclinical optimization across modalities.</w:t>
      </w:r>
    </w:p>
    <w:p>
      <w:pPr>
        <w:spacing w:after="0" w:line="7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have also internalized and integrated both current cGMP and non-GMP AAV manufacturing capabilities to support our emerging portfolio of gene therapy and cellular regeneration product candidates. Our GMMC, a cGMP facility, is strategically located near our research labs and Manufacturing Technology Development Center, a non-GMP facility, in the San Francisco Bay Area to enable smooth scale-up of production to support our clinical studies and utilizes a modular, scalable design to produce AAV-based gene therapies under cGMP standards. We utilized our GMMC to produce drug product for our first-in-human clinical trials for both TN-201 and TN-401. Building on our manufacturing capabilities, we have also presented data on manufacturing innovations intended to reduce the overall cost of goods by increasing productivity and scalability.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8"/>
        </w:trPr>
        <w:tc>
          <w:tcPr>
            <w:tcW w:w="4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196"/>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32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86,742</w:t>
            </w:r>
          </w:p>
        </w:tc>
        <w:tc>
          <w:tcPr>
            <w:tcW w:w="28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98,038</w:t>
            </w:r>
          </w:p>
        </w:tc>
        <w:tc>
          <w:tcPr>
            <w:tcW w:w="26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(11,296 )</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29,206</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33,155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(3,949 )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(12%)</w:t>
            </w:r>
          </w:p>
        </w:tc>
      </w:tr>
      <w:tr>
        <w:trPr>
          <w:trHeight w:val="20"/>
        </w:trPr>
        <w:tc>
          <w:tcPr>
            <w:tcW w:w="49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196"/>
        </w:trPr>
        <w:tc>
          <w:tcPr>
            <w:tcW w:w="4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115,948</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131,193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(15,245 )</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r>
      <w:tr>
        <w:trPr>
          <w:trHeight w:val="20"/>
        </w:trPr>
        <w:tc>
          <w:tcPr>
            <w:tcW w:w="4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19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(115,948 )</w:t>
            </w:r>
          </w:p>
        </w:tc>
        <w:tc>
          <w:tcPr>
            <w:tcW w:w="4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(131,193 )</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15,245</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(2,319 )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55%</w:t>
            </w:r>
          </w:p>
        </w:tc>
      </w:tr>
      <w:tr>
        <w:trPr>
          <w:trHeight w:val="196"/>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other income, net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(2,290 )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(32%)</w:t>
            </w:r>
          </w:p>
        </w:tc>
      </w:tr>
      <w:tr>
        <w:trPr>
          <w:trHeight w:val="20"/>
        </w:trPr>
        <w:tc>
          <w:tcPr>
            <w:tcW w:w="49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196"/>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(111,129 )</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(124,084 )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12,955</w:t>
            </w:r>
          </w:p>
        </w:tc>
        <w:tc>
          <w:tcPr>
            <w:tcW w:w="2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4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-959485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-959485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-959485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-162560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-162560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-162560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Research and development expenses relate primarily to discovery and development of our research programs,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contract research organizations to execute preclinical studies and clinical trials on our behalf, and consulting fees. We do not allocate our costs by research program, product candidate or proprietary platform technology, as a significant amount of research and development expenses represent internal costs, which are deployed across our programs, product candidates, proprietary platform technology, and other activities.</w:t>
      </w:r>
    </w:p>
    <w:p>
      <w:pPr>
        <w:spacing w:after="0" w:line="8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Costs of certain research and development activities are recognized based on estimates from a number of factors, including an evaluation of the progress of the activities, as well as input from external service providers.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8"/>
        </w:trPr>
        <w:tc>
          <w:tcPr>
            <w:tcW w:w="4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196"/>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60" w:type="dxa"/>
            <w:vAlign w:val="bottom"/>
          </w:tcPr>
          <w:p>
            <w:pPr>
              <w:spacing w:after="0"/>
              <w:rPr>
                <w:sz w:val="17"/>
                <w:szCs w:val="17"/>
                <w:color w:val="auto"/>
              </w:rPr>
            </w:pPr>
          </w:p>
        </w:tc>
        <w:tc>
          <w:tcPr>
            <w:tcW w:w="1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Clinical</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26,024</w:t>
            </w:r>
          </w:p>
        </w:tc>
        <w:tc>
          <w:tcPr>
            <w:tcW w:w="70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23,426</w:t>
            </w:r>
          </w:p>
        </w:tc>
        <w:tc>
          <w:tcPr>
            <w:tcW w:w="5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2,598</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 (pre-commercial)</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23,433</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(6,710 )</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w:t>
            </w:r>
          </w:p>
        </w:tc>
      </w:tr>
      <w:tr>
        <w:trPr>
          <w:trHeight w:val="202"/>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20,858</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26,566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(5,708 )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(21%)</w:t>
            </w: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16,427</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(1,476 )</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4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16"/>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86,742</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98,038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(11,296 )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(12%)</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4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$86.7 million and $98.0 million for the years ended December 31, 2024 and 2023, respectively. The decrease of $11.3 million, or 12%, was primarily due to:</w:t>
      </w:r>
    </w:p>
    <w:p>
      <w:pPr>
        <w:spacing w:after="0" w:line="54" w:lineRule="exact"/>
        <w:rPr>
          <w:sz w:val="20"/>
          <w:szCs w:val="20"/>
          <w:color w:val="auto"/>
        </w:rPr>
      </w:pPr>
    </w:p>
    <w:p>
      <w:pPr>
        <w:ind w:left="1020" w:right="8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$6.7 million in manufacturing costs reflecting lower employee-related costs driven by our workforce reduction plan initiated in May 2024 (the Workforce Reduction), lower costs of supplies and materials and lower facility management fees;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$5.7 million in research costs as there were no IND-enabling activities; partially offset by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$2.6 million in clinical trial related costs for TN-201 and TN-401</w:t>
      </w:r>
    </w:p>
    <w:p>
      <w:pPr>
        <w:spacing w:after="0" w:line="117"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The process of conducting the necessary research to advance through the clinical stages and ultimately obtain 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 The level of our research and development expenses over the next twelve months will be subject to operational decisions made following data generated from our MyPEAK-1 and RIDGE-1 clinical trials.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 related matters.</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$29.2 million and $33.2 million for the years ended December 31, 2024 and 2023, respectively. The decrease of $3.9 million, or 12%, was primarily due to decreases in employee-related costs driven by the Workforce Reduction and lower professional fees.</w:t>
      </w:r>
    </w:p>
    <w:p>
      <w:pPr>
        <w:spacing w:after="0" w:line="54"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will continue to incur legal, accounting, insurance and other expenses in operating our business as a public company, including costs associated with regulatory and compliance activities. As with our research and development, the level of our general and administrative expenses over the next twelve months will be subject to operational decisions made following data generated from our MyPEAK-1 and RIDGE-1 clinical trials.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Interest income primarily consists of interest earned on our cash, cash equivalents and investment balances. Interest income was $4.7 million and $7.1 million for the years ended December 31, 2024 and 2023, respectively. The year-over-year decrease of $2.3 million was primarily due to lower cash, cash equivalents and investment balances.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Net loss for the year ended December 31, 2024, was $111.1 million, compared to a net loss of $124.1 million for the year ended December 31, 2023.</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98" w:name="page99"/>
    <w:bookmarkEnd w:id="9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generated any revenue and we have incurred significant net losses and negative cash flows from operations. From our inception through December 31, 2024, we have funded our operations primarily from the sale and issuance of our equity securities. As of December 31, 2024, we had cash, cash equivalents and investments in marketable securities of $61.4 million and an accumulated deficit of $514.4 million.</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CIRM Grant</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February 2025, we announced we were awarded an $8 million grant from the CIRM to support RIDGE-1, our Phase 1b clinical trial of TN-401 gene therapy for the potential treatment of PKP2-associated ARVC. The award is payable to us upon achievement of milestones to be determined by CIRM in collaboration with us. Additionally, if CIRM determines, in its sole discretion, that we have not complied with the terms and conditions of the grant, CIRM may suspend or permanently cease disbursements. Funds received under this grant may only be used for allowable project costs specifically identified with the CIRM-funded project. Such costs can include, but are not limited to, salary for personnel, itemized supplies, consultants, and itemized clinical study costs. Under the terms of the grant, we will co-fund the research project with CIRM and the amount of our co-funding requirement is predetermined as a part of the award. We expect to begin receiving funds from the grant beginning in the first half of 2025.</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12529"/>
        </w:rPr>
        <w:t xml:space="preserve">On August 6, 2024, we entered into a </w:t>
      </w:r>
      <w:r>
        <w:rPr>
          <w:rFonts w:ascii="Times New Roman" w:cs="Times New Roman" w:eastAsia="Times New Roman" w:hAnsi="Times New Roman"/>
          <w:sz w:val="18"/>
          <w:szCs w:val="18"/>
          <w:color w:val="000000"/>
        </w:rPr>
        <w:t>Loan Agreement with SVB</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 of December 31, 2024, u</w:t>
      </w:r>
      <w:r>
        <w:rPr>
          <w:rFonts w:ascii="Times New Roman" w:cs="Times New Roman" w:eastAsia="Times New Roman" w:hAnsi="Times New Roman"/>
          <w:sz w:val="18"/>
          <w:szCs w:val="18"/>
          <w:color w:val="212529"/>
        </w:rPr>
        <w:t xml:space="preserve">nder the Loan Agreement, we have the right to draw down $22.5 million at our discretion, up to an additional $2.5 million upon the satisfaction of a clinical milestone or </w:t>
      </w:r>
      <w:r>
        <w:rPr>
          <w:rFonts w:ascii="Times New Roman" w:cs="Times New Roman" w:eastAsia="Times New Roman" w:hAnsi="Times New Roman"/>
          <w:sz w:val="18"/>
          <w:szCs w:val="18"/>
          <w:color w:val="000000"/>
        </w:rPr>
        <w:t>the receipt of specified proceeds from</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equity financings and other qualified funding, </w:t>
      </w:r>
      <w:r>
        <w:rPr>
          <w:rFonts w:ascii="Times New Roman" w:cs="Times New Roman" w:eastAsia="Times New Roman" w:hAnsi="Times New Roman"/>
          <w:sz w:val="18"/>
          <w:szCs w:val="18"/>
          <w:color w:val="212529"/>
        </w:rPr>
        <w:t>and up to an additional $20.0 million that may be available at SVB’s discretion, subject to specified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conditions.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On March 5, 2025, we completed an underwritten offering of 75,000,000 units, priced at a public offering price of $0.70 per unit, with each unit consisting of one share of our common stock, a warrant to purchase one share of our common stock at an exercise price of $0.80 per share, which will be immediately exercisable and will expire five years from the date of issuance (a Series A Warrant) and a warrant to purchase one-half of a share of our common stock at an exercise price of $0.70 per share, which will be immediately exercisable and expire on June 30, 2026 (a Series B Warrant), under our registration statement on Form S-3 (File No. 333-266741). We received net proceeds of approximately $48.9 million, after deducting underwriting discounts and commissions of approximately $3.2 million and other offering expenses of approximately $0.5 million.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February 12, 2024, we completed an underwritten offering of 8,888,890 shares of our common stock at a price of $4.50 per share and, to an investor in lieu of common stock, pre-funded warrants to purchase 2,222,271 shares of our common stock at a price of $4.499 per pre-funded warrant under our registration statement on Form S-3 (File No. 333-266741). We received net proceeds of approximately $46.8 million, after deducting underwriting discounts and commissions of approximately $3.0 million and other offering expenses of approximately $0.2 million. As of December 31, 2024, all pre-funded warrants have been exercised for an exercise price of $0.001 per share.</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August 10, 2022, we entered into a sales agreement (the Sales Agreement) with Leerink Partners LLC (formerly SVB Securities LLC). Pursuant to the Sales Agreement, we may sell from time to time up to an aggregate of $75.0 million of our common stock through an “at-the-market” (ATM) offering defined in Rule 415 under the Securities Act. The $75.0 million of common stock that may be offered, issued and sold under the Sales Agreement is included in the $300.0 million of securities that may be offered, issued and sold by us under our registration statement on Form S-3 (File No. 333-266741). As of the date of the filing of this Annual Report on Form 10-K, we sold an aggregate of 1,358,333 shares of our common stock under this program for aggregate gross proceeds of $5.2 million, resulting in $69.8 million of shares of our common stock remaining for future sale under this program. 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March 3, 2025, we suspended and terminated the prospectus related to our common stock issuable pursuant to the Sales Agreement. As a result, we will not make any sales of our securities pursuant to the Sales Agreement unless and until a new prospectus, prospectus supplement or a new registration statement is filed.</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we will continue to incur operating losses over the foreseeable future. Our operating expenses may increase in the future, if and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w:t>
      </w:r>
    </w:p>
    <w:p>
      <w:pPr>
        <w:spacing w:after="0" w:line="99"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lead gene therapy product candidates, TN-201 and TN-401;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scope of our existing clinical trials and transition into late-stage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of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commercial-scale manufacturing capabilities;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information systems and personnel to support our future product development and commercialization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we identify;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future product candidates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develop, expand, enforce, defend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investments in marketable securities, along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million of funds available under our Loan Agreement with SVB, will be sufficient to meet our working capital and capital expenditure needs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least the next twelve months following the date of this Annual Report on Form 10-K.</w:t>
      </w:r>
    </w:p>
    <w:p>
      <w:pPr>
        <w:spacing w:after="0" w:line="9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8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ability to raise additional funds may be adversely impacted by global economic conditions or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indicated:</w:t>
      </w:r>
    </w:p>
    <w:p>
      <w:pPr>
        <w:spacing w:after="0" w:line="111"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5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88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7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42"/>
        </w:trPr>
        <w:tc>
          <w:tcPr>
            <w:tcW w:w="6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8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(90,501 )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(102,072 )</w:t>
            </w:r>
          </w:p>
        </w:tc>
      </w:tr>
      <w:tr>
        <w:trPr>
          <w:trHeight w:val="216"/>
        </w:trPr>
        <w:tc>
          <w:tcPr>
            <w:tcW w:w="6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48,715</w:t>
            </w:r>
          </w:p>
        </w:tc>
        <w:tc>
          <w:tcPr>
            <w:tcW w:w="120" w:type="dxa"/>
            <w:vAlign w:val="bottom"/>
            <w:shd w:val="clear" w:color="auto" w:fill="CFF0FC"/>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47,749</w:t>
            </w:r>
          </w:p>
        </w:tc>
        <w:tc>
          <w:tcPr>
            <w:tcW w:w="3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20" w:type="dxa"/>
            <w:vAlign w:val="bottom"/>
          </w:tcPr>
          <w:p>
            <w:pPr>
              <w:spacing w:after="0"/>
              <w:rPr>
                <w:sz w:val="18"/>
                <w:szCs w:val="18"/>
                <w:color w:val="auto"/>
              </w:rPr>
            </w:pPr>
          </w:p>
        </w:tc>
      </w:tr>
      <w:tr>
        <w:trPr>
          <w:trHeight w:val="229"/>
        </w:trPr>
        <w:tc>
          <w:tcPr>
            <w:tcW w:w="6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26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(41,621 )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(49,308 )</w:t>
            </w:r>
          </w:p>
        </w:tc>
      </w:tr>
      <w:tr>
        <w:trPr>
          <w:trHeight w:val="20"/>
        </w:trPr>
        <w:tc>
          <w:tcPr>
            <w:tcW w:w="68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Net cash used in operating activities for the year ended December 31, 2024 was $90.5 million, which consisted primarily of a net loss of $111.1 million and a net change in operating assets and liabilities of $7.9 million, partially offset by $27.3 million in non-cash charges. The change in net operating assets and liabilities was primarily due to a decrease in accounts payable and accrued expenses and other current liabilities of $5.3 million and a decrease in operating lease liabilities of $4.1 million. Cash flows from operations are generally impacted by the timing of payments to vendors and vendor payment terms. The non-cash charges primarily consisted of stock-based compensation of $16.5 million and depreciation and amortization of $8.5 million.</w:t>
      </w:r>
    </w:p>
    <w:p>
      <w:pPr>
        <w:spacing w:after="0" w:line="60" w:lineRule="exact"/>
        <w:rPr>
          <w:sz w:val="20"/>
          <w:szCs w:val="20"/>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Net cash used in operating activities for the year ended December 31, 2023 was $102.1 million, which consisted primarily of a net loss of $124.1 million and a net change in operating assets and liabilities of $5.6 million, partially offset by $25.8 million in non-cash charges. The change in net operating assets and liabilities was primarily due to a decrease in operating lease liabilities of $4.1 million and a decrease in accounts payable and accrued expenses and other current liabilities of $1.0 million. Cash flows from operations are generally impacted by the timing of payments to vendors and vendor payment terms. The non-cash charges primarily consisted of stock-based compensation of $15.3 million and depreciation and amortization of $8.7 million.</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2024 was $1.1 million, which consisted primarily of proceeds from maturities of marketable securities of $81.2 million and proceeds from sales of marketable securities of $8.0 million, partially offset by purchases of marketable securities of $87.1 million.</w:t>
      </w:r>
    </w:p>
    <w:p>
      <w:pPr>
        <w:spacing w:after="0" w:line="6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2023 was $48.7 million, which consisted primarily of proceeds from maturities of marketable securities of $106.6 million, partially offset by purchases of marketable securities of $56.6 million.</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$47.7 million, which primarily consisted of net proceeds from our February 2024 follow-on offering of $46.8 million.</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$4.0 million, which primarily consisted of net proceeds from at-the-market sales of $3.9 million.</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lease office space for our corporate headquarters in South San Francisco under a lease that expires in November 2027. We expect to pay rent of approximately $2.5 million during 2025 for this lease. We also lease the Union City Facility under a lease that expires in July 2031. We expect to pay rent of approximately $1.3 million in 2025 for this lease. As of December 31, 2024, undiscounted future minimum lease payments of $7.3 million and $9.6 million remain on the South San Francisco and Union City leases, respectively.</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vendors for preclinical research studies, clinical trials and other services and products for operating purposes. These contracts do not contain 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minimum purchase commitments and are generally cancelable upon written notice. Payments due upon cancellation consist only of payments for services provided and expenses incurred up to the date of cancellation.</w:t>
      </w:r>
    </w:p>
    <w:p>
      <w:pPr>
        <w:spacing w:after="0" w:line="54"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We have also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the financial condition and results of operations is based on our financial statements, which have been prepared in accordance with the U.S. generally accepted accounting principles (GAAP). The preparation of our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financial statements included elsewhere in this Annual Report, we believe that the following accounting policies are critical to understanding our historical and future performance, as these policies relate to the more significant areas involving management’s judgments and estimates.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record research and development expenses in the periods in which they are incurred. Goods or services incurred for research and development activities that have not yet been invoiced are recorded as liabilities within accrued expenses and other current liabilities on the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We make judgments and estimates in determining the accrued and other current liabilities balance. If the actual timing of the performance of services or the level of effort varies from the estimate, we adjust accrued expenses or prepaid expenses accordingly, which impact research and development expenses. We have not experienced any material differences between accrued expenses and actual expenses incurred. Changes in these estimates that result in material changes to our accrued costs could materially affect our results of operations.</w:t>
      </w:r>
    </w:p>
    <w:p>
      <w:pPr>
        <w:spacing w:after="0" w:line="8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have and may continue to acquire the rights to licensed technology that represents in-process research and development to use and develop in the commercialization of product candidates, if approved. The upfront payments made to acquire licenses, products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made upon regulatory approval are capitalized and amortized over the remaining useful life of the related product.</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measure and record expense related to all equity awards granted to employees and non-employees in the statements of operations based on their grant date estimated fair values, including stock options and restricted stock awards. For stock-based awards that vest subject to the satisfaction of a service requirement, we recognize the expense using the straight-line method over the requisite service period, which is generally the vesting period. Forfeitures are recognized as they occur.</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For purposes of determining the estimated fair value of options granted to employees and non-employees, we use the Black-Scholes option pricing model, which requires the use of highly subjective assumptions. These assumptions include: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84" w:lineRule="exact"/>
        <w:rPr>
          <w:sz w:val="20"/>
          <w:szCs w:val="20"/>
          <w:color w:val="auto"/>
        </w:rPr>
      </w:pPr>
    </w:p>
    <w:p>
      <w:pPr>
        <w:ind w:left="900" w:right="340" w:hanging="518"/>
        <w:spacing w:after="0" w:line="284"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grant date fair value of common stock was determined by using the closing price per share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as reported on the Nasdaq Global Select Market.</w:t>
      </w:r>
    </w:p>
    <w:p>
      <w:pPr>
        <w:spacing w:after="0" w:line="50" w:lineRule="exact"/>
        <w:rPr>
          <w:rFonts w:ascii="Times New Roman" w:cs="Times New Roman" w:eastAsia="Times New Roman" w:hAnsi="Times New Roman"/>
          <w:sz w:val="18"/>
          <w:szCs w:val="18"/>
          <w:color w:val="auto"/>
        </w:rPr>
      </w:pPr>
    </w:p>
    <w:p>
      <w:pPr>
        <w:ind w:left="900" w:right="420" w:hanging="518"/>
        <w:spacing w:after="0" w:line="284"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—We determine the expected term, which represents the period that stock-based awards are expected to be outstanding,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simplified method, which is presumed to be the mid-point between the contractual term and the vesting term.</w:t>
      </w:r>
    </w:p>
    <w:p>
      <w:pPr>
        <w:spacing w:after="0" w:line="50" w:lineRule="exact"/>
        <w:rPr>
          <w:rFonts w:ascii="Times New Roman" w:cs="Times New Roman" w:eastAsia="Times New Roman" w:hAnsi="Times New Roman"/>
          <w:sz w:val="18"/>
          <w:szCs w:val="18"/>
          <w:color w:val="auto"/>
        </w:rPr>
      </w:pPr>
    </w:p>
    <w:p>
      <w:pPr>
        <w:ind w:left="900" w:right="40" w:hanging="518"/>
        <w:spacing w:after="0" w:line="258"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As we have limited trading history of our common stock, we have determined our computation of expected volatility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historical volatility of a representative group of public companies with similar characteristics to us, including stage of product development and life science industry focus. The historical volatility is calculated based on a period of time commensurate with the expected term assumption. We expect to continue to apply this process until enough historical information regarding the volatility of our own stock price becomes available.</w:t>
      </w:r>
    </w:p>
    <w:p>
      <w:pPr>
        <w:spacing w:after="0" w:line="75" w:lineRule="exact"/>
        <w:rPr>
          <w:rFonts w:ascii="Times New Roman" w:cs="Times New Roman" w:eastAsia="Times New Roman" w:hAnsi="Times New Roman"/>
          <w:sz w:val="18"/>
          <w:szCs w:val="18"/>
          <w:color w:val="auto"/>
        </w:rPr>
      </w:pPr>
    </w:p>
    <w:p>
      <w:pPr>
        <w:ind w:left="900" w:right="480" w:hanging="518"/>
        <w:spacing w:after="0" w:line="284"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—We base the risk-free interest rate on U.S. Treasury zero coupon issues in effect at the time of grant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with the expected term assumption.</w:t>
      </w:r>
    </w:p>
    <w:p>
      <w:pPr>
        <w:spacing w:after="0" w:line="50" w:lineRule="exact"/>
        <w:rPr>
          <w:rFonts w:ascii="Times New Roman" w:cs="Times New Roman" w:eastAsia="Times New Roman" w:hAnsi="Times New Roman"/>
          <w:sz w:val="18"/>
          <w:szCs w:val="18"/>
          <w:color w:val="auto"/>
        </w:rPr>
      </w:pPr>
    </w:p>
    <w:p>
      <w:pPr>
        <w:ind w:left="900" w:right="440" w:hanging="518"/>
        <w:spacing w:after="0" w:line="284"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w:t>
      </w:r>
      <w:r>
        <w:rPr>
          <w:rFonts w:ascii="Times New Roman" w:cs="Times New Roman" w:eastAsia="Times New Roman" w:hAnsi="Times New Roman"/>
          <w:sz w:val="18"/>
          <w:szCs w:val="18"/>
          <w:color w:val="auto"/>
        </w:rPr>
        <w:t>—The expected dividend yield is assumed to be zero as we have never paid and have no plans to pay dividends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w:t>
      </w:r>
    </w:p>
    <w:p>
      <w:pPr>
        <w:spacing w:after="0" w:line="50"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to our financial statements for more information concerning certain of the specific assumptions we used in applying the Black-Scholes valuation model to determine the estimated fair value of our stock options.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spacing w:after="0" w:line="7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under the Exchange Act and in Item 10(f)(1) of Regulation S-K, and are not required to provide the information under this item.</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8"/>
        </w:trPr>
        <w:tc>
          <w:tcPr>
            <w:tcW w:w="91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1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gridSpan w:val="5"/>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120" w:type="dxa"/>
            <w:vAlign w:val="bottom"/>
          </w:tcPr>
          <w:p>
            <w:pPr>
              <w:spacing w:after="0"/>
              <w:rPr>
                <w:sz w:val="24"/>
                <w:szCs w:val="24"/>
                <w:color w:val="auto"/>
              </w:rPr>
            </w:pPr>
          </w:p>
        </w:tc>
      </w:tr>
      <w:tr>
        <w:trPr>
          <w:trHeight w:val="499"/>
        </w:trPr>
        <w:tc>
          <w:tcPr>
            <w:tcW w:w="20" w:type="dxa"/>
            <w:vAlign w:val="bottom"/>
          </w:tcPr>
          <w:p>
            <w:pPr>
              <w:spacing w:after="0"/>
              <w:rPr>
                <w:sz w:val="24"/>
                <w:szCs w:val="24"/>
                <w:color w:val="auto"/>
              </w:rPr>
            </w:pPr>
          </w:p>
        </w:tc>
        <w:tc>
          <w:tcPr>
            <w:tcW w:w="5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No. 34)</w:t>
            </w:r>
          </w:p>
        </w:tc>
        <w:tc>
          <w:tcPr>
            <w:tcW w:w="3340" w:type="dxa"/>
            <w:vAlign w:val="bottom"/>
            <w:gridSpan w:val="3"/>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18"/>
        </w:trPr>
        <w:tc>
          <w:tcPr>
            <w:tcW w:w="20" w:type="dxa"/>
            <w:vAlign w:val="bottom"/>
            <w:tcBorders>
              <w:bottom w:val="single" w:sz="8" w:color="0000EE"/>
            </w:tcBorders>
          </w:tcPr>
          <w:p>
            <w:pPr>
              <w:spacing w:after="0"/>
              <w:rPr>
                <w:sz w:val="24"/>
                <w:szCs w:val="24"/>
                <w:color w:val="auto"/>
              </w:rPr>
            </w:pPr>
          </w:p>
        </w:tc>
        <w:tc>
          <w:tcPr>
            <w:tcW w:w="3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Balance Sheets as of December 31, 2024 and 2023</w:t>
            </w:r>
          </w:p>
        </w:tc>
        <w:tc>
          <w:tcPr>
            <w:tcW w:w="20" w:type="dxa"/>
            <w:vAlign w:val="bottom"/>
            <w:tcBorders>
              <w:bottom w:val="single" w:sz="8" w:color="0000EE"/>
            </w:tcBorders>
          </w:tcPr>
          <w:p>
            <w:pPr>
              <w:spacing w:after="0"/>
              <w:rPr>
                <w:sz w:val="24"/>
                <w:szCs w:val="24"/>
                <w:color w:val="auto"/>
              </w:rPr>
            </w:pPr>
          </w:p>
        </w:tc>
        <w:tc>
          <w:tcPr>
            <w:tcW w:w="5420" w:type="dxa"/>
            <w:vAlign w:val="bottom"/>
            <w:gridSpan w:val="5"/>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18"/>
        </w:trPr>
        <w:tc>
          <w:tcPr>
            <w:tcW w:w="20" w:type="dxa"/>
            <w:vAlign w:val="bottom"/>
            <w:tcBorders>
              <w:bottom w:val="single" w:sz="8" w:color="0000EE"/>
            </w:tcBorders>
          </w:tcPr>
          <w:p>
            <w:pPr>
              <w:spacing w:after="0"/>
              <w:rPr>
                <w:sz w:val="24"/>
                <w:szCs w:val="24"/>
                <w:color w:val="auto"/>
              </w:rPr>
            </w:pPr>
          </w:p>
        </w:tc>
        <w:tc>
          <w:tcPr>
            <w:tcW w:w="72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Statements of Operations and Comprehensive Loss for the years ended December 31, 2024 and 2023</w:t>
            </w:r>
          </w:p>
        </w:tc>
        <w:tc>
          <w:tcPr>
            <w:tcW w:w="182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18"/>
        </w:trPr>
        <w:tc>
          <w:tcPr>
            <w:tcW w:w="20" w:type="dxa"/>
            <w:vAlign w:val="bottom"/>
          </w:tcPr>
          <w:p>
            <w:pPr>
              <w:spacing w:after="0"/>
              <w:rPr>
                <w:sz w:val="24"/>
                <w:szCs w:val="24"/>
                <w:color w:val="auto"/>
              </w:rPr>
            </w:pPr>
          </w:p>
        </w:tc>
        <w:tc>
          <w:tcPr>
            <w:tcW w:w="9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Statements of Stockholders’ Equity for the years ended December 31, 2024 and 2023</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18"/>
        </w:trPr>
        <w:tc>
          <w:tcPr>
            <w:tcW w:w="20" w:type="dxa"/>
            <w:vAlign w:val="bottom"/>
            <w:tcBorders>
              <w:top w:val="single" w:sz="8" w:color="0000EE"/>
            </w:tcBorders>
          </w:tcPr>
          <w:p>
            <w:pPr>
              <w:spacing w:after="0"/>
              <w:rPr>
                <w:sz w:val="24"/>
                <w:szCs w:val="24"/>
                <w:color w:val="auto"/>
              </w:rPr>
            </w:pPr>
          </w:p>
        </w:tc>
        <w:tc>
          <w:tcPr>
            <w:tcW w:w="61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Statements of Cash Flows for the years ended December 31, 2024 and 2023</w:t>
            </w:r>
          </w:p>
        </w:tc>
        <w:tc>
          <w:tcPr>
            <w:tcW w:w="2960" w:type="dxa"/>
            <w:vAlign w:val="bottom"/>
            <w:gridSpan w:val="2"/>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18"/>
        </w:trPr>
        <w:tc>
          <w:tcPr>
            <w:tcW w:w="20" w:type="dxa"/>
            <w:vAlign w:val="bottom"/>
            <w:tcBorders>
              <w:top w:val="single" w:sz="8" w:color="0000EE"/>
            </w:tcBorders>
          </w:tcPr>
          <w:p>
            <w:pPr>
              <w:spacing w:after="0"/>
              <w:rPr>
                <w:sz w:val="24"/>
                <w:szCs w:val="24"/>
                <w:color w:val="auto"/>
              </w:rPr>
            </w:pPr>
          </w:p>
        </w:tc>
        <w:tc>
          <w:tcPr>
            <w:tcW w:w="2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3300" w:type="dxa"/>
            <w:vAlign w:val="bottom"/>
            <w:tcBorders>
              <w:top w:val="single" w:sz="8" w:color="0000FF"/>
            </w:tcBorders>
            <w:gridSpan w:val="3"/>
          </w:tcPr>
          <w:p>
            <w:pPr>
              <w:spacing w:after="0"/>
              <w:rPr>
                <w:sz w:val="24"/>
                <w:szCs w:val="24"/>
                <w:color w:val="auto"/>
              </w:rPr>
            </w:pPr>
          </w:p>
        </w:tc>
        <w:tc>
          <w:tcPr>
            <w:tcW w:w="3640" w:type="dxa"/>
            <w:vAlign w:val="bottom"/>
            <w:gridSpan w:val="4"/>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885"/>
        </w:trPr>
        <w:tc>
          <w:tcPr>
            <w:tcW w:w="57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-2142490</wp:posOffset>
            </wp:positionV>
            <wp:extent cx="285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ind w:left="238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stockholders and the Board of Directors of Tenaya Therapeutics,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 on the Financial Statements</w:t>
      </w:r>
    </w:p>
    <w:p>
      <w:pPr>
        <w:spacing w:after="0" w:line="218"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9"/>
          <w:szCs w:val="19"/>
          <w:color w:val="auto"/>
        </w:rPr>
        <w:t>We have audited the accompanying balance sheets of Tenaya Therapeutics, Inc. (the "Company") as of December 31, 2024 and 2023, the related statements of operations and comprehensive loss,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21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 Francisco, California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10,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5" w:right="39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45,681</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 in marketable securities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57,123</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58,961</w:t>
            </w:r>
          </w:p>
        </w:tc>
        <w:tc>
          <w:tcPr>
            <w:tcW w:w="12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67,375</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111,582</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43,277</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2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119,940</w:t>
            </w:r>
          </w:p>
        </w:tc>
        <w:tc>
          <w:tcPr>
            <w:tcW w:w="30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170,515</w:t>
            </w:r>
          </w:p>
        </w:tc>
        <w:tc>
          <w:tcPr>
            <w:tcW w:w="12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6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2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22,733</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r>
      <w:tr>
        <w:trPr>
          <w:trHeight w:val="210"/>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6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200,000,000 shares authorized</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 of December 31, 2024 and 2023; no shares issued and outstanding</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 of December 31, 2024 and 2023</w:t>
            </w:r>
          </w:p>
        </w:tc>
        <w:tc>
          <w:tcPr>
            <w:tcW w:w="38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8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1,000,000,000 shares authorized</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as of December 31, 2024 and 2023; 86,542,340 and 68,330,342</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as of December 31, 2024 and 2023</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20"/>
                <w:szCs w:val="20"/>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607,229</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542,805</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(514,411 )</w:t>
            </w:r>
          </w:p>
        </w:tc>
        <w:tc>
          <w:tcPr>
            <w:tcW w:w="4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(403,282 )</w:t>
            </w: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92,854</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139,424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119,940</w:t>
            </w:r>
          </w:p>
        </w:tc>
        <w:tc>
          <w:tcPr>
            <w:tcW w:w="30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170,515</w:t>
            </w:r>
          </w:p>
        </w:tc>
        <w:tc>
          <w:tcPr>
            <w:tcW w:w="12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-3805555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-3805555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-3248025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-3248025</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-2390775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-2390775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8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6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86,742</w:t>
            </w:r>
          </w:p>
        </w:tc>
        <w:tc>
          <w:tcPr>
            <w:tcW w:w="3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98,038</w:t>
            </w:r>
          </w:p>
        </w:tc>
        <w:tc>
          <w:tcPr>
            <w:tcW w:w="12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29,206</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115,948</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131,193</w:t>
            </w:r>
          </w:p>
        </w:tc>
        <w:tc>
          <w:tcPr>
            <w:tcW w:w="120" w:type="dxa"/>
            <w:vAlign w:val="bottom"/>
          </w:tcPr>
          <w:p>
            <w:pPr>
              <w:spacing w:after="0"/>
              <w:rPr>
                <w:sz w:val="18"/>
                <w:szCs w:val="18"/>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(115,948 )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(131,193 )</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income tax expense</w:t>
            </w:r>
          </w:p>
        </w:tc>
        <w:tc>
          <w:tcPr>
            <w:tcW w:w="3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(111,129 )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(124,084 )</w:t>
            </w: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(111,129 )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(124,084 )</w:t>
            </w: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unrealized gain on marketable securities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8"/>
                <w:szCs w:val="18"/>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(110,995 )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(123,812 )</w:t>
            </w: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8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(1.31 )</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(1.68 )</w:t>
            </w: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 and diluted</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84,822,468</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73,786,126</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-2056765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-2056765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-1207770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-1207770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-925195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-351155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-333375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-351155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18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218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24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1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0"/>
                <w:szCs w:val="10"/>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vMerge w:val="restart"/>
          </w:tcPr>
          <w:p>
            <w:pPr>
              <w:spacing w:after="0"/>
              <w:rPr>
                <w:sz w:val="10"/>
                <w:szCs w:val="10"/>
                <w:color w:val="auto"/>
              </w:rPr>
            </w:pPr>
          </w:p>
        </w:tc>
        <w:tc>
          <w:tcPr>
            <w:tcW w:w="114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as of January 1, 2023</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66,857,113</w:t>
            </w:r>
          </w:p>
        </w:tc>
        <w:tc>
          <w:tcPr>
            <w:tcW w:w="1080" w:type="dxa"/>
            <w:vAlign w:val="bottom"/>
            <w:gridSpan w:val="2"/>
            <w:shd w:val="clear" w:color="auto" w:fill="CFF0FC"/>
          </w:tcPr>
          <w:p>
            <w:pPr>
              <w:jc w:val="right"/>
              <w:ind w:right="6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522,945</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(378 )</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(279,198 )</w:t>
            </w:r>
          </w:p>
        </w:tc>
        <w:tc>
          <w:tcPr>
            <w:tcW w:w="200" w:type="dxa"/>
            <w:vAlign w:val="bottom"/>
            <w:shd w:val="clear" w:color="auto" w:fill="CFF0FC"/>
          </w:tcPr>
          <w:p>
            <w:pPr>
              <w:jc w:val="right"/>
              <w:ind w:right="29"/>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243,376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2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at-the-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535,767</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market sales, net of issuance costs of $120</w:t>
            </w: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2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 pre-funded</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302,517</w:t>
            </w: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warrants</w:t>
            </w:r>
          </w:p>
        </w:tc>
        <w:tc>
          <w:tcPr>
            <w:tcW w:w="11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2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265,047</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and vesting of restricted stock units</w:t>
            </w: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2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369,898</w:t>
            </w: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plan</w:t>
            </w:r>
          </w:p>
        </w:tc>
        <w:tc>
          <w:tcPr>
            <w:tcW w:w="11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Vesting of early exercised stock options</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(124,084 )</w:t>
            </w:r>
          </w:p>
        </w:tc>
        <w:tc>
          <w:tcPr>
            <w:tcW w:w="2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(124,084 )</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68,330,342</w:t>
            </w:r>
          </w:p>
        </w:tc>
        <w:tc>
          <w:tcPr>
            <w:tcW w:w="260" w:type="dxa"/>
            <w:vAlign w:val="bottom"/>
          </w:tcPr>
          <w:p>
            <w:pPr>
              <w:spacing w:after="0"/>
              <w:rPr>
                <w:sz w:val="12"/>
                <w:szCs w:val="12"/>
                <w:color w:val="auto"/>
              </w:rPr>
            </w:pPr>
          </w:p>
        </w:tc>
        <w:tc>
          <w:tcPr>
            <w:tcW w:w="820" w:type="dxa"/>
            <w:vAlign w:val="bottom"/>
          </w:tcPr>
          <w:p>
            <w:pPr>
              <w:jc w:val="right"/>
              <w:ind w:right="6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542,805</w:t>
            </w:r>
          </w:p>
        </w:tc>
        <w:tc>
          <w:tcPr>
            <w:tcW w:w="2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(106 )</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(403,282 )</w:t>
            </w:r>
          </w:p>
        </w:tc>
        <w:tc>
          <w:tcPr>
            <w:tcW w:w="200" w:type="dxa"/>
            <w:vAlign w:val="bottom"/>
          </w:tcPr>
          <w:p>
            <w:pPr>
              <w:jc w:val="right"/>
              <w:ind w:right="29"/>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139,424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2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common stock and pre-funded warrants, net of</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8,888,890</w:t>
            </w: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46,761</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46,762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costs of $3,236</w:t>
            </w:r>
          </w:p>
        </w:tc>
        <w:tc>
          <w:tcPr>
            <w:tcW w:w="11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2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423,620</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plan</w:t>
            </w: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2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743,041</w:t>
            </w: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and vesting of restricted stock units</w:t>
            </w:r>
          </w:p>
        </w:tc>
        <w:tc>
          <w:tcPr>
            <w:tcW w:w="11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2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 pre-funded</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8,156,447</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warrants</w:t>
            </w: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warrant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16,501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(111,129 )</w:t>
            </w:r>
          </w:p>
        </w:tc>
        <w:tc>
          <w:tcPr>
            <w:tcW w:w="2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(111,129 )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as of December 31, 2024</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86,542,340</w:t>
            </w: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607,229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(514,411 )</w:t>
            </w:r>
          </w:p>
        </w:tc>
        <w:tc>
          <w:tcPr>
            <w:tcW w:w="200" w:type="dxa"/>
            <w:vAlign w:val="bottom"/>
            <w:shd w:val="clear" w:color="auto" w:fill="CFF0FC"/>
          </w:tcPr>
          <w:p>
            <w:pPr>
              <w:jc w:val="right"/>
              <w:ind w:right="29"/>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92,854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-1362075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-1362075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-1362075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-1362075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-1362075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-24765</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-7620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09" w:name="page110"/>
    <w:bookmarkEnd w:id="109"/>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6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(111,129 )</w:t>
            </w:r>
          </w:p>
        </w:tc>
        <w:tc>
          <w:tcPr>
            <w:tcW w:w="1000" w:type="dxa"/>
            <w:vAlign w:val="bottom"/>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(124,084 )</w:t>
            </w:r>
          </w:p>
        </w:tc>
      </w:tr>
      <w:tr>
        <w:trPr>
          <w:trHeight w:val="148"/>
        </w:trPr>
        <w:tc>
          <w:tcPr>
            <w:tcW w:w="76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8,468</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8,687</w:t>
            </w:r>
          </w:p>
        </w:tc>
        <w:tc>
          <w:tcPr>
            <w:tcW w:w="120" w:type="dxa"/>
            <w:vAlign w:val="bottom"/>
          </w:tcPr>
          <w:p>
            <w:pPr>
              <w:spacing w:after="0"/>
              <w:rPr>
                <w:sz w:val="12"/>
                <w:szCs w:val="12"/>
                <w:color w:val="auto"/>
              </w:rPr>
            </w:pPr>
          </w:p>
        </w:tc>
      </w:tr>
      <w:tr>
        <w:trPr>
          <w:trHeight w:val="148"/>
        </w:trPr>
        <w:tc>
          <w:tcPr>
            <w:tcW w:w="76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(accretion) of premium (discount) on marketable securities</w:t>
            </w:r>
          </w:p>
        </w:tc>
        <w:tc>
          <w:tcPr>
            <w:tcW w:w="10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(184 )</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16,501</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15,309</w:t>
            </w:r>
          </w:p>
        </w:tc>
        <w:tc>
          <w:tcPr>
            <w:tcW w:w="120" w:type="dxa"/>
            <w:vAlign w:val="bottom"/>
          </w:tcPr>
          <w:p>
            <w:pPr>
              <w:spacing w:after="0"/>
              <w:rPr>
                <w:sz w:val="12"/>
                <w:szCs w:val="12"/>
                <w:color w:val="auto"/>
              </w:rPr>
            </w:pPr>
          </w:p>
        </w:tc>
      </w:tr>
      <w:tr>
        <w:trPr>
          <w:trHeight w:val="148"/>
        </w:trPr>
        <w:tc>
          <w:tcPr>
            <w:tcW w:w="76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3,391</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3,132</w:t>
            </w: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12"/>
                <w:szCs w:val="12"/>
                <w:color w:val="auto"/>
              </w:rPr>
            </w:pPr>
          </w:p>
        </w:tc>
      </w:tr>
      <w:tr>
        <w:trPr>
          <w:trHeight w:val="149"/>
        </w:trPr>
        <w:tc>
          <w:tcPr>
            <w:tcW w:w="76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2"/>
                <w:szCs w:val="12"/>
                <w:color w:val="auto"/>
              </w:rPr>
            </w:pPr>
          </w:p>
        </w:tc>
      </w:tr>
      <w:tr>
        <w:trPr>
          <w:trHeight w:val="148"/>
        </w:trPr>
        <w:tc>
          <w:tcPr>
            <w:tcW w:w="768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(601 )</w:t>
            </w:r>
          </w:p>
        </w:tc>
      </w:tr>
      <w:tr>
        <w:trPr>
          <w:trHeight w:val="148"/>
        </w:trPr>
        <w:tc>
          <w:tcPr>
            <w:tcW w:w="768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(581 )</w:t>
            </w:r>
          </w:p>
        </w:tc>
        <w:tc>
          <w:tcPr>
            <w:tcW w:w="10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(3,282 )</w:t>
            </w:r>
          </w:p>
        </w:tc>
      </w:tr>
      <w:tr>
        <w:trPr>
          <w:trHeight w:val="148"/>
        </w:trPr>
        <w:tc>
          <w:tcPr>
            <w:tcW w:w="768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Accrued and other current liabilities</w:t>
            </w:r>
          </w:p>
        </w:tc>
        <w:tc>
          <w:tcPr>
            <w:tcW w:w="10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(4,745 )</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2,256</w:t>
            </w: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0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(4,118 )</w:t>
            </w:r>
          </w:p>
        </w:tc>
        <w:tc>
          <w:tcPr>
            <w:tcW w:w="10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(4,123 )</w:t>
            </w:r>
          </w:p>
        </w:tc>
      </w:tr>
      <w:tr>
        <w:trPr>
          <w:trHeight w:val="149"/>
        </w:trPr>
        <w:tc>
          <w:tcPr>
            <w:tcW w:w="7680" w:type="dxa"/>
            <w:vAlign w:val="bottom"/>
            <w:tcBorders>
              <w:bottom w:val="single" w:sz="8" w:color="CFF0FC"/>
            </w:tcBorders>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0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68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000" w:type="dxa"/>
            <w:vAlign w:val="bottom"/>
          </w:tcPr>
          <w:p>
            <w:pPr>
              <w:spacing w:after="0"/>
              <w:rPr>
                <w:sz w:val="12"/>
                <w:szCs w:val="12"/>
                <w:color w:val="auto"/>
              </w:rPr>
            </w:pPr>
          </w:p>
        </w:tc>
        <w:tc>
          <w:tcPr>
            <w:tcW w:w="8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(90,501 )</w:t>
            </w:r>
          </w:p>
        </w:tc>
        <w:tc>
          <w:tcPr>
            <w:tcW w:w="100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(102,072 )</w:t>
            </w:r>
          </w:p>
        </w:tc>
      </w:tr>
      <w:tr>
        <w:trPr>
          <w:trHeight w:val="142"/>
        </w:trPr>
        <w:tc>
          <w:tcPr>
            <w:tcW w:w="76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0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(1,025 )</w:t>
            </w:r>
          </w:p>
        </w:tc>
        <w:tc>
          <w:tcPr>
            <w:tcW w:w="10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(1,239 )</w:t>
            </w:r>
          </w:p>
        </w:tc>
      </w:tr>
      <w:tr>
        <w:trPr>
          <w:trHeight w:val="148"/>
        </w:trPr>
        <w:tc>
          <w:tcPr>
            <w:tcW w:w="76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Purchases of marketable securities</w:t>
            </w:r>
          </w:p>
        </w:tc>
        <w:tc>
          <w:tcPr>
            <w:tcW w:w="10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(87,069 )</w:t>
            </w: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(56,644 )</w:t>
            </w:r>
          </w:p>
        </w:tc>
      </w:tr>
      <w:tr>
        <w:trPr>
          <w:trHeight w:val="148"/>
        </w:trPr>
        <w:tc>
          <w:tcPr>
            <w:tcW w:w="7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sales of marketable securities</w:t>
            </w: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7,997</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6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81,211</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106,623</w:t>
            </w: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(25 )</w:t>
            </w:r>
          </w:p>
        </w:tc>
      </w:tr>
      <w:tr>
        <w:trPr>
          <w:trHeight w:val="142"/>
        </w:trPr>
        <w:tc>
          <w:tcPr>
            <w:tcW w:w="7680" w:type="dxa"/>
            <w:vAlign w:val="bottom"/>
            <w:tcBorders>
              <w:bottom w:val="single" w:sz="8" w:color="CFF0FC"/>
            </w:tcBorders>
            <w:shd w:val="clear" w:color="auto" w:fill="CFF0FC"/>
          </w:tcPr>
          <w:p>
            <w:pPr>
              <w:ind w:left="480"/>
              <w:spacing w:after="0" w:line="14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1,131</w:t>
            </w:r>
          </w:p>
        </w:tc>
        <w:tc>
          <w:tcPr>
            <w:tcW w:w="28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48,715</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6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6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and pre-funded warrants in follow-on offering, net of issuance costs</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46,762</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 and employee stock purchase plan</w:t>
            </w: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979</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120" w:type="dxa"/>
            <w:vAlign w:val="bottom"/>
          </w:tcPr>
          <w:p>
            <w:pPr>
              <w:spacing w:after="0"/>
              <w:rPr>
                <w:sz w:val="12"/>
                <w:szCs w:val="12"/>
                <w:color w:val="auto"/>
              </w:rPr>
            </w:pPr>
          </w:p>
        </w:tc>
      </w:tr>
      <w:tr>
        <w:trPr>
          <w:trHeight w:val="148"/>
        </w:trPr>
        <w:tc>
          <w:tcPr>
            <w:tcW w:w="76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exercises of pre-funded warrants</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at-the-market sales, net of issuance costs</w:t>
            </w:r>
          </w:p>
        </w:tc>
        <w:tc>
          <w:tcPr>
            <w:tcW w:w="100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3,868</w:t>
            </w:r>
          </w:p>
        </w:tc>
        <w:tc>
          <w:tcPr>
            <w:tcW w:w="120" w:type="dxa"/>
            <w:vAlign w:val="bottom"/>
          </w:tcPr>
          <w:p>
            <w:pPr>
              <w:spacing w:after="0"/>
              <w:rPr>
                <w:sz w:val="12"/>
                <w:szCs w:val="12"/>
                <w:color w:val="auto"/>
              </w:rPr>
            </w:pPr>
          </w:p>
        </w:tc>
      </w:tr>
      <w:tr>
        <w:trPr>
          <w:trHeight w:val="148"/>
        </w:trPr>
        <w:tc>
          <w:tcPr>
            <w:tcW w:w="76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Payment of accrued offering costs</w:t>
            </w:r>
          </w:p>
        </w:tc>
        <w:tc>
          <w:tcPr>
            <w:tcW w:w="10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(501 )</w:t>
            </w:r>
          </w:p>
        </w:tc>
      </w:tr>
      <w:tr>
        <w:trPr>
          <w:trHeight w:val="142"/>
        </w:trPr>
        <w:tc>
          <w:tcPr>
            <w:tcW w:w="7680" w:type="dxa"/>
            <w:vAlign w:val="bottom"/>
            <w:tcBorders>
              <w:top w:val="single" w:sz="8" w:color="CFF0FC"/>
            </w:tcBorders>
          </w:tcPr>
          <w:p>
            <w:pPr>
              <w:ind w:left="48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47,749</w:t>
            </w:r>
          </w:p>
        </w:tc>
        <w:tc>
          <w:tcPr>
            <w:tcW w:w="280" w:type="dxa"/>
            <w:vAlign w:val="bottom"/>
            <w:tcBorders>
              <w:top w:val="single" w:sz="8" w:color="CFF0FC"/>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4,049</w:t>
            </w:r>
          </w:p>
        </w:tc>
        <w:tc>
          <w:tcPr>
            <w:tcW w:w="120" w:type="dxa"/>
            <w:vAlign w:val="bottom"/>
            <w:tcBorders>
              <w:top w:val="single" w:sz="8" w:color="CFF0FC"/>
            </w:tcBorders>
          </w:tcPr>
          <w:p>
            <w:pPr>
              <w:spacing w:after="0"/>
              <w:rPr>
                <w:sz w:val="12"/>
                <w:szCs w:val="12"/>
                <w:color w:val="auto"/>
              </w:rPr>
            </w:pPr>
          </w:p>
        </w:tc>
      </w:tr>
      <w:tr>
        <w:trPr>
          <w:trHeight w:val="142"/>
        </w:trPr>
        <w:tc>
          <w:tcPr>
            <w:tcW w:w="76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10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(41,621 )</w:t>
            </w: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(49,308 )</w:t>
            </w:r>
          </w:p>
        </w:tc>
      </w:tr>
      <w:tr>
        <w:trPr>
          <w:trHeight w:val="148"/>
        </w:trPr>
        <w:tc>
          <w:tcPr>
            <w:tcW w:w="7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46,363</w:t>
            </w:r>
          </w:p>
        </w:tc>
        <w:tc>
          <w:tcPr>
            <w:tcW w:w="2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95,671</w:t>
            </w:r>
          </w:p>
        </w:tc>
        <w:tc>
          <w:tcPr>
            <w:tcW w:w="120" w:type="dxa"/>
            <w:vAlign w:val="bottom"/>
          </w:tcPr>
          <w:p>
            <w:pPr>
              <w:spacing w:after="0"/>
              <w:rPr>
                <w:sz w:val="12"/>
                <w:szCs w:val="12"/>
                <w:color w:val="auto"/>
              </w:rPr>
            </w:pPr>
          </w:p>
        </w:tc>
      </w:tr>
      <w:tr>
        <w:trPr>
          <w:trHeight w:val="182"/>
        </w:trPr>
        <w:tc>
          <w:tcPr>
            <w:tcW w:w="768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1000" w:type="dxa"/>
            <w:vAlign w:val="bottom"/>
            <w:tcBorders>
              <w:bottom w:val="single" w:sz="8" w:color="auto"/>
            </w:tcBorders>
            <w:shd w:val="clear" w:color="auto" w:fill="CFF0FC"/>
          </w:tcPr>
          <w:p>
            <w:pPr>
              <w:jc w:val="right"/>
              <w:ind w:right="8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4,742</w:t>
            </w:r>
          </w:p>
        </w:tc>
        <w:tc>
          <w:tcPr>
            <w:tcW w:w="28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8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46,363</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29"/>
        </w:trPr>
        <w:tc>
          <w:tcPr>
            <w:tcW w:w="76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Components of cash, cash equivalents and restricted cash:</w:t>
            </w: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76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00" w:type="dxa"/>
            <w:vAlign w:val="bottom"/>
            <w:shd w:val="clear" w:color="auto" w:fill="CFF0FC"/>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4,323</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45,681</w:t>
            </w: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 included in other noncurrent assets</w:t>
            </w: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2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120" w:type="dxa"/>
            <w:vAlign w:val="bottom"/>
          </w:tcPr>
          <w:p>
            <w:pPr>
              <w:spacing w:after="0"/>
              <w:rPr>
                <w:sz w:val="12"/>
                <w:szCs w:val="12"/>
                <w:color w:val="auto"/>
              </w:rPr>
            </w:pPr>
          </w:p>
        </w:tc>
      </w:tr>
      <w:tr>
        <w:trPr>
          <w:trHeight w:val="182"/>
        </w:trPr>
        <w:tc>
          <w:tcPr>
            <w:tcW w:w="768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w:t>
            </w:r>
          </w:p>
        </w:tc>
        <w:tc>
          <w:tcPr>
            <w:tcW w:w="1000" w:type="dxa"/>
            <w:vAlign w:val="bottom"/>
            <w:tcBorders>
              <w:bottom w:val="single" w:sz="8" w:color="auto"/>
            </w:tcBorders>
            <w:shd w:val="clear" w:color="auto" w:fill="CFF0FC"/>
          </w:tcPr>
          <w:p>
            <w:pPr>
              <w:jc w:val="right"/>
              <w:ind w:right="8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4,742</w:t>
            </w:r>
          </w:p>
        </w:tc>
        <w:tc>
          <w:tcPr>
            <w:tcW w:w="28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8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46,363</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29"/>
        </w:trPr>
        <w:tc>
          <w:tcPr>
            <w:tcW w:w="76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76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Property and equipment included in accounts payable and accrued and other current liabilities</w:t>
            </w:r>
          </w:p>
        </w:tc>
        <w:tc>
          <w:tcPr>
            <w:tcW w:w="1000" w:type="dxa"/>
            <w:vAlign w:val="bottom"/>
            <w:shd w:val="clear" w:color="auto" w:fill="CFF0FC"/>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120" w:type="dxa"/>
            <w:vAlign w:val="bottom"/>
            <w:shd w:val="clear" w:color="auto" w:fill="CFF0FC"/>
          </w:tcPr>
          <w:p>
            <w:pPr>
              <w:spacing w:after="0"/>
              <w:rPr>
                <w:sz w:val="12"/>
                <w:szCs w:val="12"/>
                <w:color w:val="auto"/>
              </w:rPr>
            </w:pPr>
          </w:p>
        </w:tc>
      </w:tr>
      <w:tr>
        <w:trPr>
          <w:trHeight w:val="188"/>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warrant in connection with Loan Agreement</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8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-2501900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-2501900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-1722120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-1722120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-1147445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-1147445</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-744855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-727710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-727710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-333375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-316230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the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TN-401, a gene therapy for plakophilin 2-associated arrhythmogenic right ventricular cardiomyopathy, and TN-301, a small molecule for heart failure with preserved ejection fraction.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has incurred net losses since inception and expects such losses to continue in the future as it conducts research and development activities. As of December 31, 2024, the Company had an accumulated deficit of $514.4 million. The Company incurred a net loss of $111.1 million and $124.1 million during the years ended December 31, 2024 and 2023, respectively. The Company had $61.4 million of cash, cash equivalents and investments in marketable securities as of December 31, 2024.</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On March 5, 2025, the Company completed an underwritten offering of its common stock and accompanying warrants. The Company received net proceeds of approximately $48.9 million, after deducting underwriting discounts and commissions of approximately $3.2 million and other offering expenses of approximately $0.5 million. See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further details.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August 6, 2024, the Company entered into a Loan Agreement with Silicon Valley Bank (SVB), a division of First-Citizens Bank &amp; Trust Company (the Loan Agreement). As of the filing date of this annual report, under the Loan Agreement, the Company has the right to draw down $22.5 million at its discretion, up to an additional $2.5 million upon the satisfaction of a clinical milestone </w:t>
      </w:r>
      <w:r>
        <w:rPr>
          <w:rFonts w:ascii="Times New Roman" w:cs="Times New Roman" w:eastAsia="Times New Roman" w:hAnsi="Times New Roman"/>
          <w:sz w:val="18"/>
          <w:szCs w:val="18"/>
          <w:color w:val="212529"/>
        </w:rPr>
        <w:t>or</w:t>
      </w:r>
      <w:r>
        <w:rPr>
          <w:rFonts w:ascii="Times New Roman" w:cs="Times New Roman" w:eastAsia="Times New Roman" w:hAnsi="Times New Roman"/>
          <w:sz w:val="18"/>
          <w:szCs w:val="18"/>
          <w:color w:val="auto"/>
        </w:rPr>
        <w:t xml:space="preserve"> the receipt of specified proceeds from equity financings and other qualified funding, and up to an additional $20.0 million that may be available at SVB's discretion, subject to specified conditions. See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Term Loan</w:t>
      </w:r>
      <w:r>
        <w:rPr>
          <w:rFonts w:ascii="Times New Roman" w:cs="Times New Roman" w:eastAsia="Times New Roman" w:hAnsi="Times New Roman"/>
          <w:sz w:val="18"/>
          <w:szCs w:val="18"/>
          <w:color w:val="auto"/>
        </w:rPr>
        <w:t>, for further details.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cash equivalents and investments in marketable securities as of December 31, 2024, along with the $48.9 million of proceeds from the March 2025 follow-on offering, as well as the $22.5 million of funds available under its Loan Agreement with SVB, will be sufficient to fund the Company’s operations for at least the next twelve months following the date these financial statements are filed with the Securities and Exchange Commission (SEC).</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Significant estimates and assumptions made in the accompanying financial statements include, but are not limited to, the valuation of equity-based awards and accrued expenses related to research and development activities. The</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1" w:name="page112"/>
    <w:bookmarkEnd w:id="111"/>
    <w:p>
      <w:pPr>
        <w:spacing w:after="0" w:line="8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Company bases its estimates on historical experience, the current economic environment, and on various other assumptions that are believed to be reasonable under the circumstances. Actual results may differ from those estimates or assumptions.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11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9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7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prepaid expenses and other current assets, accounts payable and accrued expenses and other current liabilities approximate their fair value due to their short-term nature.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risk consist principally of cash, cash equivalents and marketable securities. The Company maintains deposits in cash and cash equivalents in federally insured financial institutions that it believes have high credit quality. Such deposits may exceed federally insured limits. The Company is exposed to credit risk in the event of default by the financial institutions holding its cash and cash equivalents and the issuers of its investments in marketable securities to the extent recorded in the balance sheets. The Company has not experienced any losses on its deposits of cash and cash equivalents.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certain risks including, but not limited to, the ability to obtain future financing, possible failure of ongoing and future clinical trials, the need to obtain regulatory approvals for its product candidates, the need to successfully commercialize and gain market acceptance of the Company’s product candidates, competitive developments, protection of proprietary technology, the ability to make milestone, royalty or other payments due under licensing agreements, and the Company’s ability to attract and retain employees necessary to support its business plan.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Company views its operations and manages its business as one operating segment, which is the business of discovering and developing potential treatments that address the underlying drivers of heart disease. The Company’s long-lived assets are located in the United States.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on the date of purchase to be cash equivalents. Cash equivalents primarily consist of money market funds that are stated at fair value.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restricted cash primarily represents the security deposit for the Company’s operating lease in South San Francisco, California. The security deposit is in the form of a letter of credit secured by restricted cash.</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invests in marketable securities, primarily securities issued by the U.S. government and its agencies, commercial paper and corporate bonds. All marketable securities have been classified as available-for-sale and are carried at estimated fair value as determined based upon quoted market prices or pricing models for similar securities. Management determines the appropriate classification of its marketable debt securities at the time of purchase and reevaluates such designation at each balance sheet date. The Company evaluates securities for impairment at the end of each reporting period. Factors considered in the evaluation include whether a decline in fair value below the amortized cost basis is due to credit-related factors or non-credit-related factors, the financial condition and near-term prospect of the issuer, and the Company’s intent and ability to hold the investment to allow for anticipated recovery in fair value. A credit-related impairment is recognized as an allowance on the balance sheet with a corresponding adjustment to earnings. Any impairment that is not credit-related is reported as a component of other comprehensive loss. Realized gains and losses are included in other income (expense), net. The cost of securities sold is based on the specific-identification method. Interest earned on marketable securities is included in interest income.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estimated useful lives of the assets, generally three to five years. Leasehold improvements are amortized over the shorter of the assets’ expected lives or the remaining lease term. Costs for capital assets not yet placed into service are capitalized as construction in progress and are not depreciated until the asset is placed in service.</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Upon retirement or sale, the cost of disposed assets and their related accumulated depreciation are removed from the balance sheets. Any resulting gains or losses on dispositions of property and equipment are included as a component of other income (expense), net, within the Company’s statements of operations and comprehensive loss. Repair and maintenance costs, which are not considered improvements and do not extend the useful life of property and equipment, are expensed as incurred.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for Long-Lived Assets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Long-lived assets, including construction in progress, are reviewed for impairment annually or whenever events or changes in circumstances indicate that the carrying amount of an asset may not be recoverable. Recoverability of assets to be held and used is measured by comparing the carrying amount of an asset to the estimated undiscounted future net cash flows expected to be generated by the asset. If the carrying amount of the asset exceeds its estimated future cash flows, an impairment charge is recognized in the amount by which the carrying amount of the asset exceeds the fair value of the asset. Fair value is determined through various valuation techniques including discounted cash flow models, quoted market values and third-party independent appraisals, as considered necessary. There was no impairment of long-lived assets for any of the periods presented.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the rate implicit in the lease in determining the present value of lease payments and, if that rate is not readily determinable, the Company uses its incremental borrowing rate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The Company’s lease terms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8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may include options to extend or terminate the lease when it is reasonably certain that the Company will exercise that option. Lease expense for lease payments is recognized on a straight-line basis over the lease term.</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Company’s non-lease components are primarily related to property taxes, insurance, and common area maintenance, which vary based on future outcomes, and are recognized as rent expense when incurred.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among others, consulting fees, salaries, benefits, travel, stock-based compensation, laboratory supplies and other non-capital equipment utilized for in-house research, allocated facilities and overhead costs, fees related to licensing agreements, fees paid to contract research organizations that conduct research and development activities on the Company’s behalf and costs related to compliance with regulatory requirements.</w:t>
      </w:r>
    </w:p>
    <w:p>
      <w:pPr>
        <w:spacing w:after="0" w:line="72"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Goods or services incurred for research and development activities that have not yet been invoiced are recorded as liabilities within accrued expenses and other current liabilities on the Company’s balance sheets.</w:t>
      </w:r>
    </w:p>
    <w:p>
      <w:pPr>
        <w:spacing w:after="0" w:line="5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has and may continue to acquire the rights to licensed technology that represents in-process research and development to use and develop in the commercialization of new product candidates. The upfront payments made to acquire licenses, product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w:t>
      </w:r>
    </w:p>
    <w:p>
      <w:pPr>
        <w:spacing w:after="0" w:line="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rendered as part of future research and development activities are capitalized on the Company’s balance sheets until the goods or services are received.</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Classification between prepaid expenses and other current assets and other non-current assets is based on an evaluation of when the goods will be delivered and/or services will be performed, with such amounts subsequently amortized to expense once incurred.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and records expense related to all equity awards granted to employees and non-employees in the statements of operations and comprehensive loss based on their grant date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w:t>
      </w:r>
    </w:p>
    <w:p>
      <w:pPr>
        <w:spacing w:after="0" w:line="7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awards is determined on the date of grant based on the estimated fair value of the Company’s common stock on that date.</w:t>
      </w:r>
    </w:p>
    <w:p>
      <w:pPr>
        <w:spacing w:after="0" w:line="54"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determining the estimated fair value of options granted to employees and nonemployees, the Company uses the Black-Scholes option pricing model.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to the Company's financial statements for the specific assumptions used in applying the Black-Scholes valuation model.</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7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 valuation allowance is recorded for deferred tax assets if it is more likely than not that some portion or all of the deferred tax assets will not be realized. As of December 31, 2024 and 2023, the Company has recorded a full valuation allowance on its net deferred tax assets.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Tax benefits related to uncertain tax positions are recognized when it is more likely than not that a tax position will be sustained during an audit.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penalties, if any, related to unrecognized tax benefits are included within the provision for income tax.</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Basic net loss per share is calculated by dividing the net loss by the weighted-average number of shares of the Company’s common stock outstanding for the period, without consideration for potential dilutive shares of common stock. Basic shares of common stock outstanding include the weighted-average effect of the Company’s pre-funded warrants issued in November 2022 and February 2024 (see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because the pre-funded warrants have a nominal exercise price. As the Company is in a loss position for the periods presented, diluted net loss per share is the same as basic net loss per share, since the effects of potentially dilutive securities are antidilutive. Shares related to early exercised stock options that are subject to repurchase are excluded from the basic and diluted net loss per share calculation until the Company’s repurchase right lapses.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(a) is no longer an emerging growth company or (b)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(ASU 2023-07), which improves reportable segment disclosure requirements,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through enhanced disclosures about significant segment expenses. In addition, ASU 2023-07 enhances interim disclosure requirements, clarifies circumstances in which an entity can disclose multiple segment measures of profit or loss, provides new segment disclosure requirements for entities with a single reportable segment, and contains other disclosure requirements. ASU 2023-07 is effective for annual periods beginning after December 15, 2023, and interim periods beginning after December 15, 2024. The adoption of ASU 2023-07 did not have any effect on the Company's financial statements.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Segment Reporting </w:t>
      </w:r>
      <w:r>
        <w:rPr>
          <w:rFonts w:ascii="Times New Roman" w:cs="Times New Roman" w:eastAsia="Times New Roman" w:hAnsi="Times New Roman"/>
          <w:sz w:val="18"/>
          <w:szCs w:val="18"/>
          <w:color w:val="auto"/>
        </w:rPr>
        <w:t>to our financial statements for the disclosure pursuant to the adoption of ASU 2023-07.</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(Topic 220):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Disaggregation of Income Statement Expenses </w:t>
      </w:r>
      <w:r>
        <w:rPr>
          <w:rFonts w:ascii="Times New Roman" w:cs="Times New Roman" w:eastAsia="Times New Roman" w:hAnsi="Times New Roman"/>
          <w:sz w:val="18"/>
          <w:szCs w:val="18"/>
          <w:color w:val="auto"/>
        </w:rPr>
        <w:t>(ASU 2024-03), which requires public companies to disclose, in interim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reporting periods, additional information about certain expenses in the financial statements. The amendments in this ASU will be effective for annual periods beginning after December 15, 2026, and interim reporting periods beginning after December 15, 2027. Early adoption is permitted. The Company is evaluating the impact of this standard on its financial statements and related disclosures.</w:t>
      </w:r>
    </w:p>
    <w:p>
      <w:pPr>
        <w:spacing w:after="0" w:line="75"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disaggregated information about a reporting entity’s effective tax rate reconciliation as well as information on income taxes paid. ASU 2023-09 is effective for the Company beginning January 1, 2025. The Company is evaluating the impact of this standard on its financial statements and related disclosures.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Balance Sheet Components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7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7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6"/>
        </w:trPr>
        <w:tc>
          <w:tcPr>
            <w:tcW w:w="768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42"/>
        </w:trPr>
        <w:tc>
          <w:tcPr>
            <w:tcW w:w="76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42"/>
        </w:trPr>
        <w:tc>
          <w:tcPr>
            <w:tcW w:w="7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8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26,159</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25,608</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19,770</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19,973</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17,716</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18"/>
                <w:szCs w:val="18"/>
                <w:color w:val="auto"/>
              </w:rPr>
            </w:pPr>
          </w:p>
        </w:tc>
      </w:tr>
      <w:tr>
        <w:trPr>
          <w:trHeight w:val="210"/>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98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68,148</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67,617</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80" w:type="dxa"/>
            <w:vAlign w:val="bottom"/>
          </w:tcPr>
          <w:p>
            <w:pPr>
              <w:spacing w:after="0"/>
              <w:rPr>
                <w:sz w:val="18"/>
                <w:szCs w:val="18"/>
                <w:color w:val="auto"/>
              </w:rPr>
            </w:pPr>
          </w:p>
        </w:tc>
        <w:tc>
          <w:tcPr>
            <w:tcW w:w="9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6"/>
              </w:rPr>
              <w:t>(32,290 )</w:t>
            </w: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(24,340 )</w:t>
            </w:r>
          </w:p>
        </w:tc>
      </w:tr>
      <w:tr>
        <w:trPr>
          <w:trHeight w:val="249"/>
        </w:trPr>
        <w:tc>
          <w:tcPr>
            <w:tcW w:w="7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980" w:type="dxa"/>
            <w:vAlign w:val="bottom"/>
            <w:tcBorders>
              <w:top w:val="single" w:sz="8" w:color="auto"/>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43,277</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for the years ended December 31, 2024 and 2023 was $8.5 million and $8.7 million, respectively.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06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7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060" w:type="dxa"/>
            <w:vAlign w:val="bottom"/>
            <w:gridSpan w:val="2"/>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(In</w:t>
            </w: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106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5,087</w:t>
            </w:r>
          </w:p>
        </w:tc>
        <w:tc>
          <w:tcPr>
            <w:tcW w:w="7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5,929</w:t>
            </w:r>
          </w:p>
        </w:tc>
        <w:tc>
          <w:tcPr>
            <w:tcW w:w="3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-1542415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-1542415</wp:posOffset>
            </wp:positionV>
            <wp:extent cx="774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Facility Leases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December 2016, the Company entered into a lease agreement for office and laboratory space in South San Francisco, California. The lease was initially set to expire in May 2025 with two five-year renewal options. In June 2024, the Company amended the lease to extend the term to November 2027. Pursuant to the terms of the amended lease, the Company has one remaining five-year renewal option.</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February 2021, the Company entered into a lease agreement for office and manufacturing space in Union City, California. The lease commenced in May 2021 and has a ten-year term with one five-year renewal option.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related to operating lease activity during the years ended December 31, 2024 and 2023 was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30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280" w:type="dxa"/>
            <w:vAlign w:val="bottom"/>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w:t>
            </w:r>
          </w:p>
        </w:tc>
        <w:tc>
          <w:tcPr>
            <w:tcW w:w="1520" w:type="dxa"/>
            <w:vAlign w:val="bottom"/>
            <w:gridSpan w:val="2"/>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w w:val="85"/>
              </w:rPr>
              <w:t>thousands)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22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1520" w:type="dxa"/>
            <w:vAlign w:val="bottom"/>
            <w:gridSpan w:val="2"/>
            <w:shd w:val="clear" w:color="auto" w:fill="CFF0FC"/>
          </w:tcPr>
          <w:p>
            <w:pPr>
              <w:jc w:val="center"/>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tcPr>
          <w:p>
            <w:pPr>
              <w:spacing w:after="0"/>
              <w:rPr>
                <w:sz w:val="17"/>
                <w:szCs w:val="17"/>
                <w:color w:val="auto"/>
              </w:rPr>
            </w:pPr>
          </w:p>
        </w:tc>
      </w:tr>
      <w:tr>
        <w:trPr>
          <w:trHeight w:val="202"/>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Short-term lease cost</w:t>
            </w:r>
          </w:p>
        </w:tc>
        <w:tc>
          <w:tcPr>
            <w:tcW w:w="12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lease cost</w:t>
            </w:r>
          </w:p>
        </w:tc>
        <w:tc>
          <w:tcPr>
            <w:tcW w:w="122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1520" w:type="dxa"/>
            <w:vAlign w:val="bottom"/>
            <w:gridSpan w:val="2"/>
          </w:tcPr>
          <w:p>
            <w:pPr>
              <w:jc w:val="center"/>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100" w:type="dxa"/>
            <w:vAlign w:val="bottom"/>
          </w:tcPr>
          <w:p>
            <w:pPr>
              <w:spacing w:after="0"/>
              <w:rPr>
                <w:sz w:val="17"/>
                <w:szCs w:val="17"/>
                <w:color w:val="auto"/>
              </w:rPr>
            </w:pPr>
          </w:p>
        </w:tc>
      </w:tr>
      <w:tr>
        <w:trPr>
          <w:trHeight w:val="20"/>
        </w:trPr>
        <w:tc>
          <w:tcPr>
            <w:tcW w:w="7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2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lease obligations</w:t>
            </w:r>
          </w:p>
        </w:tc>
        <w:tc>
          <w:tcPr>
            <w:tcW w:w="122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1520" w:type="dxa"/>
            <w:vAlign w:val="bottom"/>
            <w:gridSpan w:val="2"/>
          </w:tcPr>
          <w:p>
            <w:pPr>
              <w:jc w:val="center"/>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22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5,277</w:t>
            </w:r>
          </w:p>
        </w:tc>
        <w:tc>
          <w:tcPr>
            <w:tcW w:w="1520" w:type="dxa"/>
            <w:vAlign w:val="bottom"/>
            <w:gridSpan w:val="2"/>
            <w:shd w:val="clear" w:color="auto" w:fill="CFF0FC"/>
          </w:tcPr>
          <w:p>
            <w:pPr>
              <w:jc w:val="center"/>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5,347</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-548005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Company’s operating leases had a weighted average remaining lease term of 4.8 years and a weighted average discount rate of 8.9%. Future minimum lease payments under the Company’s operating leases as of December 31, 2024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90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00" w:type="dxa"/>
            <w:vAlign w:val="bottom"/>
          </w:tcPr>
          <w:p>
            <w:pPr>
              <w:spacing w:after="0"/>
              <w:rPr>
                <w:sz w:val="18"/>
                <w:szCs w:val="18"/>
                <w:color w:val="auto"/>
              </w:rPr>
            </w:pPr>
          </w:p>
        </w:tc>
      </w:tr>
      <w:tr>
        <w:trPr>
          <w:trHeight w:val="216"/>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8"/>
                <w:szCs w:val="18"/>
                <w:color w:val="auto"/>
              </w:rPr>
            </w:pPr>
          </w:p>
        </w:tc>
      </w:tr>
      <w:tr>
        <w:trPr>
          <w:trHeight w:val="216"/>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Pr>
          <w:p>
            <w:pPr>
              <w:spacing w:after="0"/>
              <w:rPr>
                <w:sz w:val="18"/>
                <w:szCs w:val="18"/>
                <w:color w:val="auto"/>
              </w:rPr>
            </w:pPr>
          </w:p>
        </w:tc>
      </w:tr>
      <w:tr>
        <w:trPr>
          <w:trHeight w:val="210"/>
        </w:trPr>
        <w:tc>
          <w:tcPr>
            <w:tcW w:w="9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16,977</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Imputed interest</w:t>
            </w:r>
          </w:p>
        </w:tc>
        <w:tc>
          <w:tcPr>
            <w:tcW w:w="3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(3,369 )</w:t>
            </w:r>
          </w:p>
        </w:tc>
      </w:tr>
      <w:tr>
        <w:trPr>
          <w:trHeight w:val="250"/>
        </w:trPr>
        <w:tc>
          <w:tcPr>
            <w:tcW w:w="9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financial statements indicates that it is probable that a liability had been incurred at the date of the financial statements and (ii) the range of loss can be reasonably estimated. The Company was not involved in any material litigation as of December 31, 2024 and 2023.</w:t>
      </w:r>
    </w:p>
    <w:p>
      <w:pPr>
        <w:spacing w:after="0" w:line="7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December 31, 2024 and 2023, the Company did not have any material indemnification claims that were probable or reasonably possible and, consequently, has not recorded any related liabilities.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Term Loan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12529"/>
        </w:rPr>
        <w:t xml:space="preserve">On August 6, 2024, the Company entered into the Loan Agreement with SVB. </w:t>
      </w:r>
      <w:r>
        <w:rPr>
          <w:rFonts w:ascii="Times New Roman" w:cs="Times New Roman" w:eastAsia="Times New Roman" w:hAnsi="Times New Roman"/>
          <w:sz w:val="18"/>
          <w:szCs w:val="18"/>
          <w:color w:val="000000"/>
        </w:rPr>
        <w:t>Pursuant to the terms of the Loan Agreement, term loans in an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aggregate principal amount of up to $45 million may be made under multiple tranches. The tranches can be drawn as follows: the first tranche of up to $15.0 million became available on the closing date and is available for draw down through June 30, 2025; the second tranche of $5 million and the third tranche of $2.5 million became available in October 2024 and December 2024, respectively, upon the achievement of certain clinical milestones and are available for draw down through December 31, 2025; the fourth tranche of $2.5 million is subject to the achievement of a clinical milestone or satisfaction of certain capitalization requirements, and if achieved, would be available for draw down through December 31, 2025; and the final tranche of $20.0 million is available for drawn down through July 31, 2026, on such terms as may be agreed by the parties and subject to approval by SVB's credit committee. With the exception of the final tranche, and subject to achievement of the applicable milestones and other requirements with respect to each tranche, draw downs are at the Company's election. As of December 31, 2024, the Company has not drawn any funds under the Loan Agreement.</w:t>
      </w:r>
    </w:p>
    <w:p>
      <w:pPr>
        <w:spacing w:after="0" w:line="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Interest will accrue on the term loan advances at a rate per annum that is equal to the greater of 8.50% and the prime rate and will be payable monthly in arrears. Principal payments on any term loan advances that are borrowed would commence on January 1, 2026, subject to extension to July 1, 2026, upon the satisfaction of certain milestones.</w:t>
      </w:r>
    </w:p>
    <w:p>
      <w:pPr>
        <w:spacing w:after="0" w:line="6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As security for its obligations under the Loan Agreement, the Company granted SVB a security interest in substantially all of the assets of the Company, other than its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balance sheets and statements of stockholders’ equity includes shares related to early exercised options and restricted stock that are subject to repurchase. Common stock issued and outstanding is reduced for any repurchases of early exercised stock options and restricted stock.</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Lender Warrant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Loan Agreement, the Company issued to SVB a warrant to purchase up to 171,848 shares of our common stock (the Lender Warrant). </w:t>
      </w:r>
      <w:r>
        <w:rPr>
          <w:rFonts w:ascii="Times New Roman" w:cs="Times New Roman" w:eastAsia="Times New Roman" w:hAnsi="Times New Roman"/>
          <w:sz w:val="18"/>
          <w:szCs w:val="18"/>
          <w:color w:val="212529"/>
        </w:rPr>
        <w:t>The Lender Warrant became exercisable for 73,649 shares upon closing (the Initial Lender Warrant), which represented 0.075</w:t>
      </w:r>
      <w:r>
        <w:rPr>
          <w:rFonts w:ascii="Times New Roman" w:cs="Times New Roman" w:eastAsia="Times New Roman" w:hAnsi="Times New Roman"/>
          <w:sz w:val="18"/>
          <w:szCs w:val="18"/>
          <w:color w:val="auto"/>
        </w:rPr>
        <w:t xml:space="preserve">% of the Company's common stock and common stock equivalents outstanding as of the day before the closing, on a fully-diluted basis, at an exercise price of $2.55 per share. The Initial Lender Warrant was classified as equity and its fair value was recorded in the stockholders’ equity section of the balance sheet. </w:t>
      </w:r>
      <w:r>
        <w:rPr>
          <w:rFonts w:ascii="Times New Roman" w:cs="Times New Roman" w:eastAsia="Times New Roman" w:hAnsi="Times New Roman"/>
          <w:sz w:val="18"/>
          <w:szCs w:val="18"/>
          <w:color w:val="212529"/>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Lender Warrant will become exercisable for up to an additional 98,199 shares pro-rated based on amounts actually advanced for the various tranches under the Loan Agreement (the Remaining Lender Warrant). </w:t>
      </w:r>
      <w:r>
        <w:rPr>
          <w:rFonts w:ascii="Times New Roman" w:cs="Times New Roman" w:eastAsia="Times New Roman" w:hAnsi="Times New Roman"/>
          <w:sz w:val="18"/>
          <w:szCs w:val="18"/>
          <w:color w:val="000000"/>
        </w:rPr>
        <w:t>The Remaining Lender Warrant under the Loan Agreement is considered an outstanding instrument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upon closing of the Loan Agreement for accounting purposes. In accordance with Accounting Standards Codification (ASC) 815-40, </w:t>
      </w:r>
      <w:r>
        <w:rPr>
          <w:rFonts w:ascii="Times New Roman" w:cs="Times New Roman" w:eastAsia="Times New Roman" w:hAnsi="Times New Roman"/>
          <w:sz w:val="18"/>
          <w:szCs w:val="18"/>
          <w:i w:val="1"/>
          <w:iCs w:val="1"/>
          <w:color w:val="000000"/>
        </w:rPr>
        <w:t>Derivatives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Hedging - Contracts in Entity's Own Equity</w:t>
      </w:r>
      <w:r>
        <w:rPr>
          <w:rFonts w:ascii="Times New Roman" w:cs="Times New Roman" w:eastAsia="Times New Roman" w:hAnsi="Times New Roman"/>
          <w:sz w:val="18"/>
          <w:szCs w:val="18"/>
          <w:color w:val="000000"/>
        </w:rPr>
        <w:t>, the Remaining Lender Warrant is recognized at its fair value as a warrant liability given the variable</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settlement amount of the warrant shares and included in other non-current liabilities within the balance sheet. The Lender Warrant expires on August 6, 2034.</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August 10, 2022, the Company entered into a sales agreement (Sales Agreement) with Leerink Partners LLC (formerly SVB Securities LLC) to establish an at-the-market (ATM) offering defined in Rule 415 under the Securities Act. Pursuant to the Sales Agreement, the Company is permitted to offer and sell, from time to time, shares of its common stock having a maximum aggregate offering price of up to $75.0 million. As of December 31, 2024, the Company may issue and sell up to approximately $71.0 million in additional shares of its common stock under the ATM. On March 3, 2025, the Company suspended and terminated the prospectus related to its common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stock issuable pursuant to the Sales Agreement. As a result, the Company will not make any sales of our securities pursuant to the Sales Agreement unless and until a new prospectus, prospectus supplement or a new registration statement is filed.</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February 12, 2024, the Company completed an underwritten offering of 8,888,890 shares of its common stock at a price of $4.50 per share and, to an investor in lieu of common stock, pre-funded warrants to purchase 2,222,271 shares of its common stock at a price of $4.499 per pre-funded warrant. The pre-funded warrants can be exercised at any time after issuance for an exercise price of $0.001 per share, subject to certain ownership limitations. The Company received net proceeds of approximately $46.8 million, after deducting underwriting discounts and commissions of approximately $3.0 million and offering expenses of $0.2 million. As of December 31, 2024, all pre-funded warrants have been exercised for an exercise price of $0.001 per share.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total shares of common stock reserved for issuance, on an as-if converted basis, are as follows:</w:t>
      </w:r>
    </w:p>
    <w:p>
      <w:pPr>
        <w:spacing w:after="0" w:line="111"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6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stock options and awards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Lender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right="3320"/>
        <w:spacing w:after="0" w:line="250" w:lineRule="auto"/>
        <w:rPr>
          <w:sz w:val="20"/>
          <w:szCs w:val="20"/>
          <w:color w:val="auto"/>
        </w:rPr>
      </w:pPr>
      <w:r>
        <w:rPr>
          <w:rFonts w:ascii="Times New Roman" w:cs="Times New Roman" w:eastAsia="Times New Roman" w:hAnsi="Times New Roman"/>
          <w:sz w:val="18"/>
          <w:szCs w:val="18"/>
          <w:color w:val="auto"/>
        </w:rPr>
        <w:t>Shares available for further issuance under the 2024 Inducement Equity Incentive Plan Shares available for further issuance under the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20" w:right="3520" w:hanging="89"/>
        <w:spacing w:after="0" w:line="276" w:lineRule="auto"/>
        <w:rPr>
          <w:sz w:val="20"/>
          <w:szCs w:val="20"/>
          <w:color w:val="auto"/>
        </w:rPr>
      </w:pPr>
      <w:r>
        <w:rPr>
          <w:rFonts w:ascii="Times New Roman" w:cs="Times New Roman" w:eastAsia="Times New Roman" w:hAnsi="Times New Roman"/>
          <w:sz w:val="18"/>
          <w:szCs w:val="18"/>
          <w:color w:val="auto"/>
        </w:rPr>
        <w:t>Shares available for further issuance under the 2021 Employee Stock Purchase Plan Total</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Times New Roman" w:cs="Times New Roman" w:eastAsia="Times New Roman" w:hAnsi="Times New Roman"/>
          <w:sz w:val="18"/>
          <w:szCs w:val="18"/>
          <w:color w:val="auto"/>
        </w:rPr>
        <w:t>10,608,154</w:t>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171,848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1,188,000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1,791,393</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1,665,077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15,424,472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12344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31750</wp:posOffset>
            </wp:positionV>
            <wp:extent cx="12344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3" w:lineRule="exact"/>
        <w:rPr>
          <w:sz w:val="20"/>
          <w:szCs w:val="20"/>
          <w:color w:val="auto"/>
        </w:rPr>
      </w:pPr>
    </w:p>
    <w:p>
      <w:pPr>
        <w:sectPr>
          <w:pgSz w:w="11900" w:h="16838" w:orient="portrait"/>
          <w:cols w:equalWidth="0" w:num="2">
            <w:col w:w="9580" w:space="720"/>
            <w:col w:w="860"/>
          </w:cols>
          <w:pgMar w:left="320" w:top="1440" w:right="41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19" w:name="page120"/>
    <w:bookmarkEnd w:id="1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11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by level within the fair value hierarchy: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10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(12 )</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620" w:type="dxa"/>
            <w:vAlign w:val="bottom"/>
            <w:tcBorders>
              <w:bottom w:val="single" w:sz="8" w:color="CFF0FC"/>
            </w:tcBorders>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58,385</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380" w:type="dxa"/>
            <w:vAlign w:val="bottom"/>
          </w:tcPr>
          <w:p>
            <w:pPr>
              <w:spacing w:after="0"/>
              <w:rPr>
                <w:sz w:val="24"/>
                <w:szCs w:val="24"/>
                <w:color w:val="auto"/>
              </w:rPr>
            </w:pPr>
          </w:p>
        </w:tc>
        <w:tc>
          <w:tcPr>
            <w:tcW w:w="1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10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(18 )</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(15 )</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(82 )</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104,026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-2331085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-2331085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-2331085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-2331085</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Money market funds and U.S. treasury securities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w:t>
      </w:r>
    </w:p>
    <w:p>
      <w:pPr>
        <w:spacing w:after="0" w:line="75"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believes it is more likely than not that its marketable securities in an unrealized loss position will be held until maturity or the recovery of the cost basis of the investment. As of December 31, 2024,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8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Company has not recorded any allowance for credit losses on its investment securities. Based upon its quarterly impairment review, the Company determined that the unrealized losses were not attributed to credit risk, but were primarily driven by the broader change in interest rates.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all available-for-sale marketable securities had remaining maturities of less than one year.</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Company's financial liability measured at fair value on a recurring basis consists of the Remaining Lender Warrant issued in connection with the Loan Agreement (see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fair value of the warrant liability was determined based on significant inputs not observable in the market, which represents a Level 3 measurement within the fair value hierarchy. The Company utilized the Black-Scholes option valuation model to fair value the warrant liability. The fair value is estimated using the Black-Scholes option-pricing model and adjusted for the likelihood of draw downs. The expected term is based on the remaining contractual term of the warrant. The Company estimates its expected stock volatility based on the historical volatility of a set of peer companies, which are publicly traded, and expects to continue to do so until it has adequate historical data regarding the volatility of its own publicly-traded stock price. The risk-free interest rate is determined by reference to the U.S. Treasury yield curve in effect at the time of measurement for time periods approximately equal to the expected term of the Lender Warrant. The Company uses an expected dividend yield of zero based on the fact that the Company has never paid cash dividends and does not expect to pay cash dividends in the foreseeable future. The warrant liability is subject to re-measurement at each balance sheet date, and any change in fair value is recognized as a gain or loss in our statement of operations and comprehensive loss. During the year ended December 31, 2024, the fair value of the warrant liability and its change were not material.</w:t>
      </w:r>
    </w:p>
    <w:p>
      <w:pPr>
        <w:spacing w:after="0" w:line="8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remaining financial assets and liabilities, which include cash, receivables and payables, approximate their fair values due to their short-term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2024 Inducement Equity Incentive Plan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September 2024, the Board of Directors (the Board) adopted the Company's 2024 Inducement Equity Incentive Plan (the Inducement Plan), and subject to the adjustment provisions of the Inducement Plan, reserved 1,200,000 shares of the Company’s common stock for issuance pursuant to equity awards granted under the Inducement Plan. The Inducement Plan allows the Company to make equity awards to prospective employees of the Company as an inducement to such individual's commencement of employment with the Company.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shares reserved and available for grant under the Inducement Plan as of December 31, 2024, are 1,188,000.</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Under the Company's 2021 Equity Incentive Plan (2021 Plan), 4,000,000 shares of the Company’s common stock were initially reserved for issuance of equity awards to employees, directors, and consultants, under terms and provisions established by the Board. The number of shares of common stock available for issuance under the 2021 Plan automatically increases on the first day of January for a period of ten years, commencing on January 1, 2022, in an amount equal to the lesser of: 4,000,000 shares; 4% of the outstanding shares of the Company’s common stock as of the last day of the immediately preceding year; or such other amount as the Board may determine.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shares reserved and available for grant under the 2021 Plan as of December 31, 2024, are 1,791,393.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left="2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5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Pr>
          <w:p>
            <w:pPr>
              <w:jc w:val="center"/>
              <w:ind w:left="27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920" w:type="dxa"/>
            <w:vAlign w:val="bottom"/>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dollars)</w:t>
            </w:r>
          </w:p>
        </w:tc>
        <w:tc>
          <w:tcPr>
            <w:tcW w:w="22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8,343,434</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2,754,100</w:t>
            </w:r>
          </w:p>
        </w:tc>
        <w:tc>
          <w:tcPr>
            <w:tcW w:w="260" w:type="dxa"/>
            <w:vAlign w:val="bottom"/>
          </w:tcPr>
          <w:p>
            <w:pPr>
              <w:spacing w:after="0"/>
              <w:rPr>
                <w:sz w:val="18"/>
                <w:szCs w:val="18"/>
                <w:color w:val="auto"/>
              </w:rPr>
            </w:pPr>
          </w:p>
        </w:tc>
        <w:tc>
          <w:tcPr>
            <w:tcW w:w="92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(50,945 )</w:t>
            </w:r>
          </w:p>
        </w:tc>
        <w:tc>
          <w:tcPr>
            <w:tcW w:w="92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(1,792,613 )</w:t>
            </w:r>
          </w:p>
        </w:tc>
        <w:tc>
          <w:tcPr>
            <w:tcW w:w="92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9,253,976</w:t>
            </w:r>
          </w:p>
        </w:tc>
        <w:tc>
          <w:tcPr>
            <w:tcW w:w="2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4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2024</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5,339,995</w:t>
            </w:r>
          </w:p>
        </w:tc>
        <w:tc>
          <w:tcPr>
            <w:tcW w:w="260" w:type="dxa"/>
            <w:vAlign w:val="bottom"/>
          </w:tcPr>
          <w:p>
            <w:pPr>
              <w:spacing w:after="0"/>
              <w:rPr>
                <w:sz w:val="17"/>
                <w:szCs w:val="17"/>
                <w:color w:val="auto"/>
              </w:rPr>
            </w:pPr>
          </w:p>
        </w:tc>
        <w:tc>
          <w:tcPr>
            <w:tcW w:w="920" w:type="dxa"/>
            <w:vAlign w:val="bottom"/>
          </w:tcPr>
          <w:p>
            <w:pPr>
              <w:jc w:val="right"/>
              <w:ind w:right="738"/>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7.29</w:t>
            </w:r>
          </w:p>
        </w:tc>
        <w:tc>
          <w:tcPr>
            <w:tcW w:w="1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6.56</w:t>
            </w:r>
          </w:p>
        </w:tc>
        <w:tc>
          <w:tcPr>
            <w:tcW w:w="4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-187960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the value of the Company’s closing stock price on the last trading day of the year in excess of the weighted-average exercise price multiplied by the number of options outstanding or exercisable. The total intrinsic value of options exercised during the years ended December 31, 2024 and 2023, was $74.9 thousand and $36.7 thousand, respectively.</w:t>
      </w:r>
    </w:p>
    <w:p>
      <w:pPr>
        <w:spacing w:after="0" w:line="6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2024 and 2023 was $3.73 and $2.62 per share, respectively.</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$16.2 million of unrecognized stock-based compensation cost related to stock options, which is expected to be recognized over an estimated weighted-average period of 2.3 years.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Company’s stock option awards is estimated on the date of grant using the Black-Scholes option pricing model using the following assumptions:</w:t>
      </w:r>
    </w:p>
    <w:p>
      <w:pPr>
        <w:spacing w:after="0" w:line="5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assumptions used to determine the fair value of options granted were as follows. Each of these inputs is subjective, involve inherent uncertainties, and generally requires significant judgment. The assumptions used to determine the fair value of the awards represent management’s best estimates.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0" w:type="dxa"/>
            <w:vAlign w:val="bottom"/>
          </w:tcPr>
          <w:p>
            <w:pPr>
              <w:spacing w:after="0"/>
              <w:rPr>
                <w:sz w:val="17"/>
                <w:szCs w:val="17"/>
                <w:color w:val="auto"/>
              </w:rPr>
            </w:pPr>
          </w:p>
        </w:tc>
      </w:tr>
      <w:tr>
        <w:trPr>
          <w:trHeight w:val="215"/>
        </w:trPr>
        <w:tc>
          <w:tcPr>
            <w:tcW w:w="73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199"/>
        </w:trPr>
        <w:tc>
          <w:tcPr>
            <w:tcW w:w="7300" w:type="dxa"/>
            <w:vAlign w:val="bottom"/>
          </w:tcPr>
          <w:p>
            <w:pPr>
              <w:spacing w:after="0"/>
              <w:rPr>
                <w:sz w:val="17"/>
                <w:szCs w:val="17"/>
                <w:color w:val="auto"/>
              </w:rPr>
            </w:pPr>
          </w:p>
        </w:tc>
        <w:tc>
          <w:tcPr>
            <w:tcW w:w="1420" w:type="dxa"/>
            <w:vAlign w:val="bottom"/>
            <w:tcBorders>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bottom w:val="single" w:sz="8" w:color="auto"/>
            </w:tcBorders>
            <w:gridSpan w:val="2"/>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6.1</w:t>
            </w:r>
          </w:p>
        </w:tc>
        <w:tc>
          <w:tcPr>
            <w:tcW w:w="1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6.1</w:t>
            </w:r>
          </w:p>
        </w:tc>
      </w:tr>
      <w:tr>
        <w:trPr>
          <w:trHeight w:val="20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93%</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95%</w:t>
            </w:r>
          </w:p>
        </w:tc>
      </w:tr>
      <w:tr>
        <w:trPr>
          <w:trHeight w:val="203"/>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4.5%</w:t>
            </w:r>
          </w:p>
        </w:tc>
        <w:tc>
          <w:tcPr>
            <w:tcW w:w="1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4.5%</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420" w:type="dxa"/>
            <w:vAlign w:val="bottom"/>
            <w:gridSpan w:val="2"/>
          </w:tcPr>
          <w:p>
            <w:pPr>
              <w:jc w:val="center"/>
              <w:ind w:left="3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w:t>
            </w:r>
          </w:p>
        </w:tc>
      </w:tr>
    </w:tbl>
    <w:p>
      <w:pPr>
        <w:spacing w:after="0" w:line="80" w:lineRule="exact"/>
        <w:rPr>
          <w:sz w:val="20"/>
          <w:szCs w:val="20"/>
          <w:color w:val="auto"/>
        </w:rPr>
      </w:pPr>
    </w:p>
    <w:p>
      <w:pPr>
        <w:ind w:left="520" w:right="120"/>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Company determines the expected term, which represents the period that stock-based awards are expected to be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the simplified method due to its limited operating history, which is presumed to be the mid-point between the contractual term and the vesting period.</w:t>
      </w:r>
    </w:p>
    <w:p>
      <w:pPr>
        <w:spacing w:after="0" w:line="65" w:lineRule="exact"/>
        <w:rPr>
          <w:sz w:val="20"/>
          <w:szCs w:val="20"/>
          <w:color w:val="auto"/>
        </w:rPr>
      </w:pPr>
    </w:p>
    <w:p>
      <w:pPr>
        <w:ind w:left="520" w:right="280"/>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As there is limited trading history for the Company’s common stock, the Company determines its computation of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w:t>
      </w:r>
    </w:p>
    <w:p>
      <w:pPr>
        <w:spacing w:after="0" w:line="72" w:lineRule="exact"/>
        <w:rPr>
          <w:sz w:val="20"/>
          <w:szCs w:val="20"/>
          <w:color w:val="auto"/>
        </w:rPr>
      </w:pPr>
    </w:p>
    <w:p>
      <w:pPr>
        <w:ind w:left="520" w:right="56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Company bases the risk-free interest rate on U.S. Treasury zero coupon issues in effect at the time of grant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corresponding with the expected term assumption.</w:t>
      </w:r>
    </w:p>
    <w:p>
      <w:pPr>
        <w:spacing w:after="0" w:line="50" w:lineRule="exact"/>
        <w:rPr>
          <w:sz w:val="20"/>
          <w:szCs w:val="20"/>
          <w:color w:val="auto"/>
        </w:rPr>
      </w:pPr>
    </w:p>
    <w:p>
      <w:pPr>
        <w:ind w:left="520" w:right="2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expected dividend yield is assumed to be zero as the Company has never paid and has no plans to pay any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its common stock.</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Restricted stock units (RSUs) are awards that entitle the holder to receive freely tradable shares of the Company’s common stock upon the completion of a specific period of continued service. RSUs generally vest over a two to four year period and are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5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2"/>
        </w:trPr>
        <w:tc>
          <w:tcPr>
            <w:tcW w:w="522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8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02"/>
        </w:trPr>
        <w:tc>
          <w:tcPr>
            <w:tcW w:w="52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dollars)</w:t>
            </w:r>
          </w:p>
        </w:tc>
        <w:tc>
          <w:tcPr>
            <w:tcW w:w="220" w:type="dxa"/>
            <w:vAlign w:val="bottom"/>
          </w:tcPr>
          <w:p>
            <w:pPr>
              <w:spacing w:after="0"/>
              <w:rPr>
                <w:sz w:val="17"/>
                <w:szCs w:val="17"/>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7"/>
                <w:szCs w:val="17"/>
                <w:color w:val="auto"/>
              </w:rPr>
            </w:pPr>
          </w:p>
        </w:tc>
      </w:tr>
      <w:tr>
        <w:trPr>
          <w:trHeight w:val="203"/>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Unvested as of December 31, 2023</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1,088,276</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2"/>
              </w:rPr>
              <w:t>3.34</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1,314,865</w:t>
            </w:r>
          </w:p>
        </w:tc>
        <w:tc>
          <w:tcPr>
            <w:tcW w:w="260" w:type="dxa"/>
            <w:vAlign w:val="bottom"/>
          </w:tcPr>
          <w:p>
            <w:pPr>
              <w:spacing w:after="0"/>
              <w:rPr>
                <w:sz w:val="17"/>
                <w:szCs w:val="17"/>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4.52</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Vested</w:t>
            </w: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(692,096 )</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2"/>
              </w:rPr>
              <w:t>3.51</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(356,867 )</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4.32</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Unvested as of December 31, 2024</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1,354,178</w:t>
            </w:r>
          </w:p>
        </w:tc>
        <w:tc>
          <w:tcPr>
            <w:tcW w:w="2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2"/>
              </w:rPr>
              <w:t>4.14</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-24765</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$4.9 million of unrecognized stock-based compensation cost related to RSUs, which is expected to be recognized over an estimated weighted-average period of 2.2 years.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Under the Company's 2021 Employee Stock Purchase Plan (ESPP), the Company initially reserved 800,000 shares for future issuance. The number of shares of common stock available for issuance under the ESPP automatically increases on the first day of each fiscal year beginning with 2022 in an amount equal to the lesser of: 800,000 shares; 1% of the outstanding shares of the Company’s common stock as of the last day of the immediately preceding year; or such other amount as the Board may determine. As of December 31, 2024, 1,665,077 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6 months. The ESPP permits eligible employees to purchase common stock through payroll deductions for up to 15% of qualified compensation, up to an annual limit of $25,000 per the Internal Revenue Service. The first offering period commenced in January 2022. For the years ended December 30, 2024 and 2023, the stock-based compensation expense for ESPP was not material.</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recognized in the Company’s statements of operations and comprehensive loss: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2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3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300" w:type="dxa"/>
            <w:vAlign w:val="bottom"/>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96"/>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8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8,200</w:t>
            </w:r>
          </w:p>
        </w:tc>
        <w:tc>
          <w:tcPr>
            <w:tcW w:w="840" w:type="dxa"/>
            <w:vAlign w:val="bottom"/>
            <w:gridSpan w:val="2"/>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7,039</w:t>
            </w:r>
          </w:p>
        </w:tc>
        <w:tc>
          <w:tcPr>
            <w:tcW w:w="100" w:type="dxa"/>
            <w:vAlign w:val="bottom"/>
            <w:shd w:val="clear" w:color="auto" w:fill="CFF0FC"/>
          </w:tcPr>
          <w:p>
            <w:pPr>
              <w:spacing w:after="0"/>
              <w:rPr>
                <w:sz w:val="17"/>
                <w:szCs w:val="17"/>
                <w:color w:val="auto"/>
              </w:rPr>
            </w:pPr>
          </w:p>
        </w:tc>
      </w:tr>
      <w:tr>
        <w:trPr>
          <w:trHeight w:val="20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8,302</w:t>
            </w:r>
          </w:p>
        </w:tc>
        <w:tc>
          <w:tcPr>
            <w:tcW w:w="3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8,270</w:t>
            </w:r>
          </w:p>
        </w:tc>
        <w:tc>
          <w:tcPr>
            <w:tcW w:w="100" w:type="dxa"/>
            <w:vAlign w:val="bottom"/>
          </w:tcPr>
          <w:p>
            <w:pPr>
              <w:spacing w:after="0"/>
              <w:rPr>
                <w:sz w:val="17"/>
                <w:szCs w:val="17"/>
                <w:color w:val="auto"/>
              </w:rPr>
            </w:pPr>
          </w:p>
        </w:tc>
      </w:tr>
      <w:tr>
        <w:trPr>
          <w:trHeight w:val="236"/>
        </w:trPr>
        <w:tc>
          <w:tcPr>
            <w:tcW w:w="73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180" w:type="dxa"/>
            <w:vAlign w:val="bottom"/>
            <w:tcBorders>
              <w:bottom w:val="single" w:sz="8" w:color="auto"/>
            </w:tcBorders>
            <w:shd w:val="clear" w:color="auto" w:fill="CFF0FC"/>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16,502</w:t>
            </w:r>
          </w:p>
        </w:tc>
        <w:tc>
          <w:tcPr>
            <w:tcW w:w="3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15,309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No provision for or benefit from income taxes was recorded during the years ended December 31, 2024 and 2023. The Company has established a full valuation allowance against its net deferred tax assets due to the uncertainty regarding the realization of such assets. All losses to date have been incurred in the United States. Deferred income taxes reflect the net tax effects of temporary differences between the carrying amounts of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liabilities for financial reporting purposes and the amounts used for income tax purposes, as well as operating losses and tax credit carryforwards.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 Reconciliation</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effective tax rate of the Company’s provision for income taxes differs from the federal statutory rate and the effective tax rate reconciliation is as follows:</w:t>
      </w:r>
    </w:p>
    <w:p>
      <w:pPr>
        <w:spacing w:after="0" w:line="56"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80" w:type="dxa"/>
            <w:vAlign w:val="bottom"/>
          </w:tcPr>
          <w:p>
            <w:pPr>
              <w:spacing w:after="0"/>
              <w:rPr>
                <w:sz w:val="17"/>
                <w:szCs w:val="17"/>
                <w:color w:val="auto"/>
              </w:rPr>
            </w:pPr>
          </w:p>
        </w:tc>
        <w:tc>
          <w:tcPr>
            <w:tcW w:w="17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500" w:type="dxa"/>
            <w:vAlign w:val="bottom"/>
            <w:tcBorders>
              <w:top w:val="single" w:sz="8" w:color="auto"/>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r>
      <w:tr>
        <w:trPr>
          <w:trHeight w:val="196"/>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taxes at statutory rate</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21.0 %</w:t>
            </w:r>
          </w:p>
        </w:tc>
        <w:tc>
          <w:tcPr>
            <w:tcW w:w="2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21.0 %</w:t>
            </w:r>
          </w:p>
        </w:tc>
      </w:tr>
      <w:tr>
        <w:trPr>
          <w:trHeight w:val="20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7"/>
                <w:szCs w:val="17"/>
                <w:color w:val="auto"/>
              </w:rPr>
            </w:pPr>
          </w:p>
        </w:tc>
      </w:tr>
      <w:tr>
        <w:trPr>
          <w:trHeight w:val="203"/>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Credits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20" w:type="dxa"/>
            <w:vAlign w:val="bottom"/>
            <w:shd w:val="clear" w:color="auto" w:fill="CFF0FC"/>
          </w:tcPr>
          <w:p>
            <w:pPr>
              <w:spacing w:after="0"/>
              <w:rPr>
                <w:sz w:val="17"/>
                <w:szCs w:val="17"/>
                <w:color w:val="auto"/>
              </w:rPr>
            </w:pPr>
          </w:p>
        </w:tc>
        <w:tc>
          <w:tcPr>
            <w:tcW w:w="2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shd w:val="clear" w:color="auto" w:fill="CFF0FC"/>
          </w:tcPr>
          <w:p>
            <w:pPr>
              <w:spacing w:after="0"/>
              <w:rPr>
                <w:sz w:val="17"/>
                <w:szCs w:val="17"/>
                <w:color w:val="auto"/>
              </w:rPr>
            </w:pPr>
          </w:p>
        </w:tc>
      </w:tr>
      <w:tr>
        <w:trPr>
          <w:trHeight w:val="20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(0.2 )</w:t>
            </w:r>
          </w:p>
        </w:tc>
        <w:tc>
          <w:tcPr>
            <w:tcW w:w="2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(0.3 )</w:t>
            </w:r>
          </w:p>
        </w:tc>
      </w:tr>
      <w:tr>
        <w:trPr>
          <w:trHeight w:val="203"/>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1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(22.6 )</w:t>
            </w:r>
          </w:p>
        </w:tc>
        <w:tc>
          <w:tcPr>
            <w:tcW w:w="2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(24.4 )</w:t>
            </w:r>
          </w:p>
        </w:tc>
      </w:tr>
      <w:tr>
        <w:trPr>
          <w:trHeight w:val="20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6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(1.9 )</w:t>
            </w:r>
          </w:p>
        </w:tc>
        <w:tc>
          <w:tcPr>
            <w:tcW w:w="2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(1.2 )</w:t>
            </w:r>
          </w:p>
        </w:tc>
      </w:tr>
      <w:tr>
        <w:trPr>
          <w:trHeight w:val="236"/>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6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FF0FC"/>
            </w:tcBorders>
            <w:shd w:val="clear" w:color="auto" w:fill="CFF0FC"/>
          </w:tcPr>
          <w:p>
            <w:pPr>
              <w:spacing w:after="0"/>
              <w:rPr>
                <w:sz w:val="20"/>
                <w:szCs w:val="20"/>
                <w:color w:val="auto"/>
              </w:rPr>
            </w:pPr>
          </w:p>
        </w:tc>
        <w:tc>
          <w:tcPr>
            <w:tcW w:w="2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1028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1028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significant items comprising the Company’s deferred income taxes are as follows</w:t>
      </w:r>
      <w:r>
        <w:rPr>
          <w:rFonts w:ascii="Times New Roman" w:cs="Times New Roman" w:eastAsia="Times New Roman" w:hAnsi="Times New Roman"/>
          <w:sz w:val="18"/>
          <w:szCs w:val="18"/>
          <w:b w:val="1"/>
          <w:bCs w:val="1"/>
          <w:color w:val="auto"/>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5800" w:type="dxa"/>
            <w:vAlign w:val="bottom"/>
          </w:tcPr>
          <w:p>
            <w:pPr>
              <w:spacing w:after="0"/>
              <w:rPr>
                <w:sz w:val="17"/>
                <w:szCs w:val="17"/>
                <w:color w:val="auto"/>
              </w:rPr>
            </w:pPr>
          </w:p>
        </w:tc>
        <w:tc>
          <w:tcPr>
            <w:tcW w:w="1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96"/>
        </w:trPr>
        <w:tc>
          <w:tcPr>
            <w:tcW w:w="5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w:t>
            </w:r>
          </w:p>
        </w:tc>
        <w:tc>
          <w:tcPr>
            <w:tcW w:w="11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0"/>
              </w:rPr>
              <w:t>thousands)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6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operating losses</w:t>
            </w:r>
          </w:p>
        </w:tc>
        <w:tc>
          <w:tcPr>
            <w:tcW w:w="1620" w:type="dxa"/>
            <w:vAlign w:val="bottom"/>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66,609</w:t>
            </w:r>
          </w:p>
        </w:tc>
        <w:tc>
          <w:tcPr>
            <w:tcW w:w="420" w:type="dxa"/>
            <w:vAlign w:val="bottom"/>
          </w:tcPr>
          <w:p>
            <w:pPr>
              <w:spacing w:after="0"/>
              <w:rPr>
                <w:sz w:val="17"/>
                <w:szCs w:val="17"/>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52,757</w:t>
            </w:r>
          </w:p>
        </w:tc>
        <w:tc>
          <w:tcPr>
            <w:tcW w:w="100" w:type="dxa"/>
            <w:vAlign w:val="bottom"/>
          </w:tcPr>
          <w:p>
            <w:pPr>
              <w:spacing w:after="0"/>
              <w:rPr>
                <w:sz w:val="17"/>
                <w:szCs w:val="17"/>
                <w:color w:val="auto"/>
              </w:rPr>
            </w:pPr>
          </w:p>
        </w:tc>
      </w:tr>
      <w:tr>
        <w:trPr>
          <w:trHeight w:val="203"/>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Capitalized research and development expenditure</w:t>
            </w:r>
          </w:p>
        </w:tc>
        <w:tc>
          <w:tcPr>
            <w:tcW w:w="16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36,151</w:t>
            </w:r>
          </w:p>
        </w:tc>
        <w:tc>
          <w:tcPr>
            <w:tcW w:w="4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29,318</w:t>
            </w: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credits</w:t>
            </w:r>
          </w:p>
        </w:tc>
        <w:tc>
          <w:tcPr>
            <w:tcW w:w="16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19,292</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15,047</w:t>
            </w:r>
          </w:p>
        </w:tc>
        <w:tc>
          <w:tcPr>
            <w:tcW w:w="100" w:type="dxa"/>
            <w:vAlign w:val="bottom"/>
          </w:tcPr>
          <w:p>
            <w:pPr>
              <w:spacing w:after="0"/>
              <w:rPr>
                <w:sz w:val="17"/>
                <w:szCs w:val="17"/>
                <w:color w:val="auto"/>
              </w:rPr>
            </w:pPr>
          </w:p>
        </w:tc>
      </w:tr>
      <w:tr>
        <w:trPr>
          <w:trHeight w:val="203"/>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3,624</w:t>
            </w:r>
          </w:p>
        </w:tc>
        <w:tc>
          <w:tcPr>
            <w:tcW w:w="4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100" w:type="dxa"/>
            <w:vAlign w:val="bottom"/>
            <w:shd w:val="clear" w:color="auto" w:fill="CFF0FC"/>
          </w:tcPr>
          <w:p>
            <w:pPr>
              <w:spacing w:after="0"/>
              <w:rPr>
                <w:sz w:val="17"/>
                <w:szCs w:val="17"/>
                <w:color w:val="auto"/>
              </w:rPr>
            </w:pPr>
          </w:p>
        </w:tc>
      </w:tr>
      <w:tr>
        <w:trPr>
          <w:trHeight w:val="202"/>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 Liability</w:t>
            </w:r>
          </w:p>
        </w:tc>
        <w:tc>
          <w:tcPr>
            <w:tcW w:w="16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100" w:type="dxa"/>
            <w:vAlign w:val="bottom"/>
          </w:tcPr>
          <w:p>
            <w:pPr>
              <w:spacing w:after="0"/>
              <w:rPr>
                <w:sz w:val="17"/>
                <w:szCs w:val="17"/>
                <w:color w:val="auto"/>
              </w:rPr>
            </w:pPr>
          </w:p>
        </w:tc>
      </w:tr>
      <w:tr>
        <w:trPr>
          <w:trHeight w:val="203"/>
        </w:trPr>
        <w:tc>
          <w:tcPr>
            <w:tcW w:w="58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Accrued expenses and other</w:t>
            </w:r>
          </w:p>
        </w:tc>
        <w:tc>
          <w:tcPr>
            <w:tcW w:w="16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4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6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104,328</w:t>
            </w:r>
          </w:p>
        </w:tc>
        <w:tc>
          <w:tcPr>
            <w:tcW w:w="100" w:type="dxa"/>
            <w:vAlign w:val="bottom"/>
          </w:tcPr>
          <w:p>
            <w:pPr>
              <w:spacing w:after="0"/>
              <w:rPr>
                <w:sz w:val="17"/>
                <w:szCs w:val="17"/>
                <w:color w:val="auto"/>
              </w:rPr>
            </w:pPr>
          </w:p>
        </w:tc>
      </w:tr>
      <w:tr>
        <w:trPr>
          <w:trHeight w:val="203"/>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Valuation allowance</w:t>
            </w:r>
          </w:p>
        </w:tc>
        <w:tc>
          <w:tcPr>
            <w:tcW w:w="16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(126,332 )</w:t>
            </w:r>
          </w:p>
        </w:tc>
        <w:tc>
          <w:tcPr>
            <w:tcW w:w="68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(101,290 )</w:t>
            </w:r>
          </w:p>
        </w:tc>
      </w:tr>
      <w:tr>
        <w:trPr>
          <w:trHeight w:val="196"/>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Deferred tax assets, net of valuation allowance</w:t>
            </w:r>
          </w:p>
        </w:tc>
        <w:tc>
          <w:tcPr>
            <w:tcW w:w="16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420" w:type="dxa"/>
            <w:vAlign w:val="bottom"/>
            <w:tcBorders>
              <w:top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100" w:type="dxa"/>
            <w:vAlign w:val="bottom"/>
            <w:tcBorders>
              <w:top w:val="single" w:sz="8" w:color="CFF0FC"/>
            </w:tcBorders>
          </w:tcPr>
          <w:p>
            <w:pPr>
              <w:spacing w:after="0"/>
              <w:rPr>
                <w:sz w:val="17"/>
                <w:szCs w:val="17"/>
                <w:color w:val="auto"/>
              </w:rPr>
            </w:pPr>
          </w:p>
        </w:tc>
      </w:tr>
      <w:tr>
        <w:trPr>
          <w:trHeight w:val="19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Right-of-use asset</w:t>
            </w:r>
          </w:p>
        </w:tc>
        <w:tc>
          <w:tcPr>
            <w:tcW w:w="1620" w:type="dxa"/>
            <w:vAlign w:val="bottom"/>
          </w:tcPr>
          <w:p>
            <w:pPr>
              <w:spacing w:after="0"/>
              <w:rPr>
                <w:sz w:val="17"/>
                <w:szCs w:val="17"/>
                <w:color w:val="auto"/>
              </w:rPr>
            </w:pPr>
          </w:p>
        </w:tc>
        <w:tc>
          <w:tcPr>
            <w:tcW w:w="126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(2,500 )</w:t>
            </w:r>
          </w:p>
        </w:tc>
        <w:tc>
          <w:tcPr>
            <w:tcW w:w="680" w:type="dxa"/>
            <w:vAlign w:val="bottom"/>
          </w:tcPr>
          <w:p>
            <w:pPr>
              <w:spacing w:after="0"/>
              <w:rPr>
                <w:sz w:val="17"/>
                <w:szCs w:val="17"/>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(2,098 )</w:t>
            </w:r>
          </w:p>
        </w:tc>
      </w:tr>
      <w:tr>
        <w:trPr>
          <w:trHeight w:val="203"/>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Property and equipment</w:t>
            </w:r>
          </w:p>
        </w:tc>
        <w:tc>
          <w:tcPr>
            <w:tcW w:w="16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(894 )</w:t>
            </w:r>
          </w:p>
        </w:tc>
        <w:tc>
          <w:tcPr>
            <w:tcW w:w="68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(940 )</w:t>
            </w:r>
          </w:p>
        </w:tc>
      </w:tr>
      <w:tr>
        <w:trPr>
          <w:trHeight w:val="196"/>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1620" w:type="dxa"/>
            <w:vAlign w:val="bottom"/>
            <w:tcBorders>
              <w:top w:val="single" w:sz="8" w:color="auto"/>
              <w:bottom w:val="single" w:sz="8" w:color="auto"/>
            </w:tcBorders>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-959485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-693420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-162560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Beginning January 1, 2022, the Tax Cuts and Jobs Act eliminated the option to deduct research and development expenditures in the current year and requires taxpayers to capitalize such expenses pursuant to Internal Revenue Code (IRC) Section 174. The capitalized expenses are amortized over a 5-year period for domestic expenses and a 15-year period for foreign expenses.</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tax benefit of net operating losses, capitalized research expenses, temporary differences and credit carryforwards are recorded as an asset to the extent that the Company assesses that realization is more likely than not. Realization of the future tax benefits is dependent on the Company’s ability to generate sufficient taxable income within the carryforward period. As a result of the Company’s recent history of operating losses, the Company believes that recognition of deferred tax assets arising from the above-mentioned future tax benefits is currently not likely to be realized and, accordingly, has provided a full valuation allowance. The valuation allowance increased by $25.0 million and $30.2 million during the years ended December 31, 2024 and 2023. The increase in valuation allowance during the year ended December 31, 2024, was primarily due to the increase in deferred tax assets from 2024 federal net operating losses and the IRC Section 174 capitalized expenses.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 and Tax Credit Carryforwards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the Company’s net operating loss and tax carryforwards are summarized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5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Expiration in years</w:t>
            </w:r>
          </w:p>
        </w:tc>
      </w:tr>
      <w:tr>
        <w:trPr>
          <w:trHeight w:val="19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operating losses, federal (post-December 31, 2017)</w:t>
            </w:r>
          </w:p>
        </w:tc>
        <w:tc>
          <w:tcPr>
            <w:tcW w:w="1720" w:type="dxa"/>
            <w:vAlign w:val="bottom"/>
            <w:shd w:val="clear" w:color="auto" w:fill="CFF0FC"/>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291,837</w:t>
            </w:r>
          </w:p>
        </w:tc>
        <w:tc>
          <w:tcPr>
            <w:tcW w:w="420" w:type="dxa"/>
            <w:vAlign w:val="bottom"/>
            <w:shd w:val="clear" w:color="auto" w:fill="CFF0FC"/>
          </w:tcPr>
          <w:p>
            <w:pPr>
              <w:spacing w:after="0"/>
              <w:rPr>
                <w:sz w:val="17"/>
                <w:szCs w:val="17"/>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Do Not Expire</w:t>
            </w:r>
          </w:p>
        </w:tc>
      </w:tr>
      <w:tr>
        <w:trPr>
          <w:trHeight w:val="20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operating losses, federal (pre-January 1, 2018)</w:t>
            </w:r>
          </w:p>
        </w:tc>
        <w:tc>
          <w:tcPr>
            <w:tcW w:w="1720" w:type="dxa"/>
            <w:vAlign w:val="bottom"/>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29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2036 - 2037</w:t>
            </w:r>
          </w:p>
        </w:tc>
      </w:tr>
      <w:tr>
        <w:trPr>
          <w:trHeight w:val="20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operating losses, state</w:t>
            </w:r>
          </w:p>
        </w:tc>
        <w:tc>
          <w:tcPr>
            <w:tcW w:w="1720" w:type="dxa"/>
            <w:vAlign w:val="bottom"/>
            <w:shd w:val="clear" w:color="auto" w:fill="CFF0FC"/>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63,519</w:t>
            </w:r>
          </w:p>
        </w:tc>
        <w:tc>
          <w:tcPr>
            <w:tcW w:w="29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2036 - 2040</w:t>
            </w:r>
          </w:p>
        </w:tc>
      </w:tr>
      <w:tr>
        <w:trPr>
          <w:trHeight w:val="20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credits, federal</w:t>
            </w:r>
          </w:p>
        </w:tc>
        <w:tc>
          <w:tcPr>
            <w:tcW w:w="1720" w:type="dxa"/>
            <w:vAlign w:val="bottom"/>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19,339</w:t>
            </w:r>
          </w:p>
        </w:tc>
        <w:tc>
          <w:tcPr>
            <w:tcW w:w="29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2040 - 2044</w:t>
            </w:r>
          </w:p>
        </w:tc>
      </w:tr>
      <w:tr>
        <w:trPr>
          <w:trHeight w:val="20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credits, state</w:t>
            </w:r>
          </w:p>
        </w:tc>
        <w:tc>
          <w:tcPr>
            <w:tcW w:w="1720" w:type="dxa"/>
            <w:vAlign w:val="bottom"/>
            <w:shd w:val="clear" w:color="auto" w:fill="CFF0FC"/>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420" w:type="dxa"/>
            <w:vAlign w:val="bottom"/>
            <w:shd w:val="clear" w:color="auto" w:fill="CFF0FC"/>
          </w:tcPr>
          <w:p>
            <w:pPr>
              <w:spacing w:after="0"/>
              <w:rPr>
                <w:sz w:val="17"/>
                <w:szCs w:val="17"/>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Do Not Expire</w:t>
            </w:r>
          </w:p>
        </w:tc>
      </w:tr>
    </w:tbl>
    <w:p>
      <w:pPr>
        <w:spacing w:after="0" w:line="9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ability to utilize net operating loss carryforwards or other tax attributes, such as research tax credits, in any taxable year may be limited if the Company has experienced an “ownership change”. This annual limitation may result in the expiration of net operating losses and credits before utilization. As of December 31, 2024, the Company concluded that there were no ownership changes during 2024. The Company’s ability to use its remaining net operating loss carryforwards may be further limited if the Company experiences a Section 382 ownership change as a result of future changes in its stock ownership.</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5800" w:type="dxa"/>
            <w:vAlign w:val="bottom"/>
          </w:tcPr>
          <w:p>
            <w:pPr>
              <w:spacing w:after="0"/>
              <w:rPr>
                <w:sz w:val="17"/>
                <w:szCs w:val="17"/>
                <w:color w:val="auto"/>
              </w:rPr>
            </w:pPr>
          </w:p>
        </w:tc>
        <w:tc>
          <w:tcPr>
            <w:tcW w:w="1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96"/>
        </w:trPr>
        <w:tc>
          <w:tcPr>
            <w:tcW w:w="58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w:t>
            </w:r>
          </w:p>
        </w:tc>
        <w:tc>
          <w:tcPr>
            <w:tcW w:w="11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0"/>
              </w:rPr>
              <w:t>thousands)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740" w:type="dxa"/>
            <w:vAlign w:val="bottom"/>
            <w:shd w:val="clear" w:color="auto" w:fill="CFF0FC"/>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100" w:type="dxa"/>
            <w:vAlign w:val="bottom"/>
            <w:gridSpan w:val="2"/>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current year</w:t>
            </w:r>
          </w:p>
        </w:tc>
        <w:tc>
          <w:tcPr>
            <w:tcW w:w="17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tcPr>
          <w:p>
            <w:pPr>
              <w:spacing w:after="0"/>
              <w:rPr>
                <w:sz w:val="17"/>
                <w:szCs w:val="17"/>
                <w:color w:val="auto"/>
              </w:rPr>
            </w:pPr>
          </w:p>
        </w:tc>
      </w:tr>
      <w:tr>
        <w:trPr>
          <w:trHeight w:val="20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prior years</w:t>
            </w:r>
          </w:p>
        </w:tc>
        <w:tc>
          <w:tcPr>
            <w:tcW w:w="17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4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for tax positions related to prior years</w:t>
            </w:r>
          </w:p>
        </w:tc>
        <w:tc>
          <w:tcPr>
            <w:tcW w:w="17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(43 )</w:t>
            </w:r>
          </w:p>
        </w:tc>
      </w:tr>
      <w:tr>
        <w:trPr>
          <w:trHeight w:val="23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1740" w:type="dxa"/>
            <w:vAlign w:val="bottom"/>
            <w:tcBorders>
              <w:top w:val="single" w:sz="8" w:color="auto"/>
              <w:bottom w:val="single" w:sz="8" w:color="auto"/>
            </w:tcBorders>
            <w:shd w:val="clear" w:color="auto" w:fill="CFF0FC"/>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6,357</w:t>
            </w:r>
          </w:p>
        </w:tc>
        <w:tc>
          <w:tcPr>
            <w:tcW w:w="4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entire amount of the unrecognized tax benefits would not impact the Company’s effective tax rate if recognized as the Company continues to maintain a full valuation allowance against its deferred tax assets. The Company has elected to include interest and penalties as a component of tax expense. During the years ended December 31, 2024 and 2023,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loss per share are computed by dividing net loss by the weighted-average number of common shares outstanding during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period. Basic weighted-average shares of common stock outstanding includes the weighted-average effect of the Company’s pre-funded warrants.</w:t>
      </w:r>
    </w:p>
    <w:p>
      <w:pPr>
        <w:spacing w:after="0" w:line="9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for the periods presented because the effect would have been anti-dilutive: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2520" w:type="dxa"/>
            <w:vAlign w:val="bottom"/>
            <w:tcBorders>
              <w:bottom w:val="single" w:sz="8" w:color="auto"/>
            </w:tcBorders>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340" w:type="dxa"/>
            <w:vAlign w:val="bottom"/>
          </w:tcPr>
          <w:p>
            <w:pPr>
              <w:spacing w:after="0"/>
              <w:rPr>
                <w:sz w:val="12"/>
                <w:szCs w:val="12"/>
                <w:color w:val="auto"/>
              </w:rPr>
            </w:pPr>
          </w:p>
        </w:tc>
        <w:tc>
          <w:tcPr>
            <w:tcW w:w="1760" w:type="dxa"/>
            <w:vAlign w:val="bottom"/>
            <w:tcBorders>
              <w:bottom w:val="single" w:sz="8" w:color="auto"/>
            </w:tcBorders>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restricted stock units</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10,608,154</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9,431,710</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Lender Warrant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171,848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10,780,002</w:t>
            </w:r>
          </w:p>
        </w:tc>
        <w:tc>
          <w:tcPr>
            <w:tcW w:w="2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9,431,710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Workforce Reduction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212529"/>
        </w:rPr>
        <w:t xml:space="preserve">On May 14, 2024, the Company announced cost containment measures, including a committed plan to reduce its workforce (the Workforce Reduction) by approximately 22%. The cost containment measures align with the Company's focus on generating data from its clinical-stage gene therapy programs. </w:t>
      </w:r>
      <w:r>
        <w:rPr>
          <w:rFonts w:ascii="Times New Roman" w:cs="Times New Roman" w:eastAsia="Times New Roman" w:hAnsi="Times New Roman"/>
          <w:sz w:val="18"/>
          <w:szCs w:val="18"/>
          <w:color w:val="000000"/>
        </w:rPr>
        <w:t>The Workforce Reduction was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completed as of September 30, 2024. During the year ended December 31, 2024, the Company recognized $1.4 million of aggregate charges, primarily related to employee cash severance and continuing health insurance benefits.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Reporting</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is a clinical-stage biotechnology company focused on discovering, developing and delivering curative therapies that address the underlying drivers of heart disease and has one operating and reportable segment. The Company’s chief operating decision marker (CODM) is the chief executive officer.</w:t>
      </w:r>
    </w:p>
    <w:p>
      <w:pPr>
        <w:spacing w:after="0" w:line="10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statement of operations includes research and development expenses, general and administrative costs, interest income, and income taxes; the Company has not generated any revenue. In addition to reviewing the expenses in the Company’s statement of operations, the CODM is regularly provided with operating expenses by function. The CODM does not review assets at a different asset level or category than the amounts disclosed in the Company’s balance sheet. The Company’s long-lived assets are located in the United States.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operating expenses by function and includes a reconciliation to net income.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0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77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Clinical</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26,024</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23,426</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Manufacturing (pre-commercial)</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23,433</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30,143</w:t>
            </w: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Research</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20,858</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26,566</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16,427</w:t>
            </w:r>
          </w:p>
        </w:tc>
        <w:tc>
          <w:tcPr>
            <w:tcW w:w="3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17,903</w:t>
            </w:r>
          </w:p>
        </w:tc>
        <w:tc>
          <w:tcPr>
            <w:tcW w:w="120" w:type="dxa"/>
            <w:vAlign w:val="bottom"/>
          </w:tcPr>
          <w:p>
            <w:pPr>
              <w:spacing w:after="0"/>
              <w:rPr>
                <w:sz w:val="17"/>
                <w:szCs w:val="17"/>
                <w:color w:val="auto"/>
              </w:rPr>
            </w:pPr>
          </w:p>
        </w:tc>
      </w:tr>
      <w:tr>
        <w:trPr>
          <w:trHeight w:val="196"/>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Research and development</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86,742</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98,038</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29,206</w:t>
            </w:r>
          </w:p>
        </w:tc>
        <w:tc>
          <w:tcPr>
            <w:tcW w:w="3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33,155</w:t>
            </w:r>
          </w:p>
        </w:tc>
        <w:tc>
          <w:tcPr>
            <w:tcW w:w="120" w:type="dxa"/>
            <w:vAlign w:val="bottom"/>
          </w:tcPr>
          <w:p>
            <w:pPr>
              <w:spacing w:after="0"/>
              <w:rPr>
                <w:sz w:val="17"/>
                <w:szCs w:val="17"/>
                <w:color w:val="auto"/>
              </w:rPr>
            </w:pPr>
          </w:p>
        </w:tc>
      </w:tr>
      <w:tr>
        <w:trPr>
          <w:trHeight w:val="19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115,948</w:t>
            </w:r>
          </w:p>
        </w:tc>
        <w:tc>
          <w:tcPr>
            <w:tcW w:w="30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131,193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9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5"/>
              </w:rPr>
              <w:t>(115,948 )</w:t>
            </w:r>
          </w:p>
        </w:tc>
        <w:tc>
          <w:tcPr>
            <w:tcW w:w="9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5"/>
              </w:rPr>
              <w:t>(131,193 )</w:t>
            </w:r>
          </w:p>
        </w:tc>
      </w:tr>
      <w:tr>
        <w:trPr>
          <w:trHeight w:val="20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7,056</w:t>
            </w:r>
          </w:p>
        </w:tc>
        <w:tc>
          <w:tcPr>
            <w:tcW w:w="12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30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other income, net</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3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7,109</w:t>
            </w:r>
          </w:p>
        </w:tc>
        <w:tc>
          <w:tcPr>
            <w:tcW w:w="120" w:type="dxa"/>
            <w:vAlign w:val="bottom"/>
          </w:tcPr>
          <w:p>
            <w:pPr>
              <w:spacing w:after="0"/>
              <w:rPr>
                <w:sz w:val="17"/>
                <w:szCs w:val="17"/>
                <w:color w:val="auto"/>
              </w:rPr>
            </w:pPr>
          </w:p>
        </w:tc>
      </w:tr>
      <w:tr>
        <w:trPr>
          <w:trHeight w:val="19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before income tax expense</w:t>
            </w:r>
          </w:p>
        </w:tc>
        <w:tc>
          <w:tcPr>
            <w:tcW w:w="9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w w:val="95"/>
              </w:rPr>
              <w:t>(111,129 )</w:t>
            </w:r>
          </w:p>
        </w:tc>
        <w:tc>
          <w:tcPr>
            <w:tcW w:w="9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5"/>
              </w:rPr>
              <w:t>(124,084 )</w:t>
            </w:r>
          </w:p>
        </w:tc>
      </w:tr>
      <w:tr>
        <w:trPr>
          <w:trHeight w:val="20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w w:val="95"/>
              </w:rPr>
              <w:t>(111,129 )</w:t>
            </w: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5"/>
              </w:rPr>
              <w:t>(124,084 )</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-1087755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-1087755</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-565150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Repricing</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January 22, 2025, the Compensation Committee of the Company's Board approved a repricing of certain outstanding vested and unvested stock option awards under the 2016 Plan and 2021 Plan for eligible employees and certain other service providers (the Repricing Participants). The per share exercise price of eligible stock option awards was reduced to $1.21, the closing price of the Company's common stock on January 24, 2025 (the Repricing Effective Date). To receive the benefit of the repricing, Repricing Participants must remain a Service Provider (as such term is defined in the 2016 Plan or 2021 Plan) through the period that begins on the Repricing Effective Date through July 24, 2025 (the Retention Date) and not exercise any of their repriced stock options prior to the Retention Date. Employees who exercise their repriced stock options prior to the Retention Date must pay a premium exercise price that is equal to the exercise price per share of such stock option immediately prior to the Repricing Effective Date. No other changes were made to the terms and conditions of the eligible stock option awards. The stock option repricing impacted 4.1 million stock option awards and affected 89 employees and service providers.</w:t>
      </w:r>
    </w:p>
    <w:p>
      <w:pPr>
        <w:spacing w:after="0" w:line="80"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On February 6, 2025, the Company's Board approved an option repricing applicable to Faraz Ali, the Company's Chief Executive Officer, with terms mirroring the aforementioned repricing approved on January 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2025, except that for Mr. Ali, the options eligible for repricing were limited to options with exercise prices higher than $5.25 per share. The total number of shares underlying Mr. Ali’s repriced options was 915,875 shares.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CIRM Grant</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February 2025, the Company announced it was awarded an $8 million grant from the California Institute for Regenerative Medicine (CIRM) to support RIDGE-1, the Company's Phase 1b clinical trial of TN-401 gene therapy for the potential treatment of plakophilin 2-associated arrhythmogenic right ventricular cardiomyopathy. The award is payable to the Company upon achievement of milestones to be determined by CIRM in collaboration with the Company. Additionally, if CIRM determines, in its sole discretion, that the Company has not complied with the terms and conditions of the grant, CIRM may suspend or permanently cease disbursements. Funds received under this grant may only be used for allowable project costs specifically identified with the CIRM-funded project. Such costs can include, but are not limited to, salary for personnel, itemized supplies, consultants, and itemized clinical study costs. Under the terms of the grant, the Company will co-fund the research project with CIRM and the amount of the Company’s co-funding requirement is predetermined as a part of the award. The Company expects to begin receiving funds from the grant beginning in the first half of 2025.</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March 5, 2025, the Company completed an underwritten public offering of 75,000,000 units, priced at a public offering price of $0.70 per unit, with each unit consisting of one share of its common stock, a warrant to purchase one share of its common stock at an exercise price of $0.80 per share, which will be immediately exercisable and will expire five years from the date of issuance (a Series A Warrant) and a warrant to purchase one-half of a share of its common stock at an exercise price of $0.70 per share, which will be immediately exercisable and expire on June 30, 2026 (a Series B Warrant), under its registration statement on Form S-3 (File No. 333-266741). The Company received net proceeds of approximately $48.9 million, after deducting underwriting discounts and commissions of approximately $3.2 million and other offering expenses of approximately $0.5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who is our principal executive officer and who is also serving as our interim principal financial officer, has evaluated our disclosure controls and procedures (as defined in Rules 13a-15(e) and 15d-15(e) under the Exchange Act) as of the end of the period covered by this Annual Report on Form 10-K. Based on that evaluation, our Chief Executive Officer and interim principal financial officer has concluded that, as of the end of the period covered by this Annual Report on Form 10-K,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interim principal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Under the supervision of and with the participation of our principal executive officer and interim principal financial officer, our management assessed the effectiveness of our internal control over financial reporting as of December 31, 2024,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2024.</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an emerging growth company, we are not required to provide, and this Annual Report on Form 10-K does not include an attestation report on our internal control over financial reporting issued by our independent registered public accounting firm. Our auditors will not be required to opine on the effectiveness of our internal control over financial reporting pursuant to Section 404(b) of the Sarbanes-Oxley Act of 2002 until we are no longer an emerging growth company, as defined in the Jumpstart Our Business Startups Act of 2012, and are no longer a non-accelerated filer.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quarter ended December 31, 2024 that have materially affected, or are reasonably likely to materially affect, our internal control over financial reporting.</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12529"/>
        </w:rPr>
        <w:t>Inherent Limitations on Effectiveness of Controls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129" w:name="page130"/>
    <w:bookmarkEnd w:id="129"/>
    <w:p>
      <w:pPr>
        <w:ind w:left="54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within 120 days of December 31, 2024, and is incorporated herein by reference.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principal financial officer and principal accounting officer. The Code of Business Conduct and Ethics is posted on our website at www.tenayatherapeutics.com under the caption “Investors—Corporate Governance—Governance Documents.”</w:t>
      </w:r>
    </w:p>
    <w:p>
      <w:pPr>
        <w:spacing w:after="0" w:line="68"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 of Form 8-K regarding an amendment to, or waiver from, a provision of this Code of Business Conduct and Ethics by posting such information on our website, at the address and location specified above and, to the extent required by the listing standards of the Nasdaq Stock Market, by filing a Current Report on Form 8-K with the SEC, disclosing such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within 120 days of December 31, 2024,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within 120 days of December 31, 2024,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within 120 days of December 31, 2024,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within 120 days of December 31, 2024, and is incorporated herein by reference.</w:t>
      </w: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130" w:name="page131"/>
    <w:bookmarkEnd w:id="130"/>
    <w:p>
      <w:pPr>
        <w:spacing w:after="0" w:line="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the report:</w:t>
      </w:r>
    </w:p>
    <w:p>
      <w:pPr>
        <w:spacing w:after="0" w:line="117" w:lineRule="exact"/>
        <w:rPr>
          <w:rFonts w:ascii="Times New Roman" w:cs="Times New Roman" w:eastAsia="Times New Roman" w:hAnsi="Times New Roman"/>
          <w:sz w:val="18"/>
          <w:szCs w:val="18"/>
          <w:color w:val="auto"/>
        </w:rPr>
      </w:pPr>
    </w:p>
    <w:p>
      <w:pPr>
        <w:ind w:left="1500" w:hanging="504"/>
        <w:spacing w:after="0"/>
        <w:tabs>
          <w:tab w:leader="none" w:pos="15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financial statements filed as part of this Annual Report are included in Part II, Item 8 of this Annual Report.</w:t>
      </w:r>
    </w:p>
    <w:p>
      <w:pPr>
        <w:spacing w:after="0" w:line="117" w:lineRule="exact"/>
        <w:rPr>
          <w:rFonts w:ascii="Times New Roman" w:cs="Times New Roman" w:eastAsia="Times New Roman" w:hAnsi="Times New Roman"/>
          <w:sz w:val="18"/>
          <w:szCs w:val="18"/>
          <w:color w:val="auto"/>
        </w:rPr>
      </w:pPr>
    </w:p>
    <w:p>
      <w:pPr>
        <w:ind w:left="1500" w:right="440" w:hanging="504"/>
        <w:spacing w:after="0" w:line="266" w:lineRule="auto"/>
        <w:tabs>
          <w:tab w:leader="none" w:pos="15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Financial statement schedules have been omitted in this Annual Report because they are not applicable, not required under the instructions or the information requested is set forth in the financial statements or related notes thereto.</w:t>
      </w:r>
    </w:p>
    <w:p>
      <w:pPr>
        <w:spacing w:after="0" w:line="67" w:lineRule="exact"/>
        <w:rPr>
          <w:rFonts w:ascii="Times New Roman" w:cs="Times New Roman" w:eastAsia="Times New Roman" w:hAnsi="Times New Roman"/>
          <w:sz w:val="18"/>
          <w:szCs w:val="18"/>
          <w:color w:val="auto"/>
        </w:rPr>
      </w:pPr>
    </w:p>
    <w:p>
      <w:pPr>
        <w:ind w:left="1500" w:hanging="504"/>
        <w:spacing w:after="0"/>
        <w:tabs>
          <w:tab w:leader="none" w:pos="15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index to exhibits are filed or incorporated by reference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140" w:type="dxa"/>
            <w:vAlign w:val="bottom"/>
            <w:gridSpan w:val="29"/>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29"/>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Composite Amended and Restated Certificate of Incorporation of the</w:t>
              </w:r>
            </w:hyperlink>
          </w:p>
        </w:tc>
        <w:tc>
          <w:tcPr>
            <w:tcW w:w="440" w:type="dxa"/>
            <w:vAlign w:val="bottom"/>
            <w:gridSpan w:val="8"/>
          </w:tcPr>
          <w:p>
            <w:pPr>
              <w:spacing w:after="0"/>
              <w:rPr>
                <w:sz w:val="14"/>
                <w:szCs w:val="14"/>
                <w:color w:val="auto"/>
              </w:rPr>
            </w:pPr>
          </w:p>
        </w:tc>
        <w:tc>
          <w:tcPr>
            <w:tcW w:w="78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ind w:left="160"/>
              <w:spacing w:after="0" w:line="169" w:lineRule="exact"/>
              <w:rPr>
                <w:sz w:val="20"/>
                <w:szCs w:val="20"/>
                <w:color w:val="auto"/>
              </w:rPr>
            </w:pPr>
            <w:r>
              <w:rPr>
                <w:rFonts w:ascii="Times New Roman" w:cs="Times New Roman" w:eastAsia="Times New Roman" w:hAnsi="Times New Roman"/>
                <w:sz w:val="18"/>
                <w:szCs w:val="18"/>
                <w:color w:val="auto"/>
              </w:rPr>
              <w:t>001-40656</w:t>
            </w:r>
          </w:p>
        </w:tc>
        <w:tc>
          <w:tcPr>
            <w:tcW w:w="1040" w:type="dxa"/>
            <w:vAlign w:val="bottom"/>
          </w:tcPr>
          <w:p>
            <w:pPr>
              <w:ind w:left="28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34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color w:val="auto"/>
              </w:rPr>
              <w:t>8-9-2023</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6"/>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Tenaya Therapeutics, Inc.</w:t>
              </w:r>
            </w:hyperlink>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Amended and Restated Bylaws of Tenaya Therapeutics, Inc.</w:t>
              </w:r>
            </w:hyperlink>
          </w:p>
        </w:tc>
        <w:tc>
          <w:tcPr>
            <w:tcW w:w="1060" w:type="dxa"/>
            <w:vAlign w:val="bottom"/>
            <w:gridSpan w:val="16"/>
          </w:tcPr>
          <w:p>
            <w:pPr>
              <w:spacing w:after="0"/>
              <w:rPr>
                <w:sz w:val="17"/>
                <w:szCs w:val="17"/>
                <w:color w:val="auto"/>
              </w:rPr>
            </w:pP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3-21-2023</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85">
              <w:r>
                <w:rPr>
                  <w:rFonts w:ascii="Times New Roman" w:cs="Times New Roman" w:eastAsia="Times New Roman" w:hAnsi="Times New Roman"/>
                  <w:sz w:val="18"/>
                  <w:szCs w:val="18"/>
                  <w:color w:val="0000FF"/>
                  <w:w w:val="99"/>
                </w:rPr>
                <w:t>Specimen common stock certificate of the Registrant.</w:t>
              </w:r>
            </w:hyperlink>
          </w:p>
        </w:tc>
        <w:tc>
          <w:tcPr>
            <w:tcW w:w="20" w:type="dxa"/>
            <w:vAlign w:val="bottom"/>
            <w:tcBorders>
              <w:bottom w:val="single" w:sz="8" w:color="0000EE"/>
            </w:tcBorders>
          </w:tcPr>
          <w:p>
            <w:pPr>
              <w:spacing w:after="0"/>
              <w:rPr>
                <w:sz w:val="17"/>
                <w:szCs w:val="17"/>
                <w:color w:val="auto"/>
              </w:rPr>
            </w:pPr>
          </w:p>
        </w:tc>
        <w:tc>
          <w:tcPr>
            <w:tcW w:w="1580" w:type="dxa"/>
            <w:vAlign w:val="bottom"/>
            <w:gridSpan w:val="20"/>
          </w:tcPr>
          <w:p>
            <w:pPr>
              <w:spacing w:after="0"/>
              <w:rPr>
                <w:sz w:val="17"/>
                <w:szCs w:val="17"/>
                <w:color w:val="auto"/>
              </w:rPr>
            </w:pP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Amended and Restated Investors’ Rights Agreement by and among the</w:t>
              </w:r>
            </w:hyperlink>
          </w:p>
        </w:tc>
        <w:tc>
          <w:tcPr>
            <w:tcW w:w="300" w:type="dxa"/>
            <w:vAlign w:val="bottom"/>
            <w:gridSpan w:val="5"/>
          </w:tcPr>
          <w:p>
            <w:pPr>
              <w:spacing w:after="0"/>
              <w:rPr>
                <w:sz w:val="17"/>
                <w:szCs w:val="17"/>
                <w:color w:val="auto"/>
              </w:rPr>
            </w:pP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6"/>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Registrant and certain of its stockholders, dated December 17, 2020.</w:t>
              </w:r>
            </w:hyperlink>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Securities of the Registrant.</w:t>
            </w:r>
          </w:p>
        </w:tc>
        <w:tc>
          <w:tcPr>
            <w:tcW w:w="1840" w:type="dxa"/>
            <w:vAlign w:val="bottom"/>
            <w:tcBorders>
              <w:top w:val="single" w:sz="8" w:color="0000FF"/>
            </w:tcBorders>
            <w:gridSpan w:val="14"/>
          </w:tcPr>
          <w:p>
            <w:pPr>
              <w:spacing w:after="0"/>
              <w:rPr>
                <w:sz w:val="17"/>
                <w:szCs w:val="17"/>
                <w:color w:val="auto"/>
              </w:rPr>
            </w:pPr>
          </w:p>
        </w:tc>
        <w:tc>
          <w:tcPr>
            <w:tcW w:w="54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6"/>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Warrant to Purchase Stock</w:t>
              </w:r>
            </w:hyperlink>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11-6-2024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Form of Series A Warrant to Purchase Common Stock</w:t>
              </w:r>
            </w:hyperlink>
          </w:p>
        </w:tc>
        <w:tc>
          <w:tcPr>
            <w:tcW w:w="1500" w:type="dxa"/>
            <w:vAlign w:val="bottom"/>
            <w:gridSpan w:val="17"/>
          </w:tcPr>
          <w:p>
            <w:pPr>
              <w:spacing w:after="0"/>
              <w:rPr>
                <w:sz w:val="17"/>
                <w:szCs w:val="17"/>
                <w:color w:val="auto"/>
              </w:rPr>
            </w:pP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3-4-2025</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89">
              <w:r>
                <w:rPr>
                  <w:rFonts w:ascii="Times New Roman" w:cs="Times New Roman" w:eastAsia="Times New Roman" w:hAnsi="Times New Roman"/>
                  <w:sz w:val="18"/>
                  <w:szCs w:val="18"/>
                  <w:color w:val="0000FF"/>
                  <w:w w:val="99"/>
                </w:rPr>
                <w:t>Form of Series B Warrant to Purchase Common Stock</w:t>
              </w:r>
            </w:hyperlink>
          </w:p>
        </w:tc>
        <w:tc>
          <w:tcPr>
            <w:tcW w:w="20" w:type="dxa"/>
            <w:vAlign w:val="bottom"/>
            <w:tcBorders>
              <w:bottom w:val="single" w:sz="8" w:color="0000EE"/>
            </w:tcBorders>
          </w:tcPr>
          <w:p>
            <w:pPr>
              <w:spacing w:after="0"/>
              <w:rPr>
                <w:sz w:val="17"/>
                <w:szCs w:val="17"/>
                <w:color w:val="auto"/>
              </w:rPr>
            </w:pPr>
          </w:p>
        </w:tc>
        <w:tc>
          <w:tcPr>
            <w:tcW w:w="1520" w:type="dxa"/>
            <w:vAlign w:val="bottom"/>
            <w:gridSpan w:val="18"/>
          </w:tcPr>
          <w:p>
            <w:pPr>
              <w:spacing w:after="0"/>
              <w:rPr>
                <w:sz w:val="17"/>
                <w:szCs w:val="17"/>
                <w:color w:val="auto"/>
              </w:rPr>
            </w:pP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3-4-2025</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Form of Indemnification Agreement between the Registrant and each of its</w:t>
              </w:r>
            </w:hyperlink>
          </w:p>
        </w:tc>
        <w:tc>
          <w:tcPr>
            <w:tcW w:w="20" w:type="dxa"/>
            <w:vAlign w:val="bottom"/>
          </w:tcPr>
          <w:p>
            <w:pPr>
              <w:spacing w:after="0"/>
              <w:rPr>
                <w:sz w:val="17"/>
                <w:szCs w:val="17"/>
                <w:color w:val="auto"/>
              </w:rPr>
            </w:pP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24"/>
                <w:szCs w:val="24"/>
                <w:color w:val="auto"/>
                <w:vertAlign w:val="superscript"/>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6"/>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directors and executive officers.</w:t>
              </w:r>
            </w:hyperlink>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Amended and Restated 2016 Equity Incentive Plan and forms of agreement</w:t>
              </w:r>
            </w:hyperlink>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24"/>
                <w:szCs w:val="24"/>
                <w:color w:val="auto"/>
                <w:vertAlign w:val="superscript"/>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91">
              <w:r>
                <w:rPr>
                  <w:rFonts w:ascii="Times New Roman" w:cs="Times New Roman" w:eastAsia="Times New Roman" w:hAnsi="Times New Roman"/>
                  <w:sz w:val="18"/>
                  <w:szCs w:val="18"/>
                  <w:color w:val="0000FF"/>
                  <w:w w:val="98"/>
                </w:rPr>
                <w:t>thereunder.</w:t>
              </w:r>
            </w:hyperlink>
          </w:p>
        </w:tc>
        <w:tc>
          <w:tcPr>
            <w:tcW w:w="4640" w:type="dxa"/>
            <w:vAlign w:val="bottom"/>
            <w:gridSpan w:val="35"/>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6"/>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2021 Equity Incentive Plan and forms of agreements thereunder.</w:t>
              </w:r>
            </w:hyperlink>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3-23-2022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4"/>
                <w:szCs w:val="24"/>
                <w:color w:val="auto"/>
                <w:vertAlign w:val="superscript"/>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gridSpan w:val="7"/>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2021 Employee Stock Purchase Plan and forms of agreements thereunder.</w:t>
              </w:r>
            </w:hyperlink>
          </w:p>
        </w:tc>
        <w:tc>
          <w:tcPr>
            <w:tcW w:w="120" w:type="dxa"/>
            <w:vAlign w:val="bottom"/>
            <w:gridSpan w:val="2"/>
          </w:tcPr>
          <w:p>
            <w:pPr>
              <w:spacing w:after="0"/>
              <w:rPr>
                <w:sz w:val="17"/>
                <w:szCs w:val="17"/>
                <w:color w:val="auto"/>
              </w:rPr>
            </w:pP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10.5</w:t>
            </w:r>
            <w:r>
              <w:rPr>
                <w:rFonts w:ascii="Times New Roman" w:cs="Times New Roman" w:eastAsia="Times New Roman" w:hAnsi="Times New Roman"/>
                <w:sz w:val="22"/>
                <w:szCs w:val="22"/>
                <w:color w:val="auto"/>
                <w:vertAlign w:val="superscript"/>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2024 Inducement Equity Incentive Plan and forms of agreement</w:t>
              </w:r>
            </w:hyperlink>
          </w:p>
        </w:tc>
        <w:tc>
          <w:tcPr>
            <w:tcW w:w="800" w:type="dxa"/>
            <w:vAlign w:val="bottom"/>
            <w:gridSpan w:val="14"/>
          </w:tcPr>
          <w:p>
            <w:pPr>
              <w:spacing w:after="0"/>
              <w:rPr>
                <w:sz w:val="17"/>
                <w:szCs w:val="17"/>
                <w:color w:val="auto"/>
              </w:rPr>
            </w:pP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9-16-2024</w:t>
            </w:r>
          </w:p>
        </w:tc>
        <w:tc>
          <w:tcPr>
            <w:tcW w:w="0" w:type="dxa"/>
            <w:vAlign w:val="bottom"/>
          </w:tcPr>
          <w:p>
            <w:pPr>
              <w:spacing w:after="0"/>
              <w:rPr>
                <w:sz w:val="1"/>
                <w:szCs w:val="1"/>
                <w:color w:val="auto"/>
              </w:rPr>
            </w:pPr>
          </w:p>
        </w:tc>
      </w:tr>
      <w:tr>
        <w:trPr>
          <w:trHeight w:val="196"/>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24"/>
                <w:szCs w:val="24"/>
                <w:color w:val="auto"/>
                <w:vertAlign w:val="superscript"/>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94">
              <w:r>
                <w:rPr>
                  <w:rFonts w:ascii="Times New Roman" w:cs="Times New Roman" w:eastAsia="Times New Roman" w:hAnsi="Times New Roman"/>
                  <w:sz w:val="18"/>
                  <w:szCs w:val="18"/>
                  <w:color w:val="0000FF"/>
                  <w:w w:val="98"/>
                </w:rPr>
                <w:t>thereunder.</w:t>
              </w:r>
            </w:hyperlink>
          </w:p>
        </w:tc>
        <w:tc>
          <w:tcPr>
            <w:tcW w:w="4640" w:type="dxa"/>
            <w:vAlign w:val="bottom"/>
            <w:gridSpan w:val="35"/>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295">
              <w:r>
                <w:rPr>
                  <w:rFonts w:ascii="Times New Roman" w:cs="Times New Roman" w:eastAsia="Times New Roman" w:hAnsi="Times New Roman"/>
                  <w:sz w:val="18"/>
                  <w:szCs w:val="18"/>
                  <w:color w:val="0000FF"/>
                  <w:w w:val="99"/>
                </w:rPr>
                <w:t>Employment Letter between the Registrant and Faraz Ali, M.B.A.</w:t>
              </w:r>
            </w:hyperlink>
          </w:p>
        </w:tc>
        <w:tc>
          <w:tcPr>
            <w:tcW w:w="700" w:type="dxa"/>
            <w:vAlign w:val="bottom"/>
            <w:gridSpan w:val="13"/>
          </w:tcPr>
          <w:p>
            <w:pPr>
              <w:spacing w:after="0"/>
              <w:rPr>
                <w:sz w:val="17"/>
                <w:szCs w:val="17"/>
                <w:color w:val="auto"/>
              </w:rPr>
            </w:pP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10.7</w:t>
            </w:r>
            <w:r>
              <w:rPr>
                <w:rFonts w:ascii="Times New Roman" w:cs="Times New Roman" w:eastAsia="Times New Roman" w:hAnsi="Times New Roman"/>
                <w:sz w:val="22"/>
                <w:szCs w:val="22"/>
                <w:color w:val="auto"/>
                <w:vertAlign w:val="superscript"/>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6"/>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Employment Letter between the Registrant and Timothy Hoey, Ph.D</w:t>
              </w:r>
            </w:hyperlink>
            <w:r>
              <w:rPr>
                <w:rFonts w:ascii="Times New Roman" w:cs="Times New Roman" w:eastAsia="Times New Roman" w:hAnsi="Times New Roman"/>
                <w:sz w:val="18"/>
                <w:szCs w:val="18"/>
                <w:color w:val="000000"/>
              </w:rPr>
              <w:t>.</w:t>
            </w: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24"/>
                <w:szCs w:val="24"/>
                <w:color w:val="auto"/>
                <w:vertAlign w:val="superscript"/>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gridSpan w:val="7"/>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Employment Letter between the Registrant and Leone D. Patterson, M.B.A.</w:t>
              </w:r>
            </w:hyperlink>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10.9</w:t>
            </w:r>
            <w:r>
              <w:rPr>
                <w:rFonts w:ascii="Times New Roman" w:cs="Times New Roman" w:eastAsia="Times New Roman" w:hAnsi="Times New Roman"/>
                <w:sz w:val="22"/>
                <w:szCs w:val="22"/>
                <w:color w:val="auto"/>
                <w:vertAlign w:val="superscript"/>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Employment Letter between the Registrant and Whittemore (Whit)</w:t>
              </w:r>
            </w:hyperlink>
          </w:p>
        </w:tc>
        <w:tc>
          <w:tcPr>
            <w:tcW w:w="580" w:type="dxa"/>
            <w:vAlign w:val="bottom"/>
            <w:gridSpan w:val="11"/>
          </w:tcPr>
          <w:p>
            <w:pPr>
              <w:spacing w:after="0"/>
              <w:rPr>
                <w:sz w:val="17"/>
                <w:szCs w:val="17"/>
                <w:color w:val="auto"/>
              </w:rPr>
            </w:pP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6"/>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Tingley, M.D., Ph.D.</w:t>
              </w:r>
            </w:hyperlink>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w w:val="99"/>
              </w:rPr>
              <w:t>Employment Letter between the Registrant and Tomohiro Higa, M.B.A.</w:t>
            </w:r>
          </w:p>
        </w:tc>
        <w:tc>
          <w:tcPr>
            <w:tcW w:w="26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10.11</w:t>
            </w:r>
            <w:r>
              <w:rPr>
                <w:rFonts w:ascii="Times New Roman" w:cs="Times New Roman" w:eastAsia="Times New Roman" w:hAnsi="Times New Roman"/>
                <w:sz w:val="22"/>
                <w:szCs w:val="22"/>
                <w:color w:val="auto"/>
                <w:vertAlign w:val="superscript"/>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6"/>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Executive Change in Control and Severance Plan.</w:t>
              </w:r>
            </w:hyperlink>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6-12-2023</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10.12</w:t>
            </w:r>
            <w:r>
              <w:rPr>
                <w:rFonts w:ascii="Times New Roman" w:cs="Times New Roman" w:eastAsia="Times New Roman" w:hAnsi="Times New Roman"/>
                <w:sz w:val="22"/>
                <w:szCs w:val="22"/>
                <w:color w:val="auto"/>
                <w:vertAlign w:val="superscript"/>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Executive Incentive Compensation Plan.</w:t>
              </w:r>
            </w:hyperlink>
          </w:p>
        </w:tc>
        <w:tc>
          <w:tcPr>
            <w:tcW w:w="1880" w:type="dxa"/>
            <w:vAlign w:val="bottom"/>
            <w:gridSpan w:val="22"/>
          </w:tcPr>
          <w:p>
            <w:pPr>
              <w:spacing w:after="0"/>
              <w:rPr>
                <w:sz w:val="17"/>
                <w:szCs w:val="17"/>
                <w:color w:val="auto"/>
              </w:rPr>
            </w:pP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10.13</w:t>
            </w:r>
            <w:r>
              <w:rPr>
                <w:rFonts w:ascii="Times New Roman" w:cs="Times New Roman" w:eastAsia="Times New Roman" w:hAnsi="Times New Roman"/>
                <w:sz w:val="22"/>
                <w:szCs w:val="22"/>
                <w:color w:val="auto"/>
                <w:vertAlign w:val="superscript"/>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01">
              <w:r>
                <w:rPr>
                  <w:rFonts w:ascii="Times New Roman" w:cs="Times New Roman" w:eastAsia="Times New Roman" w:hAnsi="Times New Roman"/>
                  <w:sz w:val="18"/>
                  <w:szCs w:val="18"/>
                  <w:color w:val="0000FF"/>
                  <w:w w:val="99"/>
                </w:rPr>
                <w:t>Outside Director Compensation Policy.</w:t>
              </w:r>
            </w:hyperlink>
          </w:p>
        </w:tc>
        <w:tc>
          <w:tcPr>
            <w:tcW w:w="20" w:type="dxa"/>
            <w:vAlign w:val="bottom"/>
            <w:tcBorders>
              <w:top w:val="single" w:sz="8" w:color="0000FF"/>
              <w:bottom w:val="single" w:sz="8" w:color="0000EE"/>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540" w:type="dxa"/>
            <w:vAlign w:val="bottom"/>
            <w:gridSpan w:val="26"/>
          </w:tcPr>
          <w:p>
            <w:pPr>
              <w:spacing w:after="0"/>
              <w:rPr>
                <w:sz w:val="17"/>
                <w:szCs w:val="17"/>
                <w:color w:val="auto"/>
              </w:rPr>
            </w:pP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3-18-2024</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Lease between HCP Oyster Point III LLC and the Registrant dated as of</w:t>
              </w:r>
            </w:hyperlink>
          </w:p>
        </w:tc>
        <w:tc>
          <w:tcPr>
            <w:tcW w:w="220" w:type="dxa"/>
            <w:vAlign w:val="bottom"/>
            <w:gridSpan w:val="3"/>
          </w:tcPr>
          <w:p>
            <w:pPr>
              <w:spacing w:after="0"/>
              <w:rPr>
                <w:sz w:val="17"/>
                <w:szCs w:val="17"/>
                <w:color w:val="auto"/>
              </w:rPr>
            </w:pP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6"/>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September 6, 2016.</w:t>
              </w:r>
            </w:hyperlink>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First Amendment to Lease between HCP Oyster Point III LLC and the</w:t>
              </w:r>
            </w:hyperlink>
          </w:p>
        </w:tc>
        <w:tc>
          <w:tcPr>
            <w:tcW w:w="340" w:type="dxa"/>
            <w:vAlign w:val="bottom"/>
            <w:gridSpan w:val="6"/>
          </w:tcPr>
          <w:p>
            <w:pPr>
              <w:spacing w:after="0"/>
              <w:rPr>
                <w:sz w:val="17"/>
                <w:szCs w:val="17"/>
                <w:color w:val="auto"/>
              </w:rPr>
            </w:pP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8-8-2024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6"/>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Registrant dated as of September 6, 2016.</w:t>
              </w:r>
            </w:hyperlink>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7"/>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w w:val="99"/>
              </w:rPr>
            </w:pPr>
            <w:hyperlink r:id="rId304">
              <w:r>
                <w:rPr>
                  <w:rFonts w:ascii="Times New Roman" w:cs="Times New Roman" w:eastAsia="Times New Roman" w:hAnsi="Times New Roman"/>
                  <w:sz w:val="18"/>
                  <w:szCs w:val="18"/>
                  <w:color w:val="0000FF"/>
                  <w:w w:val="99"/>
                </w:rPr>
                <w:t>Lease between Terreno Park Union City LLC and the Registrant dated as of</w:t>
              </w:r>
            </w:hyperlink>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6"/>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February 12, 2021.</w:t>
              </w:r>
            </w:hyperlink>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Loan and Security Agreement by and between Silicon Valley Bank, a</w:t>
              </w:r>
            </w:hyperlink>
          </w:p>
        </w:tc>
        <w:tc>
          <w:tcPr>
            <w:tcW w:w="400" w:type="dxa"/>
            <w:vAlign w:val="bottom"/>
            <w:gridSpan w:val="7"/>
          </w:tcPr>
          <w:p>
            <w:pPr>
              <w:spacing w:after="0"/>
              <w:rPr>
                <w:sz w:val="17"/>
                <w:szCs w:val="17"/>
                <w:color w:val="auto"/>
              </w:rPr>
            </w:pP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11-6-2024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division of First-Citizens Bank &amp; Trust Company and Tenaya</w:t>
              </w:r>
            </w:hyperlink>
          </w:p>
        </w:tc>
        <w:tc>
          <w:tcPr>
            <w:tcW w:w="960" w:type="dxa"/>
            <w:vAlign w:val="bottom"/>
            <w:gridSpan w:val="15"/>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Therapeutics, Inc.</w:t>
              </w:r>
            </w:hyperlink>
          </w:p>
        </w:tc>
        <w:tc>
          <w:tcPr>
            <w:tcW w:w="4080" w:type="dxa"/>
            <w:vAlign w:val="bottom"/>
            <w:gridSpan w:val="34"/>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Sales Agreement, dated August 10, 2022, by and between Tenaya</w:t>
              </w:r>
            </w:hyperlink>
          </w:p>
        </w:tc>
        <w:tc>
          <w:tcPr>
            <w:tcW w:w="680" w:type="dxa"/>
            <w:vAlign w:val="bottom"/>
            <w:gridSpan w:val="12"/>
          </w:tcPr>
          <w:p>
            <w:pPr>
              <w:spacing w:after="0"/>
              <w:rPr>
                <w:sz w:val="17"/>
                <w:szCs w:val="17"/>
                <w:color w:val="auto"/>
              </w:rPr>
            </w:pPr>
          </w:p>
        </w:tc>
        <w:tc>
          <w:tcPr>
            <w:tcW w:w="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13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333-266741</w:t>
            </w:r>
          </w:p>
        </w:tc>
        <w:tc>
          <w:tcPr>
            <w:tcW w:w="10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8-10-2022</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6"/>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Therapeutics, Inc. and SVB Securities LLC</w:t>
              </w:r>
            </w:hyperlink>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Insider Trading Policy</w:t>
            </w:r>
          </w:p>
        </w:tc>
        <w:tc>
          <w:tcPr>
            <w:tcW w:w="1500" w:type="dxa"/>
            <w:vAlign w:val="bottom"/>
            <w:tcBorders>
              <w:top w:val="single" w:sz="8" w:color="0000FF"/>
            </w:tcBorders>
            <w:gridSpan w:val="9"/>
          </w:tcPr>
          <w:p>
            <w:pPr>
              <w:spacing w:after="0"/>
              <w:rPr>
                <w:sz w:val="17"/>
                <w:szCs w:val="17"/>
                <w:color w:val="auto"/>
              </w:rPr>
            </w:pPr>
          </w:p>
        </w:tc>
        <w:tc>
          <w:tcPr>
            <w:tcW w:w="2340" w:type="dxa"/>
            <w:vAlign w:val="bottom"/>
            <w:gridSpan w:val="23"/>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140" w:type="dxa"/>
            <w:vAlign w:val="bottom"/>
          </w:tcPr>
          <w:p>
            <w:pPr>
              <w:spacing w:after="0"/>
              <w:rPr>
                <w:sz w:val="24"/>
                <w:szCs w:val="24"/>
                <w:color w:val="auto"/>
              </w:rPr>
            </w:pPr>
          </w:p>
        </w:tc>
        <w:tc>
          <w:tcPr>
            <w:tcW w:w="4640" w:type="dxa"/>
            <w:vAlign w:val="bottom"/>
            <w:gridSpan w:val="23"/>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tbl>
      <w:tblPr>
        <w:tblLayout w:type="fixed"/>
        <w:tblInd w:w="12"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 Registered Public</w:t>
            </w:r>
          </w:p>
        </w:tc>
        <w:tc>
          <w:tcPr>
            <w:tcW w:w="58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Accounting Firm.</w:t>
            </w:r>
          </w:p>
        </w:tc>
        <w:tc>
          <w:tcPr>
            <w:tcW w:w="20" w:type="dxa"/>
            <w:vAlign w:val="bottom"/>
            <w:tcBorders>
              <w:bottom w:val="single" w:sz="8" w:color="0000EE"/>
            </w:tcBorders>
          </w:tcPr>
          <w:p>
            <w:pPr>
              <w:spacing w:after="0"/>
              <w:rPr>
                <w:sz w:val="17"/>
                <w:szCs w:val="17"/>
                <w:color w:val="auto"/>
              </w:rPr>
            </w:pPr>
          </w:p>
        </w:tc>
        <w:tc>
          <w:tcPr>
            <w:tcW w:w="416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54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Power of Attorney (included on the signature page to this Annual Report on</w:t>
            </w: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Form 10-K).</w:t>
            </w:r>
          </w:p>
        </w:tc>
        <w:tc>
          <w:tcPr>
            <w:tcW w:w="452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4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3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 the Securities Exchange</w:t>
            </w:r>
          </w:p>
        </w:tc>
        <w:tc>
          <w:tcPr>
            <w:tcW w:w="12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2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Adopted Pursuant to Section 302 of the Sarbanes-Oxley</w:t>
            </w:r>
          </w:p>
        </w:tc>
        <w:tc>
          <w:tcPr>
            <w:tcW w:w="2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4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54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4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w:t>
            </w: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4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236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Compensation Recovery Policy.</w:t>
              </w:r>
            </w:hyperlink>
          </w:p>
        </w:tc>
        <w:tc>
          <w:tcPr>
            <w:tcW w:w="3100" w:type="dxa"/>
            <w:vAlign w:val="bottom"/>
            <w:gridSpan w:val="5"/>
          </w:tcPr>
          <w:p>
            <w:pPr>
              <w:spacing w:after="0"/>
              <w:rPr>
                <w:sz w:val="17"/>
                <w:szCs w:val="17"/>
                <w:color w:val="auto"/>
              </w:rPr>
            </w:pPr>
          </w:p>
        </w:tc>
        <w:tc>
          <w:tcPr>
            <w:tcW w:w="7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88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3-18-2024</w:t>
            </w:r>
          </w:p>
        </w:tc>
      </w:tr>
      <w:tr>
        <w:trPr>
          <w:trHeight w:val="20"/>
        </w:trPr>
        <w:tc>
          <w:tcPr>
            <w:tcW w:w="1260" w:type="dxa"/>
            <w:vAlign w:val="bottom"/>
          </w:tcPr>
          <w:p>
            <w:pPr>
              <w:spacing w:after="0" w:line="20" w:lineRule="exact"/>
              <w:rPr>
                <w:sz w:val="1"/>
                <w:szCs w:val="1"/>
                <w:color w:val="auto"/>
              </w:rPr>
            </w:pPr>
          </w:p>
        </w:tc>
        <w:tc>
          <w:tcPr>
            <w:tcW w:w="2340" w:type="dxa"/>
            <w:vAlign w:val="bottom"/>
            <w:tcBorders>
              <w:right w:val="single" w:sz="8" w:color="0000EE"/>
            </w:tcBorders>
            <w:gridSpan w:val="5"/>
            <w:shd w:val="clear" w:color="auto" w:fill="0000FF"/>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Inline XBRL Instance Document–the instance document does not appear in</w:t>
            </w: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Interactive Data File as its XBRL tags are embedded within the Inline</w:t>
            </w: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Documents</w:t>
            </w: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95123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4" w:lineRule="exact"/>
        <w:rPr>
          <w:sz w:val="20"/>
          <w:szCs w:val="20"/>
          <w:color w:val="auto"/>
        </w:rPr>
      </w:pPr>
    </w:p>
    <w:p>
      <w:pPr>
        <w:ind w:left="352" w:hanging="352"/>
        <w:spacing w:after="0"/>
        <w:tabs>
          <w:tab w:leader="none" w:pos="35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Filed herewith</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52" w:hanging="352"/>
        <w:spacing w:after="0"/>
        <w:tabs>
          <w:tab w:leader="none" w:pos="3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agreement.</w:t>
      </w:r>
    </w:p>
    <w:p>
      <w:pPr>
        <w:spacing w:after="0" w:line="117" w:lineRule="exact"/>
        <w:rPr>
          <w:sz w:val="20"/>
          <w:szCs w:val="20"/>
          <w:color w:val="auto"/>
        </w:rPr>
      </w:pPr>
    </w:p>
    <w:p>
      <w:pPr>
        <w:ind w:left="-8" w:firstLine="8"/>
        <w:spacing w:after="0" w:line="266" w:lineRule="auto"/>
        <w:tabs>
          <w:tab w:leader="none" w:pos="35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certifications attached as Exhibit 32.1 that accompany this Annual Report on Form 10-K are not deemed filed with the Securities and Exchange Commission and are not to be incorporated by reference into any filing of the Registrant under the Securities Act or the Exchange Act, whether made before or after the date of this Annual Report on Form 10-K, irrespective of any general incorporation language contained in such filing.</w:t>
      </w:r>
    </w:p>
    <w:p>
      <w:pPr>
        <w:spacing w:after="0" w:line="392"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32"/>
          </w:cols>
          <w:pgMar w:left="328" w:top="1404" w:right="539" w:bottom="1440" w:gutter="0" w:footer="0" w:header="0"/>
        </w:sectPr>
      </w:pPr>
    </w:p>
    <w:bookmarkStart w:id="133" w:name="page134"/>
    <w:bookmarkEnd w:id="133"/>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25" w:lineRule="exact"/>
        <w:rPr>
          <w:sz w:val="20"/>
          <w:szCs w:val="20"/>
          <w:color w:val="auto"/>
        </w:rPr>
      </w:pPr>
    </w:p>
    <w:p>
      <w:pPr>
        <w:ind w:left="20"/>
        <w:spacing w:after="0"/>
        <w:tabs>
          <w:tab w:leader="none" w:pos="5580" w:val="left"/>
          <w:tab w:leader="none" w:pos="6020" w:val="left"/>
        </w:tabs>
        <w:rPr>
          <w:sz w:val="20"/>
          <w:szCs w:val="20"/>
          <w:color w:val="auto"/>
        </w:rPr>
      </w:pPr>
      <w:r>
        <w:rPr>
          <w:rFonts w:ascii="Times New Roman" w:cs="Times New Roman" w:eastAsia="Times New Roman" w:hAnsi="Times New Roman"/>
          <w:sz w:val="18"/>
          <w:szCs w:val="18"/>
          <w:color w:val="auto"/>
        </w:rPr>
        <w:t>Date: March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Faraz Ali, M.B.A.</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Faraz Ali and Tomohiro Higa as his or her true and lawful attorneys-in-fact and agents, with full power of substitution and substitution, for him or her and in his or her name, place, and stead, in any and all capacities (including his or her capacity as a director and/or officer of Tenaya Therapeutics, Inc.) to sign any or all amendments to this Annual Report on Form 10-K,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8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40" w:right="339" w:bottom="1440" w:gutter="0" w:footer="0" w:header="0"/>
        </w:sectPr>
      </w:pPr>
    </w:p>
    <w:p>
      <w:pPr>
        <w:spacing w:after="0" w:line="4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031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Faraz Ali, M.B.A.</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Tomohiro Higa,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Tomohiro Higa, M.B.A.</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Amy L. Burroughs,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Amy L. Burroughs, M.B.A.</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4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3"/>
                <w:szCs w:val="23"/>
                <w:color w:val="auto"/>
              </w:rPr>
            </w:pPr>
          </w:p>
        </w:tc>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March 10, 2025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 and Interim Principal Financial</w:t>
            </w:r>
          </w:p>
        </w:tc>
        <w:tc>
          <w:tcPr>
            <w:tcW w:w="100" w:type="dxa"/>
            <w:vAlign w:val="bottom"/>
          </w:tcPr>
          <w:p>
            <w:pPr>
              <w:spacing w:after="0"/>
              <w:rPr>
                <w:sz w:val="18"/>
                <w:szCs w:val="18"/>
                <w:color w:val="auto"/>
              </w:rPr>
            </w:pP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c>
          <w:tcPr>
            <w:tcW w:w="0" w:type="dxa"/>
            <w:vAlign w:val="bottom"/>
          </w:tcPr>
          <w:p>
            <w:pPr>
              <w:spacing w:after="0"/>
              <w:rPr>
                <w:sz w:val="1"/>
                <w:szCs w:val="1"/>
                <w:color w:val="auto"/>
              </w:rPr>
            </w:pPr>
          </w:p>
        </w:tc>
      </w:t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(Interim Principal Accounting Officer)</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c>
          <w:tcPr>
            <w:tcW w:w="0" w:type="dxa"/>
            <w:vAlign w:val="bottom"/>
          </w:tcPr>
          <w:p>
            <w:pPr>
              <w:spacing w:after="0"/>
              <w:rPr>
                <w:sz w:val="1"/>
                <w:szCs w:val="1"/>
                <w:color w:val="auto"/>
              </w:rPr>
            </w:pPr>
          </w:p>
        </w:tc>
      </w:tr>
    </w:tbl>
    <w:p>
      <w:pPr>
        <w:spacing w:after="0" w:line="211" w:lineRule="exact"/>
        <w:rPr>
          <w:sz w:val="20"/>
          <w:szCs w:val="20"/>
          <w:color w:val="auto"/>
        </w:rPr>
      </w:pPr>
    </w:p>
    <w:p>
      <w:pPr>
        <w:sectPr>
          <w:pgSz w:w="11900" w:h="16838" w:orient="portrait"/>
          <w:cols w:equalWidth="0" w:num="2">
            <w:col w:w="3360" w:space="720"/>
            <w:col w:w="7160"/>
          </w:cols>
          <w:pgMar w:left="320" w:top="1440" w:right="339" w:bottom="1440" w:gutter="0" w:footer="0" w:header="0"/>
          <w:type w:val="continuous"/>
        </w:sectPr>
      </w:pPr>
    </w:p>
    <w:p>
      <w:pPr>
        <w:ind w:left="20"/>
        <w:spacing w:after="0"/>
        <w:tabs>
          <w:tab w:leader="none" w:pos="4060" w:val="left"/>
          <w:tab w:leader="none" w:pos="8820" w:val="left"/>
        </w:tabs>
        <w:rPr>
          <w:sz w:val="20"/>
          <w:szCs w:val="20"/>
          <w:color w:val="auto"/>
        </w:rPr>
      </w:pPr>
      <w:r>
        <w:rPr>
          <w:rFonts w:ascii="Times New Roman" w:cs="Times New Roman" w:eastAsia="Times New Roman" w:hAnsi="Times New Roman"/>
          <w:sz w:val="18"/>
          <w:szCs w:val="18"/>
          <w:color w:val="auto"/>
        </w:rPr>
        <w:t>/s/ David V. Goeddel, Ph.D.</w:t>
      </w:r>
      <w:r>
        <w:rPr>
          <w:sz w:val="20"/>
          <w:szCs w:val="20"/>
          <w:color w:val="auto"/>
        </w:rPr>
        <w:tab/>
      </w: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7"/>
          <w:szCs w:val="17"/>
          <w:color w:val="auto"/>
        </w:rPr>
        <w:t>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David V. Goeddel, Ph.D.</w:t>
      </w:r>
    </w:p>
    <w:p>
      <w:pPr>
        <w:sectPr>
          <w:pgSz w:w="11900" w:h="16838" w:orient="portrait"/>
          <w:cols w:equalWidth="0" w:num="1">
            <w:col w:w="11240"/>
          </w:cols>
          <w:pgMar w:left="320" w:top="1440" w:right="339" w:bottom="1440" w:gutter="0" w:footer="0" w:header="0"/>
          <w:type w:val="continuous"/>
        </w:sectPr>
      </w:pP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June Lee,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June Lee, M.D.</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Karah Parschauer,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Karah Parschauer, J.D.</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Deepak Srivastava,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Deepak Srivastava, M.D.</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Catherine Stehman-Breen,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Catherine Stehman-Breen, M.D.</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Jeffrey T. Walsh,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Jeffrey T. Walsh, M.B.A.</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 Sanders (Sandy) Williams,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5031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 Sanders (Sandy) Williams, M.D.</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tabs>
          <w:tab w:leader="none" w:pos="47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10, 2025</w:t>
      </w:r>
    </w:p>
    <w:p>
      <w:pPr>
        <w:spacing w:after="0" w:line="264" w:lineRule="exact"/>
        <w:rPr>
          <w:sz w:val="20"/>
          <w:szCs w:val="20"/>
          <w:color w:val="auto"/>
        </w:rPr>
      </w:pPr>
    </w:p>
    <w:p>
      <w:pPr>
        <w:spacing w:after="0"/>
        <w:tabs>
          <w:tab w:leader="none" w:pos="47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10, 2025</w:t>
      </w:r>
    </w:p>
    <w:p>
      <w:pPr>
        <w:spacing w:after="0" w:line="264" w:lineRule="exact"/>
        <w:rPr>
          <w:sz w:val="20"/>
          <w:szCs w:val="20"/>
          <w:color w:val="auto"/>
        </w:rPr>
      </w:pPr>
    </w:p>
    <w:p>
      <w:pPr>
        <w:spacing w:after="0"/>
        <w:tabs>
          <w:tab w:leader="none" w:pos="47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10, 2025</w:t>
      </w:r>
    </w:p>
    <w:p>
      <w:pPr>
        <w:spacing w:after="0" w:line="264" w:lineRule="exact"/>
        <w:rPr>
          <w:sz w:val="20"/>
          <w:szCs w:val="20"/>
          <w:color w:val="auto"/>
        </w:rPr>
      </w:pPr>
    </w:p>
    <w:p>
      <w:pPr>
        <w:spacing w:after="0"/>
        <w:tabs>
          <w:tab w:leader="none" w:pos="47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10, 2025</w:t>
      </w:r>
    </w:p>
    <w:p>
      <w:pPr>
        <w:spacing w:after="0" w:line="264" w:lineRule="exact"/>
        <w:rPr>
          <w:sz w:val="20"/>
          <w:szCs w:val="20"/>
          <w:color w:val="auto"/>
        </w:rPr>
      </w:pPr>
    </w:p>
    <w:p>
      <w:pPr>
        <w:spacing w:after="0"/>
        <w:tabs>
          <w:tab w:leader="none" w:pos="47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10, 2025</w:t>
      </w:r>
    </w:p>
    <w:p>
      <w:pPr>
        <w:spacing w:after="0" w:line="264" w:lineRule="exact"/>
        <w:rPr>
          <w:sz w:val="20"/>
          <w:szCs w:val="20"/>
          <w:color w:val="auto"/>
        </w:rPr>
      </w:pPr>
    </w:p>
    <w:p>
      <w:pPr>
        <w:spacing w:after="0"/>
        <w:tabs>
          <w:tab w:leader="none" w:pos="47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10, 2025</w:t>
      </w:r>
    </w:p>
    <w:p>
      <w:pPr>
        <w:spacing w:after="0" w:line="386" w:lineRule="exact"/>
        <w:rPr>
          <w:sz w:val="20"/>
          <w:szCs w:val="20"/>
          <w:color w:val="auto"/>
        </w:rPr>
      </w:pPr>
    </w:p>
    <w:p>
      <w:pPr>
        <w:sectPr>
          <w:pgSz w:w="11900" w:h="16838" w:orient="portrait"/>
          <w:cols w:equalWidth="0" w:num="2">
            <w:col w:w="3360" w:space="720"/>
            <w:col w:w="71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4" w:name="page135"/>
    <w:bookmarkEnd w:id="134"/>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4.3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2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Tenaya Therapeutics, Inc. (“we,” “our,” or “us”) has one class of securities registered under Section 12 of the Securities Exchange Act of 1934, as amended (the “Exchange Act”): our common stock, $0.0001 par value per share. The following descriptions of our capital stock and certain provisions of our amended and restated certificate of incorporation and amended and restated bylaws are summaries and are qualified by reference to our amended and restated certificate of incorporation and amended and restated bylaws. Copies of these documents were filed with the SEC and incorporated by reference as exhibits to our Annual Report on Form 10-K of which this Exhibit 4.3 is a part.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authorized capital stock consists of 1,200,000,000 shares, $0.0001 par value per share, of which: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•1,000,000,000 shares are designated as common stock; 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•200,000,000 shares are designated as preferred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20"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Our common stock is listed on the Nasdaq Global Select Stock Market under the trading symbol “TNYA.” The transfer agent and registrar for our common stock is Computershare Trust Company, N.A. The transfer agent and registrar’s address is 150 Royall Street, Canton, Massachusetts 02021.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22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our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provided by law, our amended and restated certificate of incorporation, our amended and restated bylaws, or the rules of any applicable stock exchange on which our securities are listed. The holders of a majority of the stock issued and outstanding and entitled to vote, present in person or represented by proxy, shall constitute a quorum for the transaction of business at all meetings of the stockholders, unless otherwise required by law, our amended and restated certificate of incorporation, our amended and restated bylaws, or the rules of any applicable stock exchange on which our securities are listed.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20" w:lineRule="exact"/>
        <w:rPr>
          <w:sz w:val="20"/>
          <w:szCs w:val="20"/>
          <w:color w:val="auto"/>
        </w:rPr>
      </w:pPr>
    </w:p>
    <w:p>
      <w:pPr>
        <w:ind w:right="560"/>
        <w:spacing w:after="0" w:line="254" w:lineRule="auto"/>
        <w:rPr>
          <w:sz w:val="20"/>
          <w:szCs w:val="20"/>
          <w:color w:val="auto"/>
        </w:rPr>
      </w:pPr>
      <w:r>
        <w:rPr>
          <w:rFonts w:ascii="Times New Roman" w:cs="Times New Roman" w:eastAsia="Times New Roman" w:hAnsi="Times New Roman"/>
          <w:sz w:val="20"/>
          <w:szCs w:val="20"/>
          <w:color w:val="auto"/>
        </w:rPr>
        <w:t>Subject to preferences that may apply to any outstanding shares of preferred stock, holders of our common stock are entitled to receive dividends, if any, that our board of directors may declare from time to time out of funds legally available for that purpose on a non-cumulative basis, shared ratably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any restrictions contained in our amended and restated certificate of incorporation or applicable law.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w:t>
      </w:r>
    </w:p>
    <w:p>
      <w:pPr>
        <w:spacing w:after="0" w:line="220"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Rights and Preferences</w:t>
      </w:r>
    </w:p>
    <w:p>
      <w:pPr>
        <w:spacing w:after="0" w:line="220"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9"/>
          <w:szCs w:val="19"/>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and issue in the future.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2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Our board of directors has the authority, without further action by the stockholders, to issue up to 200,000,000 shares of preferred stock in one or more series and to fix the designations, rights, powers, preferences, and restrictions thereof. These designations, rights, powers, and preferences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We have no present plan to issue any shares of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Registration Rights</w:t>
      </w:r>
    </w:p>
    <w:p>
      <w:pPr>
        <w:spacing w:after="0" w:line="22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Certain holders of our common stock are entitled to rights with respect to the registration of their shares under the Securities Act of 1933, as amended (the “Securities Act”). These registration rights are contained in the Amended and Restated Investors’ Rights Agreement dated December 17, 2020 (the “IRA”), which was filed with the SEC and incorporated by reference as an exhibit to our Annual Report on Form 10-K. We will pay the registration expenses (other than underwriting discounts and commissions) of the holders of the shares registered pursuant to the registrations described below. Generally, in an underwritten offering, the managing underwriter, if any, has the right, subject to specified conditions, to limit the number of shares such holders may include.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Demand Registration Rights</w:t>
      </w:r>
    </w:p>
    <w:p>
      <w:pPr>
        <w:spacing w:after="0" w:line="22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Certain holders of shares of our common stock are entitled to certain demand registration rights. Before the five-year anniversary of the date of the IRA, the holders of at least 50% of these shares in the aggregate may, on not more than two occasions, request that we register all or a portion of their shares. Such request for registration must cover shares with anticipated aggregate gross proceeds, before deducting underwriting discounts and expenses, of at least $10.0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Form S-3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6" w:name="page137"/>
    <w:bookmarkEnd w:id="136"/>
    <w:p>
      <w:pPr>
        <w:spacing w:after="0" w:line="18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Certain holders of shares of our common stock are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$1,000,000. We will not be required to effect more than two registrations on Form S-3 within any consecutive 12-month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Piggyback Registration Rights</w:t>
      </w:r>
    </w:p>
    <w:p>
      <w:pPr>
        <w:spacing w:after="0" w:line="2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Certain holders of shares of our common stock are entitled to certain piggyback registration rights. In the event that we propose to register any of our securities under the Securities Act, either for our own account or for the account of other security holders, the holders of these shares will be entitled to include their shares in such registration, subject to certain marketing and other limitations. As a result, whenever we propose to file a registration statement under the Securities Act, other than with respect to (i) a registration solely to employee benefit plans;</w:t>
      </w:r>
    </w:p>
    <w:p>
      <w:pPr>
        <w:spacing w:after="0" w:line="1" w:lineRule="exact"/>
        <w:rPr>
          <w:sz w:val="20"/>
          <w:szCs w:val="20"/>
          <w:color w:val="auto"/>
        </w:rPr>
      </w:pPr>
    </w:p>
    <w:p>
      <w:pPr>
        <w:jc w:val="both"/>
        <w:ind w:right="160" w:firstLine="8"/>
        <w:spacing w:after="0" w:line="241" w:lineRule="auto"/>
        <w:tabs>
          <w:tab w:leader="none" w:pos="29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registration relating to the offer and sale of debt securities; (iii) a registration relating to a corporate reorganization or other transaction covered by Rule 145 promulgated under the Securities Act; (iv) a registration on any registration form that does not permit secondary sales; or (v) a registration pursuant to the demand or Form S-3 registration rights described in the preceding two paragraphs above, the holders of these shares are entitled to notice of the registration and have the right to include their shares in the registration.</w:t>
      </w:r>
    </w:p>
    <w:p>
      <w:pPr>
        <w:spacing w:after="0" w:line="184"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20"/>
          <w:szCs w:val="20"/>
          <w:b w:val="1"/>
          <w:bCs w:val="1"/>
          <w:color w:val="auto"/>
        </w:rPr>
        <w:t>Anti-Takeover Effects of Certain Provisions of Delaware Law, Our Amended and Restated Certificate of Incorporation and Our Amended and Restated Bylaws</w:t>
      </w:r>
    </w:p>
    <w:p>
      <w:pPr>
        <w:spacing w:after="0" w:line="15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Certain provisions of Delaware law and certain provisions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Preferred Stock</w:t>
      </w:r>
    </w:p>
    <w:p>
      <w:pPr>
        <w:spacing w:after="0" w:line="22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Classified Board</w:t>
      </w:r>
    </w:p>
    <w:p>
      <w:pPr>
        <w:spacing w:after="0" w:line="220"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our board of directors is divided into three classes, designated Class I, Class II and Class III. Each class has an equal number of directors, as nearly as possible, consisting of one third of the total number of directors constituting the entire board of directors. At each annual meeting of stockholders, successors to the class of directors whose term expires at that annual meeting will be elected for a three-year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Removal of Directors</w:t>
      </w:r>
    </w:p>
    <w:p>
      <w:pPr>
        <w:spacing w:after="0" w:line="220"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Vacancies</w:t>
      </w:r>
    </w:p>
    <w:p>
      <w:pPr>
        <w:spacing w:after="0" w:line="22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Our amended and restated certificate of incorporation authorizes only our board of directors to fill vacant directorships, except as may otherwise be provided for in relation to the rights of holders of preferred stock to elect directors under specified circumstances or except as otherwise provided by resolution of a majority of the whole board of directors.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Cumulative Voting</w:t>
      </w:r>
    </w:p>
    <w:p>
      <w:pPr>
        <w:spacing w:after="0" w:line="220"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stockholders do not have the right to cumulate votes in the election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Special Meetings of Stockholders</w:t>
      </w:r>
    </w:p>
    <w:p>
      <w:pPr>
        <w:spacing w:after="0" w:line="220" w:lineRule="exact"/>
        <w:rPr>
          <w:sz w:val="20"/>
          <w:szCs w:val="20"/>
          <w:color w:val="auto"/>
        </w:rPr>
      </w:pPr>
    </w:p>
    <w:p>
      <w:pPr>
        <w:jc w:val="both"/>
        <w:ind w:right="280"/>
        <w:spacing w:after="0" w:line="254"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 or our President.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Advance Notice Procedures for Director Nominations</w:t>
      </w:r>
    </w:p>
    <w:p>
      <w:pPr>
        <w:spacing w:after="0" w:line="2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Our amended and restated bylaws provide that stockholders seeking to nominate candidates for election as directors or propose business to be considered at an annual or special meeting of stockholders must provide timely notice thereof in writing. To be timely, a stockholder’s notice relating to an annual meeting generally must be received by our secretary at our principal executive offices not less than 90 nor more than 120 days before the one-year anniversary of the date on which we first mailed our proxy materials or a notice of availability of proxy materials (whichever is earlier) for the preceding year’s annual meeting. Although the amended and restated bylaws do not give the board of directors the power to approve or disapprove stockholder nominations of candidates to be elected or business to be conducted at an annual meeting in compliance with the bylaws,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Action by Written Consent</w:t>
      </w:r>
    </w:p>
    <w:p>
      <w:pPr>
        <w:spacing w:after="0" w:line="220" w:lineRule="exact"/>
        <w:rPr>
          <w:sz w:val="20"/>
          <w:szCs w:val="20"/>
          <w:color w:val="auto"/>
        </w:rPr>
      </w:pPr>
    </w:p>
    <w:p>
      <w:pPr>
        <w:ind w:right="760"/>
        <w:spacing w:after="0" w:line="295" w:lineRule="auto"/>
        <w:rPr>
          <w:sz w:val="20"/>
          <w:szCs w:val="20"/>
          <w:color w:val="auto"/>
        </w:rPr>
      </w:pPr>
      <w:r>
        <w:rPr>
          <w:rFonts w:ascii="Times New Roman" w:cs="Times New Roman" w:eastAsia="Times New Roman" w:hAnsi="Times New Roman"/>
          <w:sz w:val="19"/>
          <w:szCs w:val="19"/>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Amending Our Certificate of Incorporation and Bylaws</w:t>
      </w:r>
    </w:p>
    <w:p>
      <w:pPr>
        <w:spacing w:after="0" w:line="2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Our amended and restated certificate of incorporation may be amended or altered in any manner provided by the Delaware General Corporation Law (DGCL); provided that our board of directors acting pursuant to a resolution adopted by a majority of our board of directors and the affirmative vote of a two-thirds majority of our then outstanding voting securities, voting together as a single class, shall be required for the amendment, repeal or modification of certain provisions of our amended and restated certificate of incorporation related to (i) the authority of our board of directors to designate the series and the powers, preferences or relative, participation, optional and other special rights, if any, and any qualifications, limitations or restrictions, of our preferred stock, (ii) the classified structure of our board of directors, (iii) director removal and the filling of unfilled directorships, (iv) no cumulative voting, (v) the prohibition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9"/>
          <w:szCs w:val="19"/>
          <w:color w:val="auto"/>
        </w:rPr>
        <w:t>stockholder actions by written consent, (vi) advance notice requirements or (vi) amendments to our amended and restated certificate of incorporation. Our amended and restated bylaws may be adopted, amended, altered or repealed by stockholders only upon approval of at least a majority of the voting power of all the then outstanding shares of the voting securities, except for any amendment of the provisions related to (i) meetings of stockholders, (ii) powers of our board of directors, (iii) the number of directors constituting our board of directors,</w:t>
      </w:r>
    </w:p>
    <w:p>
      <w:pPr>
        <w:spacing w:after="0" w:line="1" w:lineRule="exact"/>
        <w:rPr>
          <w:sz w:val="20"/>
          <w:szCs w:val="20"/>
          <w:color w:val="auto"/>
        </w:rPr>
      </w:pPr>
    </w:p>
    <w:p>
      <w:pPr>
        <w:ind w:right="100" w:firstLine="8"/>
        <w:spacing w:after="0" w:line="241" w:lineRule="auto"/>
        <w:tabs>
          <w:tab w:leader="none" w:pos="33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resignations and vacancies of our board of directors, (v) removal of directors, (vi) indemnification, (vii) forum selection or (viii) amendments to our amended and restated bylaws, which would require the approval of a two-thirds majority of our then outstanding voting securities. Additionally, our amended and restated certificate of incorporation provides that our bylaws may be amended, altered or repealed by the board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Authorized But Unissued Shares</w:t>
      </w:r>
    </w:p>
    <w:p>
      <w:pPr>
        <w:spacing w:after="0" w:line="220"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20"/>
          <w:szCs w:val="20"/>
          <w:color w:val="auto"/>
        </w:rPr>
        <w:t>Our authorized but unissued shares of common stock and preferred stock are available for future issuances without stockholder approval, except as required by the listing standards of the Nasdaq Global Select Stock Market,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Jurisdiction</w:t>
      </w:r>
    </w:p>
    <w:p>
      <w:pPr>
        <w:spacing w:after="0" w:line="2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Our amended and restated bylaws provide that, unless we consent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any derivative action or proceeding brought on our behalf, any action asserting a claim of breach of fiduciary duty, any action asserting a claim arising pursuant to the DGCL, any action asserting a claim arising pursuant to our amended and restated certificate of incorporation or amended and restated bylaws, or any action asserting a claim that is governed by the internal affairs doctrine. This provision does not apply to suits brought to enforce a duty or liability created by the Exchange Act or any other claim for which the U.S. federal courts have exclusive jurisdiction.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or holding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There is uncertainty as to whether a court would enforce such provisions, and the enforceability of similar choice of forum provisions in other companies’ charter documents has been challenged in legal proceedings. We also note that stockholders cannot waive compliance (or consent to noncompliance) with the federal securities laws and the rules and regulations thereunder.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 with Interested Stockholders</w:t>
      </w:r>
    </w:p>
    <w:p>
      <w:pPr>
        <w:spacing w:after="0" w:line="22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(1) by persons who are directors and also officers of such corporation and (2)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Limitation of Liability and Indemnification of Officers and Directors</w:t>
      </w:r>
    </w:p>
    <w:p>
      <w:pPr>
        <w:spacing w:after="0" w:line="220"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to the fullest extent permitted by the DGCL, our directors and officers will not be personally liable for monetary damages for breach of fiduciary duty as a director or officer.</w:t>
      </w:r>
    </w:p>
    <w:p>
      <w:pPr>
        <w:spacing w:after="0" w:line="15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Our amended and restated certificate of incorporation and our amended and restated bylaws provide that we must indemnify our directors, and our amended and restated bylaws provide that we must indemnify our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officers.</w:t>
      </w:r>
    </w:p>
    <w:p>
      <w:pPr>
        <w:spacing w:after="0" w:line="19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0" w:name="page141"/>
    <w:bookmarkEnd w:id="140"/>
    <w:p>
      <w:pPr>
        <w:ind w:left="9780"/>
        <w:spacing w:after="0"/>
        <w:rPr>
          <w:sz w:val="20"/>
          <w:szCs w:val="20"/>
          <w:color w:val="auto"/>
        </w:rPr>
      </w:pPr>
      <w:r>
        <w:rPr>
          <w:rFonts w:ascii="Times New Roman" w:cs="Times New Roman" w:eastAsia="Times New Roman" w:hAnsi="Times New Roman"/>
          <w:sz w:val="19"/>
          <w:szCs w:val="19"/>
          <w:b w:val="1"/>
          <w:bCs w:val="1"/>
          <w:color w:val="auto"/>
        </w:rPr>
        <w:t>EXHIBIT 10.10</w:t>
      </w:r>
    </w:p>
    <w:p>
      <w:pPr>
        <w:spacing w:after="0" w:line="166" w:lineRule="exact"/>
        <w:rPr>
          <w:sz w:val="20"/>
          <w:szCs w:val="20"/>
          <w:color w:val="auto"/>
        </w:rPr>
      </w:pPr>
    </w:p>
    <w:p>
      <w:pPr>
        <w:jc w:val="right"/>
        <w:ind w:right="300"/>
        <w:spacing w:after="0"/>
        <w:rPr>
          <w:sz w:val="20"/>
          <w:szCs w:val="20"/>
          <w:color w:val="auto"/>
        </w:rPr>
      </w:pPr>
      <w:r>
        <w:rPr>
          <w:rFonts w:ascii="Calibri" w:cs="Calibri" w:eastAsia="Calibri" w:hAnsi="Calibri"/>
          <w:sz w:val="16"/>
          <w:szCs w:val="16"/>
          <w:color w:val="auto"/>
        </w:rPr>
        <w:t>171 Oyster Point Boulevard, Suite 500 South San Francisco, CA</w:t>
      </w:r>
    </w:p>
    <w:p>
      <w:pPr>
        <w:spacing w:after="0" w:line="7" w:lineRule="exact"/>
        <w:rPr>
          <w:sz w:val="20"/>
          <w:szCs w:val="20"/>
          <w:color w:val="auto"/>
        </w:rPr>
      </w:pPr>
    </w:p>
    <w:p>
      <w:pPr>
        <w:jc w:val="right"/>
        <w:ind w:right="280"/>
        <w:spacing w:after="0"/>
        <w:rPr>
          <w:sz w:val="20"/>
          <w:szCs w:val="20"/>
          <w:color w:val="auto"/>
        </w:rPr>
      </w:pPr>
      <w:r>
        <w:rPr>
          <w:rFonts w:ascii="Calibri" w:cs="Calibri" w:eastAsia="Calibri" w:hAnsi="Calibri"/>
          <w:sz w:val="16"/>
          <w:szCs w:val="16"/>
          <w:color w:val="auto"/>
        </w:rPr>
        <w:t>94080</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420"/>
        <w:spacing w:after="0"/>
        <w:rPr>
          <w:sz w:val="20"/>
          <w:szCs w:val="20"/>
          <w:color w:val="auto"/>
        </w:rPr>
      </w:pPr>
      <w:r>
        <w:rPr>
          <w:rFonts w:ascii="Calibri" w:cs="Calibri" w:eastAsia="Calibri" w:hAnsi="Calibri"/>
          <w:sz w:val="20"/>
          <w:szCs w:val="20"/>
          <w:color w:val="auto"/>
        </w:rPr>
        <w:t>November 26, 2019</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alibri" w:cs="Calibri" w:eastAsia="Calibri" w:hAnsi="Calibri"/>
          <w:sz w:val="20"/>
          <w:szCs w:val="20"/>
          <w:color w:val="auto"/>
        </w:rPr>
        <w:t>Tomohiro Higa</w:t>
      </w:r>
    </w:p>
    <w:p>
      <w:pPr>
        <w:spacing w:after="0" w:line="363" w:lineRule="exact"/>
        <w:rPr>
          <w:sz w:val="20"/>
          <w:szCs w:val="20"/>
          <w:color w:val="auto"/>
        </w:rPr>
      </w:pPr>
    </w:p>
    <w:p>
      <w:pPr>
        <w:spacing w:after="0"/>
        <w:rPr>
          <w:sz w:val="20"/>
          <w:szCs w:val="20"/>
          <w:color w:val="auto"/>
        </w:rPr>
      </w:pPr>
      <w:r>
        <w:rPr>
          <w:rFonts w:ascii="Calibri" w:cs="Calibri" w:eastAsia="Calibri" w:hAnsi="Calibri"/>
          <w:sz w:val="20"/>
          <w:szCs w:val="20"/>
          <w:color w:val="3C3C3C"/>
        </w:rPr>
        <w:t>Dear Hiro:</w:t>
      </w:r>
    </w:p>
    <w:p>
      <w:pPr>
        <w:spacing w:after="0" w:line="130" w:lineRule="exact"/>
        <w:rPr>
          <w:sz w:val="20"/>
          <w:szCs w:val="20"/>
          <w:color w:val="auto"/>
        </w:rPr>
      </w:pPr>
    </w:p>
    <w:p>
      <w:pPr>
        <w:jc w:val="both"/>
        <w:ind w:left="20" w:right="140" w:firstLine="759"/>
        <w:spacing w:after="0" w:line="236" w:lineRule="auto"/>
        <w:rPr>
          <w:sz w:val="20"/>
          <w:szCs w:val="20"/>
          <w:color w:val="auto"/>
        </w:rPr>
      </w:pPr>
      <w:r>
        <w:rPr>
          <w:rFonts w:ascii="Calibri" w:cs="Calibri" w:eastAsia="Calibri" w:hAnsi="Calibri"/>
          <w:sz w:val="20"/>
          <w:szCs w:val="20"/>
          <w:color w:val="3C3C3C"/>
        </w:rPr>
        <w:t>I am pleased to ofer you a positon with Tenaya Therapeutcs</w:t>
      </w:r>
      <w:r>
        <w:rPr>
          <w:rFonts w:ascii="Calibri" w:cs="Calibri" w:eastAsia="Calibri" w:hAnsi="Calibri"/>
          <w:sz w:val="20"/>
          <w:szCs w:val="20"/>
          <w:color w:val="585858"/>
        </w:rPr>
        <w:t>,</w:t>
      </w:r>
      <w:r>
        <w:rPr>
          <w:rFonts w:ascii="Calibri" w:cs="Calibri" w:eastAsia="Calibri" w:hAnsi="Calibri"/>
          <w:sz w:val="20"/>
          <w:szCs w:val="20"/>
          <w:color w:val="3C3C3C"/>
        </w:rPr>
        <w:t xml:space="preserve"> Inc. (the </w:t>
      </w:r>
      <w:r>
        <w:rPr>
          <w:rFonts w:ascii="Calibri" w:cs="Calibri" w:eastAsia="Calibri" w:hAnsi="Calibri"/>
          <w:sz w:val="20"/>
          <w:szCs w:val="20"/>
          <w:b w:val="1"/>
          <w:bCs w:val="1"/>
          <w:color w:val="585858"/>
        </w:rPr>
        <w:t>"</w:t>
      </w:r>
      <w:r>
        <w:rPr>
          <w:rFonts w:ascii="Calibri" w:cs="Calibri" w:eastAsia="Calibri" w:hAnsi="Calibri"/>
          <w:sz w:val="20"/>
          <w:szCs w:val="20"/>
          <w:b w:val="1"/>
          <w:bCs w:val="1"/>
          <w:color w:val="3C3C3C"/>
        </w:rPr>
        <w:t>Company</w:t>
      </w:r>
      <w:r>
        <w:rPr>
          <w:rFonts w:ascii="Calibri" w:cs="Calibri" w:eastAsia="Calibri" w:hAnsi="Calibri"/>
          <w:sz w:val="20"/>
          <w:szCs w:val="20"/>
          <w:b w:val="1"/>
          <w:bCs w:val="1"/>
          <w:color w:val="585858"/>
        </w:rPr>
        <w:t>"</w:t>
      </w:r>
      <w:r>
        <w:rPr>
          <w:rFonts w:ascii="Calibri" w:cs="Calibri" w:eastAsia="Calibri" w:hAnsi="Calibri"/>
          <w:sz w:val="20"/>
          <w:szCs w:val="20"/>
          <w:b w:val="1"/>
          <w:bCs w:val="1"/>
          <w:color w:val="3C3C3C"/>
        </w:rPr>
        <w:t>),</w:t>
      </w:r>
      <w:r>
        <w:rPr>
          <w:rFonts w:ascii="Calibri" w:cs="Calibri" w:eastAsia="Calibri" w:hAnsi="Calibri"/>
          <w:sz w:val="20"/>
          <w:szCs w:val="20"/>
          <w:color w:val="3C3C3C"/>
        </w:rPr>
        <w:t xml:space="preserve"> as its Vice President, Finance reportng to Faraz Ali, M.B.A., Chief Executve Ofcer. If you accept our ofer</w:t>
      </w:r>
      <w:r>
        <w:rPr>
          <w:rFonts w:ascii="Calibri" w:cs="Calibri" w:eastAsia="Calibri" w:hAnsi="Calibri"/>
          <w:sz w:val="20"/>
          <w:szCs w:val="20"/>
          <w:color w:val="585858"/>
        </w:rPr>
        <w:t>,</w:t>
      </w:r>
      <w:r>
        <w:rPr>
          <w:rFonts w:ascii="Calibri" w:cs="Calibri" w:eastAsia="Calibri" w:hAnsi="Calibri"/>
          <w:sz w:val="20"/>
          <w:szCs w:val="20"/>
          <w:color w:val="3C3C3C"/>
        </w:rPr>
        <w:t xml:space="preserve"> your frst day of employment will be as soon as practcable</w:t>
      </w:r>
      <w:r>
        <w:rPr>
          <w:rFonts w:ascii="Calibri" w:cs="Calibri" w:eastAsia="Calibri" w:hAnsi="Calibri"/>
          <w:sz w:val="20"/>
          <w:szCs w:val="20"/>
          <w:color w:val="585858"/>
        </w:rPr>
        <w:t>,</w:t>
      </w:r>
      <w:r>
        <w:rPr>
          <w:rFonts w:ascii="Calibri" w:cs="Calibri" w:eastAsia="Calibri" w:hAnsi="Calibri"/>
          <w:sz w:val="20"/>
          <w:szCs w:val="20"/>
          <w:color w:val="3C3C3C"/>
        </w:rPr>
        <w:t xml:space="preserve"> but no later than January 13, 2020 (the day you actually commence employment hereunder</w:t>
      </w:r>
      <w:r>
        <w:rPr>
          <w:rFonts w:ascii="Calibri" w:cs="Calibri" w:eastAsia="Calibri" w:hAnsi="Calibri"/>
          <w:sz w:val="20"/>
          <w:szCs w:val="20"/>
          <w:color w:val="585858"/>
        </w:rPr>
        <w:t>,</w:t>
      </w:r>
      <w:r>
        <w:rPr>
          <w:rFonts w:ascii="Calibri" w:cs="Calibri" w:eastAsia="Calibri" w:hAnsi="Calibri"/>
          <w:sz w:val="20"/>
          <w:szCs w:val="20"/>
          <w:color w:val="3C3C3C"/>
        </w:rPr>
        <w:t xml:space="preserve"> the </w:t>
      </w:r>
      <w:r>
        <w:rPr>
          <w:rFonts w:ascii="Calibri" w:cs="Calibri" w:eastAsia="Calibri" w:hAnsi="Calibri"/>
          <w:sz w:val="20"/>
          <w:szCs w:val="20"/>
          <w:b w:val="1"/>
          <w:bCs w:val="1"/>
          <w:color w:val="585858"/>
        </w:rPr>
        <w:t>"</w:t>
      </w:r>
      <w:r>
        <w:rPr>
          <w:rFonts w:ascii="Calibri" w:cs="Calibri" w:eastAsia="Calibri" w:hAnsi="Calibri"/>
          <w:sz w:val="20"/>
          <w:szCs w:val="20"/>
          <w:b w:val="1"/>
          <w:bCs w:val="1"/>
          <w:color w:val="3C3C3C"/>
        </w:rPr>
        <w:t>Employment Commencement Date</w:t>
      </w:r>
      <w:r>
        <w:rPr>
          <w:rFonts w:ascii="Calibri" w:cs="Calibri" w:eastAsia="Calibri" w:hAnsi="Calibri"/>
          <w:sz w:val="20"/>
          <w:szCs w:val="20"/>
          <w:b w:val="1"/>
          <w:bCs w:val="1"/>
          <w:color w:val="585858"/>
        </w:rPr>
        <w:t>"</w:t>
      </w:r>
      <w:r>
        <w:rPr>
          <w:rFonts w:ascii="Calibri" w:cs="Calibri" w:eastAsia="Calibri" w:hAnsi="Calibri"/>
          <w:sz w:val="20"/>
          <w:szCs w:val="20"/>
          <w:b w:val="1"/>
          <w:bCs w:val="1"/>
          <w:color w:val="3C3C3C"/>
        </w:rPr>
        <w:t>).</w:t>
      </w:r>
    </w:p>
    <w:p>
      <w:pPr>
        <w:spacing w:after="0" w:line="117" w:lineRule="exact"/>
        <w:rPr>
          <w:sz w:val="20"/>
          <w:szCs w:val="20"/>
          <w:color w:val="auto"/>
        </w:rPr>
      </w:pPr>
    </w:p>
    <w:p>
      <w:pPr>
        <w:jc w:val="both"/>
        <w:ind w:left="20" w:right="120" w:firstLine="764"/>
        <w:spacing w:after="0" w:line="237" w:lineRule="auto"/>
        <w:rPr>
          <w:sz w:val="20"/>
          <w:szCs w:val="20"/>
          <w:color w:val="auto"/>
        </w:rPr>
      </w:pPr>
      <w:r>
        <w:rPr>
          <w:rFonts w:ascii="Calibri" w:cs="Calibri" w:eastAsia="Calibri" w:hAnsi="Calibri"/>
          <w:sz w:val="20"/>
          <w:szCs w:val="20"/>
          <w:b w:val="1"/>
          <w:bCs w:val="1"/>
          <w:color w:val="3C3C3C"/>
        </w:rPr>
        <w:t xml:space="preserve">1.Positon. </w:t>
      </w:r>
      <w:r>
        <w:rPr>
          <w:rFonts w:ascii="Calibri" w:cs="Calibri" w:eastAsia="Calibri" w:hAnsi="Calibri"/>
          <w:sz w:val="20"/>
          <w:szCs w:val="20"/>
          <w:color w:val="3C3C3C"/>
        </w:rPr>
        <w:t>As Vice President, Finance, you will have such dutes and responsibilites commensurate with those customarily</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associated with that positon</w:t>
      </w:r>
      <w:r>
        <w:rPr>
          <w:rFonts w:ascii="Calibri" w:cs="Calibri" w:eastAsia="Calibri" w:hAnsi="Calibri"/>
          <w:sz w:val="20"/>
          <w:szCs w:val="20"/>
          <w:color w:val="585858"/>
        </w:rPr>
        <w:t>,</w:t>
      </w:r>
      <w:r>
        <w:rPr>
          <w:rFonts w:ascii="Calibri" w:cs="Calibri" w:eastAsia="Calibri" w:hAnsi="Calibri"/>
          <w:sz w:val="20"/>
          <w:szCs w:val="20"/>
          <w:color w:val="3C3C3C"/>
        </w:rPr>
        <w:t xml:space="preserve"> including such dutes and responsibilites as reasonably assigned by the Chief Executve Ofcer. You will be responsible for oversight of the Company</w:t>
      </w:r>
      <w:r>
        <w:rPr>
          <w:rFonts w:ascii="Calibri" w:cs="Calibri" w:eastAsia="Calibri" w:hAnsi="Calibri"/>
          <w:sz w:val="20"/>
          <w:szCs w:val="20"/>
          <w:color w:val="585858"/>
        </w:rPr>
        <w:t>'</w:t>
      </w:r>
      <w:r>
        <w:rPr>
          <w:rFonts w:ascii="Calibri" w:cs="Calibri" w:eastAsia="Calibri" w:hAnsi="Calibri"/>
          <w:sz w:val="20"/>
          <w:szCs w:val="20"/>
          <w:color w:val="3C3C3C"/>
        </w:rPr>
        <w:t>s Financial Planning and Analysis, as well as the Accountng functon. Unless otherwise previously disclosed to the Company in writng or subsequently approved by the Company</w:t>
      </w:r>
      <w:r>
        <w:rPr>
          <w:rFonts w:ascii="Calibri" w:cs="Calibri" w:eastAsia="Calibri" w:hAnsi="Calibri"/>
          <w:sz w:val="20"/>
          <w:szCs w:val="20"/>
          <w:color w:val="585858"/>
        </w:rPr>
        <w:t>,</w:t>
      </w:r>
      <w:r>
        <w:rPr>
          <w:rFonts w:ascii="Calibri" w:cs="Calibri" w:eastAsia="Calibri" w:hAnsi="Calibri"/>
          <w:sz w:val="20"/>
          <w:szCs w:val="20"/>
          <w:color w:val="3C3C3C"/>
        </w:rPr>
        <w:t xml:space="preserve"> you will devote substantally all of your tme</w:t>
      </w:r>
      <w:r>
        <w:rPr>
          <w:rFonts w:ascii="Calibri" w:cs="Calibri" w:eastAsia="Calibri" w:hAnsi="Calibri"/>
          <w:sz w:val="20"/>
          <w:szCs w:val="20"/>
          <w:color w:val="585858"/>
        </w:rPr>
        <w:t>,</w:t>
      </w:r>
      <w:r>
        <w:rPr>
          <w:rFonts w:ascii="Calibri" w:cs="Calibri" w:eastAsia="Calibri" w:hAnsi="Calibri"/>
          <w:sz w:val="20"/>
          <w:szCs w:val="20"/>
          <w:color w:val="3C3C3C"/>
        </w:rPr>
        <w:t xml:space="preserve"> atenton and skill to such dutes</w:t>
      </w:r>
      <w:r>
        <w:rPr>
          <w:rFonts w:ascii="Calibri" w:cs="Calibri" w:eastAsia="Calibri" w:hAnsi="Calibri"/>
          <w:sz w:val="20"/>
          <w:szCs w:val="20"/>
          <w:color w:val="585858"/>
        </w:rPr>
        <w:t>,</w:t>
      </w:r>
      <w:r>
        <w:rPr>
          <w:rFonts w:ascii="Calibri" w:cs="Calibri" w:eastAsia="Calibri" w:hAnsi="Calibri"/>
          <w:sz w:val="20"/>
          <w:szCs w:val="20"/>
          <w:color w:val="3C3C3C"/>
        </w:rPr>
        <w:t xml:space="preserve"> except during any paid vacaton and other excused absence periods</w:t>
      </w:r>
      <w:r>
        <w:rPr>
          <w:rFonts w:ascii="Calibri" w:cs="Calibri" w:eastAsia="Calibri" w:hAnsi="Calibri"/>
          <w:sz w:val="20"/>
          <w:szCs w:val="20"/>
          <w:color w:val="585858"/>
        </w:rPr>
        <w:t>, a</w:t>
      </w:r>
      <w:r>
        <w:rPr>
          <w:rFonts w:ascii="Calibri" w:cs="Calibri" w:eastAsia="Calibri" w:hAnsi="Calibri"/>
          <w:sz w:val="20"/>
          <w:szCs w:val="20"/>
          <w:color w:val="3C3C3C"/>
        </w:rPr>
        <w:t>nd will use your best eforts to promote the success of the business of the Company</w:t>
      </w:r>
      <w:r>
        <w:rPr>
          <w:rFonts w:ascii="Calibri" w:cs="Calibri" w:eastAsia="Calibri" w:hAnsi="Calibri"/>
          <w:sz w:val="20"/>
          <w:szCs w:val="20"/>
          <w:color w:val="585858"/>
        </w:rPr>
        <w:t>.</w:t>
      </w:r>
    </w:p>
    <w:p>
      <w:pPr>
        <w:spacing w:after="0" w:line="120" w:lineRule="exact"/>
        <w:rPr>
          <w:sz w:val="20"/>
          <w:szCs w:val="20"/>
          <w:color w:val="auto"/>
        </w:rPr>
      </w:pPr>
    </w:p>
    <w:p>
      <w:pPr>
        <w:jc w:val="both"/>
        <w:ind w:left="20" w:right="120" w:firstLine="749"/>
        <w:spacing w:after="0" w:line="236" w:lineRule="auto"/>
        <w:rPr>
          <w:sz w:val="20"/>
          <w:szCs w:val="20"/>
          <w:color w:val="auto"/>
        </w:rPr>
      </w:pPr>
      <w:r>
        <w:rPr>
          <w:rFonts w:ascii="Calibri" w:cs="Calibri" w:eastAsia="Calibri" w:hAnsi="Calibri"/>
          <w:sz w:val="20"/>
          <w:szCs w:val="20"/>
          <w:b w:val="1"/>
          <w:bCs w:val="1"/>
          <w:color w:val="3C3C3C"/>
        </w:rPr>
        <w:t xml:space="preserve">2.Base Salary. </w:t>
      </w:r>
      <w:r>
        <w:rPr>
          <w:rFonts w:ascii="Calibri" w:cs="Calibri" w:eastAsia="Calibri" w:hAnsi="Calibri"/>
          <w:sz w:val="20"/>
          <w:szCs w:val="20"/>
          <w:color w:val="3C3C3C"/>
        </w:rPr>
        <w:t>The Company will pay you a startng salary at the rate of $265</w:t>
      </w:r>
      <w:r>
        <w:rPr>
          <w:rFonts w:ascii="Calibri" w:cs="Calibri" w:eastAsia="Calibri" w:hAnsi="Calibri"/>
          <w:sz w:val="20"/>
          <w:szCs w:val="20"/>
          <w:color w:val="585858"/>
        </w:rPr>
        <w:t>,</w:t>
      </w:r>
      <w:r>
        <w:rPr>
          <w:rFonts w:ascii="Calibri" w:cs="Calibri" w:eastAsia="Calibri" w:hAnsi="Calibri"/>
          <w:sz w:val="20"/>
          <w:szCs w:val="20"/>
          <w:color w:val="3C3C3C"/>
        </w:rPr>
        <w:t>000 per year</w:t>
      </w:r>
      <w:r>
        <w:rPr>
          <w:rFonts w:ascii="Calibri" w:cs="Calibri" w:eastAsia="Calibri" w:hAnsi="Calibri"/>
          <w:sz w:val="20"/>
          <w:szCs w:val="20"/>
          <w:color w:val="585858"/>
        </w:rPr>
        <w:t>,</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payable in accordance with the</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Company's standard payroll schedule. This salary will be subject to adjustment pursuant to the Company</w:t>
      </w:r>
      <w:r>
        <w:rPr>
          <w:rFonts w:ascii="Calibri" w:cs="Calibri" w:eastAsia="Calibri" w:hAnsi="Calibri"/>
          <w:sz w:val="20"/>
          <w:szCs w:val="20"/>
          <w:color w:val="585858"/>
        </w:rPr>
        <w:t>'</w:t>
      </w:r>
      <w:r>
        <w:rPr>
          <w:rFonts w:ascii="Calibri" w:cs="Calibri" w:eastAsia="Calibri" w:hAnsi="Calibri"/>
          <w:sz w:val="20"/>
          <w:szCs w:val="20"/>
          <w:color w:val="3C3C3C"/>
        </w:rPr>
        <w:t xml:space="preserve"> s employee compensaton policies in efect from tme to tme.</w:t>
      </w:r>
    </w:p>
    <w:p>
      <w:pPr>
        <w:spacing w:after="0" w:line="117" w:lineRule="exact"/>
        <w:rPr>
          <w:sz w:val="20"/>
          <w:szCs w:val="20"/>
          <w:color w:val="auto"/>
        </w:rPr>
      </w:pPr>
    </w:p>
    <w:p>
      <w:pPr>
        <w:jc w:val="both"/>
        <w:ind w:left="20" w:right="120" w:firstLine="749"/>
        <w:spacing w:after="0" w:line="237" w:lineRule="auto"/>
        <w:rPr>
          <w:sz w:val="20"/>
          <w:szCs w:val="20"/>
          <w:color w:val="auto"/>
        </w:rPr>
      </w:pPr>
      <w:r>
        <w:rPr>
          <w:rFonts w:ascii="Calibri" w:cs="Calibri" w:eastAsia="Calibri" w:hAnsi="Calibri"/>
          <w:sz w:val="20"/>
          <w:szCs w:val="20"/>
          <w:b w:val="1"/>
          <w:bCs w:val="1"/>
          <w:color w:val="3C3C3C"/>
        </w:rPr>
        <w:t>3.Bonus</w:t>
      </w:r>
      <w:r>
        <w:rPr>
          <w:rFonts w:ascii="Calibri" w:cs="Calibri" w:eastAsia="Calibri" w:hAnsi="Calibri"/>
          <w:sz w:val="20"/>
          <w:szCs w:val="20"/>
          <w:color w:val="3C3C3C"/>
        </w:rPr>
        <w:t>. Under the terms of the Annual Bonus Program, your target bonus payout will be 25% of your base salary. To be</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eligible for the Annual Bonus Program in 2020, you must be an actve employee prior to Oct. 1, 2020 and the 2020 payout will be prorated for the length of service in 2020. The amount of this bonus will be determined in the sole discreton of the board of directors (the “Board”) and may be based, in part, on the performance of the Company during the calendar year along with management’s assessment of your contributon to Company goal achievement. The bonus is not earned untl paid and no pro-rated amount will be paid, if your employment terminates for any reason prior to the payment date.</w:t>
      </w:r>
    </w:p>
    <w:p>
      <w:pPr>
        <w:spacing w:after="0" w:line="120" w:lineRule="exact"/>
        <w:rPr>
          <w:sz w:val="20"/>
          <w:szCs w:val="20"/>
          <w:color w:val="auto"/>
        </w:rPr>
      </w:pPr>
    </w:p>
    <w:p>
      <w:pPr>
        <w:jc w:val="both"/>
        <w:ind w:left="20" w:right="140" w:firstLine="749"/>
        <w:spacing w:after="0" w:line="236" w:lineRule="auto"/>
        <w:rPr>
          <w:sz w:val="20"/>
          <w:szCs w:val="20"/>
          <w:color w:val="auto"/>
        </w:rPr>
      </w:pPr>
      <w:r>
        <w:rPr>
          <w:rFonts w:ascii="Calibri" w:cs="Calibri" w:eastAsia="Calibri" w:hAnsi="Calibri"/>
          <w:sz w:val="20"/>
          <w:szCs w:val="20"/>
          <w:b w:val="1"/>
          <w:bCs w:val="1"/>
          <w:color w:val="3C3C3C"/>
        </w:rPr>
        <w:t xml:space="preserve">4.Employee Benefts. </w:t>
      </w:r>
      <w:r>
        <w:rPr>
          <w:rFonts w:ascii="Calibri" w:cs="Calibri" w:eastAsia="Calibri" w:hAnsi="Calibri"/>
          <w:sz w:val="20"/>
          <w:szCs w:val="20"/>
          <w:color w:val="3C3C3C"/>
        </w:rPr>
        <w:t>As a regular employee of the Company</w:t>
      </w:r>
      <w:r>
        <w:rPr>
          <w:rFonts w:ascii="Calibri" w:cs="Calibri" w:eastAsia="Calibri" w:hAnsi="Calibri"/>
          <w:sz w:val="20"/>
          <w:szCs w:val="20"/>
          <w:color w:val="585858"/>
        </w:rPr>
        <w:t>,</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you will be eligible to partcipate in all Company-sponsored</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benefts currently and hereafer maintained by the Company for the beneft of the Company</w:t>
      </w:r>
      <w:r>
        <w:rPr>
          <w:rFonts w:ascii="Calibri" w:cs="Calibri" w:eastAsia="Calibri" w:hAnsi="Calibri"/>
          <w:sz w:val="20"/>
          <w:szCs w:val="20"/>
          <w:color w:val="585858"/>
        </w:rPr>
        <w:t>'</w:t>
      </w:r>
      <w:r>
        <w:rPr>
          <w:rFonts w:ascii="Calibri" w:cs="Calibri" w:eastAsia="Calibri" w:hAnsi="Calibri"/>
          <w:sz w:val="20"/>
          <w:szCs w:val="20"/>
          <w:color w:val="3C3C3C"/>
        </w:rPr>
        <w:t>s senior executves</w:t>
      </w:r>
      <w:r>
        <w:rPr>
          <w:rFonts w:ascii="Calibri" w:cs="Calibri" w:eastAsia="Calibri" w:hAnsi="Calibri"/>
          <w:sz w:val="20"/>
          <w:szCs w:val="20"/>
          <w:color w:val="585858"/>
        </w:rPr>
        <w:t>,</w:t>
      </w:r>
      <w:r>
        <w:rPr>
          <w:rFonts w:ascii="Calibri" w:cs="Calibri" w:eastAsia="Calibri" w:hAnsi="Calibri"/>
          <w:sz w:val="20"/>
          <w:szCs w:val="20"/>
          <w:color w:val="3C3C3C"/>
        </w:rPr>
        <w:t xml:space="preserve"> subject to the satsfacton of any eligibility requirements. You should note that the Company may modify salaries and benefts from tme-to- tme as it deems necessary</w:t>
      </w:r>
      <w:r>
        <w:rPr>
          <w:rFonts w:ascii="Calibri" w:cs="Calibri" w:eastAsia="Calibri" w:hAnsi="Calibri"/>
          <w:sz w:val="20"/>
          <w:szCs w:val="20"/>
          <w:color w:val="585858"/>
        </w:rPr>
        <w:t>.</w:t>
      </w:r>
    </w:p>
    <w:p>
      <w:pPr>
        <w:spacing w:after="0" w:line="120" w:lineRule="exact"/>
        <w:rPr>
          <w:sz w:val="20"/>
          <w:szCs w:val="20"/>
          <w:color w:val="auto"/>
        </w:rPr>
      </w:pPr>
    </w:p>
    <w:p>
      <w:pPr>
        <w:jc w:val="both"/>
        <w:ind w:right="120" w:firstLine="755"/>
        <w:spacing w:after="0" w:line="236" w:lineRule="auto"/>
        <w:rPr>
          <w:sz w:val="20"/>
          <w:szCs w:val="20"/>
          <w:color w:val="auto"/>
        </w:rPr>
      </w:pPr>
      <w:r>
        <w:rPr>
          <w:rFonts w:ascii="Calibri" w:cs="Calibri" w:eastAsia="Calibri" w:hAnsi="Calibri"/>
          <w:sz w:val="20"/>
          <w:szCs w:val="20"/>
          <w:b w:val="1"/>
          <w:bCs w:val="1"/>
          <w:color w:val="3C3C3C"/>
        </w:rPr>
        <w:t xml:space="preserve">5.Stock Optons. </w:t>
      </w:r>
      <w:r>
        <w:rPr>
          <w:rFonts w:ascii="Calibri" w:cs="Calibri" w:eastAsia="Calibri" w:hAnsi="Calibri"/>
          <w:sz w:val="20"/>
          <w:szCs w:val="20"/>
          <w:color w:val="3C3C3C"/>
        </w:rPr>
        <w:t>At the frst meetng of the Company</w:t>
      </w:r>
      <w:r>
        <w:rPr>
          <w:rFonts w:ascii="Calibri" w:cs="Calibri" w:eastAsia="Calibri" w:hAnsi="Calibri"/>
          <w:sz w:val="20"/>
          <w:szCs w:val="20"/>
          <w:color w:val="565656"/>
        </w:rPr>
        <w:t>'</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s Board of Directors following the Employment Commencement Date</w:t>
      </w:r>
      <w:r>
        <w:rPr>
          <w:rFonts w:ascii="Calibri" w:cs="Calibri" w:eastAsia="Calibri" w:hAnsi="Calibri"/>
          <w:sz w:val="20"/>
          <w:szCs w:val="20"/>
          <w:color w:val="565656"/>
        </w:rPr>
        <w:t>,</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and subject to your contnued employment through such date</w:t>
      </w:r>
      <w:r>
        <w:rPr>
          <w:rFonts w:ascii="Calibri" w:cs="Calibri" w:eastAsia="Calibri" w:hAnsi="Calibri"/>
          <w:sz w:val="20"/>
          <w:szCs w:val="20"/>
          <w:color w:val="565656"/>
        </w:rPr>
        <w:t>,</w:t>
      </w:r>
      <w:r>
        <w:rPr>
          <w:rFonts w:ascii="Calibri" w:cs="Calibri" w:eastAsia="Calibri" w:hAnsi="Calibri"/>
          <w:sz w:val="20"/>
          <w:szCs w:val="20"/>
          <w:color w:val="3C3C3C"/>
        </w:rPr>
        <w:t xml:space="preserve"> you will be granted an opton to purchase 135</w:t>
      </w:r>
      <w:r>
        <w:rPr>
          <w:rFonts w:ascii="Calibri" w:cs="Calibri" w:eastAsia="Calibri" w:hAnsi="Calibri"/>
          <w:sz w:val="20"/>
          <w:szCs w:val="20"/>
          <w:color w:val="565656"/>
        </w:rPr>
        <w:t>,</w:t>
      </w:r>
      <w:r>
        <w:rPr>
          <w:rFonts w:ascii="Calibri" w:cs="Calibri" w:eastAsia="Calibri" w:hAnsi="Calibri"/>
          <w:sz w:val="20"/>
          <w:szCs w:val="20"/>
          <w:color w:val="3C3C3C"/>
        </w:rPr>
        <w:t>000 shares of the Company</w:t>
      </w:r>
      <w:r>
        <w:rPr>
          <w:rFonts w:ascii="Calibri" w:cs="Calibri" w:eastAsia="Calibri" w:hAnsi="Calibri"/>
          <w:sz w:val="20"/>
          <w:szCs w:val="20"/>
          <w:color w:val="565656"/>
        </w:rPr>
        <w:t>'</w:t>
      </w:r>
      <w:r>
        <w:rPr>
          <w:rFonts w:ascii="Calibri" w:cs="Calibri" w:eastAsia="Calibri" w:hAnsi="Calibri"/>
          <w:sz w:val="20"/>
          <w:szCs w:val="20"/>
          <w:color w:val="3C3C3C"/>
        </w:rPr>
        <w:t xml:space="preserve"> s common stock (the </w:t>
      </w:r>
      <w:r>
        <w:rPr>
          <w:rFonts w:ascii="Calibri" w:cs="Calibri" w:eastAsia="Calibri" w:hAnsi="Calibri"/>
          <w:sz w:val="20"/>
          <w:szCs w:val="20"/>
          <w:b w:val="1"/>
          <w:bCs w:val="1"/>
          <w:color w:val="565656"/>
        </w:rPr>
        <w:t>"</w:t>
      </w:r>
      <w:r>
        <w:rPr>
          <w:rFonts w:ascii="Calibri" w:cs="Calibri" w:eastAsia="Calibri" w:hAnsi="Calibri"/>
          <w:sz w:val="20"/>
          <w:szCs w:val="20"/>
          <w:b w:val="1"/>
          <w:bCs w:val="1"/>
          <w:color w:val="3C3C3C"/>
        </w:rPr>
        <w:t>Opton")</w:t>
      </w:r>
      <w:r>
        <w:rPr>
          <w:rFonts w:ascii="Calibri" w:cs="Calibri" w:eastAsia="Calibri" w:hAnsi="Calibri"/>
          <w:sz w:val="20"/>
          <w:szCs w:val="20"/>
          <w:color w:val="3C3C3C"/>
        </w:rPr>
        <w:t xml:space="preserve"> with a per share exercise price equal to the fair market value of a share of Company common stock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233045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274" w:right="339" w:bottom="1440" w:gutter="0" w:footer="0" w:header="0"/>
        </w:sectPr>
      </w:pPr>
    </w:p>
    <w:bookmarkStart w:id="141" w:name="page142"/>
    <w:bookmarkEnd w:id="141"/>
    <w:p>
      <w:pPr>
        <w:jc w:val="right"/>
        <w:ind w:right="180"/>
        <w:spacing w:after="0"/>
        <w:rPr>
          <w:sz w:val="20"/>
          <w:szCs w:val="20"/>
          <w:color w:val="auto"/>
        </w:rPr>
      </w:pPr>
      <w:r>
        <w:rPr>
          <w:rFonts w:ascii="Calibri" w:cs="Calibri" w:eastAsia="Calibri" w:hAnsi="Calibri"/>
          <w:sz w:val="16"/>
          <w:szCs w:val="16"/>
          <w:color w:val="auto"/>
        </w:rPr>
        <w:t>171 Oyster Point Boulevard, Suite 500 South San Francisco, CA</w:t>
      </w:r>
    </w:p>
    <w:p>
      <w:pPr>
        <w:spacing w:after="0" w:line="7" w:lineRule="exact"/>
        <w:rPr>
          <w:sz w:val="20"/>
          <w:szCs w:val="20"/>
          <w:color w:val="auto"/>
        </w:rPr>
      </w:pPr>
    </w:p>
    <w:p>
      <w:pPr>
        <w:jc w:val="right"/>
        <w:ind w:right="160"/>
        <w:spacing w:after="0"/>
        <w:rPr>
          <w:sz w:val="20"/>
          <w:szCs w:val="20"/>
          <w:color w:val="auto"/>
        </w:rPr>
      </w:pPr>
      <w:r>
        <w:rPr>
          <w:rFonts w:ascii="Calibri" w:cs="Calibri" w:eastAsia="Calibri" w:hAnsi="Calibri"/>
          <w:sz w:val="16"/>
          <w:szCs w:val="16"/>
          <w:color w:val="auto"/>
        </w:rPr>
        <w:t>94080</w:t>
      </w:r>
    </w:p>
    <w:p>
      <w:pPr>
        <w:spacing w:after="0" w:line="368" w:lineRule="exact"/>
        <w:rPr>
          <w:sz w:val="20"/>
          <w:szCs w:val="20"/>
          <w:color w:val="auto"/>
        </w:rPr>
      </w:pPr>
    </w:p>
    <w:p>
      <w:pPr>
        <w:jc w:val="both"/>
        <w:spacing w:after="0" w:line="222" w:lineRule="auto"/>
        <w:rPr>
          <w:sz w:val="20"/>
          <w:szCs w:val="20"/>
          <w:color w:val="auto"/>
        </w:rPr>
      </w:pPr>
      <w:r>
        <w:rPr>
          <w:rFonts w:ascii="Calibri" w:cs="Calibri" w:eastAsia="Calibri" w:hAnsi="Calibri"/>
          <w:sz w:val="20"/>
          <w:szCs w:val="20"/>
          <w:color w:val="3C3C3C"/>
        </w:rPr>
        <w:t>date of grant as determined pursuant to the terms of Tenaya Therapeutcs</w:t>
      </w:r>
      <w:r>
        <w:rPr>
          <w:rFonts w:ascii="Calibri" w:cs="Calibri" w:eastAsia="Calibri" w:hAnsi="Calibri"/>
          <w:sz w:val="20"/>
          <w:szCs w:val="20"/>
          <w:color w:val="565656"/>
        </w:rPr>
        <w:t>,</w:t>
      </w:r>
      <w:r>
        <w:rPr>
          <w:rFonts w:ascii="Calibri" w:cs="Calibri" w:eastAsia="Calibri" w:hAnsi="Calibri"/>
          <w:sz w:val="20"/>
          <w:szCs w:val="20"/>
          <w:color w:val="3C3C3C"/>
        </w:rPr>
        <w:t xml:space="preserve"> Inc. 2016 Equity Incentve Plan (the </w:t>
      </w:r>
      <w:r>
        <w:rPr>
          <w:rFonts w:ascii="Calibri" w:cs="Calibri" w:eastAsia="Calibri" w:hAnsi="Calibri"/>
          <w:sz w:val="20"/>
          <w:szCs w:val="20"/>
          <w:b w:val="1"/>
          <w:bCs w:val="1"/>
          <w:color w:val="3C3C3C"/>
        </w:rPr>
        <w:t>"2016 Equity Plan").</w:t>
      </w:r>
      <w:r>
        <w:rPr>
          <w:rFonts w:ascii="Calibri" w:cs="Calibri" w:eastAsia="Calibri" w:hAnsi="Calibri"/>
          <w:sz w:val="20"/>
          <w:szCs w:val="20"/>
          <w:color w:val="3C3C3C"/>
        </w:rPr>
        <w:t xml:space="preserve"> The Opton will be scheduled to vest over four (4) </w:t>
      </w:r>
      <w:r>
        <w:rPr>
          <w:rFonts w:ascii="Calibri" w:cs="Calibri" w:eastAsia="Calibri" w:hAnsi="Calibri"/>
          <w:sz w:val="20"/>
          <w:szCs w:val="20"/>
          <w:color w:val="565656"/>
        </w:rPr>
        <w:t>y</w:t>
      </w:r>
      <w:r>
        <w:rPr>
          <w:rFonts w:ascii="Calibri" w:cs="Calibri" w:eastAsia="Calibri" w:hAnsi="Calibri"/>
          <w:sz w:val="20"/>
          <w:szCs w:val="20"/>
          <w:color w:val="3C3C3C"/>
        </w:rPr>
        <w:t>ears at a rate of one fourth (1</w:t>
      </w:r>
      <w:r>
        <w:rPr>
          <w:rFonts w:ascii="Calibri" w:cs="Calibri" w:eastAsia="Calibri" w:hAnsi="Calibri"/>
          <w:sz w:val="20"/>
          <w:szCs w:val="20"/>
          <w:color w:val="565656"/>
        </w:rPr>
        <w:t>1</w:t>
      </w:r>
      <w:r>
        <w:rPr>
          <w:rFonts w:ascii="Calibri" w:cs="Calibri" w:eastAsia="Calibri" w:hAnsi="Calibri"/>
          <w:sz w:val="20"/>
          <w:szCs w:val="20"/>
          <w:color w:val="3C3C3C"/>
        </w:rPr>
        <w:t>4</w:t>
      </w:r>
      <w:r>
        <w:rPr>
          <w:rFonts w:ascii="Calibri" w:cs="Calibri" w:eastAsia="Calibri" w:hAnsi="Calibri"/>
          <w:sz w:val="26"/>
          <w:szCs w:val="26"/>
          <w:color w:val="3C3C3C"/>
          <w:vertAlign w:val="superscript"/>
        </w:rPr>
        <w:t>th</w:t>
      </w:r>
      <w:r>
        <w:rPr>
          <w:rFonts w:ascii="Calibri" w:cs="Calibri" w:eastAsia="Calibri" w:hAnsi="Calibri"/>
          <w:sz w:val="20"/>
          <w:szCs w:val="20"/>
          <w:color w:val="3C3C3C"/>
        </w:rPr>
        <w:t xml:space="preserve"> of the total number of shares subject to the Opton becoming vested on the one (1)- year anniversary of the vestng commencement date and one forty-</w:t>
      </w:r>
      <w:r>
        <w:rPr>
          <w:rFonts w:ascii="Calibri" w:cs="Calibri" w:eastAsia="Calibri" w:hAnsi="Calibri"/>
          <w:sz w:val="20"/>
          <w:szCs w:val="20"/>
          <w:color w:val="000000"/>
        </w:rPr>
        <w:t>e</w:t>
      </w:r>
      <w:r>
        <w:rPr>
          <w:rFonts w:ascii="Calibri" w:cs="Calibri" w:eastAsia="Calibri" w:hAnsi="Calibri"/>
          <w:sz w:val="20"/>
          <w:szCs w:val="20"/>
          <w:color w:val="3C3C3C"/>
        </w:rPr>
        <w:t>ighth (48</w:t>
      </w:r>
      <w:r>
        <w:rPr>
          <w:rFonts w:ascii="Calibri" w:cs="Calibri" w:eastAsia="Calibri" w:hAnsi="Calibri"/>
          <w:sz w:val="26"/>
          <w:szCs w:val="26"/>
          <w:color w:val="3C3C3C"/>
          <w:vertAlign w:val="superscript"/>
        </w:rPr>
        <w:t>th</w:t>
      </w:r>
      <w:r>
        <w:rPr>
          <w:rFonts w:ascii="Calibri" w:cs="Calibri" w:eastAsia="Calibri" w:hAnsi="Calibri"/>
          <w:sz w:val="20"/>
          <w:szCs w:val="20"/>
          <w:color w:val="3C3C3C"/>
        </w:rPr>
        <w:t xml:space="preserve"> of the total number of shares subject to the Opton becoming vested each month thereafer for the next thirty six (36) months subject to your contnued employment or service with the Company on each scheduled vestng date. The Opton will be subject to the terms and conditons of the 2016 Equity Plan and a stock opton agreement by and between you and the Company (the </w:t>
      </w:r>
      <w:r>
        <w:rPr>
          <w:rFonts w:ascii="Calibri" w:cs="Calibri" w:eastAsia="Calibri" w:hAnsi="Calibri"/>
          <w:sz w:val="20"/>
          <w:szCs w:val="20"/>
          <w:b w:val="1"/>
          <w:bCs w:val="1"/>
          <w:color w:val="3C3C3C"/>
        </w:rPr>
        <w:t>"Opton Agreement"</w:t>
      </w:r>
      <w:r>
        <w:rPr>
          <w:rFonts w:ascii="Calibri" w:cs="Calibri" w:eastAsia="Calibri" w:hAnsi="Calibri"/>
          <w:sz w:val="20"/>
          <w:szCs w:val="20"/>
          <w:color w:val="3C3C3C"/>
        </w:rPr>
        <w:t xml:space="preserve"> and together with the 2016 Equity Plan, the </w:t>
      </w:r>
      <w:r>
        <w:rPr>
          <w:rFonts w:ascii="Calibri" w:cs="Calibri" w:eastAsia="Calibri" w:hAnsi="Calibri"/>
          <w:sz w:val="20"/>
          <w:szCs w:val="20"/>
          <w:b w:val="1"/>
          <w:bCs w:val="1"/>
          <w:color w:val="565656"/>
        </w:rPr>
        <w:t>"</w:t>
      </w:r>
      <w:r>
        <w:rPr>
          <w:rFonts w:ascii="Calibri" w:cs="Calibri" w:eastAsia="Calibri" w:hAnsi="Calibri"/>
          <w:sz w:val="20"/>
          <w:szCs w:val="20"/>
          <w:b w:val="1"/>
          <w:bCs w:val="1"/>
          <w:color w:val="3C3C3C"/>
        </w:rPr>
        <w:t>Equity Documents</w:t>
      </w:r>
      <w:r>
        <w:rPr>
          <w:rFonts w:ascii="Calibri" w:cs="Calibri" w:eastAsia="Calibri" w:hAnsi="Calibri"/>
          <w:sz w:val="20"/>
          <w:szCs w:val="20"/>
          <w:b w:val="1"/>
          <w:bCs w:val="1"/>
          <w:color w:val="565656"/>
        </w:rPr>
        <w:t>"</w:t>
      </w:r>
      <w:r>
        <w:rPr>
          <w:rFonts w:ascii="Calibri" w:cs="Calibri" w:eastAsia="Calibri" w:hAnsi="Calibri"/>
          <w:sz w:val="20"/>
          <w:szCs w:val="20"/>
          <w:b w:val="1"/>
          <w:bCs w:val="1"/>
          <w:color w:val="3C3C3C"/>
        </w:rPr>
        <w:t>)</w:t>
      </w:r>
      <w:r>
        <w:rPr>
          <w:rFonts w:ascii="Calibri" w:cs="Calibri" w:eastAsia="Calibri" w:hAnsi="Calibri"/>
          <w:sz w:val="20"/>
          <w:szCs w:val="20"/>
          <w:b w:val="1"/>
          <w:bCs w:val="1"/>
          <w:color w:val="565656"/>
        </w:rPr>
        <w:t>,</w:t>
      </w:r>
      <w:r>
        <w:rPr>
          <w:rFonts w:ascii="Calibri" w:cs="Calibri" w:eastAsia="Calibri" w:hAnsi="Calibri"/>
          <w:sz w:val="20"/>
          <w:szCs w:val="20"/>
          <w:color w:val="3C3C3C"/>
        </w:rPr>
        <w:t xml:space="preserve"> both of which documents are incorporated herein by reference.</w:t>
      </w:r>
    </w:p>
    <w:p>
      <w:pPr>
        <w:spacing w:after="0" w:line="106" w:lineRule="exact"/>
        <w:rPr>
          <w:sz w:val="20"/>
          <w:szCs w:val="20"/>
          <w:color w:val="auto"/>
        </w:rPr>
      </w:pPr>
    </w:p>
    <w:p>
      <w:pPr>
        <w:jc w:val="both"/>
        <w:ind w:right="20" w:firstLine="741"/>
        <w:spacing w:after="0" w:line="236" w:lineRule="auto"/>
        <w:rPr>
          <w:sz w:val="20"/>
          <w:szCs w:val="20"/>
          <w:color w:val="auto"/>
        </w:rPr>
      </w:pPr>
      <w:r>
        <w:rPr>
          <w:rFonts w:ascii="Calibri" w:cs="Calibri" w:eastAsia="Calibri" w:hAnsi="Calibri"/>
          <w:sz w:val="20"/>
          <w:szCs w:val="20"/>
          <w:b w:val="1"/>
          <w:bCs w:val="1"/>
          <w:color w:val="3C3C3C"/>
        </w:rPr>
        <w:t xml:space="preserve">6.Proprietary Informaton and Inventons Agreement. </w:t>
      </w:r>
      <w:r>
        <w:rPr>
          <w:rFonts w:ascii="Calibri" w:cs="Calibri" w:eastAsia="Calibri" w:hAnsi="Calibri"/>
          <w:sz w:val="20"/>
          <w:szCs w:val="20"/>
          <w:color w:val="3C3C3C"/>
        </w:rPr>
        <w:t>Like all Company employees</w:t>
      </w:r>
      <w:r>
        <w:rPr>
          <w:rFonts w:ascii="Calibri" w:cs="Calibri" w:eastAsia="Calibri" w:hAnsi="Calibri"/>
          <w:sz w:val="20"/>
          <w:szCs w:val="20"/>
          <w:color w:val="565656"/>
        </w:rPr>
        <w:t>,</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you will be required</w:t>
      </w:r>
      <w:r>
        <w:rPr>
          <w:rFonts w:ascii="Calibri" w:cs="Calibri" w:eastAsia="Calibri" w:hAnsi="Calibri"/>
          <w:sz w:val="20"/>
          <w:szCs w:val="20"/>
          <w:color w:val="565656"/>
        </w:rPr>
        <w:t>,</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as a conditon of</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your employment with the Company</w:t>
      </w:r>
      <w:r>
        <w:rPr>
          <w:rFonts w:ascii="Calibri" w:cs="Calibri" w:eastAsia="Calibri" w:hAnsi="Calibri"/>
          <w:sz w:val="20"/>
          <w:szCs w:val="20"/>
          <w:color w:val="565656"/>
        </w:rPr>
        <w:t>,</w:t>
      </w:r>
      <w:r>
        <w:rPr>
          <w:rFonts w:ascii="Calibri" w:cs="Calibri" w:eastAsia="Calibri" w:hAnsi="Calibri"/>
          <w:sz w:val="20"/>
          <w:szCs w:val="20"/>
          <w:color w:val="3C3C3C"/>
        </w:rPr>
        <w:t xml:space="preserve"> to sign the Company</w:t>
      </w:r>
      <w:r>
        <w:rPr>
          <w:rFonts w:ascii="Calibri" w:cs="Calibri" w:eastAsia="Calibri" w:hAnsi="Calibri"/>
          <w:sz w:val="20"/>
          <w:szCs w:val="20"/>
          <w:color w:val="565656"/>
        </w:rPr>
        <w:t>'</w:t>
      </w:r>
      <w:r>
        <w:rPr>
          <w:rFonts w:ascii="Calibri" w:cs="Calibri" w:eastAsia="Calibri" w:hAnsi="Calibri"/>
          <w:sz w:val="20"/>
          <w:szCs w:val="20"/>
          <w:color w:val="3C3C3C"/>
        </w:rPr>
        <w:t xml:space="preserve"> s standard At-Will Employment, Confdental Informaton</w:t>
      </w:r>
      <w:r>
        <w:rPr>
          <w:rFonts w:ascii="Calibri" w:cs="Calibri" w:eastAsia="Calibri" w:hAnsi="Calibri"/>
          <w:sz w:val="20"/>
          <w:szCs w:val="20"/>
          <w:color w:val="565656"/>
        </w:rPr>
        <w:t>,</w:t>
      </w:r>
      <w:r>
        <w:rPr>
          <w:rFonts w:ascii="Calibri" w:cs="Calibri" w:eastAsia="Calibri" w:hAnsi="Calibri"/>
          <w:sz w:val="20"/>
          <w:szCs w:val="20"/>
          <w:color w:val="3C3C3C"/>
        </w:rPr>
        <w:t xml:space="preserve"> Inventon Assignment</w:t>
      </w:r>
      <w:r>
        <w:rPr>
          <w:rFonts w:ascii="Calibri" w:cs="Calibri" w:eastAsia="Calibri" w:hAnsi="Calibri"/>
          <w:sz w:val="20"/>
          <w:szCs w:val="20"/>
          <w:color w:val="565656"/>
        </w:rPr>
        <w:t>,</w:t>
      </w:r>
      <w:r>
        <w:rPr>
          <w:rFonts w:ascii="Calibri" w:cs="Calibri" w:eastAsia="Calibri" w:hAnsi="Calibri"/>
          <w:sz w:val="20"/>
          <w:szCs w:val="20"/>
          <w:color w:val="3C3C3C"/>
        </w:rPr>
        <w:t xml:space="preserve"> and Arbitraton Agreement</w:t>
      </w:r>
      <w:r>
        <w:rPr>
          <w:rFonts w:ascii="Calibri" w:cs="Calibri" w:eastAsia="Calibri" w:hAnsi="Calibri"/>
          <w:sz w:val="20"/>
          <w:szCs w:val="20"/>
          <w:color w:val="565656"/>
        </w:rPr>
        <w:t>,</w:t>
      </w:r>
      <w:r>
        <w:rPr>
          <w:rFonts w:ascii="Calibri" w:cs="Calibri" w:eastAsia="Calibri" w:hAnsi="Calibri"/>
          <w:sz w:val="20"/>
          <w:szCs w:val="20"/>
          <w:color w:val="3C3C3C"/>
        </w:rPr>
        <w:t xml:space="preserve"> a copy of which is atached hereto as </w:t>
      </w:r>
      <w:r>
        <w:rPr>
          <w:rFonts w:ascii="Calibri" w:cs="Calibri" w:eastAsia="Calibri" w:hAnsi="Calibri"/>
          <w:sz w:val="20"/>
          <w:szCs w:val="20"/>
          <w:b w:val="1"/>
          <w:bCs w:val="1"/>
          <w:u w:val="single" w:color="auto"/>
          <w:color w:val="3C3C3C"/>
        </w:rPr>
        <w:t>Appendix B</w:t>
      </w:r>
      <w:r>
        <w:rPr>
          <w:rFonts w:ascii="Calibri" w:cs="Calibri" w:eastAsia="Calibri" w:hAnsi="Calibri"/>
          <w:sz w:val="20"/>
          <w:szCs w:val="20"/>
          <w:b w:val="1"/>
          <w:bCs w:val="1"/>
          <w:color w:val="3C3C3C"/>
        </w:rPr>
        <w:t>.</w:t>
      </w:r>
    </w:p>
    <w:p>
      <w:pPr>
        <w:spacing w:after="0" w:line="225" w:lineRule="exact"/>
        <w:rPr>
          <w:sz w:val="20"/>
          <w:szCs w:val="20"/>
          <w:color w:val="auto"/>
        </w:rPr>
      </w:pPr>
    </w:p>
    <w:p>
      <w:pPr>
        <w:jc w:val="both"/>
        <w:ind w:firstLine="741"/>
        <w:spacing w:after="0" w:line="237" w:lineRule="auto"/>
        <w:rPr>
          <w:sz w:val="20"/>
          <w:szCs w:val="20"/>
          <w:color w:val="auto"/>
        </w:rPr>
      </w:pPr>
      <w:r>
        <w:rPr>
          <w:rFonts w:ascii="Calibri" w:cs="Calibri" w:eastAsia="Calibri" w:hAnsi="Calibri"/>
          <w:sz w:val="20"/>
          <w:szCs w:val="20"/>
          <w:b w:val="1"/>
          <w:bCs w:val="1"/>
          <w:color w:val="3C3C3C"/>
        </w:rPr>
        <w:t xml:space="preserve">7.Confictng Interests. </w:t>
      </w:r>
      <w:r>
        <w:rPr>
          <w:rFonts w:ascii="Calibri" w:cs="Calibri" w:eastAsia="Calibri" w:hAnsi="Calibri"/>
          <w:sz w:val="20"/>
          <w:szCs w:val="20"/>
          <w:color w:val="3C3C3C"/>
        </w:rPr>
        <w:t>We also ask that</w:t>
      </w:r>
      <w:r>
        <w:rPr>
          <w:rFonts w:ascii="Calibri" w:cs="Calibri" w:eastAsia="Calibri" w:hAnsi="Calibri"/>
          <w:sz w:val="20"/>
          <w:szCs w:val="20"/>
          <w:color w:val="565656"/>
        </w:rPr>
        <w:t>,</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if you have not already done so</w:t>
      </w:r>
      <w:r>
        <w:rPr>
          <w:rFonts w:ascii="Calibri" w:cs="Calibri" w:eastAsia="Calibri" w:hAnsi="Calibri"/>
          <w:sz w:val="20"/>
          <w:szCs w:val="20"/>
          <w:color w:val="565656"/>
        </w:rPr>
        <w:t>,</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you disclose to the Company any and all</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agreements relatng to your prior employment that may afect your eligibility to be employed by the Company or limit the manner in which you may be employed. The Company understands that any such agreements will not prevent you from performing the dutes of your positon and you represent that such is the case. Moreover</w:t>
      </w:r>
      <w:r>
        <w:rPr>
          <w:rFonts w:ascii="Calibri" w:cs="Calibri" w:eastAsia="Calibri" w:hAnsi="Calibri"/>
          <w:sz w:val="20"/>
          <w:szCs w:val="20"/>
          <w:color w:val="565656"/>
        </w:rPr>
        <w:t>,</w:t>
      </w:r>
      <w:r>
        <w:rPr>
          <w:rFonts w:ascii="Calibri" w:cs="Calibri" w:eastAsia="Calibri" w:hAnsi="Calibri"/>
          <w:sz w:val="20"/>
          <w:szCs w:val="20"/>
          <w:color w:val="3C3C3C"/>
        </w:rPr>
        <w:t xml:space="preserve"> you agree that, during the term of your employment with the Company</w:t>
      </w:r>
      <w:r>
        <w:rPr>
          <w:rFonts w:ascii="Calibri" w:cs="Calibri" w:eastAsia="Calibri" w:hAnsi="Calibri"/>
          <w:sz w:val="20"/>
          <w:szCs w:val="20"/>
          <w:color w:val="565656"/>
        </w:rPr>
        <w:t>,</w:t>
      </w:r>
      <w:r>
        <w:rPr>
          <w:rFonts w:ascii="Calibri" w:cs="Calibri" w:eastAsia="Calibri" w:hAnsi="Calibri"/>
          <w:sz w:val="20"/>
          <w:szCs w:val="20"/>
          <w:color w:val="3C3C3C"/>
        </w:rPr>
        <w:t xml:space="preserve"> you will not engage in any other employment, occupaton</w:t>
      </w:r>
      <w:r>
        <w:rPr>
          <w:rFonts w:ascii="Calibri" w:cs="Calibri" w:eastAsia="Calibri" w:hAnsi="Calibri"/>
          <w:sz w:val="20"/>
          <w:szCs w:val="20"/>
          <w:color w:val="565656"/>
        </w:rPr>
        <w:t>,</w:t>
      </w:r>
      <w:r>
        <w:rPr>
          <w:rFonts w:ascii="Calibri" w:cs="Calibri" w:eastAsia="Calibri" w:hAnsi="Calibri"/>
          <w:sz w:val="20"/>
          <w:szCs w:val="20"/>
          <w:color w:val="3C3C3C"/>
        </w:rPr>
        <w:t xml:space="preserve"> consultng or other business actvity directly related to the business in which the Company is now involved or becomes involved during the term of your employment</w:t>
      </w:r>
      <w:r>
        <w:rPr>
          <w:rFonts w:ascii="Calibri" w:cs="Calibri" w:eastAsia="Calibri" w:hAnsi="Calibri"/>
          <w:sz w:val="20"/>
          <w:szCs w:val="20"/>
          <w:color w:val="565656"/>
        </w:rPr>
        <w:t>,</w:t>
      </w:r>
      <w:r>
        <w:rPr>
          <w:rFonts w:ascii="Calibri" w:cs="Calibri" w:eastAsia="Calibri" w:hAnsi="Calibri"/>
          <w:sz w:val="20"/>
          <w:szCs w:val="20"/>
          <w:color w:val="3C3C3C"/>
        </w:rPr>
        <w:t xml:space="preserve"> nor will you engage in any other actvites that confict with your obligatons to the Company</w:t>
      </w:r>
      <w:r>
        <w:rPr>
          <w:rFonts w:ascii="Calibri" w:cs="Calibri" w:eastAsia="Calibri" w:hAnsi="Calibri"/>
          <w:sz w:val="20"/>
          <w:szCs w:val="20"/>
          <w:color w:val="565656"/>
        </w:rPr>
        <w:t>.</w:t>
      </w:r>
      <w:r>
        <w:rPr>
          <w:rFonts w:ascii="Calibri" w:cs="Calibri" w:eastAsia="Calibri" w:hAnsi="Calibri"/>
          <w:sz w:val="20"/>
          <w:szCs w:val="20"/>
          <w:color w:val="3C3C3C"/>
        </w:rPr>
        <w:t xml:space="preserve"> Similarly</w:t>
      </w:r>
      <w:r>
        <w:rPr>
          <w:rFonts w:ascii="Calibri" w:cs="Calibri" w:eastAsia="Calibri" w:hAnsi="Calibri"/>
          <w:sz w:val="20"/>
          <w:szCs w:val="20"/>
          <w:color w:val="565656"/>
        </w:rPr>
        <w:t>,</w:t>
      </w:r>
      <w:r>
        <w:rPr>
          <w:rFonts w:ascii="Calibri" w:cs="Calibri" w:eastAsia="Calibri" w:hAnsi="Calibri"/>
          <w:sz w:val="20"/>
          <w:szCs w:val="20"/>
          <w:color w:val="3C3C3C"/>
        </w:rPr>
        <w:t xml:space="preserve"> you agree not to bring any third-party confdental informaton to the Company</w:t>
      </w:r>
      <w:r>
        <w:rPr>
          <w:rFonts w:ascii="Calibri" w:cs="Calibri" w:eastAsia="Calibri" w:hAnsi="Calibri"/>
          <w:sz w:val="20"/>
          <w:szCs w:val="20"/>
          <w:color w:val="6B6B6C"/>
        </w:rPr>
        <w:t>,</w:t>
      </w:r>
      <w:r>
        <w:rPr>
          <w:rFonts w:ascii="Calibri" w:cs="Calibri" w:eastAsia="Calibri" w:hAnsi="Calibri"/>
          <w:sz w:val="20"/>
          <w:szCs w:val="20"/>
          <w:color w:val="3C3C3C"/>
        </w:rPr>
        <w:t xml:space="preserve"> including that of your former employer, and that in performing your dutes for the Company you will not in any way utlize any such informaton.</w:t>
      </w:r>
    </w:p>
    <w:p>
      <w:pPr>
        <w:spacing w:after="0" w:line="125" w:lineRule="exact"/>
        <w:rPr>
          <w:sz w:val="20"/>
          <w:szCs w:val="20"/>
          <w:color w:val="auto"/>
        </w:rPr>
      </w:pPr>
    </w:p>
    <w:p>
      <w:pPr>
        <w:jc w:val="both"/>
        <w:ind w:firstLine="741"/>
        <w:spacing w:after="0" w:line="236" w:lineRule="auto"/>
        <w:rPr>
          <w:sz w:val="20"/>
          <w:szCs w:val="20"/>
          <w:color w:val="auto"/>
        </w:rPr>
      </w:pPr>
      <w:r>
        <w:rPr>
          <w:rFonts w:ascii="Calibri" w:cs="Calibri" w:eastAsia="Calibri" w:hAnsi="Calibri"/>
          <w:sz w:val="20"/>
          <w:szCs w:val="20"/>
          <w:b w:val="1"/>
          <w:bCs w:val="1"/>
          <w:color w:val="3C3C3C"/>
        </w:rPr>
        <w:t>8.Proof of Eligibility to Work</w:t>
      </w:r>
      <w:r>
        <w:rPr>
          <w:rFonts w:ascii="Calibri" w:cs="Calibri" w:eastAsia="Calibri" w:hAnsi="Calibri"/>
          <w:sz w:val="20"/>
          <w:szCs w:val="20"/>
          <w:color w:val="3C3C3C"/>
        </w:rPr>
        <w:t>. For purposes of federal immigraton law</w:t>
      </w:r>
      <w:r>
        <w:rPr>
          <w:rFonts w:ascii="Calibri" w:cs="Calibri" w:eastAsia="Calibri" w:hAnsi="Calibri"/>
          <w:sz w:val="20"/>
          <w:szCs w:val="20"/>
          <w:color w:val="565656"/>
        </w:rPr>
        <w:t>,</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you will be required to provide to the Company</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documentary evidence of your identty and eligibility for employment in the United States. Such documentaton must be provided to us within three (3) business days of your date of hire, or our employment relatonship with you may be terminated.</w:t>
      </w:r>
    </w:p>
    <w:p>
      <w:pPr>
        <w:spacing w:after="0" w:line="117" w:lineRule="exact"/>
        <w:rPr>
          <w:sz w:val="20"/>
          <w:szCs w:val="20"/>
          <w:color w:val="auto"/>
        </w:rPr>
      </w:pPr>
    </w:p>
    <w:p>
      <w:pPr>
        <w:jc w:val="both"/>
        <w:ind w:firstLine="741"/>
        <w:spacing w:after="0"/>
        <w:rPr>
          <w:sz w:val="20"/>
          <w:szCs w:val="20"/>
          <w:color w:val="auto"/>
        </w:rPr>
      </w:pPr>
      <w:r>
        <w:rPr>
          <w:rFonts w:ascii="Calibri" w:cs="Calibri" w:eastAsia="Calibri" w:hAnsi="Calibri"/>
          <w:sz w:val="20"/>
          <w:szCs w:val="20"/>
          <w:b w:val="1"/>
          <w:bCs w:val="1"/>
          <w:color w:val="3C3C3C"/>
        </w:rPr>
        <w:t>9.Background Check</w:t>
      </w:r>
      <w:r>
        <w:rPr>
          <w:rFonts w:ascii="Calibri" w:cs="Calibri" w:eastAsia="Calibri" w:hAnsi="Calibri"/>
          <w:sz w:val="20"/>
          <w:szCs w:val="20"/>
          <w:color w:val="3C3C3C"/>
        </w:rPr>
        <w:t>. The Company reserves the right to conduct background investgatons, employment verifcatons,</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reference checks and/or additonal checks appropriate to your role. Your ofer and employment, therefore, are contngent upon satsfactory results and/or clearance of such items, if any. Any intentonal misrepresentaton or omission concerning your employment history may result in actons up to and including revocaton of this ofer or terminaton of your employment at the Company.</w:t>
      </w:r>
    </w:p>
    <w:p>
      <w:pPr>
        <w:spacing w:after="0" w:line="346" w:lineRule="exact"/>
        <w:rPr>
          <w:sz w:val="20"/>
          <w:szCs w:val="20"/>
          <w:color w:val="auto"/>
        </w:rPr>
      </w:pPr>
    </w:p>
    <w:p>
      <w:pPr>
        <w:jc w:val="both"/>
        <w:ind w:firstLine="741"/>
        <w:spacing w:after="0" w:line="237" w:lineRule="auto"/>
        <w:rPr>
          <w:sz w:val="20"/>
          <w:szCs w:val="20"/>
          <w:color w:val="auto"/>
        </w:rPr>
      </w:pPr>
      <w:r>
        <w:rPr>
          <w:rFonts w:ascii="Calibri" w:cs="Calibri" w:eastAsia="Calibri" w:hAnsi="Calibri"/>
          <w:sz w:val="20"/>
          <w:szCs w:val="20"/>
          <w:b w:val="1"/>
          <w:bCs w:val="1"/>
          <w:color w:val="3C3C3C"/>
        </w:rPr>
        <w:t xml:space="preserve">10.Miscellaneous. </w:t>
      </w:r>
      <w:r>
        <w:rPr>
          <w:rFonts w:ascii="Calibri" w:cs="Calibri" w:eastAsia="Calibri" w:hAnsi="Calibri"/>
          <w:sz w:val="20"/>
          <w:szCs w:val="20"/>
          <w:color w:val="3C3C3C"/>
        </w:rPr>
        <w:t>The Company is excited about your joining and looks forward to a benefcial and productve relatonship.</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Nevertheless, you should be aware that your employment with the Company is for no specifed period and consttutes at-will employment. As a result, you are free to resign at any tme, for any reason or for no reason. Similarly, the Company is free to conclude its employment relatonship with you at any tme, with or without cause and with or without notce. We request that, in the event of resignaton, you give the Company at least one month's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231775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34" w:right="459" w:bottom="1440" w:gutter="0" w:footer="0" w:header="0"/>
        </w:sectPr>
      </w:pPr>
    </w:p>
    <w:bookmarkStart w:id="142" w:name="page143"/>
    <w:bookmarkEnd w:id="142"/>
    <w:p>
      <w:pPr>
        <w:jc w:val="right"/>
        <w:ind w:right="180"/>
        <w:spacing w:after="0"/>
        <w:rPr>
          <w:sz w:val="20"/>
          <w:szCs w:val="20"/>
          <w:color w:val="auto"/>
        </w:rPr>
      </w:pPr>
      <w:r>
        <w:rPr>
          <w:rFonts w:ascii="Calibri" w:cs="Calibri" w:eastAsia="Calibri" w:hAnsi="Calibri"/>
          <w:sz w:val="16"/>
          <w:szCs w:val="16"/>
          <w:color w:val="auto"/>
        </w:rPr>
        <w:t>171 Oyster Point Boulevard, Suite 500 South San Francisco, CA</w:t>
      </w:r>
    </w:p>
    <w:p>
      <w:pPr>
        <w:spacing w:after="0" w:line="7" w:lineRule="exact"/>
        <w:rPr>
          <w:sz w:val="20"/>
          <w:szCs w:val="20"/>
          <w:color w:val="auto"/>
        </w:rPr>
      </w:pPr>
    </w:p>
    <w:p>
      <w:pPr>
        <w:jc w:val="right"/>
        <w:ind w:right="160"/>
        <w:spacing w:after="0"/>
        <w:rPr>
          <w:sz w:val="20"/>
          <w:szCs w:val="20"/>
          <w:color w:val="auto"/>
        </w:rPr>
      </w:pPr>
      <w:r>
        <w:rPr>
          <w:rFonts w:ascii="Calibri" w:cs="Calibri" w:eastAsia="Calibri" w:hAnsi="Calibri"/>
          <w:sz w:val="16"/>
          <w:szCs w:val="16"/>
          <w:color w:val="auto"/>
        </w:rPr>
        <w:t>94080</w:t>
      </w:r>
    </w:p>
    <w:p>
      <w:pPr>
        <w:spacing w:after="0" w:line="368" w:lineRule="exact"/>
        <w:rPr>
          <w:sz w:val="20"/>
          <w:szCs w:val="20"/>
          <w:color w:val="auto"/>
        </w:rPr>
      </w:pPr>
    </w:p>
    <w:p>
      <w:pPr>
        <w:jc w:val="both"/>
        <w:ind w:left="120" w:firstLine="741"/>
        <w:spacing w:after="0" w:line="237" w:lineRule="auto"/>
        <w:rPr>
          <w:sz w:val="20"/>
          <w:szCs w:val="20"/>
          <w:color w:val="auto"/>
        </w:rPr>
      </w:pPr>
      <w:r>
        <w:rPr>
          <w:rFonts w:ascii="Calibri" w:cs="Calibri" w:eastAsia="Calibri" w:hAnsi="Calibri"/>
          <w:sz w:val="20"/>
          <w:szCs w:val="20"/>
          <w:b w:val="1"/>
          <w:bCs w:val="1"/>
          <w:color w:val="3C3C3C"/>
        </w:rPr>
        <w:t>11.</w:t>
      </w:r>
      <w:r>
        <w:rPr>
          <w:rFonts w:ascii="Calibri" w:cs="Calibri" w:eastAsia="Calibri" w:hAnsi="Calibri"/>
          <w:sz w:val="20"/>
          <w:szCs w:val="20"/>
          <w:color w:val="3C3C3C"/>
        </w:rPr>
        <w:t>To accept the Company's ofer, please sign and date this leter in the space provided below. This leter (including</w:t>
      </w:r>
      <w:r>
        <w:rPr>
          <w:rFonts w:ascii="Calibri" w:cs="Calibri" w:eastAsia="Calibri" w:hAnsi="Calibri"/>
          <w:sz w:val="20"/>
          <w:szCs w:val="20"/>
          <w:b w:val="1"/>
          <w:bCs w:val="1"/>
          <w:color w:val="3C3C3C"/>
        </w:rPr>
        <w:t xml:space="preserve"> </w:t>
      </w:r>
      <w:r>
        <w:rPr>
          <w:rFonts w:ascii="Calibri" w:cs="Calibri" w:eastAsia="Calibri" w:hAnsi="Calibri"/>
          <w:sz w:val="20"/>
          <w:szCs w:val="20"/>
          <w:color w:val="3C3C3C"/>
        </w:rPr>
        <w:t>Appendix B), along with any agreements relatng to proprietary rights between you and the Company, the Promissory Note(s), and the Equity Documents, set forth the terms of your employment with the Company and supersede any prior representatons or agreements including, but not limited to, any representatons made during your recruitment, interviews or pre-employment negotatons, whether writen or oral. This leter, including, but not limited to, it’s at-will employment provision, may not be modifed or amended except by a writen agreement signed by the Company and you. This ofer of employment will terminate if it is not accepted, signed and returned by Monday, December 2, 2019.</w:t>
      </w:r>
    </w:p>
    <w:p>
      <w:pPr>
        <w:spacing w:after="0" w:line="121" w:lineRule="exact"/>
        <w:rPr>
          <w:sz w:val="20"/>
          <w:szCs w:val="20"/>
          <w:color w:val="auto"/>
        </w:rPr>
      </w:pPr>
    </w:p>
    <w:p>
      <w:pPr>
        <w:jc w:val="both"/>
        <w:ind w:left="140"/>
        <w:spacing w:after="0" w:line="236" w:lineRule="auto"/>
        <w:rPr>
          <w:sz w:val="20"/>
          <w:szCs w:val="20"/>
          <w:color w:val="auto"/>
        </w:rPr>
      </w:pPr>
      <w:r>
        <w:rPr>
          <w:rFonts w:ascii="Calibri" w:cs="Calibri" w:eastAsia="Calibri" w:hAnsi="Calibri"/>
          <w:sz w:val="20"/>
          <w:szCs w:val="20"/>
          <w:color w:val="3C3C3C"/>
        </w:rPr>
        <w:t>Tenaya is an ambitous undertaking. We are assembling a team of uniquely qualifed individuals with the requisite knowledge, skills, drive, and adherence to our values. We look forward to your acceptance of this ofer, and we look forward to your contributons towards our mission: To discover, develop, and deliver therapies that target the underlying causes of heart failure and that have the potental to transform the lives of individuals and families fghtng heart disease.</w:t>
      </w:r>
    </w:p>
    <w:p>
      <w:pPr>
        <w:spacing w:after="0" w:line="200" w:lineRule="exact"/>
        <w:rPr>
          <w:sz w:val="20"/>
          <w:szCs w:val="20"/>
          <w:color w:val="auto"/>
        </w:rPr>
      </w:pPr>
    </w:p>
    <w:p>
      <w:pPr>
        <w:spacing w:after="0" w:line="302" w:lineRule="exact"/>
        <w:rPr>
          <w:sz w:val="20"/>
          <w:szCs w:val="20"/>
          <w:color w:val="auto"/>
        </w:rPr>
      </w:pPr>
    </w:p>
    <w:p>
      <w:pPr>
        <w:ind w:left="140"/>
        <w:spacing w:after="0"/>
        <w:rPr>
          <w:sz w:val="20"/>
          <w:szCs w:val="20"/>
          <w:color w:val="auto"/>
        </w:rPr>
      </w:pPr>
      <w:r>
        <w:rPr>
          <w:rFonts w:ascii="Calibri" w:cs="Calibri" w:eastAsia="Calibri" w:hAnsi="Calibri"/>
          <w:sz w:val="20"/>
          <w:szCs w:val="20"/>
          <w:color w:val="3C3C3C"/>
        </w:rPr>
        <w:t>Sincerely,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00"/>
        <w:spacing w:after="0"/>
        <w:rPr>
          <w:sz w:val="20"/>
          <w:szCs w:val="20"/>
          <w:color w:val="auto"/>
        </w:rPr>
      </w:pPr>
      <w:r>
        <w:rPr>
          <w:rFonts w:ascii="Calibri" w:cs="Calibri" w:eastAsia="Calibri" w:hAnsi="Calibri"/>
          <w:sz w:val="20"/>
          <w:szCs w:val="20"/>
          <w:color w:val="3C3C3C"/>
        </w:rPr>
        <w:t>Faraz Ali, M.B.A.</w:t>
      </w:r>
    </w:p>
    <w:p>
      <w:pPr>
        <w:spacing w:after="0" w:line="120" w:lineRule="exact"/>
        <w:rPr>
          <w:sz w:val="20"/>
          <w:szCs w:val="20"/>
          <w:color w:val="auto"/>
        </w:rPr>
      </w:pPr>
    </w:p>
    <w:p>
      <w:pPr>
        <w:ind w:left="900"/>
        <w:spacing w:after="0"/>
        <w:rPr>
          <w:sz w:val="20"/>
          <w:szCs w:val="20"/>
          <w:color w:val="auto"/>
        </w:rPr>
      </w:pPr>
      <w:r>
        <w:rPr>
          <w:rFonts w:ascii="Calibri" w:cs="Calibri" w:eastAsia="Calibri" w:hAnsi="Calibri"/>
          <w:sz w:val="20"/>
          <w:szCs w:val="20"/>
          <w:color w:val="3C3C3C"/>
        </w:rPr>
        <w:t>Chief Executve Ofcer</w:t>
      </w:r>
    </w:p>
    <w:p>
      <w:pPr>
        <w:spacing w:after="0" w:line="200" w:lineRule="exact"/>
        <w:rPr>
          <w:sz w:val="20"/>
          <w:szCs w:val="20"/>
          <w:color w:val="auto"/>
        </w:rPr>
      </w:pPr>
    </w:p>
    <w:p>
      <w:pPr>
        <w:spacing w:after="0" w:line="271" w:lineRule="exact"/>
        <w:rPr>
          <w:sz w:val="20"/>
          <w:szCs w:val="20"/>
          <w:color w:val="auto"/>
        </w:rPr>
      </w:pPr>
    </w:p>
    <w:p>
      <w:pPr>
        <w:ind w:left="900"/>
        <w:spacing w:after="0"/>
        <w:rPr>
          <w:sz w:val="20"/>
          <w:szCs w:val="20"/>
          <w:color w:val="auto"/>
        </w:rPr>
      </w:pPr>
      <w:r>
        <w:rPr>
          <w:rFonts w:ascii="Calibri" w:cs="Calibri" w:eastAsia="Calibri" w:hAnsi="Calibri"/>
          <w:sz w:val="20"/>
          <w:szCs w:val="20"/>
          <w:color w:val="3C3C3C"/>
        </w:rPr>
        <w:t>Agreed to and accepted:</w:t>
      </w:r>
    </w:p>
    <w:p>
      <w:pPr>
        <w:spacing w:after="0" w:line="242" w:lineRule="exact"/>
        <w:rPr>
          <w:sz w:val="20"/>
          <w:szCs w:val="20"/>
          <w:color w:val="auto"/>
        </w:rPr>
      </w:pPr>
    </w:p>
    <w:p>
      <w:pPr>
        <w:spacing w:after="0"/>
        <w:tabs>
          <w:tab w:leader="none" w:pos="2960" w:val="left"/>
        </w:tabs>
        <w:rPr>
          <w:sz w:val="20"/>
          <w:szCs w:val="20"/>
          <w:color w:val="auto"/>
        </w:rPr>
      </w:pPr>
      <w:r>
        <w:rPr>
          <w:rFonts w:ascii="Calibri" w:cs="Calibri" w:eastAsia="Calibri" w:hAnsi="Calibri"/>
          <w:sz w:val="20"/>
          <w:szCs w:val="20"/>
          <w:color w:val="3C3C3C"/>
        </w:rPr>
        <w:t>______________Signature:</w:t>
      </w:r>
      <w:r>
        <w:rPr>
          <w:sz w:val="20"/>
          <w:szCs w:val="20"/>
          <w:color w:val="auto"/>
        </w:rPr>
        <w:tab/>
      </w:r>
      <w:r>
        <w:rPr>
          <w:rFonts w:ascii="Calibri" w:cs="Calibri" w:eastAsia="Calibri" w:hAnsi="Calibri"/>
          <w:sz w:val="20"/>
          <w:szCs w:val="20"/>
          <w:color w:val="3C3C3C"/>
        </w:rPr>
        <w:t>Printed Name: Tomohiro Higa,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-20955</wp:posOffset>
            </wp:positionV>
            <wp:extent cx="23241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11/26/2019</w:t>
      </w:r>
    </w:p>
    <w:p>
      <w:pPr>
        <w:ind w:left="900"/>
        <w:spacing w:after="0" w:line="225" w:lineRule="auto"/>
        <w:rPr>
          <w:sz w:val="20"/>
          <w:szCs w:val="20"/>
          <w:color w:val="auto"/>
        </w:rPr>
      </w:pPr>
      <w:r>
        <w:rPr>
          <w:rFonts w:ascii="Calibri" w:cs="Calibri" w:eastAsia="Calibri" w:hAnsi="Calibri"/>
          <w:sz w:val="20"/>
          <w:szCs w:val="20"/>
          <w:color w:val="3C3C3C"/>
        </w:rPr>
        <w:t>Date: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00"/>
        <w:spacing w:after="0"/>
        <w:rPr>
          <w:sz w:val="20"/>
          <w:szCs w:val="20"/>
          <w:color w:val="auto"/>
        </w:rPr>
      </w:pPr>
      <w:r>
        <w:rPr>
          <w:rFonts w:ascii="Calibri" w:cs="Calibri" w:eastAsia="Calibri" w:hAnsi="Calibri"/>
          <w:sz w:val="20"/>
          <w:szCs w:val="20"/>
          <w:color w:val="3C3C3C"/>
        </w:rPr>
        <w:t>Enclosures:</w:t>
      </w:r>
    </w:p>
    <w:p>
      <w:pPr>
        <w:spacing w:after="0" w:line="120" w:lineRule="exact"/>
        <w:rPr>
          <w:sz w:val="20"/>
          <w:szCs w:val="20"/>
          <w:color w:val="auto"/>
        </w:rPr>
      </w:pPr>
    </w:p>
    <w:p>
      <w:pPr>
        <w:ind w:left="880"/>
        <w:spacing w:after="0"/>
        <w:rPr>
          <w:sz w:val="20"/>
          <w:szCs w:val="20"/>
          <w:color w:val="auto"/>
        </w:rPr>
      </w:pPr>
      <w:r>
        <w:rPr>
          <w:rFonts w:ascii="Calibri" w:cs="Calibri" w:eastAsia="Calibri" w:hAnsi="Calibri"/>
          <w:sz w:val="20"/>
          <w:szCs w:val="20"/>
          <w:color w:val="424242"/>
        </w:rPr>
        <w:t>Appendix B: At-Will Employment, Confdental Informaton, Inventon Assignment, and Arbitraton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4" w:right="459" w:bottom="1440" w:gutter="0" w:footer="0" w:header="0"/>
        </w:sectPr>
      </w:pPr>
    </w:p>
    <w:bookmarkStart w:id="143" w:name="page144"/>
    <w:bookmarkEnd w:id="143"/>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TENAYA THERAPEUTICS,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16" w:lineRule="exact"/>
        <w:rPr>
          <w:sz w:val="20"/>
          <w:szCs w:val="20"/>
          <w:color w:val="auto"/>
        </w:rPr>
      </w:pPr>
    </w:p>
    <w:p>
      <w:pPr>
        <w:ind w:left="760" w:hanging="752"/>
        <w:spacing w:after="0"/>
        <w:tabs>
          <w:tab w:leader="none" w:pos="76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OVERVIEW</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Tenaya Therapeutics,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adopted this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to help Covered Persons (as defined below) comply with the federal and state securities laws and regulations that govern trading in securities and to help the Company minimize its own legal and reputational risk.</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It is each Covered Person’s responsibility to understand and follow this Policy. Insider trading is illegal and a violation of this Policy. In addition to a Covered Person’s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Covered Persons’ and the Company’s reputations.</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For purposes of this Policy, the Company’s Chief Executive Officer, Chief Financial Officer or General Counsel (or such persons performing the duties customarily performed by such officers) serves as the Compliance Officer. The Compliance Officer may designate others, from time to time, to assist with the execution of his or her duties under this Policy.</w:t>
      </w:r>
    </w:p>
    <w:p>
      <w:pPr>
        <w:spacing w:after="0" w:line="170" w:lineRule="exact"/>
        <w:rPr>
          <w:sz w:val="20"/>
          <w:szCs w:val="20"/>
          <w:color w:val="auto"/>
        </w:rPr>
      </w:pPr>
    </w:p>
    <w:p>
      <w:pPr>
        <w:ind w:left="760" w:hanging="752"/>
        <w:spacing w:after="0"/>
        <w:tabs>
          <w:tab w:leader="none" w:pos="76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STATEMENT</w:t>
      </w:r>
    </w:p>
    <w:p>
      <w:pPr>
        <w:spacing w:after="0" w:line="219"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18"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Trading on Material Nonpublic Information</w:t>
      </w:r>
      <w:r>
        <w:rPr>
          <w:rFonts w:ascii="Times New Roman" w:cs="Times New Roman" w:eastAsia="Times New Roman" w:hAnsi="Times New Roman"/>
          <w:sz w:val="20"/>
          <w:szCs w:val="20"/>
          <w:color w:val="auto"/>
        </w:rPr>
        <w:t>. It is illegal for anyone to trade in securities on the basis of material nonpublic information. If Covered Persons are in possession of material nonpublic information about the Company, they are prohibited from:</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transact in securities of the Company;</w:t>
      </w:r>
    </w:p>
    <w:p>
      <w:pPr>
        <w:spacing w:after="0" w:line="215"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other directors, officers, employees, consultants, contractors or advisors whose roles do not require them to have the information;</w:t>
      </w:r>
    </w:p>
    <w:p>
      <w:pPr>
        <w:spacing w:after="0" w:line="159"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anyone outside of the Company, including family, friends, business associates, investors or consulting firms, without prior written authorization from the Compliance Officer; or</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express an opinion or make a recommendation about trading in the Company’s securities.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In addition, material nonpublic information about another company that Covered Persons learn through their service with the Company is subject to these same restrictions around disclosure and trading and they cannot use that information to trade securities. Any such action will be deemed a violation of this Policy.</w:t>
      </w:r>
    </w:p>
    <w:p>
      <w:pPr>
        <w:spacing w:after="0" w:line="174" w:lineRule="exact"/>
        <w:rPr>
          <w:sz w:val="20"/>
          <w:szCs w:val="20"/>
          <w:color w:val="auto"/>
        </w:rPr>
      </w:pPr>
    </w:p>
    <w:p>
      <w:pPr>
        <w:jc w:val="both"/>
        <w:ind w:firstLine="757"/>
        <w:spacing w:after="0" w:line="274" w:lineRule="auto"/>
        <w:tabs>
          <w:tab w:leader="none" w:pos="1018"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Disclosure of Confidential Information</w:t>
      </w:r>
      <w:r>
        <w:rPr>
          <w:rFonts w:ascii="Times New Roman" w:cs="Times New Roman" w:eastAsia="Times New Roman" w:hAnsi="Times New Roman"/>
          <w:sz w:val="19"/>
          <w:szCs w:val="19"/>
          <w:color w:val="auto"/>
        </w:rPr>
        <w:t>. Covered Persons may not at any time disclose material nonpublic information about the Company or about another company that they obtained in connection with their service with the Company to friends, family members or any other person or entity that the Company has not authorized to know such information. In addition, Covered Persons must handle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jc w:val="both"/>
        <w:spacing w:after="0" w:line="269" w:lineRule="auto"/>
        <w:rPr>
          <w:sz w:val="20"/>
          <w:szCs w:val="20"/>
          <w:color w:val="auto"/>
        </w:rPr>
      </w:pPr>
      <w:r>
        <w:rPr>
          <w:rFonts w:ascii="Times New Roman" w:cs="Times New Roman" w:eastAsia="Times New Roman" w:hAnsi="Times New Roman"/>
          <w:sz w:val="20"/>
          <w:szCs w:val="20"/>
          <w:color w:val="auto"/>
        </w:rPr>
        <w:t>the confidential information of others in accordance with any related non-disclosure agreements and other obligations that the Company has with them and limit their use of the confidential information to the purpose for which it was disclosed.</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If Covered Persons receive an inquiry for information from someone outside of the Company, such as a stock analyst, or a request for sensitive information outside the ordinary course of business from someone outside of the Company, such as a business partner, vendor, supplier or salesperson, then they should refer the inquiry to the Compliance Officer or Chief Executive Officer. Covered Persons who respond to a request themselves may violate this Policy and, in some circumstances, the law. Covered Persons should consult the Company’s External Communications Policy for more details.</w:t>
      </w:r>
    </w:p>
    <w:p>
      <w:pPr>
        <w:spacing w:after="0" w:line="181" w:lineRule="exact"/>
        <w:rPr>
          <w:sz w:val="20"/>
          <w:szCs w:val="20"/>
          <w:color w:val="auto"/>
        </w:rPr>
      </w:pPr>
    </w:p>
    <w:p>
      <w:pPr>
        <w:jc w:val="both"/>
        <w:ind w:firstLine="757"/>
        <w:spacing w:after="0" w:line="247"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 of Material Nonpublic Information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Material information</w:t>
      </w:r>
      <w:r>
        <w:rPr>
          <w:rFonts w:ascii="Times New Roman" w:cs="Times New Roman" w:eastAsia="Times New Roman" w:hAnsi="Times New Roman"/>
          <w:sz w:val="20"/>
          <w:szCs w:val="20"/>
          <w:color w:val="auto"/>
        </w:rPr>
        <w:t>” means information that a reasonable investor would be substantially likely to consider important in deciding whether to buy, hold or sell securities of the Company or view as significantly altering the total mix of information available in the marketplace about the Company as an issuer of the securities. In general, any information that could reasonably be expected to affect the market price of a security is likely to be material. Either positive or negative information may be material.</w:t>
      </w:r>
    </w:p>
    <w:p>
      <w:pPr>
        <w:spacing w:after="0" w:line="184"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It is not possible to define all categories of “material” information. However, some examples of information that could be regarded as material include, but are not limited to:</w:t>
      </w:r>
    </w:p>
    <w:p>
      <w:pPr>
        <w:spacing w:after="0" w:line="159" w:lineRule="exact"/>
        <w:rPr>
          <w:sz w:val="20"/>
          <w:szCs w:val="20"/>
          <w:color w:val="auto"/>
        </w:rPr>
      </w:pPr>
    </w:p>
    <w:p>
      <w:pPr>
        <w:ind w:left="1880" w:right="20" w:hanging="749"/>
        <w:spacing w:after="0" w:line="269" w:lineRule="auto"/>
        <w:tabs>
          <w:tab w:leader="none" w:pos="18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key metrics, financial condition, earnings pre-announcements, guidance, projections or forecasts, particularly if inconsistent with the Company’s guidance or the expectations of the investment community;</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plans or budgets;</w:t>
      </w:r>
    </w:p>
    <w:p>
      <w:pPr>
        <w:spacing w:after="0" w:line="215" w:lineRule="exact"/>
        <w:rPr>
          <w:rFonts w:ascii="Times New Roman" w:cs="Times New Roman" w:eastAsia="Times New Roman" w:hAnsi="Times New Roman"/>
          <w:sz w:val="20"/>
          <w:szCs w:val="20"/>
          <w:color w:val="auto"/>
        </w:rPr>
      </w:pPr>
    </w:p>
    <w:p>
      <w:pPr>
        <w:ind w:left="1880" w:right="20" w:hanging="749"/>
        <w:spacing w:after="0" w:line="269" w:lineRule="auto"/>
        <w:tabs>
          <w:tab w:leader="none" w:pos="18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significant financial obligations, or any significant default under or acceleration of any financial obligation;</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financial liquidity problems;</w:t>
      </w:r>
    </w:p>
    <w:p>
      <w:pPr>
        <w:spacing w:after="0" w:line="215"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159" w:lineRule="exact"/>
        <w:rPr>
          <w:rFonts w:ascii="Times New Roman" w:cs="Times New Roman" w:eastAsia="Times New Roman" w:hAnsi="Times New Roman"/>
          <w:sz w:val="20"/>
          <w:szCs w:val="20"/>
          <w:color w:val="auto"/>
        </w:rPr>
      </w:pPr>
    </w:p>
    <w:p>
      <w:pPr>
        <w:jc w:val="both"/>
        <w:ind w:left="1880" w:hanging="749"/>
        <w:spacing w:after="0" w:line="268" w:lineRule="auto"/>
        <w:tabs>
          <w:tab w:leader="none" w:pos="18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information relating to the operation of product or service, such as new products or services, major modifications or performance issues, defects or recalls, significant pricing changes or other announcements of a significant nature;</w:t>
      </w:r>
    </w:p>
    <w:p>
      <w:pPr>
        <w:spacing w:after="0" w:line="161"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 research and development, relating to the Company’s clinical studies, including, without limitation, status, results and communications with regulatory agencies, or relating to intellectual property;</w:t>
      </w:r>
    </w:p>
    <w:p>
      <w:pPr>
        <w:spacing w:after="0" w:line="159"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legal or regulatory developments, whether positive or negative, actual or threatened, including litigation or resolving litigation;</w:t>
      </w:r>
    </w:p>
    <w:p>
      <w:pPr>
        <w:spacing w:after="0" w:line="34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jc w:val="both"/>
        <w:ind w:left="1880" w:hanging="749"/>
        <w:spacing w:after="0" w:line="254" w:lineRule="auto"/>
        <w:tabs>
          <w:tab w:leader="none" w:pos="18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174"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personnel changes, such as changes in senior management or employee layoffs;</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breaches or other cybersecurity events;</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updates regarding any prior material disclosure that has materially changed; and</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 special blackout period.</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nonpublic information</w:t>
      </w:r>
      <w:r>
        <w:rPr>
          <w:rFonts w:ascii="Times New Roman" w:cs="Times New Roman" w:eastAsia="Times New Roman" w:hAnsi="Times New Roman"/>
          <w:sz w:val="20"/>
          <w:szCs w:val="20"/>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spacing w:after="0" w:line="17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After the release of information, a reasonable period of time must elapse in order to provide the public an opportunity to absorb and evaluate the information provided. As a general rule, at least one full trading day shall pass after the dissemination of information before such information is considered public.</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As a rule of thumb, if Covered Persons think something might be material nonpublic information, it probably is. Covered Persons can always reach out to the Compliance Officer if they have questions.</w:t>
      </w:r>
    </w:p>
    <w:p>
      <w:pPr>
        <w:spacing w:after="0" w:line="155" w:lineRule="exact"/>
        <w:rPr>
          <w:sz w:val="20"/>
          <w:szCs w:val="20"/>
          <w:color w:val="auto"/>
        </w:rPr>
      </w:pPr>
    </w:p>
    <w:p>
      <w:pPr>
        <w:ind w:left="760" w:hanging="752"/>
        <w:spacing w:after="0"/>
        <w:tabs>
          <w:tab w:leader="none" w:pos="76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PERSONS COVERED BY THIS POLICY</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This Policy applies to directors, officers and employees, and specified consultants, contractors and advisors of the Company, both inside and outside of the United States (collectively, “</w:t>
      </w:r>
      <w:r>
        <w:rPr>
          <w:rFonts w:ascii="Times New Roman" w:cs="Times New Roman" w:eastAsia="Times New Roman" w:hAnsi="Times New Roman"/>
          <w:sz w:val="20"/>
          <w:szCs w:val="20"/>
          <w:b w:val="1"/>
          <w:bCs w:val="1"/>
          <w:color w:val="auto"/>
        </w:rPr>
        <w:t>Covered Persons</w:t>
      </w:r>
      <w:r>
        <w:rPr>
          <w:rFonts w:ascii="Times New Roman" w:cs="Times New Roman" w:eastAsia="Times New Roman" w:hAnsi="Times New Roman"/>
          <w:sz w:val="20"/>
          <w:szCs w:val="20"/>
          <w:color w:val="auto"/>
        </w:rPr>
        <w:t>”). To the extent applicable to Covered Persons, this Policy also covers their immediate family members, persons with whom they share a household, persons who are their economic dependents and any entity whose transactions in securities they influence, direct or control. Covered Persons are responsible for making sure that these other individuals and entities comply with this Policy.</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continues to apply even if a Covered Person leaves the Company or are otherwise no longer affiliated with or providing services to the Company, for as long as the Covered Person remains in possession of material nonpublic information. In addition, if Covered Persons are subject to a trading blackout under this Policy at the time they leave, or stop providing services to, the Company, they must abide by the applicable trading restrictions until at least the end of the relevant blackout period.</w:t>
      </w:r>
    </w:p>
    <w:p>
      <w:pPr>
        <w:spacing w:after="0" w:line="176" w:lineRule="exact"/>
        <w:rPr>
          <w:sz w:val="20"/>
          <w:szCs w:val="20"/>
          <w:color w:val="auto"/>
        </w:rPr>
      </w:pPr>
    </w:p>
    <w:p>
      <w:pPr>
        <w:ind w:left="760" w:hanging="752"/>
        <w:spacing w:after="0"/>
        <w:tabs>
          <w:tab w:leader="none" w:pos="76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COVERED BY THIS POLICY</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this Policy applies to all transactions involving the Company’s securities or other companies’ securities for which Covered Persons possess material nonpublic information obtained in connection with their service with the Company. This Policy therefore applies to:</w:t>
      </w:r>
    </w:p>
    <w:p>
      <w:pPr>
        <w:spacing w:after="0" w:line="36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jc w:val="both"/>
        <w:ind w:firstLine="757"/>
        <w:spacing w:after="0" w:line="249"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behalf of Covered Persons by money managers), and any offer to engage in the foregoing transactions;</w:t>
      </w:r>
    </w:p>
    <w:p>
      <w:pPr>
        <w:spacing w:after="0" w:line="17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in the form of a gift of any securities of the Company;</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distribution to holders of interests in an entity if the entity is subject to this Policy; and</w:t>
      </w:r>
    </w:p>
    <w:p>
      <w:pPr>
        <w:spacing w:after="0" w:line="215" w:lineRule="exact"/>
        <w:rPr>
          <w:rFonts w:ascii="Times New Roman" w:cs="Times New Roman" w:eastAsia="Times New Roman" w:hAnsi="Times New Roman"/>
          <w:sz w:val="20"/>
          <w:szCs w:val="20"/>
          <w:color w:val="auto"/>
        </w:rPr>
      </w:pPr>
    </w:p>
    <w:p>
      <w:pPr>
        <w:jc w:val="both"/>
        <w:ind w:firstLine="757"/>
        <w:spacing w:after="0" w:line="244" w:lineRule="exact"/>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arrangement that generates gains or losses from or based on changes in the prices of such securities including derivative securities (for example, exchange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traded put or call options, swaps, caps and collars), hedging and pledging transactions, short sales and certain arrangements regarding participation in benefit plans, and any offer to engage in the foregoing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5067935</wp:posOffset>
            </wp:positionH>
            <wp:positionV relativeFrom="paragraph">
              <wp:posOffset>-1322705</wp:posOffset>
            </wp:positionV>
            <wp:extent cx="482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48260" cy="8890"/>
                    </a:xfrm>
                    <a:prstGeom prst="rect">
                      <a:avLst/>
                    </a:prstGeom>
                    <a:noFill/>
                  </pic:spPr>
                </pic:pic>
              </a:graphicData>
            </a:graphic>
          </wp:anchor>
        </w:drawing>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There are no exceptions from insider trading laws or this Policy based on the size of the transaction or the type of consideration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received.</w:t>
      </w:r>
    </w:p>
    <w:p>
      <w:pPr>
        <w:spacing w:after="0" w:line="190" w:lineRule="exact"/>
        <w:rPr>
          <w:sz w:val="20"/>
          <w:szCs w:val="20"/>
          <w:color w:val="auto"/>
        </w:rPr>
      </w:pPr>
    </w:p>
    <w:p>
      <w:pPr>
        <w:ind w:left="760" w:hanging="752"/>
        <w:spacing w:after="0"/>
        <w:tabs>
          <w:tab w:leader="none" w:pos="76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RESTRICTIONS</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exceptions set forth below, this Policy restricts trading during certain periods and by certain people as follows:</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45" w:lineRule="auto"/>
        <w:tabs>
          <w:tab w:leader="none" w:pos="101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Blackout Periods</w:t>
      </w:r>
      <w:r>
        <w:rPr>
          <w:rFonts w:ascii="Times New Roman" w:cs="Times New Roman" w:eastAsia="Times New Roman" w:hAnsi="Times New Roman"/>
          <w:sz w:val="20"/>
          <w:szCs w:val="20"/>
          <w:color w:val="auto"/>
        </w:rPr>
        <w:t>. There will not be quarterly blackout periods unless instituted by a Compliance Officer. In the event a Compliance Officer institutes quarterly blackout periods, 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all Covered Persons notified by the Compliance Officer must refrain from conducting transactions involving the Company’s securities during such quarterly blackout periods. To the extent applicable to Covered Persons, quarterly blackout periods also cover their immediate family members, persons with whom they share a household, persons who are their economic dependents, and any entity whose transactions in securities they influence, direct or control.</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If instituted by a Compliance Officer, quarterly blackout periods will start on the eighth calendar day after the end of each fiscal quarter and will end at the start of the second full trading day following the Company’s earnings release.</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prohibition against trading during the blackout period also means that brokers cannot fulfill open orders on behalf of the applicable Covered Persons or their immediate family members, persons with whom they share a household, persons who are their economic dependents, or any entity whose transactions in securities they influence, direct or control, during the blackout period, including “limit orders” to buy or sell stock at a specific price or better and “stop orders” to buy or sell stock once the price of the stock reaches a specified price. If Covered Persons are subject to blackout periods or pre-clearance requirements, they should so inform any broker with whom such an open order is placed at the time it is placed.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757"/>
        <w:spacing w:after="0" w:line="246" w:lineRule="auto"/>
        <w:tabs>
          <w:tab w:leader="none" w:pos="10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Blackout Periods</w:t>
      </w:r>
      <w:r>
        <w:rPr>
          <w:rFonts w:ascii="Times New Roman" w:cs="Times New Roman" w:eastAsia="Times New Roman" w:hAnsi="Times New Roman"/>
          <w:sz w:val="20"/>
          <w:szCs w:val="20"/>
          <w:color w:val="auto"/>
        </w:rPr>
        <w:t>. The Company always retains the right to impose additional or longer trading blackout periods at any time on any or all Covered Persons. The Compliance Officer will notify Covered Persons if they are subject to a special blackout period by providing to them a notice in writing or via email. If Covered Persons are notified that they are subject to a special blackout period, they may not engage in any transaction involving Company’s securities until the special blackout period has ended other than the transactions that are covered by the exceptions below. Covered Persons also may not</w:t>
      </w:r>
    </w:p>
    <w:p>
      <w:pPr>
        <w:spacing w:after="0" w:line="37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jc w:val="both"/>
        <w:spacing w:after="0" w:line="254" w:lineRule="auto"/>
        <w:rPr>
          <w:sz w:val="20"/>
          <w:szCs w:val="20"/>
          <w:color w:val="auto"/>
        </w:rPr>
      </w:pPr>
      <w:r>
        <w:rPr>
          <w:rFonts w:ascii="Times New Roman" w:cs="Times New Roman" w:eastAsia="Times New Roman" w:hAnsi="Times New Roman"/>
          <w:sz w:val="20"/>
          <w:szCs w:val="20"/>
          <w:color w:val="auto"/>
        </w:rPr>
        <w:t>disclose to anyone else that the Company has imposed a special blackout period. To the extent applicable to Covered Persons, special blackout periods also cover their immediate family members, persons with whom they share a household, persons who are their economic dependents, and any entity whose transactions in securities they influence, direct or control.</w:t>
      </w:r>
    </w:p>
    <w:p>
      <w:pPr>
        <w:spacing w:after="0" w:line="174" w:lineRule="exact"/>
        <w:rPr>
          <w:sz w:val="20"/>
          <w:szCs w:val="20"/>
          <w:color w:val="auto"/>
        </w:rPr>
      </w:pPr>
    </w:p>
    <w:p>
      <w:pPr>
        <w:jc w:val="both"/>
        <w:ind w:firstLine="757"/>
        <w:spacing w:after="0" w:line="258" w:lineRule="auto"/>
        <w:tabs>
          <w:tab w:leader="none" w:pos="1018"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Regulation BTR Blackouts</w:t>
      </w:r>
      <w:r>
        <w:rPr>
          <w:rFonts w:ascii="Times New Roman" w:cs="Times New Roman" w:eastAsia="Times New Roman" w:hAnsi="Times New Roman"/>
          <w:sz w:val="19"/>
          <w:szCs w:val="19"/>
          <w:color w:val="auto"/>
        </w:rPr>
        <w:t>. Directors and officers may also be subject to trading blackouts pursuant to Regulation Blackout Trading Restriction, or Regulation BTR, under U.S. federal securities laws. In general, Regulation BTR prohibits any director or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169" w:lineRule="exact"/>
        <w:rPr>
          <w:rFonts w:ascii="Times New Roman" w:cs="Times New Roman" w:eastAsia="Times New Roman" w:hAnsi="Times New Roman"/>
          <w:sz w:val="19"/>
          <w:szCs w:val="19"/>
          <w:color w:val="auto"/>
        </w:rPr>
      </w:pPr>
    </w:p>
    <w:p>
      <w:pPr>
        <w:ind w:left="760" w:hanging="752"/>
        <w:spacing w:after="0"/>
        <w:tabs>
          <w:tab w:leader="none" w:pos="76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TRANSACTIONS</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Covered Persons may not engage in any of the following types of transactions other than as noted below, regardless of whether they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material nonpublic information or not.</w:t>
      </w:r>
    </w:p>
    <w:p>
      <w:pPr>
        <w:spacing w:after="0" w:line="194" w:lineRule="exact"/>
        <w:rPr>
          <w:sz w:val="20"/>
          <w:szCs w:val="20"/>
          <w:color w:val="auto"/>
        </w:rPr>
      </w:pPr>
    </w:p>
    <w:p>
      <w:pPr>
        <w:jc w:val="both"/>
        <w:ind w:firstLine="757"/>
        <w:spacing w:after="0" w:line="254" w:lineRule="auto"/>
        <w:tabs>
          <w:tab w:leader="none" w:pos="101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Covered Persons may not engage in short sales (meaning the sale of a security that must be borrowed to make delivery) or “sell short against the box” (meaning the sale of a security with a delayed delivery) if such sales involve the Company’s securities.</w:t>
      </w:r>
    </w:p>
    <w:p>
      <w:pPr>
        <w:spacing w:after="0" w:line="174"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Derivative Securities and Hedging Transactions</w:t>
      </w:r>
      <w:r>
        <w:rPr>
          <w:rFonts w:ascii="Times New Roman" w:cs="Times New Roman" w:eastAsia="Times New Roman" w:hAnsi="Times New Roman"/>
          <w:sz w:val="20"/>
          <w:szCs w:val="20"/>
          <w:color w:val="auto"/>
        </w:rPr>
        <w:t>. Covered Persons may not, directly or indirectly, (a) trade in publicly-traded options, such as puts and calls, and other derivative securities with respect to the Company’s securities (other than stock options, restricted stock units and other compensatory awards issued to them by the Company) or (b) purchase financial instruments (including prepaid variable forward contracts, equity swaps, collars and exchange funds), or otherwise engage in transactions, that hedge or offset, or are designed to hedge or offset, any decrease in the market value of Company equity securities either (i) granted to them by the Company as part of their compensation or (ii) held, directly or indirectly, by them.</w:t>
      </w:r>
    </w:p>
    <w:p>
      <w:pPr>
        <w:spacing w:after="0" w:line="18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Pledging Transactions</w:t>
      </w:r>
      <w:r>
        <w:rPr>
          <w:rFonts w:ascii="Times New Roman" w:cs="Times New Roman" w:eastAsia="Times New Roman" w:hAnsi="Times New Roman"/>
          <w:sz w:val="20"/>
          <w:szCs w:val="20"/>
          <w:color w:val="auto"/>
        </w:rPr>
        <w:t>. Covered Persons may not pledge the Company’s securities as collateral for any loan or as part of any other pledging transaction.</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Accounts</w:t>
      </w:r>
      <w:r>
        <w:rPr>
          <w:rFonts w:ascii="Times New Roman" w:cs="Times New Roman" w:eastAsia="Times New Roman" w:hAnsi="Times New Roman"/>
          <w:sz w:val="20"/>
          <w:szCs w:val="20"/>
          <w:color w:val="auto"/>
        </w:rPr>
        <w:t>. Covered Persons may not hold the Company’s common stock in margin accounts.</w:t>
      </w:r>
    </w:p>
    <w:p>
      <w:pPr>
        <w:spacing w:after="0" w:line="211"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PRE-CLEARANCE OF TRADES</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Covered Persons must obtain pre-clearance prior to trading the Company’s securities unless otherwise set forth in the</w:t>
      </w:r>
    </w:p>
    <w:p>
      <w:pPr>
        <w:spacing w:after="0" w:line="2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Company’s records. If Covered Persons are subject to pre-clearance requirements, they should submit a pre-clearance request to the Compliance Officer prior to their desired trade date at insidertrading@tenayathera.com. The pre-clearance request must be submitted in the format required by the Compliance Officer. The person requesting pre-clearance will be asked to certify that he or she is not in possession of material nonpublic information about the Company. No Covered Person subject to pre-clearance requirements may complete a proposed trade without approval from the Compliance Officer. The Compliance Officer (or its designee) will seek to respond to a pre-clearance request within two business</w:t>
      </w:r>
    </w:p>
    <w:p>
      <w:pPr>
        <w:spacing w:after="0" w:line="38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jc w:val="both"/>
        <w:spacing w:after="0" w:line="269" w:lineRule="auto"/>
        <w:rPr>
          <w:sz w:val="20"/>
          <w:szCs w:val="20"/>
          <w:color w:val="auto"/>
        </w:rPr>
      </w:pPr>
      <w:r>
        <w:rPr>
          <w:rFonts w:ascii="Times New Roman" w:cs="Times New Roman" w:eastAsia="Times New Roman" w:hAnsi="Times New Roman"/>
          <w:sz w:val="20"/>
          <w:szCs w:val="20"/>
          <w:color w:val="auto"/>
        </w:rPr>
        <w:t>days. The Compliance Officer is under no obligation to approve a transaction submitted for pre-clearance and may determine not to permit the transaction.</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the Compliance Officer is the requester, then the Company’s Chief Executive Officer (unless the Chief Executive Officer is the requester), Chief Financial Officer (unless the Chief Financial Officer is the requester), the General Counsel (unless the General Counsel is the requester) (or such persons performing the duties customarily performed by such officers), or their delegate, must pre-clear or deny any trade.</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Even after preclearance, a person may not trade the Company’s securities if they become subject to a blackout period or aware of material nonpublic information prior to the trade being executed.</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From time to time, the Company may identify other persons who should be subject to the pre-clearance requirements set forth above, and the Compliance Officer may update and revise the records maintained from time to time by the Compliance Officer as appropriate.</w:t>
      </w:r>
    </w:p>
    <w:p>
      <w:pPr>
        <w:spacing w:after="0" w:line="170" w:lineRule="exact"/>
        <w:rPr>
          <w:sz w:val="20"/>
          <w:szCs w:val="20"/>
          <w:color w:val="auto"/>
        </w:rPr>
      </w:pPr>
    </w:p>
    <w:p>
      <w:pPr>
        <w:ind w:left="760" w:hanging="752"/>
        <w:spacing w:after="0"/>
        <w:tabs>
          <w:tab w:leader="none" w:pos="76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EXCEPTIONS TO TRADING RESTRICTIONS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There are no unconditional “safe harbors” for trades made at particular times, and all persons subject to this Policy should exercise good judgment at all times. Even when a quarterly blackout period is not in effect, Covered Persons may be prohibited from engaging in transactions involving the Company’s securities because they possess material nonpublic information, are subject to a special blackout period or are otherwise restricted under this Policy.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following are certain limited exceptions to the blackout period restrictions and pre-clearance requirements imposed by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under this Policy:</w:t>
      </w:r>
    </w:p>
    <w:p>
      <w:pPr>
        <w:spacing w:after="0" w:line="194" w:lineRule="exact"/>
        <w:rPr>
          <w:sz w:val="20"/>
          <w:szCs w:val="20"/>
          <w:color w:val="auto"/>
        </w:rPr>
      </w:pPr>
    </w:p>
    <w:p>
      <w:pPr>
        <w:ind w:right="20" w:firstLine="757"/>
        <w:spacing w:after="0" w:line="269" w:lineRule="auto"/>
        <w:tabs>
          <w:tab w:leader="none" w:pos="101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 exercises where the purchase price of such stock options is paid in cash and there is no other associated market activity (i.e., a buy and hold transaction);</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and vesting of stock options, restricted stock units, restricted stock or other equity compensation awards from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w:t>
      </w:r>
    </w:p>
    <w:p>
      <w:pPr>
        <w:spacing w:after="0" w:line="193"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pursuant to the employee stock purchase plan; however, this exception does not apply to subsequent sales of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w:t>
      </w:r>
    </w:p>
    <w:p>
      <w:pPr>
        <w:spacing w:after="0" w:line="193"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share withholding with respect to equity awards where shares are withheld by the Company in order to satisfy tax withholding requirements, (</w:t>
      </w:r>
      <w:r>
        <w:rPr>
          <w:rFonts w:ascii="Times New Roman" w:cs="Times New Roman" w:eastAsia="Times New Roman" w:hAnsi="Times New Roman"/>
          <w:sz w:val="20"/>
          <w:szCs w:val="20"/>
          <w:i w:val="1"/>
          <w:iCs w:val="1"/>
          <w:color w:val="auto"/>
        </w:rPr>
        <w:t>x</w:t>
      </w:r>
      <w:r>
        <w:rPr>
          <w:rFonts w:ascii="Times New Roman" w:cs="Times New Roman" w:eastAsia="Times New Roman" w:hAnsi="Times New Roman"/>
          <w:sz w:val="20"/>
          <w:szCs w:val="20"/>
          <w:color w:val="auto"/>
        </w:rPr>
        <w:t>) as required by either the Company’s board of directors (or a committee thereof) or the award agreement governing such equity award or (</w:t>
      </w:r>
      <w:r>
        <w:rPr>
          <w:rFonts w:ascii="Times New Roman" w:cs="Times New Roman" w:eastAsia="Times New Roman" w:hAnsi="Times New Roman"/>
          <w:sz w:val="20"/>
          <w:szCs w:val="20"/>
          <w:i w:val="1"/>
          <w:iCs w:val="1"/>
          <w:color w:val="auto"/>
        </w:rPr>
        <w:t>y</w:t>
      </w:r>
      <w:r>
        <w:rPr>
          <w:rFonts w:ascii="Times New Roman" w:cs="Times New Roman" w:eastAsia="Times New Roman" w:hAnsi="Times New Roman"/>
          <w:sz w:val="20"/>
          <w:szCs w:val="20"/>
          <w:color w:val="auto"/>
        </w:rPr>
        <w:t>) as Covered Persons elect, if permitted by the Company, so long as the election is irrevocable and made in writing at a time when a trading blackout is not in place and Covered Persons are not in possession of material nonpublic information;</w:t>
      </w:r>
    </w:p>
    <w:p>
      <w:pPr>
        <w:spacing w:after="0" w:line="17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to cover transactions where shares are sold on the Covered Person’s behalf upon vesting of equity awards and sold in order to satisfy tax withholding requirements, (</w:t>
      </w:r>
      <w:r>
        <w:rPr>
          <w:rFonts w:ascii="Times New Roman" w:cs="Times New Roman" w:eastAsia="Times New Roman" w:hAnsi="Times New Roman"/>
          <w:sz w:val="20"/>
          <w:szCs w:val="20"/>
          <w:i w:val="1"/>
          <w:iCs w:val="1"/>
          <w:color w:val="auto"/>
        </w:rPr>
        <w:t>x</w:t>
      </w:r>
      <w:r>
        <w:rPr>
          <w:rFonts w:ascii="Times New Roman" w:cs="Times New Roman" w:eastAsia="Times New Roman" w:hAnsi="Times New Roman"/>
          <w:sz w:val="20"/>
          <w:szCs w:val="20"/>
          <w:color w:val="auto"/>
        </w:rPr>
        <w:t>) as required by either the Company’s’ board of directors (or a committee thereof) or the award agreement governing such equity award or (</w:t>
      </w:r>
      <w:r>
        <w:rPr>
          <w:rFonts w:ascii="Times New Roman" w:cs="Times New Roman" w:eastAsia="Times New Roman" w:hAnsi="Times New Roman"/>
          <w:sz w:val="20"/>
          <w:szCs w:val="20"/>
          <w:i w:val="1"/>
          <w:iCs w:val="1"/>
          <w:color w:val="auto"/>
        </w:rPr>
        <w:t>y</w:t>
      </w:r>
      <w:r>
        <w:rPr>
          <w:rFonts w:ascii="Times New Roman" w:cs="Times New Roman" w:eastAsia="Times New Roman" w:hAnsi="Times New Roman"/>
          <w:sz w:val="20"/>
          <w:szCs w:val="20"/>
          <w:color w:val="auto"/>
        </w:rPr>
        <w:t>) as Covered Persons elect, if permitted by the Company, so long as the election is irrevocable and made in writing at a time when a trading blackout is not in place and the Covered Person is not in possession of material nonpublic information; however, this exception does not apply to any other market sale for the purposes of paying required withholding;</w:t>
      </w:r>
    </w:p>
    <w:p>
      <w:pPr>
        <w:spacing w:after="0" w:line="37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ind w:left="760"/>
        <w:spacing w:after="0" w:line="230" w:lineRule="exact"/>
        <w:rPr>
          <w:sz w:val="20"/>
          <w:szCs w:val="20"/>
          <w:color w:val="auto"/>
        </w:rPr>
      </w:pPr>
      <w:r>
        <w:rPr>
          <w:rFonts w:ascii="Times New Roman" w:cs="Times New Roman" w:eastAsia="Times New Roman" w:hAnsi="Times New Roman"/>
          <w:sz w:val="20"/>
          <w:szCs w:val="20"/>
          <w:color w:val="auto"/>
        </w:rPr>
        <w:t>20. transactions made pursuant to a valid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trading plan approved by the Company (see Section I (</w:t>
      </w:r>
      <w:r>
        <w:rPr>
          <w:rFonts w:ascii="Times New Roman" w:cs="Times New Roman" w:eastAsia="Times New Roman" w:hAnsi="Times New Roman"/>
          <w:sz w:val="20"/>
          <w:szCs w:val="20"/>
          <w:i w:val="1"/>
          <w:iCs w:val="1"/>
          <w:color w:val="auto"/>
        </w:rPr>
        <w:t>10b5-1 Trading Plans</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194" w:lineRule="exact"/>
        <w:rPr>
          <w:sz w:val="20"/>
          <w:szCs w:val="20"/>
          <w:color w:val="auto"/>
        </w:rPr>
      </w:pPr>
    </w:p>
    <w:p>
      <w:pPr>
        <w:jc w:val="both"/>
        <w:ind w:firstLine="757"/>
        <w:spacing w:after="0" w:line="243" w:lineRule="auto"/>
        <w:tabs>
          <w:tab w:leader="none" w:pos="101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purchases of the Company’s stock in the 401(k) plan resulting from periodic contributions to the plan based on Covered Persons payroll contribution election;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blackout period restrictions and pre-clearance requirements do apply to elections made under the 401(k) plan to (a) increase or decrease the amount of a Covered Person’s contributions under the 401(k) plan if such increase or decrease will increase or decrease the amount of a Covered Person’s contributions that will be allocated to a Company stock fund, (b) increase or decrease the percentage of a Covered Person’s contributions that will be allocated to a Company stock fund, (c) move balances into or out of a Company stock fund, (d) borrow money against a Covered Person’s 401(k) plan account if the loan will result in liquidation of some or all of the Covered Person’s Company stock fund balance, and (e) prepay a plan loan if the pre-payment will result in the allocation of loan proceeds to a Company stock fund;</w:t>
      </w:r>
    </w:p>
    <w:p>
      <w:pPr>
        <w:spacing w:after="0" w:line="18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by will or the laws of descent or distribution and, provided that prior written notice is provided to the Compliance Officer, distributions or transfers (such as certain tax planning or estate planning transfers) that effect only a change in the form of beneficial interest without changing a Covered Person’s pecuniary interest in the Company’s securities; and</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number of the Company’s securities Covered Persons hold due to a stock split or a stock dividend that applies equally to all securities of a class, or similar transactions.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there is a Regulation BTR blackout (and no other blackout period), then the limited exceptions set forth in Regulation BTR will apply. Please be aware that even if a transaction is subject to an exception to this Policy, Covered Persons will need to separately assess whether the transaction complies with applicable law. Any other Policy exceptions must be approved by the Compliance Officer, in consultation with the Company’s board of directors or an independent committee of the board of directors.</w:t>
      </w:r>
    </w:p>
    <w:p>
      <w:pPr>
        <w:spacing w:after="0" w:line="176" w:lineRule="exact"/>
        <w:rPr>
          <w:sz w:val="20"/>
          <w:szCs w:val="20"/>
          <w:color w:val="auto"/>
        </w:rPr>
      </w:pPr>
    </w:p>
    <w:p>
      <w:pPr>
        <w:ind w:left="760" w:hanging="752"/>
        <w:spacing w:after="0"/>
        <w:tabs>
          <w:tab w:leader="none" w:pos="76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10B5-1 TRADING PLANS</w:t>
      </w:r>
    </w:p>
    <w:p>
      <w:pPr>
        <w:spacing w:after="0" w:line="188" w:lineRule="exact"/>
        <w:rPr>
          <w:sz w:val="20"/>
          <w:szCs w:val="20"/>
          <w:color w:val="auto"/>
        </w:rPr>
      </w:pPr>
    </w:p>
    <w:p>
      <w:pPr>
        <w:jc w:val="both"/>
        <w:ind w:firstLine="749"/>
        <w:spacing w:after="0" w:line="240" w:lineRule="exact"/>
        <w:rPr>
          <w:sz w:val="20"/>
          <w:szCs w:val="20"/>
          <w:color w:val="auto"/>
        </w:rPr>
      </w:pPr>
      <w:r>
        <w:rPr>
          <w:rFonts w:ascii="Times New Roman" w:cs="Times New Roman" w:eastAsia="Times New Roman" w:hAnsi="Times New Roman"/>
          <w:sz w:val="20"/>
          <w:szCs w:val="20"/>
          <w:color w:val="auto"/>
        </w:rPr>
        <w:t>The Company permits its directors, officers and certain employees to adopt written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trading plans in order to mitigate the risk of trading on material nonpublic information. These plans allow for individuals to enter into a prearranged trading plan as long as the plan is not established or modified during a blackout period or when the individual is otherwise in possession of material nonpublic information. To be approved by the Company and qualify for the exception to this Policy, any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1 trading plan adopted or modified by a director, officer or employee must be submitted to the Compliance Officer for approval and comply with the requirements set forth in the Requirements for Trading Plans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may be modified or amended by the Compliance Officer. If the Compliance Officer is the requester, then the Company’s Chief Executive Officer, Chief Financial Officer, or their delegate, must approve the written 10b5-1 trading plan.</w:t>
      </w:r>
    </w:p>
    <w:p>
      <w:pPr>
        <w:spacing w:after="0" w:line="190" w:lineRule="exact"/>
        <w:rPr>
          <w:sz w:val="20"/>
          <w:szCs w:val="20"/>
          <w:color w:val="auto"/>
        </w:rPr>
      </w:pPr>
    </w:p>
    <w:p>
      <w:pPr>
        <w:ind w:left="760" w:hanging="752"/>
        <w:spacing w:after="0"/>
        <w:tabs>
          <w:tab w:leader="none" w:pos="76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16 COMPLIANCE</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 w:cs="Times New Roman" w:eastAsia="Times New Roman" w:hAnsi="Times New Roman"/>
          <w:sz w:val="20"/>
          <w:szCs w:val="20"/>
          <w:i w:val="1"/>
          <w:iCs w:val="1"/>
          <w:color w:val="auto"/>
        </w:rPr>
        <w:t>etc.</w:t>
      </w:r>
      <w:r>
        <w:rPr>
          <w:rFonts w:ascii="Times New Roman" w:cs="Times New Roman" w:eastAsia="Times New Roman" w:hAnsi="Times New Roman"/>
          <w:sz w:val="20"/>
          <w:szCs w:val="20"/>
          <w:color w:val="auto"/>
        </w:rPr>
        <w:t>) about his or her transactions involving the Company’s securities.</w:t>
      </w:r>
    </w:p>
    <w:p>
      <w:pPr>
        <w:spacing w:after="0" w:line="36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50" w:name="page151"/>
    <w:bookmarkEnd w:id="150"/>
    <w:p>
      <w:pPr>
        <w:ind w:firstLine="749"/>
        <w:spacing w:after="0" w:line="269" w:lineRule="auto"/>
        <w:rPr>
          <w:sz w:val="20"/>
          <w:szCs w:val="20"/>
          <w:color w:val="auto"/>
        </w:rPr>
      </w:pPr>
      <w:r>
        <w:rPr>
          <w:rFonts w:ascii="Times New Roman" w:cs="Times New Roman" w:eastAsia="Times New Roman" w:hAnsi="Times New Roman"/>
          <w:sz w:val="20"/>
          <w:szCs w:val="20"/>
          <w:color w:val="auto"/>
        </w:rPr>
        <w:t>The Company is available to assist in filing Section 16 reports, but the obligation to comply with Section 16 is personal. If Covered Persons have any questions, they should check with the Compliance Officer.</w:t>
      </w:r>
    </w:p>
    <w:p>
      <w:pPr>
        <w:spacing w:after="0" w:line="155" w:lineRule="exact"/>
        <w:rPr>
          <w:sz w:val="20"/>
          <w:szCs w:val="20"/>
          <w:color w:val="auto"/>
        </w:rPr>
      </w:pPr>
    </w:p>
    <w:p>
      <w:pPr>
        <w:ind w:left="760" w:hanging="752"/>
        <w:spacing w:after="0"/>
        <w:tabs>
          <w:tab w:leader="none" w:pos="76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VIOLATIONS OF THIS POLICY</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Covered Persons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There are also serious legal consequences for individuals who violate insider trading laws, including large criminal and civil fines, significant imprisonment terms and disgorgement of any profits gained or losses avoided. Covered Persons may also be liable for improper securities trading by any person (commonly referred to as a “tippee”) to whom they have disclosed material nonpublic information that they have learned through their position at the Company or made recommendations or expressed opinions about securities trading on the basis of such information.</w:t>
      </w:r>
    </w:p>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Covered Persons should consult with their personal legal and financial advisors as needed. Note that the Company’s legal counsel, both internal and external, represent the Company and not Covered Persons personally. There may be instances where Covered Persons suffer financial harm or other hardship or are otherwise required to forego a planned transaction because of the restrictions imposed by this Policy or under securities laws. If Covered Persons were aware of the material nonpublic information at the time of the trade, it is not a defense that they did not “use” the information for the trade. Personal financial emergency or other personal circumstances are not mitigating factors under securities laws and will not excuse their failure to comply with this Policy. In addition, a blackout or trading-restricted period will not extend the term of Covered Persons’ options. As a consequence, Covered Persons may be prevented from exercising their options by this Policy or as a result of a blackout or other restriction on their trading, and as a result their options may expire by their term. It is Covered Persons responsibility to manage their economic interests and to consider potential trading restrictions when determining whether to exercise their options. In such instances, the Company cannot extend the term of Covered Persons options and has no obligation or liability to replace the economic value or lost benefit to Covered Persons.</w:t>
      </w:r>
    </w:p>
    <w:p>
      <w:pPr>
        <w:spacing w:after="0" w:line="186" w:lineRule="exact"/>
        <w:rPr>
          <w:sz w:val="20"/>
          <w:szCs w:val="20"/>
          <w:color w:val="auto"/>
        </w:rPr>
      </w:pPr>
    </w:p>
    <w:p>
      <w:pPr>
        <w:ind w:left="760" w:hanging="752"/>
        <w:spacing w:after="0"/>
        <w:tabs>
          <w:tab w:leader="none" w:pos="76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PROTECTED ACTIVITY NOT PROHIBITED</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Nothing in this Policy, or any related guidelines or other documents or information provided in connection with this Policy, shall in any way limit or prohibit Covered Persons from engaging in any of the protected activities set forth in the Company’s Whistleblower Policy, as amended from time to time.</w:t>
      </w:r>
    </w:p>
    <w:p>
      <w:pPr>
        <w:spacing w:after="0" w:line="170" w:lineRule="exact"/>
        <w:rPr>
          <w:sz w:val="20"/>
          <w:szCs w:val="20"/>
          <w:color w:val="auto"/>
        </w:rPr>
      </w:pPr>
    </w:p>
    <w:p>
      <w:pPr>
        <w:ind w:left="760" w:hanging="752"/>
        <w:spacing w:after="0"/>
        <w:tabs>
          <w:tab w:leader="none" w:pos="76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REPORTING</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If Covered Persons believe someone is violating this Policy or otherwise using material nonpublic information that they learned through their position at the Company to trade securities, they should report it to the Compliance Officer, or if the Compliance Officer is implicated in a Covered Person’s report, then the Covered Person should report it in accordance with the Company’s Whistleblower Policy.</w:t>
      </w:r>
    </w:p>
    <w:p>
      <w:pPr>
        <w:spacing w:after="0" w:line="170" w:lineRule="exact"/>
        <w:rPr>
          <w:sz w:val="20"/>
          <w:szCs w:val="20"/>
          <w:color w:val="auto"/>
        </w:rPr>
      </w:pPr>
    </w:p>
    <w:p>
      <w:pPr>
        <w:ind w:left="760" w:hanging="752"/>
        <w:spacing w:after="0"/>
        <w:tabs>
          <w:tab w:leader="none" w:pos="76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Company reserves the right to amend this Policy at any time, for any reason, subject to applicable laws, rules and regulations, and with or without notice, although it will attempt to provide notice</w:t>
      </w:r>
    </w:p>
    <w:p>
      <w:pPr>
        <w:spacing w:after="0" w:line="34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spacing w:after="0" w:line="269" w:lineRule="auto"/>
        <w:rPr>
          <w:sz w:val="20"/>
          <w:szCs w:val="20"/>
          <w:color w:val="auto"/>
        </w:rPr>
      </w:pPr>
      <w:r>
        <w:rPr>
          <w:rFonts w:ascii="Times New Roman" w:cs="Times New Roman" w:eastAsia="Times New Roman" w:hAnsi="Times New Roman"/>
          <w:sz w:val="20"/>
          <w:szCs w:val="20"/>
          <w:color w:val="auto"/>
        </w:rPr>
        <w:t>in advance of any change. Unless otherwise permitted by this Policy, any amendments must be approved by the Board of Directors of the Company.</w:t>
      </w:r>
    </w:p>
    <w:p>
      <w:pPr>
        <w:spacing w:after="0" w:line="34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REQUIREMENTS FOR TRADING PLANS</w:t>
      </w:r>
    </w:p>
    <w:p>
      <w:pPr>
        <w:spacing w:after="0" w:line="220" w:lineRule="exact"/>
        <w:rPr>
          <w:sz w:val="20"/>
          <w:szCs w:val="20"/>
          <w:color w:val="auto"/>
        </w:rPr>
      </w:pPr>
    </w:p>
    <w:p>
      <w:pPr>
        <w:jc w:val="both"/>
        <w:ind w:firstLine="749"/>
        <w:spacing w:after="0" w:line="248" w:lineRule="exact"/>
        <w:rPr>
          <w:sz w:val="20"/>
          <w:szCs w:val="20"/>
          <w:color w:val="auto"/>
        </w:rPr>
      </w:pPr>
      <w:r>
        <w:rPr>
          <w:rFonts w:ascii="Times New Roman" w:cs="Times New Roman" w:eastAsia="Times New Roman" w:hAnsi="Times New Roman"/>
          <w:sz w:val="20"/>
          <w:szCs w:val="20"/>
          <w:color w:val="auto"/>
        </w:rPr>
        <w:t>For transactions under a trading plan to be exempt from (A) the prohibitions in the Company’s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of Tenaya Therapeutics,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respect to transactions made while aware of material nonpublic information and (B) the pre-clearance procedures and blackout periods established under the Policy, the trading plan must comply with the affirmative defense set forth in Exchange Act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and must meet the following requirements:</w:t>
      </w:r>
    </w:p>
    <w:p>
      <w:pPr>
        <w:spacing w:after="0" w:line="159" w:lineRule="exact"/>
        <w:rPr>
          <w:sz w:val="20"/>
          <w:szCs w:val="20"/>
          <w:color w:val="auto"/>
        </w:rPr>
      </w:pPr>
    </w:p>
    <w:p>
      <w:pPr>
        <w:ind w:left="1020" w:hanging="263"/>
        <w:spacing w:after="0"/>
        <w:tabs>
          <w:tab w:leader="none" w:pos="10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in writing and signed by the person adopting the trading plan.</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adopted at a time when:</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is not aware of any material nonpublic information; and</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quarterly, special or other trading blackout in effect with respect to the person adopting the plan.</w:t>
      </w:r>
    </w:p>
    <w:p>
      <w:pPr>
        <w:spacing w:after="0" w:line="183" w:lineRule="exact"/>
        <w:rPr>
          <w:rFonts w:ascii="Times New Roman" w:cs="Times New Roman" w:eastAsia="Times New Roman" w:hAnsi="Times New Roman"/>
          <w:sz w:val="20"/>
          <w:szCs w:val="20"/>
          <w:color w:val="auto"/>
        </w:rPr>
      </w:pPr>
    </w:p>
    <w:p>
      <w:pPr>
        <w:ind w:right="20" w:firstLine="757"/>
        <w:spacing w:after="0" w:line="267" w:lineRule="exact"/>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entered in good faith and not as part of a plan or scheme to evade the prohibitions of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and the person adopting the trading plan must act in good faith with respect to the trading plan.</w:t>
      </w:r>
    </w:p>
    <w:p>
      <w:pPr>
        <w:spacing w:after="0" w:line="18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include representations that, on the date of adoption of the trading plan, the person adopting the trading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w:t>
      </w:r>
    </w:p>
    <w:p>
      <w:pPr>
        <w:spacing w:after="0" w:line="193"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aware of material nonpublic information about the securities or the Company; and</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adopting the trading plan in good faith and not as part of a plan or scheme to evade the prohibitions of Rule 10b5-1.</w:t>
      </w:r>
    </w:p>
    <w:p>
      <w:pPr>
        <w:spacing w:after="0" w:line="227" w:lineRule="exact"/>
        <w:rPr>
          <w:rFonts w:ascii="Times New Roman" w:cs="Times New Roman" w:eastAsia="Times New Roman" w:hAnsi="Times New Roman"/>
          <w:sz w:val="19"/>
          <w:szCs w:val="19"/>
          <w:color w:val="auto"/>
        </w:rPr>
      </w:pPr>
    </w:p>
    <w:p>
      <w:pPr>
        <w:jc w:val="both"/>
        <w:ind w:firstLine="757"/>
        <w:spacing w:after="0" w:line="254"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trade under the trading plan may not occur until the expiration of a cooling-off period consisting of the later of (a) 90 calendar days after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w:t>
      </w:r>
    </w:p>
    <w:p>
      <w:pPr>
        <w:spacing w:after="0" w:line="17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have a minimum term of one year (starting from date of adoption of the trading plan).</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have an outstanding (and may not subsequently enter into any additional) trading plan except as permitted by Rule 10b5-1.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438785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Termination of the existing trading plan prior to its scheduled termination date may impact the timing of the first trade or the availability of the affirmative defense for the new trading plan; therefore, persons adopting a new trading plan are advised to exercise caution and consult with the Compliance Officer prior to the early termination of an existing trading plan.</w:t>
      </w:r>
    </w:p>
    <w:p>
      <w:pPr>
        <w:spacing w:after="0" w:line="174" w:lineRule="exact"/>
        <w:rPr>
          <w:sz w:val="20"/>
          <w:szCs w:val="20"/>
          <w:color w:val="auto"/>
        </w:rPr>
      </w:pPr>
    </w:p>
    <w:p>
      <w:pPr>
        <w:jc w:val="both"/>
        <w:ind w:firstLine="757"/>
        <w:spacing w:after="0" w:line="254" w:lineRule="auto"/>
        <w:tabs>
          <w:tab w:leader="none" w:pos="10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modification or change to the amount, price or timing of transactions under the trading plan is deemed the termination of the trading plan, and the adoption of a new trading plan (“</w:t>
      </w:r>
      <w:r>
        <w:rPr>
          <w:rFonts w:ascii="Times New Roman" w:cs="Times New Roman" w:eastAsia="Times New Roman" w:hAnsi="Times New Roman"/>
          <w:sz w:val="20"/>
          <w:szCs w:val="20"/>
          <w:b w:val="1"/>
          <w:bCs w:val="1"/>
          <w:color w:val="auto"/>
        </w:rPr>
        <w:t>Modification</w:t>
      </w:r>
      <w:r>
        <w:rPr>
          <w:rFonts w:ascii="Times New Roman" w:cs="Times New Roman" w:eastAsia="Times New Roman" w:hAnsi="Times New Roman"/>
          <w:sz w:val="20"/>
          <w:szCs w:val="20"/>
          <w:color w:val="auto"/>
        </w:rPr>
        <w:t>”). Therefore, a Modification is subject to the same conditions as a new trading plan as set forth in Sections 1 through 8 herein.</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one year preceding the adoption or a Modification of a trading plan, a person may not have otherwise adopted or done a Modification to a plan more than once.</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may adopt a trading plan designed to cover a single trade only once in any consecutive 12-month period except as permitted by Rule 10b5-1.</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that adopted the trading plan terminates the plan prior to its stated duration, he or she may not trade in the Company’s securities until after the expiration of 30 calendar days following termination, and then only in accordance with the Policy.</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be promptly notified of any Modification or termination of the trading plan, including any suspension of trading under the trading plan.</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have authority to require the suspension or cancellation of the trading plan at any time.</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trading plan grants discretion to a stockbroker or other person with respect to the execution of trades under the trading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w:t>
      </w:r>
    </w:p>
    <w:p>
      <w:pPr>
        <w:spacing w:after="0" w:line="193"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trades made under the trading plan must be executed by someone other than the stockbroker or other person that executes trades in other securities for the person adopting the trading plan;</w:t>
      </w:r>
    </w:p>
    <w:p>
      <w:pPr>
        <w:spacing w:after="0" w:line="159"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confer with the person administering the trading plan regarding the Company or its securities; and</w:t>
      </w:r>
    </w:p>
    <w:p>
      <w:pPr>
        <w:spacing w:after="0" w:line="159"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administering the trading plan must provide prompt notice to the Company of the execution of a transaction pursuant to the plan.</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under the trading plan must be in accordance with applicable law.</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(including any Modification) must meet such other requirements as the Compliance Officer may determine.</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may have only one active trading plan at a time.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438785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ind w:left="3598"/>
        <w:spacing w:after="0"/>
        <w:rPr>
          <w:sz w:val="20"/>
          <w:szCs w:val="20"/>
          <w:color w:val="auto"/>
        </w:rPr>
      </w:pPr>
      <w:r>
        <w:rPr>
          <w:rFonts w:ascii="Times New Roman" w:cs="Times New Roman" w:eastAsia="Times New Roman" w:hAnsi="Times New Roman"/>
          <w:sz w:val="16"/>
          <w:szCs w:val="16"/>
          <w:b w:val="1"/>
          <w:bCs w:val="1"/>
          <w:color w:val="auto"/>
        </w:rPr>
        <w:t>DATE OF ADOPTION AND AMENDMENTS</w:t>
      </w:r>
    </w:p>
    <w:p>
      <w:pPr>
        <w:spacing w:after="0" w:line="214" w:lineRule="exact"/>
        <w:rPr>
          <w:sz w:val="20"/>
          <w:szCs w:val="20"/>
          <w:color w:val="auto"/>
        </w:rPr>
      </w:pPr>
    </w:p>
    <w:p>
      <w:pPr>
        <w:ind w:left="378" w:hanging="378"/>
        <w:spacing w:after="0"/>
        <w:tabs>
          <w:tab w:leader="none" w:pos="378"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Initially adopted on June 17, 2021 and effective as of the Company’s initial public offering</w:t>
      </w:r>
    </w:p>
    <w:p>
      <w:pPr>
        <w:spacing w:after="0" w:line="227" w:lineRule="exact"/>
        <w:rPr>
          <w:rFonts w:ascii="Times New Roman" w:cs="Times New Roman" w:eastAsia="Times New Roman" w:hAnsi="Times New Roman"/>
          <w:sz w:val="19"/>
          <w:szCs w:val="19"/>
          <w:color w:val="auto"/>
        </w:rPr>
      </w:pPr>
    </w:p>
    <w:p>
      <w:pPr>
        <w:ind w:left="378" w:hanging="378"/>
        <w:spacing w:after="0"/>
        <w:tabs>
          <w:tab w:leader="none" w:pos="37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 on March 17, 2022</w:t>
      </w:r>
    </w:p>
    <w:p>
      <w:pPr>
        <w:spacing w:after="0" w:line="215"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 on 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978535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7"/>
          </w:cols>
          <w:pgMar w:left="702" w:top="1028" w:right="1440"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48"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9"/>
          <w:szCs w:val="19"/>
          <w:color w:val="auto"/>
        </w:rPr>
        <w:t>We consent to the incorporation by reference in Registration Statement No. 333-266741 on Form S-3 and No. 333-258337, No. 333-263802, No. 333-270364, No. 333-276783, No. 333-282161, and No. 333-284784 on Form S-8 of our report dated March 10, 2025, relating to the financial statements of Tenaya Therapeutics, Inc. appearing in this Annual Report on Form 10-K for the year ended December 31, 2024.</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 Francisco, California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1112520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6" w:name="page157"/>
    <w:bookmarkEnd w:id="156"/>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Faraz Ali, M.B.A., certify that:</w:t>
      </w:r>
    </w:p>
    <w:p>
      <w:pPr>
        <w:spacing w:after="0" w:line="117" w:lineRule="exact"/>
        <w:rPr>
          <w:sz w:val="20"/>
          <w:szCs w:val="20"/>
          <w:color w:val="auto"/>
        </w:rPr>
      </w:pPr>
    </w:p>
    <w:p>
      <w:pPr>
        <w:ind w:left="380" w:hanging="372"/>
        <w:spacing w:after="0"/>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Tenaya Therapeutics,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Times New Roman" w:cs="Times New Roman" w:eastAsia="Times New Roman" w:hAnsi="Times New Roman"/>
          <w:sz w:val="18"/>
          <w:szCs w:val="18"/>
          <w:color w:val="auto"/>
        </w:rPr>
      </w:pPr>
    </w:p>
    <w:p>
      <w:pPr>
        <w:jc w:val="both"/>
        <w:ind w:left="760" w:right="280" w:hanging="378"/>
        <w:spacing w:after="0" w:line="266" w:lineRule="auto"/>
        <w:tabs>
          <w:tab w:leader="none" w:pos="7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180" w:hanging="372"/>
        <w:spacing w:after="0" w:line="282" w:lineRule="auto"/>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Faraz Ali, M.B.A.</w:t>
            </w:r>
          </w:p>
        </w:tc>
      </w:tr>
      <w:tr>
        <w:trPr>
          <w:trHeight w:val="191"/>
        </w:trPr>
        <w:tc>
          <w:tcPr>
            <w:tcW w:w="6700" w:type="dxa"/>
            <w:vAlign w:val="bottom"/>
          </w:tcPr>
          <w:p>
            <w:pPr>
              <w:ind w:left="5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Faraz Ali, M.B.A.</w:t>
            </w:r>
          </w:p>
        </w:tc>
      </w:tr>
      <w:tr>
        <w:trPr>
          <w:trHeight w:val="214"/>
        </w:trPr>
        <w:tc>
          <w:tcPr>
            <w:tcW w:w="670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6700" w:type="dxa"/>
            <w:vAlign w:val="bottom"/>
          </w:tcPr>
          <w:p>
            <w:pPr>
              <w:spacing w:after="0"/>
              <w:rPr>
                <w:sz w:val="18"/>
                <w:szCs w:val="18"/>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 and Interim Principal Financial</w:t>
            </w:r>
          </w:p>
        </w:tc>
      </w:tr>
      <w:tr>
        <w:trPr>
          <w:trHeight w:val="236"/>
        </w:trPr>
        <w:tc>
          <w:tcPr>
            <w:tcW w:w="6700" w:type="dxa"/>
            <w:vAlign w:val="bottom"/>
          </w:tcPr>
          <w:p>
            <w:pPr>
              <w:spacing w:after="0"/>
              <w:rPr>
                <w:sz w:val="20"/>
                <w:szCs w:val="20"/>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Officer)</w:t>
            </w:r>
          </w:p>
        </w:tc>
      </w:tr>
      <w:tr>
        <w:trPr>
          <w:trHeight w:val="1235"/>
        </w:trPr>
        <w:tc>
          <w:tcPr>
            <w:tcW w:w="670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57" w:name="page158"/>
    <w:bookmarkEnd w:id="157"/>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AND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Faraz Ali, M.B.A., certify, pursuant to 18 U.S.C. Section 1350 as adopted pursuant to Section 906 of the Sarbanes-Oxley Act of 2002, that, (1) the Annual Report on Form 10-K of Tenaya Therapeutics, Inc. (the “Company”) for the year ended December 31, 2024,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34290</wp:posOffset>
            </wp:positionV>
            <wp:extent cx="27686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Faraz Ali, M.B.A.</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ind w:left="6900"/>
        <w:spacing w:after="0"/>
        <w:tabs>
          <w:tab w:leader="none" w:pos="7800" w:val="left"/>
          <w:tab w:leader="none" w:pos="8680" w:val="left"/>
          <w:tab w:leader="none" w:pos="9360" w:val="left"/>
          <w:tab w:leader="none" w:pos="9800" w:val="left"/>
          <w:tab w:leader="none" w:pos="10520" w:val="left"/>
        </w:tabs>
        <w:rPr>
          <w:sz w:val="20"/>
          <w:szCs w:val="20"/>
          <w:color w:val="auto"/>
        </w:rPr>
      </w:pPr>
      <w:r>
        <w:rPr>
          <w:rFonts w:ascii="Times New Roman" w:cs="Times New Roman" w:eastAsia="Times New Roman" w:hAnsi="Times New Roman"/>
          <w:sz w:val="18"/>
          <w:szCs w:val="18"/>
          <w:i w:val="1"/>
          <w:iCs w:val="1"/>
          <w:color w:val="auto"/>
        </w:rPr>
        <w:t>(Principal</w:t>
        <w:tab/>
        <w:t>Executive</w:t>
        <w:tab/>
        <w:t>Officer</w:t>
        <w:tab/>
        <w:t>and</w:t>
        <w:tab/>
        <w:t>Interim</w:t>
      </w:r>
      <w:r>
        <w:rPr>
          <w:sz w:val="20"/>
          <w:szCs w:val="20"/>
          <w:color w:val="auto"/>
        </w:rPr>
        <w:tab/>
      </w:r>
      <w:r>
        <w:rPr>
          <w:rFonts w:ascii="Times New Roman" w:cs="Times New Roman" w:eastAsia="Times New Roman" w:hAnsi="Times New Roman"/>
          <w:sz w:val="17"/>
          <w:szCs w:val="17"/>
          <w:i w:val="1"/>
          <w:iCs w:val="1"/>
          <w:color w:val="auto"/>
        </w:rPr>
        <w:t>Principal</w:t>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Financial Officer)</w:t>
      </w:r>
    </w:p>
    <w:p>
      <w:pPr>
        <w:spacing w:after="0" w:line="4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1282065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8" w:name="page159"/>
    <w:bookmarkEnd w:id="1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1)"/>
      <w:numFmt w:val="decimal"/>
      <w:start w:val="2"/>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1)"/>
      <w:numFmt w:val="lowerLetter"/>
      <w:start w:val="1"/>
    </w:lvl>
    <w:lvl w:ilvl="1">
      <w:lvlJc w:val="left"/>
      <w:lvlText w:val="(%2)"/>
      <w:numFmt w:val="decimal"/>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1)"/>
      <w:numFmt w:val="lowerRoman"/>
      <w:start w:val="2"/>
    </w:lvl>
  </w:abstractNum>
  <w:abstractNum w:abstractNumId="51">
    <w:nsid w:val="1DBABF00"/>
    <w:multiLevelType w:val="hybridMultilevel"/>
    <w:lvl w:ilvl="0">
      <w:lvlJc w:val="left"/>
      <w:lvlText w:val="(%1)"/>
      <w:numFmt w:val="lowerRoman"/>
      <w:start w:val="4"/>
    </w:lvl>
  </w:abstractNum>
  <w:abstractNum w:abstractNumId="52">
    <w:nsid w:val="4AD084E9"/>
    <w:multiLevelType w:val="hybridMultilevel"/>
    <w:lvl w:ilvl="0">
      <w:lvlJc w:val="left"/>
      <w:lvlText w:val="%1."/>
      <w:numFmt w:val="upperLetter"/>
      <w:start w:val="1"/>
    </w:lvl>
  </w:abstractNum>
  <w:abstractNum w:abstractNumId="53">
    <w:nsid w:val="1F48EAA1"/>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54">
    <w:nsid w:val="1381823A"/>
    <w:multiLevelType w:val="hybridMultilevel"/>
    <w:lvl w:ilvl="0">
      <w:lvlJc w:val="left"/>
      <w:lvlText w:val="%1."/>
      <w:numFmt w:val="decimal"/>
      <w:start w:val="2"/>
    </w:lvl>
  </w:abstractNum>
  <w:abstractNum w:abstractNumId="55">
    <w:nsid w:val="5DB70AE5"/>
    <w:multiLevelType w:val="hybridMultilevel"/>
    <w:lvl w:ilvl="0">
      <w:lvlJc w:val="left"/>
      <w:lvlText w:val="%1."/>
      <w:numFmt w:val="decimal"/>
      <w:start w:val="3"/>
    </w:lvl>
  </w:abstractNum>
  <w:abstractNum w:abstractNumId="56">
    <w:nsid w:val="100F8FCA"/>
    <w:multiLevelType w:val="hybridMultilevel"/>
    <w:lvl w:ilvl="0">
      <w:lvlJc w:val="left"/>
      <w:lvlText w:val="%1."/>
      <w:numFmt w:val="lowerLetter"/>
      <w:start w:val="5"/>
    </w:lvl>
  </w:abstractNum>
  <w:abstractNum w:abstractNumId="57">
    <w:nsid w:val="6590700B"/>
    <w:multiLevelType w:val="hybridMultilevel"/>
    <w:lvl w:ilvl="0">
      <w:lvlJc w:val="left"/>
      <w:lvlText w:val="%1."/>
      <w:numFmt w:val="lowerLetter"/>
      <w:start w:val="15"/>
    </w:lvl>
  </w:abstractNum>
  <w:abstractNum w:abstractNumId="58">
    <w:nsid w:val="15014ACB"/>
    <w:multiLevelType w:val="hybridMultilevel"/>
    <w:lvl w:ilvl="0">
      <w:lvlJc w:val="left"/>
      <w:lvlText w:val="%1."/>
      <w:numFmt w:val="upperLetter"/>
      <w:start w:val="3"/>
    </w:lvl>
  </w:abstractNum>
  <w:abstractNum w:abstractNumId="59">
    <w:nsid w:val="5F5E7FD0"/>
    <w:multiLevelType w:val="hybridMultilevel"/>
    <w:lvl w:ilvl="0">
      <w:lvlJc w:val="left"/>
      <w:lvlText w:val="%1."/>
      <w:numFmt w:val="upperLetter"/>
      <w:start w:val="4"/>
    </w:lvl>
  </w:abstractNum>
  <w:abstractNum w:abstractNumId="60">
    <w:nsid w:val="98A3148"/>
    <w:multiLevelType w:val="hybridMultilevel"/>
    <w:lvl w:ilvl="0">
      <w:lvlJc w:val="left"/>
      <w:lvlText w:val="%1."/>
      <w:numFmt w:val="decimal"/>
      <w:start w:val="4"/>
    </w:lvl>
  </w:abstractNum>
  <w:abstractNum w:abstractNumId="61">
    <w:nsid w:val="799D0247"/>
    <w:multiLevelType w:val="hybridMultilevel"/>
    <w:lvl w:ilvl="0">
      <w:lvlJc w:val="left"/>
      <w:lvlText w:val="%1."/>
      <w:numFmt w:val="upperLetter"/>
      <w:start w:val="5"/>
    </w:lvl>
    <w:lvl w:ilvl="1">
      <w:lvlJc w:val="left"/>
      <w:lvlText w:val="%2."/>
      <w:numFmt w:val="decimal"/>
      <w:start w:val="8"/>
    </w:lvl>
  </w:abstractNum>
  <w:abstractNum w:abstractNumId="62">
    <w:nsid w:val="6B94764"/>
    <w:multiLevelType w:val="hybridMultilevel"/>
    <w:lvl w:ilvl="0">
      <w:lvlJc w:val="left"/>
      <w:lvlText w:val="%1."/>
      <w:numFmt w:val="decimal"/>
      <w:start w:val="9"/>
    </w:lvl>
  </w:abstractNum>
  <w:abstractNum w:abstractNumId="63">
    <w:nsid w:val="42C296BD"/>
    <w:multiLevelType w:val="hybridMultilevel"/>
    <w:lvl w:ilvl="0">
      <w:lvlJc w:val="left"/>
      <w:lvlText w:val="%1"/>
      <w:numFmt w:val="upperLetter"/>
      <w:start w:val="1"/>
    </w:lvl>
    <w:lvl w:ilvl="1">
      <w:lvlJc w:val="left"/>
      <w:lvlText w:val="%2."/>
      <w:numFmt w:val="decimal"/>
      <w:start w:val="10"/>
    </w:lvl>
  </w:abstractNum>
  <w:abstractNum w:abstractNumId="64">
    <w:nsid w:val="168E121F"/>
    <w:multiLevelType w:val="hybridMultilevel"/>
    <w:lvl w:ilvl="0">
      <w:lvlJc w:val="left"/>
      <w:lvlText w:val="%1."/>
      <w:numFmt w:val="upperLetter"/>
      <w:start w:val="6"/>
    </w:lvl>
    <w:lvl w:ilvl="1">
      <w:lvlJc w:val="left"/>
      <w:lvlText w:val="%2"/>
      <w:numFmt w:val="decimal"/>
      <w:start w:val="1"/>
    </w:lvl>
  </w:abstractNum>
  <w:abstractNum w:abstractNumId="65">
    <w:nsid w:val="1EBA5D23"/>
    <w:multiLevelType w:val="hybridMultilevel"/>
    <w:lvl w:ilvl="0">
      <w:lvlJc w:val="left"/>
      <w:lvlText w:val="%1"/>
      <w:numFmt w:val="upperLetter"/>
      <w:start w:val="1"/>
    </w:lvl>
    <w:lvl w:ilvl="1">
      <w:lvlJc w:val="left"/>
      <w:lvlText w:val="%2."/>
      <w:numFmt w:val="decimal"/>
      <w:start w:val="11"/>
    </w:lvl>
  </w:abstractNum>
  <w:abstractNum w:abstractNumId="66">
    <w:nsid w:val="661E3F1E"/>
    <w:multiLevelType w:val="hybridMultilevel"/>
    <w:lvl w:ilvl="0">
      <w:lvlJc w:val="left"/>
      <w:lvlText w:val="%1."/>
      <w:numFmt w:val="upperLetter"/>
      <w:start w:val="7"/>
    </w:lvl>
    <w:lvl w:ilvl="1">
      <w:lvlJc w:val="left"/>
      <w:lvlText w:val="%2"/>
      <w:numFmt w:val="decimal"/>
      <w:start w:val="1"/>
    </w:lvl>
  </w:abstractNum>
  <w:abstractNum w:abstractNumId="67">
    <w:nsid w:val="5DC79EA8"/>
    <w:multiLevelType w:val="hybridMultilevel"/>
    <w:lvl w:ilvl="0">
      <w:lvlJc w:val="left"/>
      <w:lvlText w:val="%1."/>
      <w:numFmt w:val="upperLetter"/>
      <w:start w:val="8"/>
    </w:lvl>
  </w:abstractNum>
  <w:abstractNum w:abstractNumId="68">
    <w:nsid w:val="540A471C"/>
    <w:multiLevelType w:val="hybridMultilevel"/>
    <w:lvl w:ilvl="0">
      <w:lvlJc w:val="left"/>
      <w:lvlText w:val="%1."/>
      <w:numFmt w:val="decimal"/>
      <w:start w:val="15"/>
    </w:lvl>
  </w:abstractNum>
  <w:abstractNum w:abstractNumId="69">
    <w:nsid w:val="7BD3EE7B"/>
    <w:multiLevelType w:val="hybridMultilevel"/>
    <w:lvl w:ilvl="0">
      <w:lvlJc w:val="left"/>
      <w:lvlText w:val="%1."/>
      <w:numFmt w:val="decimal"/>
      <w:start w:val="21"/>
    </w:lvl>
  </w:abstractNum>
  <w:abstractNum w:abstractNumId="70">
    <w:nsid w:val="51D9C564"/>
    <w:multiLevelType w:val="hybridMultilevel"/>
    <w:lvl w:ilvl="0">
      <w:lvlJc w:val="left"/>
      <w:lvlText w:val="%1."/>
      <w:numFmt w:val="upperLetter"/>
      <w:start w:val="9"/>
    </w:lvl>
  </w:abstractNum>
  <w:abstractNum w:abstractNumId="71">
    <w:nsid w:val="613EFDC5"/>
    <w:multiLevelType w:val="hybridMultilevel"/>
    <w:lvl w:ilvl="0">
      <w:lvlJc w:val="left"/>
      <w:lvlText w:val="%1."/>
      <w:numFmt w:val="upperLetter"/>
      <w:start w:val="10"/>
    </w:lvl>
  </w:abstractNum>
  <w:abstractNum w:abstractNumId="72">
    <w:nsid w:val="BF72B14"/>
    <w:multiLevelType w:val="hybridMultilevel"/>
    <w:lvl w:ilvl="0">
      <w:lvlJc w:val="left"/>
      <w:lvlText w:val="%1."/>
      <w:numFmt w:val="upperLetter"/>
      <w:start w:val="11"/>
    </w:lvl>
  </w:abstractNum>
  <w:abstractNum w:abstractNumId="73">
    <w:nsid w:val="11447B73"/>
    <w:multiLevelType w:val="hybridMultilevel"/>
    <w:lvl w:ilvl="0">
      <w:lvlJc w:val="left"/>
      <w:lvlText w:val="%1."/>
      <w:numFmt w:val="upperLetter"/>
      <w:start w:val="12"/>
    </w:lvl>
  </w:abstractNum>
  <w:abstractNum w:abstractNumId="74">
    <w:nsid w:val="42963E5A"/>
    <w:multiLevelType w:val="hybridMultilevel"/>
    <w:lvl w:ilvl="0">
      <w:lvlJc w:val="left"/>
      <w:lvlText w:val="%1."/>
      <w:numFmt w:val="upperLetter"/>
      <w:start w:val="13"/>
    </w:lvl>
  </w:abstractNum>
  <w:abstractNum w:abstractNumId="75">
    <w:nsid w:val="A0382C5"/>
    <w:multiLevelType w:val="hybridMultilevel"/>
    <w:lvl w:ilvl="0">
      <w:lvlJc w:val="left"/>
      <w:lvlText w:val="%1."/>
      <w:numFmt w:val="upperLetter"/>
      <w:start w:val="14"/>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9"/>
    </w:lvl>
    <w:lvl w:ilvl="1">
      <w:lvlJc w:val="left"/>
      <w:lvlText w:val="%2."/>
      <w:numFmt w:val="lowerLetter"/>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307" Type="http://schemas.openxmlformats.org/officeDocument/2006/relationships/image" Target="media/image276.png"/><Relationship Id="rId308"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283" Type="http://schemas.openxmlformats.org/officeDocument/2006/relationships/hyperlink" Target="https://www.sec.gov/Archives/edgar/data/1858848/000095017023040651/tnya-ex3_1.htm" TargetMode="External"/><Relationship Id="rId284" Type="http://schemas.openxmlformats.org/officeDocument/2006/relationships/hyperlink" Target="https://www.sec.gov/Archives/edgar/data/1858848/000095017023008934/tnya-ex3_1.htm" TargetMode="External"/><Relationship Id="rId285" Type="http://schemas.openxmlformats.org/officeDocument/2006/relationships/hyperlink" Target="https://www.sec.gov/Archives/edgar/data/1858848/000119312521223559/d175698dex42.htm" TargetMode="External"/><Relationship Id="rId286" Type="http://schemas.openxmlformats.org/officeDocument/2006/relationships/hyperlink" Target="https://www.sec.gov/Archives/edgar/data/1858848/000119312521212010/d175698dex41.htm" TargetMode="External"/><Relationship Id="rId287" Type="http://schemas.openxmlformats.org/officeDocument/2006/relationships/hyperlink" Target="https://www.sec.gov/Archives/edgar/data/1858848/000095017024122359/tnya-ex4_1.htm" TargetMode="External"/><Relationship Id="rId288" Type="http://schemas.openxmlformats.org/officeDocument/2006/relationships/hyperlink" Target="https://www.sec.gov/Archives/edgar/data/1858848/000119312525045628/d878268dex41.htm" TargetMode="External"/><Relationship Id="rId289" Type="http://schemas.openxmlformats.org/officeDocument/2006/relationships/hyperlink" Target="https://www.sec.gov/Archives/edgar/data/1858848/000119312525045628/d878268dex42.htm" TargetMode="External"/><Relationship Id="rId290" Type="http://schemas.openxmlformats.org/officeDocument/2006/relationships/hyperlink" Target="https://www.sec.gov/Archives/edgar/data/1858848/000119312521212010/d175698dex101.htm" TargetMode="External"/><Relationship Id="rId291" Type="http://schemas.openxmlformats.org/officeDocument/2006/relationships/hyperlink" Target="https://www.sec.gov/Archives/edgar/data/1858848/000119312521212010/d175698dex102.htm" TargetMode="External"/><Relationship Id="rId292" Type="http://schemas.openxmlformats.org/officeDocument/2006/relationships/hyperlink" Target="https://www.sec.gov/Archives/edgar/data/1858848/000095017022004426/tnya-ex10_2.htm" TargetMode="External"/><Relationship Id="rId293" Type="http://schemas.openxmlformats.org/officeDocument/2006/relationships/hyperlink" Target="https://www.sec.gov/Archives/edgar/data/1858848/000119312521223559/d175698dex104.htm" TargetMode="External"/><Relationship Id="rId294" Type="http://schemas.openxmlformats.org/officeDocument/2006/relationships/hyperlink" Target="https://www.sec.gov/Archives/edgar/data/1858848/000095017024106817/tnya-ex10_1.htm" TargetMode="External"/><Relationship Id="rId295" Type="http://schemas.openxmlformats.org/officeDocument/2006/relationships/hyperlink" Target="https://www.sec.gov/Archives/edgar/data/1858848/000119312521212010/d175698dex105.htm" TargetMode="External"/><Relationship Id="rId296" Type="http://schemas.openxmlformats.org/officeDocument/2006/relationships/hyperlink" Target="https://www.sec.gov/Archives/edgar/data/1858848/000119312521212010/d175698dex106.htm" TargetMode="External"/><Relationship Id="rId297" Type="http://schemas.openxmlformats.org/officeDocument/2006/relationships/hyperlink" Target="https://www.sec.gov/Archives/edgar/data/1858848/000119312521212010/d175698dex107.htm" TargetMode="External"/><Relationship Id="rId298" Type="http://schemas.openxmlformats.org/officeDocument/2006/relationships/hyperlink" Target="https://www.sec.gov/Archives/edgar/data/1858848/000119312521212010/d175698dex108.htm" TargetMode="External"/><Relationship Id="rId299" Type="http://schemas.openxmlformats.org/officeDocument/2006/relationships/hyperlink" Target="https://www.sec.gov/Archives/edgar/data/1858848/000095017023027497/tnya-ex10_1.htm" TargetMode="External"/><Relationship Id="rId300" Type="http://schemas.openxmlformats.org/officeDocument/2006/relationships/hyperlink" Target="https://www.sec.gov/Archives/edgar/data/1858848/000119312521212010/d175698dex1013.htm" TargetMode="External"/><Relationship Id="rId301" Type="http://schemas.openxmlformats.org/officeDocument/2006/relationships/hyperlink" Target="https://www.sec.gov/Archives/edgar/data/1858848/000095017024032828/tnya-ex10_10.htm" TargetMode="External"/><Relationship Id="rId302" Type="http://schemas.openxmlformats.org/officeDocument/2006/relationships/hyperlink" Target="https://www.sec.gov/Archives/edgar/data/1858848/000119312521212010/d175698dex1010.htm" TargetMode="External"/><Relationship Id="rId303" Type="http://schemas.openxmlformats.org/officeDocument/2006/relationships/hyperlink" Target="https://www.sec.gov/Archives/edgar/data/1858848/000095017024094059/tnya-ex10_1.htm" TargetMode="External"/><Relationship Id="rId304" Type="http://schemas.openxmlformats.org/officeDocument/2006/relationships/hyperlink" Target="https://www.sec.gov/Archives/edgar/data/1858848/000119312521212010/d175698dex1011.htm" TargetMode="External"/><Relationship Id="rId305" Type="http://schemas.openxmlformats.org/officeDocument/2006/relationships/hyperlink" Target="https://www.sec.gov/Archives/edgar/data/1858848/000095017024122359/tnya-ex10_1.htm" TargetMode="External"/><Relationship Id="rId306" Type="http://schemas.openxmlformats.org/officeDocument/2006/relationships/hyperlink" Target="https://www.sec.gov/Archives/edgar/data/1858848/000119312522217445/d298774dex12.htm" TargetMode="External"/><Relationship Id="rId309" Type="http://schemas.openxmlformats.org/officeDocument/2006/relationships/hyperlink" Target="https://www.sec.gov/Archives/edgar/data/1858848/000095017024032828/tnya-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2025-03-10T15:39:37Z</dcterms:created>
  <dcterms:modified xsi:type="dcterms:W3CDTF">2025-03-10T15:39:37Z</dcterms:modified>
</cp:coreProperties>
</file>