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40808.htm"/>
      <w:bookmarkStart w:id="1" w:name="kstnya202408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08,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2024, Tenaya Therapeutics, Inc. (“Tenaya or the “Company”) issued a press release announcing Tenaya’s financial results for the quarter ended June 30, 2024 (“the Earnings Press Release”). The full text of the Earnings Press Release is attached hereto as Exhibit 99.1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Securities Exchange Act of 1934, as amended, except as shall be expressly set forth by specific reference in such a filing.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Appointment of Interim Principal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August 14, 2024, upon Ms. Leone Patterson ceasing to be the Chief Financial and Business Officer, Principal Financial Officer (PFO) and Principal Accounting Officer (PAO) for Tenaya, Faraz Ali, Chief Executive Officer of Tenaya, will become Interim PFO in addition to his role as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Mr. Ali’s biographical information, see the disclosure included under the heading “Management and Corporate Governance - Director Biographies” included in Tenaya’s definitive proxy statement for the 2024 annual meeting of stockholders filed with the Securities and Exchange Commission (“SEC”) on April 14, 2024, which disclosure is incorporated by reference herein.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are no arrangements or understandings between Mr. Ali and any other persons in connection with Mr. Ali’s appointment as Interim PFO. Mr. Ali has no family relationships with any of Tenaya’s directors or executive officers, and he has no direct or indirect material interest in any transaction or proposed transaction required to be disclosed pursuant to Item 404(a) of Regulation S-K, </w:t>
      </w:r>
      <w:r>
        <w:rPr>
          <w:rFonts w:ascii="Times New Roman" w:hAnsi="Times New Roman"/>
          <w:color w:val="212529"/>
          <w:sz w:val="20"/>
        </w:rPr>
        <w:t xml:space="preserve">promulgated under the </w:t>
      </w:r>
      <w:r>
        <w:rPr>
          <w:rFonts w:ascii="Times New Roman" w:hAnsi="Times New Roman"/>
          <w:color w:val="000000"/>
          <w:sz w:val="20"/>
        </w:rPr>
        <w:t xml:space="preserve">Exchange Act. Mr. Ali is continuing under the terms of his existing compensation arrangement with the Company. </w:t>
      </w:r>
    </w:p>
    <w:p>
      <w:pPr>
        <w:pStyle w:val="TextBody"/>
        <w:bidi w:val="0"/>
        <w:spacing w:before="240" w:after="283"/>
        <w:jc w:val="left"/>
        <w:rPr>
          <w:rFonts w:ascii="Times New Roman" w:hAnsi="Times New Roman"/>
          <w:sz w:val="20"/>
        </w:rPr>
      </w:pPr>
      <w:r>
        <w:rPr>
          <w:rFonts w:ascii="Times New Roman" w:hAnsi="Times New Roman"/>
          <w:i/>
          <w:color w:val="000000"/>
          <w:sz w:val="20"/>
        </w:rPr>
        <w:t>Appointment of Interim Principal Accounting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August 14, 2024, upon Ms. Patterson ceasing to be PAO, Ms. Chihiro Saito, Tenaya’s Senior Vice President, Accounting and Financial Operations, will assume the role of Interim PAO for the Company in addition to her role as Senior Vice President, Accounting and Financial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Saito, age 58, has served as Tenaya’s Senior Vice President, Accounting and Financial Operations since August 2024 and previously as Vice President, Corporate Controller, from September 2021 until July 2024. Prior to joining Tenaya, Ms. Saito was Head of Financial Reporting at Gilead Sciences, Inc., a publicly traded biopharmaceutical company, from June 2020 to September 2021. From 2002 to June 2020, she held various roles of increasing responsibility in the finance department at McKesson Corporation, culminating in Vice President, Accounting and Financial Reporting. Prior to McKesson, she served as Assistant Controller at Viador, Inc. and as an Assurance Manager at Aurthur Anderson LLP. Ms. Saito is a Certified Public Accountant and holds a B.A. in Political, Legal and Economic Analysis from Mills College and an M.S. in Business Administration, Accounting from San Francisco State University.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are no arrangements or understandings between Ms. Saito and any other persons in connection with Ms. Saito’s appointment as Interim PAO. Ms. Saito has no family relationships with any of Tenaya’s directors or executive officers, and she has no direct or indirect material interest in any transaction or proposed transaction required to be disclosed pursuant to Item 404(a) of Regulation S-K </w:t>
      </w:r>
      <w:r>
        <w:rPr>
          <w:rFonts w:ascii="Times New Roman" w:hAnsi="Times New Roman"/>
          <w:color w:val="212529"/>
          <w:sz w:val="20"/>
        </w:rPr>
        <w:t>promulgated under the Exchange Act</w:t>
      </w:r>
      <w:r>
        <w:rPr>
          <w:rFonts w:ascii="Times New Roman" w:hAnsi="Times New Roman"/>
          <w:color w:val="000000"/>
          <w:sz w:val="20"/>
        </w:rPr>
        <w:t>. Ms. Saito is continuing under the terms of her existing compensation arrangement with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Ms. Saito’s appointment, the Company plans to enter into its standard form of director and officer indemnification agreement with Ms. Saito. The foregoing description of the indemnification agreement is qualified in its entirety by reference to the full text of such agreement, the form of which was filed as Exhibit 10.1 to the Company’s registration statement on Form S-1/A, filed with the SEC on June 26, 2021, and incorporated in this Item 5.02 by reference.</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nya-ex99_1.htm">
              <w:r>
                <w:rPr>
                  <w:rStyle w:val="InternetLink"/>
                  <w:rFonts w:ascii="Times New Roman" w:hAnsi="Times New Roman"/>
                  <w:color w:val="0000FF"/>
                  <w:sz w:val="20"/>
                  <w:u w:val="single"/>
                </w:rPr>
                <w:t>Press Release of Tenaya Therapeutics, Inc., dated August 8, 2024</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79" w:type="dxa"/>
        <w:jc w:val="left"/>
        <w:tblInd w:w="0" w:type="dxa"/>
        <w:tblLayout w:type="fixed"/>
        <w:tblCellMar>
          <w:top w:w="28" w:type="dxa"/>
          <w:left w:w="28" w:type="dxa"/>
          <w:bottom w:w="28" w:type="dxa"/>
          <w:right w:w="28" w:type="dxa"/>
        </w:tblCellMar>
      </w:tblPr>
      <w:tblGrid>
        <w:gridCol w:w="556"/>
        <w:gridCol w:w="1351"/>
        <w:gridCol w:w="451"/>
        <w:gridCol w:w="312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TENAYA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8,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Leone D. Patterson, M.B.A.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Financial and Business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tnya-ex99_1.htm"/>
      <w:bookmarkStart w:id="3" w:name="kstnyaex99_1"/>
      <w:bookmarkEnd w:id="2"/>
      <w:bookmarkEnd w:id="3"/>
      <w:r>
        <w:rPr>
          <w:rFonts w:ascii="Times New Roman" w:hAnsi="Times New Roman"/>
          <w:b/>
          <w:color w:val="000000"/>
          <w:sz w:val="20"/>
        </w:rPr>
        <w:t>Exhibit 99.1</w:t>
      </w:r>
      <w:r>
        <w:rPr>
          <w:rFonts w:ascii="Times New Roman" w:hAnsi="Times New Roman"/>
          <w:color w:val="000000"/>
          <w:sz w:val="20"/>
        </w:rPr>
        <w:t xml:space="preserve"> </w:t>
      </w:r>
      <w:r>
        <w:br w:type="page"/>
      </w:r>
    </w:p>
    <w:p>
      <w:pPr>
        <w:pStyle w:val="TextBody"/>
        <w:bidi w:val="0"/>
        <w:jc w:val="center"/>
        <w:rPr/>
      </w:pPr>
      <w:r>
        <w:rPr/>
        <w:drawing>
          <wp:inline distT="0" distB="0" distL="0" distR="0">
            <wp:extent cx="2619375"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7160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Tenaya Therapeutics Reports Second Quarter 2024 Financial Results and Provides Business Update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2"/>
        </w:rPr>
        <w:t xml:space="preserve">Received Rare Pediatric Disease Designation from U.S. Food and Drug Administration for </w:t>
        <w:br/>
        <w:t>TN-201 for MYBPC3-associated Hypertrophic Cardiomyopathy</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Received UK Clearance to Initiate Clinical Testing of TN-401 for PKP2-Associated Arrhythmogenic Right Ventricular Cardiomyopathy</w:t>
      </w:r>
    </w:p>
    <w:p>
      <w:pPr>
        <w:pStyle w:val="TextBody"/>
        <w:bidi w:val="0"/>
        <w:jc w:val="center"/>
        <w:rPr>
          <w:rFonts w:ascii="Times New Roman" w:hAnsi="Times New Roman"/>
          <w:i/>
          <w:color w:val="000000"/>
          <w:sz w:val="22"/>
        </w:rPr>
      </w:pPr>
      <w:r>
        <w:rPr>
          <w:rFonts w:ascii="Times New Roman" w:hAnsi="Times New Roman"/>
          <w:i/>
          <w:color w:val="000000"/>
          <w:sz w:val="22"/>
        </w:rPr>
        <w:t>Established $45 Million Credit Facility with Silicon Valley Bank to Provide Financial Flexibility Ahead of Multiple Potential Milestones</w:t>
      </w:r>
    </w:p>
    <w:p>
      <w:pPr>
        <w:pStyle w:val="TextBody"/>
        <w:bidi w:val="0"/>
        <w:jc w:val="left"/>
        <w:rPr>
          <w:rFonts w:ascii="Times New Roman" w:hAnsi="Times New Roman"/>
          <w:sz w:val="20"/>
        </w:rPr>
      </w:pPr>
      <w:r>
        <w:rPr>
          <w:rFonts w:ascii="Times New Roman" w:hAnsi="Times New Roman"/>
          <w:b/>
          <w:color w:val="000000"/>
          <w:sz w:val="20"/>
        </w:rPr>
        <w:t>SOUTH SAN FRANCISCO, Calif., August 8, 2024</w:t>
      </w:r>
      <w:r>
        <w:rPr>
          <w:rFonts w:ascii="Times New Roman" w:hAnsi="Times New Roman"/>
          <w:color w:val="000000"/>
          <w:sz w:val="20"/>
        </w:rPr>
        <w:t xml:space="preserve"> -- Tenaya Therapeutics, Inc. (NASDAQ: TNYA), a clinical-stage biotechnology company with a mission to discover, develop and deliver potentially curative therapies that address the underlying causes of heart disease, today reported financial results for the second quarter ended June 30, 2024, and provided a corporate update.</w:t>
      </w:r>
    </w:p>
    <w:p>
      <w:pPr>
        <w:pStyle w:val="TextBody"/>
        <w:bidi w:val="0"/>
        <w:jc w:val="left"/>
        <w:rPr/>
      </w:pPr>
      <w:r>
        <w:rPr>
          <w:color w:val="000000"/>
        </w:rPr>
        <w:t>“</w:t>
      </w:r>
      <w:r>
        <w:rPr>
          <w:rFonts w:ascii="Times New Roman" w:hAnsi="Times New Roman"/>
          <w:color w:val="000000"/>
          <w:sz w:val="20"/>
        </w:rPr>
        <w:t xml:space="preserve">We remain laser focused on advancing our lead gene therapy candidates, as we prepare to report initial data from our first-in-human study of TN-201 in the second half and to dose the first patient in our Phase 1b trial of TN-401 in the fourth quarter of 2024. Our focus on clinical execution now and in the future is evident with more than forty sites in seven countries across our interventional and natural history studies for both programs, and with the recent receipt of rare pediatric disease designation for </w:t>
      </w:r>
      <w:r>
        <w:rPr>
          <w:rFonts w:ascii="Times New Roman" w:hAnsi="Times New Roman"/>
          <w:i/>
          <w:color w:val="000000"/>
          <w:sz w:val="20"/>
        </w:rPr>
        <w:t>MYBPC3</w:t>
      </w:r>
      <w:r>
        <w:rPr>
          <w:rFonts w:ascii="Times New Roman" w:hAnsi="Times New Roman"/>
          <w:color w:val="000000"/>
          <w:sz w:val="20"/>
        </w:rPr>
        <w:t>-associated HCM in infants, children and adolescents,” said Faraz Ali, Chief Executive Officer of Tenaya. “Consistent with that focus, we have taken important steps to increase our financial flexibility in anticipation of additional clinical data readouts in 2025.”</w:t>
      </w:r>
    </w:p>
    <w:p>
      <w:pPr>
        <w:pStyle w:val="TextBody"/>
        <w:bidi w:val="0"/>
        <w:jc w:val="left"/>
        <w:rPr>
          <w:rFonts w:ascii="Times New Roman" w:hAnsi="Times New Roman"/>
          <w:sz w:val="20"/>
        </w:rPr>
      </w:pPr>
      <w:r>
        <w:rPr>
          <w:rFonts w:ascii="Times New Roman" w:hAnsi="Times New Roman"/>
          <w:b/>
          <w:color w:val="000000"/>
          <w:sz w:val="20"/>
        </w:rPr>
        <w:t>Business and Program Updates</w:t>
      </w:r>
      <w:r>
        <w:rPr>
          <w:rFonts w:ascii="Times New Roman" w:hAnsi="Times New Roman"/>
          <w:color w:val="000000"/>
          <w:sz w:val="20"/>
        </w:rPr>
        <w:br/>
      </w:r>
      <w:r>
        <w:rPr>
          <w:rFonts w:ascii="Times New Roman" w:hAnsi="Times New Roman"/>
          <w:i/>
          <w:color w:val="000000"/>
          <w:sz w:val="20"/>
        </w:rPr>
        <w:t>TN-201 – Gene Therapy for MYBPC3-Associated Hypertrophic Cardiomyopathy (HCM)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Screening and enrollment continue in MyPEAK</w:t>
      </w:r>
      <w:r>
        <w:rPr>
          <w:color w:val="000000"/>
        </w:rPr>
        <w:t xml:space="preserve"> </w:t>
      </w:r>
      <w:r>
        <w:rPr>
          <w:rFonts w:ascii="Times New Roman" w:hAnsi="Times New Roman"/>
          <w:color w:val="000000"/>
          <w:sz w:val="13"/>
        </w:rPr>
        <w:t>TM</w:t>
      </w:r>
      <w:r>
        <w:rPr>
          <w:color w:val="000000"/>
        </w:rPr>
        <w:t xml:space="preserve"> </w:t>
      </w:r>
      <w:r>
        <w:rPr>
          <w:rFonts w:ascii="Times New Roman" w:hAnsi="Times New Roman"/>
          <w:color w:val="000000"/>
          <w:sz w:val="20"/>
        </w:rPr>
        <w:t>-1, a Phase 1b multi-center, open-label, dose-escalation trial designed to assess safety, tolerability and clinical efficacy of a one-time intravenous infusion of TN-201 with a total of nine clinical sites activated. Tenaya anticipates sharing interim Phase 1b results from the first cohort of patients in MyPEAK-1 in the second half of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TN-201 was granted rare pediatric disease designation (RPDD) by the U.S. Food and Drug Administration (FDA) for the treatment of </w:t>
      </w:r>
      <w:r>
        <w:rPr>
          <w:rFonts w:ascii="Times New Roman" w:hAnsi="Times New Roman"/>
          <w:i/>
          <w:color w:val="000000"/>
          <w:sz w:val="20"/>
        </w:rPr>
        <w:t>MYBPC3</w:t>
      </w:r>
      <w:r>
        <w:rPr>
          <w:rFonts w:ascii="Times New Roman" w:hAnsi="Times New Roman"/>
          <w:color w:val="000000"/>
          <w:sz w:val="20"/>
        </w:rPr>
        <w:t xml:space="preserve">-associated HCM in children, adolescents and young adults. The FDA defines rare pediatric diseases as rare diseases (those with fewer than 200,000 cases in the United States) that are serious or life threatening and primarily affect individuals under 18 years of age. This is the first RPDD to be granted for </w:t>
      </w:r>
      <w:r>
        <w:rPr>
          <w:rFonts w:ascii="Times New Roman" w:hAnsi="Times New Roman"/>
          <w:i/>
          <w:color w:val="000000"/>
          <w:sz w:val="20"/>
        </w:rPr>
        <w:t>MYBPC3</w:t>
      </w:r>
      <w:r>
        <w:rPr>
          <w:rFonts w:ascii="Times New Roman" w:hAnsi="Times New Roman"/>
          <w:color w:val="000000"/>
          <w:sz w:val="20"/>
        </w:rPr>
        <w:t xml:space="preserve">-associated HCM.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being granted RPDD, if TN-201 is approved to treat MYBPC3-associated HCM in patients under age 18, Tenaya may qualify to receive a priority review voucher that may be redeemed to receive priority review for a different product, or which may be transferred or sold to another sponsor.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2021, Tenaya initiated a non-interventional natural history study, know as MyClimb, designed to understand MYBPC3-associated HCM in infants, children and teens which is ongoing at more than twenty sites in the U.S., Canada, and Europe. </w:t>
      </w:r>
    </w:p>
    <w:p>
      <w:pPr>
        <w:pStyle w:val="TextBody"/>
        <w:bidi w:val="0"/>
        <w:jc w:val="left"/>
        <w:rPr>
          <w:rFonts w:ascii="Times New Roman" w:hAnsi="Times New Roman"/>
          <w:i/>
          <w:color w:val="000000"/>
          <w:sz w:val="20"/>
        </w:rPr>
      </w:pPr>
      <w:r>
        <w:rPr>
          <w:rFonts w:ascii="Times New Roman" w:hAnsi="Times New Roman"/>
          <w:i/>
          <w:color w:val="000000"/>
          <w:sz w:val="20"/>
        </w:rPr>
        <w:t>TN-401 – Gene Therapy for PKP2-Associated Arrhythmogenic Right Ventricular Cardiomyopathy (ARVC)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Tenaya has activated four clinical sites in RIDGE</w:t>
      </w:r>
      <w:r>
        <w:rPr>
          <w:color w:val="000000"/>
        </w:rPr>
        <w:t xml:space="preserve"> </w:t>
      </w:r>
      <w:r>
        <w:rPr>
          <w:rFonts w:ascii="Times New Roman" w:hAnsi="Times New Roman"/>
          <w:color w:val="000000"/>
          <w:sz w:val="13"/>
        </w:rPr>
        <w:t>TM</w:t>
      </w:r>
      <w:r>
        <w:rPr>
          <w:color w:val="000000"/>
        </w:rPr>
        <w:t xml:space="preserve"> </w:t>
      </w:r>
      <w:r>
        <w:rPr>
          <w:rFonts w:ascii="Times New Roman" w:hAnsi="Times New Roman"/>
          <w:color w:val="000000"/>
          <w:sz w:val="20"/>
        </w:rPr>
        <w:t xml:space="preserve">-1 and plans to begin dosing patients in the trial during the fourth quarter of 2024. RIDGE-1 is a global multicenter, open-label, dose-escalation trial designed to assess safety, tolerability and clinical efficacy of a one-time intravenous infusion of TN-401 for the treatment of ARVC caused by mutations to the </w:t>
      </w:r>
      <w:r>
        <w:rPr>
          <w:rFonts w:ascii="Times New Roman" w:hAnsi="Times New Roman"/>
          <w:i/>
          <w:color w:val="000000"/>
          <w:sz w:val="20"/>
        </w:rPr>
        <w:t>PKP2</w:t>
      </w:r>
      <w:r>
        <w:rPr>
          <w:color w:val="000000"/>
        </w:rPr>
        <w:t xml:space="preserve"> </w:t>
      </w:r>
      <w:r>
        <w:rPr>
          <w:rFonts w:ascii="Times New Roman" w:hAnsi="Times New Roman"/>
          <w:color w:val="000000"/>
          <w:sz w:val="20"/>
        </w:rPr>
        <w:t>gene.</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received clearance of its Clinical Trial Application by the U.K.'s Medicines and Healthcare Products Regulatory Agency and plans to activate RIDGE-1 clinical sites in the U.K.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 June 2024, Tenaya shared interim data from the ongoing RIDGE seroprevalence and natural history study indicating that adults with </w:t>
      </w:r>
      <w:r>
        <w:rPr>
          <w:rFonts w:ascii="Times New Roman" w:hAnsi="Times New Roman"/>
          <w:i/>
          <w:color w:val="000000"/>
          <w:sz w:val="20"/>
        </w:rPr>
        <w:t>PKP2</w:t>
      </w:r>
      <w:r>
        <w:rPr>
          <w:rFonts w:ascii="Times New Roman" w:hAnsi="Times New Roman"/>
          <w:color w:val="000000"/>
          <w:sz w:val="20"/>
        </w:rPr>
        <w:t xml:space="preserve">-associated ARVC have low levels of preexisting antibodies to adeno-associated serotype 9 (AAV9), the viral vector used in TN-401. Forty-eight of 57 volunteers with </w:t>
      </w:r>
      <w:r>
        <w:rPr>
          <w:rFonts w:ascii="Times New Roman" w:hAnsi="Times New Roman"/>
          <w:i/>
          <w:color w:val="000000"/>
          <w:sz w:val="20"/>
        </w:rPr>
        <w:t>PKP2</w:t>
      </w:r>
      <w:r>
        <w:rPr>
          <w:rFonts w:ascii="Times New Roman" w:hAnsi="Times New Roman"/>
          <w:color w:val="000000"/>
          <w:sz w:val="20"/>
        </w:rPr>
        <w:t xml:space="preserve">-associated ARVC, or 84%, had neutralizing antibody titers of less than 1:20 and would meet eligibility criteria for RIDGE-1. These data were presented at the International Congress on Electrocardiology held in Lund, Sweden.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is currently enrolling adult PKP2-associated ARVC patients in the RIDGE natural history and seroprevalence study at 18 clinical sites across the U.S. and Europe. </w:t>
      </w:r>
    </w:p>
    <w:p>
      <w:pPr>
        <w:pStyle w:val="TextBody"/>
        <w:bidi w:val="0"/>
        <w:jc w:val="left"/>
        <w:rPr>
          <w:rFonts w:ascii="Times New Roman" w:hAnsi="Times New Roman"/>
          <w:i/>
          <w:color w:val="000000"/>
          <w:sz w:val="20"/>
        </w:rPr>
      </w:pPr>
      <w:r>
        <w:rPr>
          <w:rFonts w:ascii="Times New Roman" w:hAnsi="Times New Roman"/>
          <w:i/>
          <w:color w:val="000000"/>
          <w:sz w:val="20"/>
        </w:rPr>
        <w:t>Research and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2024, Tenaya’s Research and Manufacturing teams presented multiple posters at the American Society for Gene and Cell Therapy meeting detailing continued innovations related to its core capabilities, including gene editing, capsid engineering, promoter and regulatory elements, and manufacturing science.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Tenaya received a notice of allowance from the U.S. Patent and Trademarks Office for U.S. Application No. 18/468,594 covering a Tenaya-owned optimized vector encoding the DWORF protein. This patent provides composition of matter protections for Tenaya’s DWORF gene therapy program for the treatment of dilated cardiomyopathy and/or heart failure with reduced ejection fraction and is expected to expire no earlier than 2042. </w:t>
      </w:r>
    </w:p>
    <w:p>
      <w:pPr>
        <w:pStyle w:val="TextBody"/>
        <w:bidi w:val="0"/>
        <w:jc w:val="left"/>
        <w:rPr>
          <w:rFonts w:ascii="Times New Roman" w:hAnsi="Times New Roman"/>
          <w:sz w:val="20"/>
        </w:rPr>
      </w:pPr>
      <w:r>
        <w:rPr>
          <w:rFonts w:ascii="Times New Roman" w:hAnsi="Times New Roman"/>
          <w:i/>
          <w:color w:val="000000"/>
          <w:sz w:val="20"/>
        </w:rPr>
        <w:t>Corporate Updates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announced that Leone Patterson, Chief Financial and Chief Business Officer, will be departing from the company to transition to a new role effective August 14, 2024. The company has initiated a search process to appoint a successor. Chihiro Saito, CPA, Senior Vice President, Accounting and Financial Operations, will serve as interim principal accounting officer and Mr. Ali will serve as interim principal financial officer upon her departure.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announced the promotion of Kathy Ivey, Ph.D., to Senior Vice President, Research, and the departure of Timothy Hoey, Ph.D., formerly Tenaya’s Chief Scientific Officer. Dr. Hoey remains with the Company in an advisory capacity, including serving on Tenaya’s Scientific Advisory Board (SAB).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Barry J. Byrne, M.D., Ph.D., Professor and Associate Chair of Pediatrics, Molecular Genetics &amp; Microbiology Director, Powell Gene Therapy Center, University of Florida School of Medicine, was appointed to Tenaya’s SAB.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Tenaya has substantially completed the implementation of previously announced cost containment measures intended to align spending with the company’s focus on driving toward clinical readouts for TN-201 and TN-401.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Tenaya entered into a $45 million credit facility with Silicon Valley Bank (SVB). Under the terms of the loan agreement, Tenaya may draw up to $15 million upon closing, with up to an additional $30 million available upon the achievement of certain milestones and/or at SVB’s discretion. As of the closing of this transaction, Tenaya has not drawn on the credit facility and is under no obligation to do so. Leerink Partners served as an advisor to Tenaya on this transaction.</w:t>
      </w:r>
    </w:p>
    <w:p>
      <w:pPr>
        <w:pStyle w:val="TextBody"/>
        <w:bidi w:val="0"/>
        <w:jc w:val="left"/>
        <w:rPr>
          <w:rFonts w:ascii="Times New Roman" w:hAnsi="Times New Roman"/>
          <w:b/>
          <w:color w:val="000000"/>
          <w:sz w:val="20"/>
        </w:rPr>
      </w:pPr>
      <w:r>
        <w:rPr>
          <w:rFonts w:ascii="Times New Roman" w:hAnsi="Times New Roman"/>
          <w:b/>
          <w:color w:val="000000"/>
          <w:sz w:val="20"/>
        </w:rPr>
        <w:t>Second Quarter 2024 Financial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Cash Position and Guidance: </w:t>
      </w:r>
      <w:r>
        <w:rPr>
          <w:rFonts w:ascii="Times New Roman" w:hAnsi="Times New Roman"/>
          <w:color w:val="000000"/>
          <w:sz w:val="20"/>
        </w:rPr>
        <w:t xml:space="preserve">As of June 30, 2024, cash, cash equivalents and investments in marketable securities were $99.3 million. Tenaya estimates that these funds will be sufficient to fund the company into the second half of 2025. The SVB credit facility provides the opportunity to further extend the company’s cash runway.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Research &amp; Development (R&amp;D) Expenses: </w:t>
      </w:r>
      <w:r>
        <w:rPr>
          <w:rFonts w:ascii="Times New Roman" w:hAnsi="Times New Roman"/>
          <w:color w:val="000000"/>
          <w:sz w:val="20"/>
        </w:rPr>
        <w:t>R&amp;D expenses were $22.6 million for the quarter ended June 30, 2024, compared to $26.5 million for the comparable period in 2023. Non-cash stock-based compensation included in R&amp;D expense was $2.2 million for the quarter ended June 30,2024 compared to $1.8 million for the comparable period in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General &amp; Administrative (G&amp;A) Expenses: </w:t>
      </w:r>
      <w:r>
        <w:rPr>
          <w:rFonts w:ascii="Times New Roman" w:hAnsi="Times New Roman"/>
          <w:color w:val="000000"/>
          <w:sz w:val="20"/>
        </w:rPr>
        <w:t>G&amp;A expenses for the quarter ended June 30, 2024, were $8.2 million compared to $8.6 million for the comparable period in 2023. Non-cash stock-based compensation included in G&amp;A expense was $2.4 million for the quarter ended June 30, 2024, compared to $2.1 million for the comparable period in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Net Loss: </w:t>
      </w:r>
      <w:r>
        <w:rPr>
          <w:rFonts w:ascii="Times New Roman" w:hAnsi="Times New Roman"/>
          <w:color w:val="000000"/>
          <w:sz w:val="20"/>
        </w:rPr>
        <w:t>Net loss was $29.4 million, or $0.34 per share for the quarter ended June 30, 2024, compared to a net loss of $33.3 million, or $0.45 per share, for the comparable period in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About Tenaya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Therapeutics is a clinical-stage biotechnology company committed to a bold mission: to discover, develop and deliver potentially curative therapies that address the underlying drivers of heart disease. Leveraging its integrated and interrelated Gene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Therapy, Cellular Regeneration and Precision Medicine platforms and proprietary core capabilities, the company is advancing a pipeline of novel therapies with diverse treatment modalities for rare genetic cardiovascular disorders and more prevalent heart conditions. Tenaya’s most advanced candidates include TN-201, a gene therapy for MYBPC3-associated hypertrophic cardiomyopathy (HCM), TN-401, a gene therapy for PKP2-associated arrhythmogenic right ventricular cardiomyopathy (ARVC), and TN-301, a small molecule HDAC6 inhibitor being initially developed for heart failure with preserved ejection fraction (HFpEF). Tenaya also has multiple early-stage programs progressing through preclinical development. For more information, visit </w:t>
      </w:r>
      <w:r>
        <w:rPr>
          <w:rFonts w:ascii="Times New Roman" w:hAnsi="Times New Roman"/>
          <w:color w:val="000000"/>
          <w:sz w:val="20"/>
          <w:u w:val="single"/>
        </w:rPr>
        <w:t>www.tenayatherapeutics.com</w:t>
      </w:r>
      <w:r>
        <w:rPr>
          <w:rFonts w:ascii="Times New Roman" w:hAnsi="Times New Roman"/>
          <w:color w:val="00000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“focused,” “anticipates,” “plans,” “expects,” “estimates”, "may,” “will” and similar expressions are intended to identify forward-looking statements. Such forward-looking statements include, among other things, Tenaya’s plans and expectations regarding its clinical development efforts and activities, including site activation, enrolling and dosing patients and generating data for MyPEAK-1 and RIDGE-1 and the RIDGE natural history study; the timing of executive departures and appointments; Tenaya’s potential to receive a priority review voucher; planned timing of sharing initial data from MyPEAK-1 and additional clinical data readouts; the clinical, therapeutic and commercial potential of, and expectations regarding, Tenaya’s product candidates; the sufficiency of Tenaya’s cash resources to fund the company into the second half 2025 and the availability of the credit facility to extend that runway;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the timing and progress of Tenaya’s clinical trials; availability of data at the referenced times;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Contacts</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Michelle Corral</w:t>
            </w:r>
            <w:r>
              <w:rPr>
                <w:rFonts w:ascii="Times New Roman" w:hAnsi="Times New Roman"/>
                <w:b/>
                <w:color w:val="000000"/>
                <w:sz w:val="20"/>
              </w:rPr>
              <w:br/>
            </w:r>
            <w:r>
              <w:rPr>
                <w:rFonts w:ascii="Times New Roman" w:hAnsi="Times New Roman"/>
                <w:color w:val="000000"/>
                <w:sz w:val="20"/>
              </w:rPr>
              <w:t>VP, Corporate Communications and Investor Relations</w:t>
              <w:br/>
              <w:t>IR@tenayathera.com</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Investors</w:t>
            </w:r>
            <w:r>
              <w:rPr>
                <w:rFonts w:ascii="Times New Roman" w:hAnsi="Times New Roman"/>
                <w:color w:val="000000"/>
                <w:sz w:val="20"/>
              </w:rPr>
              <w:t xml:space="preserve">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Anne-Marie Fields</w:t>
              <w:br/>
              <w:t>Precision AQ (formerly Stern Investor Relations)</w:t>
            </w:r>
            <w:r>
              <w:rPr>
                <w:rFonts w:ascii="Times New Roman" w:hAnsi="Times New Roman"/>
                <w:color w:val="333333"/>
                <w:sz w:val="20"/>
              </w:rPr>
              <w:br/>
              <w:t xml:space="preserve">annemarie.fields@precisionaq.com </w:t>
            </w:r>
          </w:p>
        </w:tc>
      </w:tr>
      <w:tr>
        <w:trPr/>
        <w:tc>
          <w:tcPr>
            <w:tcW w:w="46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b/>
                <w:color w:val="000000"/>
                <w:sz w:val="20"/>
              </w:rPr>
              <w:t>Media</w:t>
            </w:r>
            <w:r>
              <w:rPr>
                <w:rFonts w:ascii="Times New Roman" w:hAnsi="Times New Roman"/>
                <w:color w:val="000000"/>
                <w:sz w:val="20"/>
              </w:rPr>
              <w:br/>
              <w:t>Wendy Ryan</w:t>
              <w:br/>
              <w:t>Ten Bridge Communications</w:t>
              <w:br/>
              <w:t xml:space="preserve">wendy@tenbridgecommunications.com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44"/>
        <w:gridCol w:w="246"/>
        <w:gridCol w:w="211"/>
        <w:gridCol w:w="1036"/>
        <w:gridCol w:w="266"/>
        <w:gridCol w:w="246"/>
        <w:gridCol w:w="211"/>
        <w:gridCol w:w="1036"/>
        <w:gridCol w:w="266"/>
        <w:gridCol w:w="246"/>
        <w:gridCol w:w="211"/>
        <w:gridCol w:w="1036"/>
        <w:gridCol w:w="266"/>
        <w:gridCol w:w="246"/>
        <w:gridCol w:w="211"/>
        <w:gridCol w:w="1036"/>
        <w:gridCol w:w="391"/>
      </w:tblGrid>
      <w:tr>
        <w:trPr/>
        <w:tc>
          <w:tcPr>
            <w:tcW w:w="30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44"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3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26,477</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47,704</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0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(64,585</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(68,827</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(loss),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net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before income tax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(29,431</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basic and diluted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85,706,501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73,399,847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83,344,414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73,249,702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TENAYA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Balance Sheet Data</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4066"/>
        <w:gridCol w:w="146"/>
        <w:gridCol w:w="211"/>
        <w:gridCol w:w="781"/>
        <w:gridCol w:w="146"/>
        <w:gridCol w:w="146"/>
        <w:gridCol w:w="233"/>
        <w:gridCol w:w="862"/>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104,642</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9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3201</Words>
  <Characters>18282</Characters>
  <CharactersWithSpaces>21508</CharactersWithSpaces>
  <Paragraphs>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