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50806.htm"/>
      <w:bookmarkStart w:id="1" w:name="kstnya2025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2025, Tenaya Therapeutics, Inc. issued a press release announcing its financial results for the quarter ended June 30, 2025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August 6, 2025</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85" w:type="dxa"/>
        <w:jc w:val="left"/>
        <w:tblInd w:w="0" w:type="dxa"/>
        <w:tblLayout w:type="fixed"/>
        <w:tblCellMar>
          <w:top w:w="28" w:type="dxa"/>
          <w:left w:w="28" w:type="dxa"/>
          <w:bottom w:w="28" w:type="dxa"/>
          <w:right w:w="28" w:type="dxa"/>
        </w:tblCellMar>
      </w:tblPr>
      <w:tblGrid>
        <w:gridCol w:w="1846"/>
        <w:gridCol w:w="146"/>
        <w:gridCol w:w="406"/>
        <w:gridCol w:w="146"/>
        <w:gridCol w:w="26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Arial" w:hAnsi="Arial"/>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1314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8580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Tenaya Therapeutics Reports Second Quarter 2025 Financial Results and Provides Business Update</w:t>
      </w:r>
    </w:p>
    <w:p>
      <w:pPr>
        <w:pStyle w:val="TextBody"/>
        <w:bidi w:val="0"/>
        <w:jc w:val="center"/>
        <w:rPr>
          <w:rFonts w:ascii="Times New Roman" w:hAnsi="Times New Roman"/>
          <w:sz w:val="20"/>
        </w:rPr>
      </w:pPr>
      <w:r>
        <w:rPr>
          <w:rFonts w:ascii="Arial" w:hAnsi="Arial"/>
          <w:i/>
          <w:color w:val="000000"/>
          <w:sz w:val="24"/>
        </w:rPr>
        <w:t>Enrollment Complete in Cohorts 1 and 2 of MyPEAK</w:t>
      </w:r>
      <w:r>
        <w:rPr>
          <w:rFonts w:ascii="Arial" w:hAnsi="Arial"/>
          <w:i/>
          <w:color w:val="000000"/>
          <w:sz w:val="16"/>
        </w:rPr>
        <w:t>TM</w:t>
      </w:r>
      <w:r>
        <w:rPr>
          <w:rFonts w:ascii="Arial" w:hAnsi="Arial"/>
          <w:i/>
          <w:color w:val="000000"/>
          <w:sz w:val="24"/>
        </w:rPr>
        <w:t>-1 Phase 1b/2 Trial of TN-201 for MYBPC3-associated HCM; Positive DSMB Safety Review Enables Enrollment of Expansion Cohorts</w:t>
      </w:r>
      <w:r>
        <w:rPr>
          <w:rFonts w:ascii="Times New Roman" w:hAnsi="Times New Roman"/>
          <w:color w:val="000000"/>
          <w:sz w:val="20"/>
        </w:rPr>
        <w:t xml:space="preserve"> </w:t>
      </w:r>
    </w:p>
    <w:p>
      <w:pPr>
        <w:pStyle w:val="TextBody"/>
        <w:bidi w:val="0"/>
        <w:jc w:val="center"/>
        <w:rPr>
          <w:rFonts w:ascii="Arial" w:hAnsi="Arial"/>
          <w:i/>
          <w:color w:val="000000"/>
          <w:sz w:val="24"/>
        </w:rPr>
      </w:pPr>
      <w:r>
        <w:rPr>
          <w:rFonts w:ascii="Arial" w:hAnsi="Arial"/>
          <w:i/>
          <w:color w:val="000000"/>
          <w:sz w:val="24"/>
        </w:rPr>
        <w:t xml:space="preserve">Cohort 1 of RIDGE-1 Phase 1b Trial of TN-401 Enrolled and First PKP2-associated ARVC Patient Dosed in Cohort 2 Following DSMB Recommendation to </w:t>
        <w:br/>
        <w:t>Dose Escalate and Expand</w:t>
      </w:r>
    </w:p>
    <w:p>
      <w:pPr>
        <w:pStyle w:val="TextBody"/>
        <w:bidi w:val="0"/>
        <w:jc w:val="center"/>
        <w:rPr>
          <w:rFonts w:ascii="Arial" w:hAnsi="Arial"/>
          <w:i/>
          <w:color w:val="000000"/>
          <w:sz w:val="24"/>
        </w:rPr>
      </w:pPr>
      <w:r>
        <w:rPr>
          <w:rFonts w:ascii="Arial" w:hAnsi="Arial"/>
          <w:i/>
          <w:color w:val="000000"/>
          <w:sz w:val="24"/>
        </w:rPr>
        <w:t xml:space="preserve">Data Readouts from Both TN-201 and TN-401 Clinical Programs Planned for the </w:t>
        <w:br/>
        <w:t>Fourth Quarter of 2025</w:t>
      </w:r>
    </w:p>
    <w:p>
      <w:pPr>
        <w:pStyle w:val="TextBody"/>
        <w:bidi w:val="0"/>
        <w:jc w:val="center"/>
        <w:rPr>
          <w:rFonts w:ascii="Arial" w:hAnsi="Arial"/>
          <w:i/>
          <w:color w:val="000000"/>
          <w:sz w:val="24"/>
        </w:rPr>
      </w:pPr>
      <w:r>
        <w:rPr>
          <w:rFonts w:ascii="Arial" w:hAnsi="Arial"/>
          <w:i/>
          <w:color w:val="000000"/>
          <w:sz w:val="24"/>
        </w:rPr>
        <w:t>Cash Runway into Second Half of 2026</w:t>
      </w:r>
    </w:p>
    <w:p>
      <w:pPr>
        <w:pStyle w:val="TextBody"/>
        <w:bidi w:val="0"/>
        <w:jc w:val="left"/>
        <w:rPr>
          <w:rFonts w:ascii="Times New Roman" w:hAnsi="Times New Roman"/>
          <w:sz w:val="20"/>
        </w:rPr>
      </w:pPr>
      <w:r>
        <w:rPr>
          <w:rFonts w:ascii="Arial" w:hAnsi="Arial"/>
          <w:b/>
          <w:color w:val="000000"/>
          <w:sz w:val="20"/>
        </w:rPr>
        <w:t>SOUTH SAN FRANCISCO, Calif., August 6, 2025 --</w:t>
      </w:r>
      <w:r>
        <w:rPr>
          <w:rFonts w:ascii="Times New Roman" w:hAnsi="Times New Roman"/>
          <w:color w:val="000000"/>
          <w:sz w:val="20"/>
        </w:rPr>
        <w:t xml:space="preserve"> </w:t>
      </w:r>
      <w:r>
        <w:rPr>
          <w:rFonts w:ascii="Arial" w:hAnsi="Arial"/>
          <w:color w:val="000000"/>
          <w:sz w:val="20"/>
        </w:rPr>
        <w:t>Tenaya Therapeutics, Inc. (NASDAQ: TNYA), a clinical-stage biotechnology company with a mission to discover, develop and deliver potentially curative therapies that address the underlying causes of heart disease, today announced financial results for the second quarter ended June 30, 2025, and provided a corporate update.</w:t>
      </w:r>
    </w:p>
    <w:p>
      <w:pPr>
        <w:pStyle w:val="TextBody"/>
        <w:bidi w:val="0"/>
        <w:jc w:val="left"/>
        <w:rPr/>
      </w:pPr>
      <w:r>
        <w:rPr>
          <w:color w:val="000000"/>
        </w:rPr>
        <w:t>“</w:t>
      </w:r>
      <w:r>
        <w:rPr>
          <w:rFonts w:ascii="Arial" w:hAnsi="Arial"/>
          <w:color w:val="000000"/>
          <w:sz w:val="20"/>
        </w:rPr>
        <w:t xml:space="preserve">During the first half of 2025, we achieved target enrollment in our ongoing gene therapy clinical trials of TN-201 for </w:t>
      </w:r>
      <w:r>
        <w:rPr>
          <w:rFonts w:ascii="Arial" w:hAnsi="Arial"/>
          <w:i/>
          <w:color w:val="000000"/>
          <w:sz w:val="20"/>
        </w:rPr>
        <w:t>MYBPC3</w:t>
      </w:r>
      <w:r>
        <w:rPr>
          <w:rFonts w:ascii="Arial" w:hAnsi="Arial"/>
          <w:color w:val="000000"/>
          <w:sz w:val="20"/>
        </w:rPr>
        <w:t xml:space="preserve">-associated HCM and of TN-401 for </w:t>
      </w:r>
      <w:r>
        <w:rPr>
          <w:rFonts w:ascii="Arial" w:hAnsi="Arial"/>
          <w:i/>
          <w:color w:val="000000"/>
          <w:sz w:val="20"/>
        </w:rPr>
        <w:t>PKP2</w:t>
      </w:r>
      <w:r>
        <w:rPr>
          <w:rFonts w:ascii="Arial" w:hAnsi="Arial"/>
          <w:color w:val="000000"/>
          <w:sz w:val="20"/>
        </w:rPr>
        <w:t>-associated ARVC. The subsequent positive recommendations for dose escalation and/or expansion from each trial’s independent Data Safety Monitoring Board following a review of all available safety data for TN-201 and TN-401 are critical milestones in our mission to address two of the most common and deadly genetic cardiomyopathies,” said Faraz Ali, Chief Executive Officer of Tenaya. “We look forward to sharing meaningful new data readouts for both TN-201 and TN-401 in the fourth quarter of 2025 that will bring us closer to delivering potentially transformative therapies to patients.”</w:t>
      </w:r>
    </w:p>
    <w:p>
      <w:pPr>
        <w:pStyle w:val="TextBody"/>
        <w:bidi w:val="0"/>
        <w:jc w:val="left"/>
        <w:rPr>
          <w:rFonts w:ascii="Arial" w:hAnsi="Arial"/>
          <w:b/>
          <w:color w:val="000000"/>
          <w:sz w:val="20"/>
        </w:rPr>
      </w:pPr>
      <w:r>
        <w:rPr>
          <w:rFonts w:ascii="Arial" w:hAnsi="Arial"/>
          <w:b/>
          <w:color w:val="000000"/>
          <w:sz w:val="20"/>
        </w:rPr>
        <w:t>Business and Program Updates</w:t>
      </w:r>
    </w:p>
    <w:p>
      <w:pPr>
        <w:pStyle w:val="TextBody"/>
        <w:bidi w:val="0"/>
        <w:jc w:val="left"/>
        <w:rPr>
          <w:rFonts w:ascii="Arial" w:hAnsi="Arial"/>
          <w:i/>
          <w:color w:val="000000"/>
          <w:sz w:val="20"/>
        </w:rPr>
      </w:pPr>
      <w:r>
        <w:rPr>
          <w:rFonts w:ascii="Arial" w:hAnsi="Arial"/>
          <w:i/>
          <w:color w:val="000000"/>
          <w:sz w:val="20"/>
        </w:rPr>
        <w:t>TN-201 – Gene Therapy for MYBPC3-Associated Hypertrophic Cardiomyopathy (HCM)</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In May, Tenaya completed enrollment and dosing of three patients at the 6E13 vg/kg dose level (Cohort 2) in the MyPEAK-1 Phase 1b/2 clinical trial of TN-201 for </w:t>
      </w:r>
      <w:r>
        <w:rPr>
          <w:rFonts w:ascii="Arial" w:hAnsi="Arial"/>
          <w:i/>
          <w:color w:val="000000"/>
          <w:sz w:val="20"/>
        </w:rPr>
        <w:t>MYBPC3-</w:t>
      </w:r>
      <w:r>
        <w:rPr>
          <w:rFonts w:ascii="Arial" w:hAnsi="Arial"/>
          <w:color w:val="000000"/>
          <w:sz w:val="20"/>
        </w:rPr>
        <w:t xml:space="preserve">associated HCM.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Following a review of all available safety data, the independent Data Safety Monitoring Board (DSMB) for the MyPEAK-1 trial determined that TN-201 had an acceptable safety profile to enroll dose expansion cohorts at either the 3E13 vg/kg or 6E13 vg/kg dose level. Tenaya currently anticipates enrolling patients in the 6E13 vg/kg dose expansion cohort.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MyPEAK-1 is a multi-center, open-label, dose-escalation trial designed to assess safety, tolerability and clinical efficacy of a one-time intravenous infusion of TN-201 in treating patients with HCM caused by mutations in the </w:t>
      </w:r>
      <w:r>
        <w:rPr>
          <w:rFonts w:ascii="Arial" w:hAnsi="Arial"/>
          <w:i/>
          <w:color w:val="000000"/>
          <w:sz w:val="20"/>
        </w:rPr>
        <w:t>MYBPC3</w:t>
      </w:r>
      <w:r>
        <w:rPr>
          <w:color w:val="000000"/>
        </w:rPr>
        <w:t xml:space="preserve"> </w:t>
      </w:r>
      <w:r>
        <w:rPr>
          <w:rFonts w:ascii="Arial" w:hAnsi="Arial"/>
          <w:color w:val="000000"/>
          <w:sz w:val="20"/>
        </w:rPr>
        <w:t>gene.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Earlier this year, interim data from the first three patients who received TN-201 at the 3E13 vg/kg dose level (Cohort 1) were shared in </w:t>
      </w:r>
      <w:r>
        <w:rPr>
          <w:rFonts w:ascii="Arial" w:hAnsi="Arial"/>
          <w:color w:val="467886"/>
          <w:sz w:val="20"/>
          <w:u w:val="single"/>
        </w:rPr>
        <w:t xml:space="preserve">a Late-Breaker presentation at the 2025 </w:t>
      </w:r>
    </w:p>
    <w:p>
      <w:pPr>
        <w:pStyle w:val="HorizontalLine"/>
        <w:pBdr>
          <w:bottom w:val="double" w:sz="2" w:space="0" w:color="808080"/>
        </w:pBdr>
        <w:bidi w:val="0"/>
        <w:spacing w:before="0" w:after="283"/>
        <w:jc w:val="left"/>
        <w:rPr/>
      </w:pPr>
      <w:r>
        <w:rPr/>
      </w:r>
    </w:p>
    <w:p>
      <w:pPr>
        <w:pStyle w:val="TextBody"/>
        <w:bidi w:val="0"/>
        <w:spacing w:before="0" w:after="0"/>
        <w:jc w:val="left"/>
        <w:rPr/>
      </w:pPr>
      <w:r>
        <w:rPr>
          <w:rFonts w:ascii="Arial" w:hAnsi="Arial"/>
          <w:color w:val="467886"/>
          <w:sz w:val="20"/>
          <w:u w:val="single"/>
        </w:rPr>
        <w:t>American College of Cardiology Scientific Sessions</w:t>
      </w:r>
      <w:r>
        <w:rPr>
          <w:rFonts w:ascii="Arial" w:hAnsi="Arial"/>
          <w:color w:val="000000"/>
          <w:sz w:val="20"/>
        </w:rPr>
        <w:t>. TN-201 showed robust transduction and RNA expression with RNA and protein levels increasing over time. All three patients who had objectively severe disease at baseline were able to achieve New York Heart Association Class I, and two of the three patients experienced improvement in one or more measures of hypertrophy.</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Tenaya anticipates releasing initial Cohort 2 data and an update on Cohort 1 in the fourth quarter of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An abstract regarding Tenaya’s pediatric non-interventional natural history study, known as MyClimb, has been accepted for presentation at the upcoming European Society of Cardiology (ESC) Annual Meeting being held August 29-September 1 in Madrid Spain.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pPr>
      <w:r>
        <w:rPr>
          <w:rFonts w:ascii="Arial" w:hAnsi="Arial"/>
          <w:color w:val="000000"/>
          <w:sz w:val="20"/>
        </w:rPr>
        <w:t xml:space="preserve">MyClimb has enrolled more than 200 patients at 29 sites worldwide to characterize the disease burden for patients diagnosed with </w:t>
      </w:r>
      <w:r>
        <w:rPr>
          <w:rFonts w:ascii="Arial" w:hAnsi="Arial"/>
          <w:i/>
          <w:color w:val="000000"/>
          <w:sz w:val="20"/>
        </w:rPr>
        <w:t>MYBPC3</w:t>
      </w:r>
      <w:r>
        <w:rPr>
          <w:rFonts w:ascii="Arial" w:hAnsi="Arial"/>
          <w:color w:val="000000"/>
          <w:sz w:val="20"/>
        </w:rPr>
        <w:t>-associated HCM before age 18 for whom there are currently no approved therapeutic agents.</w:t>
      </w:r>
    </w:p>
    <w:p>
      <w:pPr>
        <w:pStyle w:val="TextBody"/>
        <w:bidi w:val="0"/>
        <w:jc w:val="left"/>
        <w:rPr>
          <w:rFonts w:ascii="Arial" w:hAnsi="Arial"/>
          <w:i/>
          <w:color w:val="000000"/>
          <w:sz w:val="20"/>
        </w:rPr>
      </w:pPr>
      <w:r>
        <w:rPr>
          <w:rFonts w:ascii="Arial" w:hAnsi="Arial"/>
          <w:i/>
          <w:color w:val="000000"/>
          <w:sz w:val="20"/>
        </w:rPr>
        <w:t>TN-401 – Gene Therapy for PKP2-Associated Arrhythmogenic Right Ventricular Cardiomyopathy (ARVC)</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Enrollment of the first cohort of three patients receiving TN-401 at a dose level of 3E13 vg/kg in the RIDGE-1 Phase 1b clinical trial was completed in April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RIDGE-1 is a global multicenter, open-label, dose-escalation trial designed to assess safety, tolerability and clinical efficacy of a one-time intravenous infusion of TN-401 for the treatment of ARVC caused by mutations to the </w:t>
      </w:r>
      <w:r>
        <w:rPr>
          <w:rFonts w:ascii="Arial" w:hAnsi="Arial"/>
          <w:i/>
          <w:color w:val="000000"/>
          <w:sz w:val="20"/>
        </w:rPr>
        <w:t>PKP2</w:t>
      </w:r>
      <w:r>
        <w:rPr>
          <w:color w:val="000000"/>
        </w:rPr>
        <w:t xml:space="preserve"> </w:t>
      </w:r>
      <w:r>
        <w:rPr>
          <w:rFonts w:ascii="Arial" w:hAnsi="Arial"/>
          <w:color w:val="000000"/>
          <w:sz w:val="20"/>
        </w:rPr>
        <w:t xml:space="preserve">gene.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Tenaya anticipates providing initial Cohort 1 data focused on safety and biopsy results for the first three patients on study in the fourth quarter of 2025.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In July 2025, the RIDGE-1 DSMB reviewed all available data from Cohort 1 and issued a positive recommendation regarding both enrollment of a higher dose cohort at 6E13 vg/kg and enrollment of additional patients at the 3E13 vg/kg dose.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Tenaya is enrolling Cohort 2 and the first patient has been dosed at the 6E13 vg/kg dose level. Tenaya may enroll additional patients at the 3E13 vg/kg dose.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 xml:space="preserve">In April 2025, Tenaya presented </w:t>
      </w:r>
      <w:r>
        <w:rPr>
          <w:rFonts w:ascii="Arial" w:hAnsi="Arial"/>
          <w:color w:val="467886"/>
          <w:sz w:val="20"/>
          <w:u w:val="single"/>
        </w:rPr>
        <w:t>interim data from the non-interventional natural history and seroprevalence study</w:t>
      </w:r>
      <w:r>
        <w:rPr>
          <w:color w:val="000000"/>
        </w:rPr>
        <w:t xml:space="preserve"> </w:t>
      </w:r>
      <w:r>
        <w:rPr>
          <w:rFonts w:ascii="Arial" w:hAnsi="Arial"/>
          <w:color w:val="000000"/>
          <w:sz w:val="20"/>
        </w:rPr>
        <w:t xml:space="preserve">known as RIDGE at the Heart Rhythm Society’s Annual Heart Rhythm Meeting. With 191 participants enrolled, RIDGE is the largest non-interventional natural history and seroprevalence study of adults with </w:t>
      </w:r>
      <w:r>
        <w:rPr>
          <w:rFonts w:ascii="Arial" w:hAnsi="Arial"/>
          <w:i/>
          <w:color w:val="000000"/>
          <w:sz w:val="20"/>
        </w:rPr>
        <w:t>PKP2</w:t>
      </w:r>
      <w:r>
        <w:rPr>
          <w:rFonts w:ascii="Arial" w:hAnsi="Arial"/>
          <w:color w:val="000000"/>
          <w:sz w:val="20"/>
        </w:rPr>
        <w:t>-associated ARVC to date and was designed to collect and assess participants’ clinical characteristics and medical history, as well as to test for preexisting neutralizing antibodies to adeno-associated virus-9 (AAV9).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Data from RIDGE indicated that patients experience a high burden of arrhythmia: 83% continue to experience more than 500 premature ventricular contractions (PVCs) per day and 49% had a history of ventricular tachycardias despite standard of care treatments.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Study participants show evidence of progressive structural changes that occur because of </w:t>
      </w:r>
      <w:r>
        <w:rPr>
          <w:rFonts w:ascii="Arial" w:hAnsi="Arial"/>
          <w:i/>
          <w:color w:val="000000"/>
          <w:sz w:val="20"/>
        </w:rPr>
        <w:t>PKP2</w:t>
      </w:r>
      <w:r>
        <w:rPr>
          <w:color w:val="000000"/>
        </w:rPr>
        <w:t xml:space="preserve"> </w:t>
      </w:r>
      <w:r>
        <w:rPr>
          <w:rFonts w:ascii="Arial" w:hAnsi="Arial"/>
          <w:color w:val="000000"/>
          <w:sz w:val="20"/>
        </w:rPr>
        <w:t>mutations, in which the instability and disintegration of cellular structures in the desmosome results in fibrofatty scar tissue.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pPr>
      <w:r>
        <w:rPr>
          <w:rFonts w:ascii="Arial" w:hAnsi="Arial"/>
          <w:i/>
          <w:color w:val="000000"/>
          <w:sz w:val="20"/>
        </w:rPr>
        <w:t>PKP2-</w:t>
      </w:r>
      <w:r>
        <w:rPr>
          <w:rFonts w:ascii="Arial" w:hAnsi="Arial"/>
          <w:color w:val="000000"/>
          <w:sz w:val="20"/>
        </w:rPr>
        <w:t xml:space="preserve">associated ARVC patients have low levels of preexisting immunity to AAV9 antibodies and the majority of RIDGE participants appear eligible for Tenaya’s RIDGE-1 Phase 1b clinical trial of TN-401 gene therapy. </w:t>
      </w:r>
    </w:p>
    <w:p>
      <w:pPr>
        <w:pStyle w:val="TextBody"/>
        <w:bidi w:val="0"/>
        <w:jc w:val="left"/>
        <w:rPr>
          <w:rFonts w:ascii="Arial" w:hAnsi="Arial"/>
          <w:i/>
          <w:color w:val="000000"/>
          <w:sz w:val="20"/>
        </w:rPr>
      </w:pPr>
      <w:r>
        <w:rPr>
          <w:rFonts w:ascii="Arial" w:hAnsi="Arial"/>
          <w:i/>
          <w:color w:val="000000"/>
          <w:sz w:val="20"/>
        </w:rPr>
        <w:t>Research and Manufacturing</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 xml:space="preserve">In May 2025, Tenaya’s Research and Manufacturing teams presented </w:t>
      </w:r>
      <w:r>
        <w:rPr>
          <w:rFonts w:ascii="Arial" w:hAnsi="Arial"/>
          <w:color w:val="467886"/>
          <w:sz w:val="20"/>
          <w:u w:val="single"/>
        </w:rPr>
        <w:t>several posters</w:t>
      </w:r>
      <w:r>
        <w:rPr>
          <w:color w:val="000000"/>
        </w:rPr>
        <w:t xml:space="preserve"> </w:t>
      </w:r>
      <w:r>
        <w:rPr>
          <w:rFonts w:ascii="Arial" w:hAnsi="Arial"/>
          <w:color w:val="000000"/>
          <w:sz w:val="20"/>
        </w:rPr>
        <w:t>at the American Society for Gene Therapy 28</w:t>
      </w:r>
      <w:r>
        <w:rPr>
          <w:rFonts w:ascii="Arial" w:hAnsi="Arial"/>
          <w:color w:val="000000"/>
          <w:sz w:val="13"/>
        </w:rPr>
        <w:t>th</w:t>
      </w:r>
      <w:r>
        <w:rPr>
          <w:rFonts w:ascii="Arial" w:hAnsi="Arial"/>
          <w:color w:val="000000"/>
          <w:sz w:val="20"/>
        </w:rPr>
        <w:t xml:space="preserve">Annual Meeting, which detailed the outcome of efforts to advance Tenaya’s core capabilities in novel capsid engineering, identification, design and optimization of cardiomyocyte-targeting genetic medicines, and manufacturing of AAV gene therapies. </w:t>
      </w:r>
    </w:p>
    <w:p>
      <w:pPr>
        <w:pStyle w:val="HorizontalLine"/>
        <w:pBdr>
          <w:bottom w:val="double" w:sz="2" w:space="0" w:color="808080"/>
        </w:pBdr>
        <w:bidi w:val="0"/>
        <w:spacing w:before="0" w:after="283"/>
        <w:jc w:val="left"/>
        <w:rPr/>
      </w:pPr>
      <w:r>
        <w:rPr/>
      </w:r>
    </w:p>
    <w:p>
      <w:pPr>
        <w:pStyle w:val="TextBody"/>
        <w:bidi w:val="0"/>
        <w:jc w:val="left"/>
        <w:rPr>
          <w:rFonts w:ascii="Arial" w:hAnsi="Arial"/>
          <w:i/>
          <w:color w:val="000000"/>
          <w:sz w:val="20"/>
        </w:rPr>
      </w:pPr>
      <w:r>
        <w:rPr>
          <w:rFonts w:ascii="Arial" w:hAnsi="Arial"/>
          <w:i/>
          <w:color w:val="000000"/>
          <w:sz w:val="20"/>
        </w:rPr>
        <w:t>Business Updates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Tenaya plans to host a Virtual Key Opinion Leader event, “Measuring Protein Expression in Cardiac Gene Therapy,” on August 19, 2025, at 11:30am 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The event will feature a discussion with Michael Previs, Ph.D., Associate Professor of Molecular Physiology and Biophysics at the University of Vermont and an expert in the development of mass spectrometry-based proteomic techniques.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Arial" w:hAnsi="Arial"/>
          <w:color w:val="000000"/>
          <w:sz w:val="20"/>
        </w:rPr>
        <w:t xml:space="preserve">Analysts and investors are invited to join the live event by registering </w:t>
      </w:r>
      <w:r>
        <w:rPr>
          <w:rFonts w:ascii="Arial" w:hAnsi="Arial"/>
          <w:color w:val="467886"/>
          <w:sz w:val="20"/>
          <w:u w:val="single"/>
        </w:rPr>
        <w:t>here</w:t>
      </w:r>
      <w:r>
        <w:rPr>
          <w:rFonts w:ascii="Arial" w:hAnsi="Arial"/>
          <w:color w:val="000000"/>
          <w:sz w:val="20"/>
        </w:rPr>
        <w:t>. A replay will be available on the investor section of the Tenaya website under “Events”.</w:t>
      </w:r>
    </w:p>
    <w:p>
      <w:pPr>
        <w:pStyle w:val="TextBody"/>
        <w:bidi w:val="0"/>
        <w:jc w:val="left"/>
        <w:rPr>
          <w:rFonts w:ascii="Arial" w:hAnsi="Arial"/>
          <w:b/>
          <w:color w:val="000000"/>
          <w:sz w:val="20"/>
        </w:rPr>
      </w:pPr>
      <w:r>
        <w:rPr>
          <w:rFonts w:ascii="Arial" w:hAnsi="Arial"/>
          <w:b/>
          <w:color w:val="000000"/>
          <w:sz w:val="20"/>
        </w:rPr>
        <w:t>Second Quarter 2025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Cash Position and Guidance: </w:t>
      </w:r>
      <w:r>
        <w:rPr>
          <w:rFonts w:ascii="Arial" w:hAnsi="Arial"/>
          <w:color w:val="000000"/>
          <w:sz w:val="20"/>
        </w:rPr>
        <w:t>As of June 30, 2025, cash, cash equivalents and investments in marketable securities were $71.7 million. The company expects that its current funds are sufficient to support planned company operations into the second half of 2026. Tenaya has not drawn on the credit facility established with Silicon Valley Bank and is not obligated to do so.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Research &amp; Development (R&amp;D) Expenses: </w:t>
      </w:r>
      <w:r>
        <w:rPr>
          <w:rFonts w:ascii="Arial" w:hAnsi="Arial"/>
          <w:color w:val="000000"/>
          <w:sz w:val="20"/>
        </w:rPr>
        <w:t>R&amp;D expenses were $17.4 million for the second quarter of 2025 compared to $22.6 million for the same period in 2024. Non-cash stock-based compensation included in R&amp;D expense was $1.9 million for the second quarter of 2025 and $2.2 million for the same period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General &amp; Administrative (G&amp;A) Expenses: </w:t>
      </w:r>
      <w:r>
        <w:rPr>
          <w:rFonts w:ascii="Arial" w:hAnsi="Arial"/>
          <w:color w:val="000000"/>
          <w:sz w:val="20"/>
        </w:rPr>
        <w:t>G&amp;A expenses were $6.7 million for the second quarter of 2025 and $8.2 million for the same period in 2024. Non-cash stock-based compensation included in G&amp;A expense was $1.8 million for the second quarter of 2025 and $2.4 million for the same period in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Net Loss: </w:t>
      </w:r>
      <w:r>
        <w:rPr>
          <w:rFonts w:ascii="Arial" w:hAnsi="Arial"/>
          <w:color w:val="000000"/>
          <w:sz w:val="20"/>
        </w:rPr>
        <w:t>Net loss was $23.3 million, or $0.14 loss per share for the second quarter ended June 30, 2025, compared to a net loss of $29.4 million, or $0.34 per share, in the same period of 2024.</w:t>
      </w:r>
    </w:p>
    <w:p>
      <w:pPr>
        <w:pStyle w:val="TextBody"/>
        <w:bidi w:val="0"/>
        <w:jc w:val="left"/>
        <w:rPr>
          <w:rFonts w:ascii="Times New Roman" w:hAnsi="Times New Roman"/>
          <w:sz w:val="20"/>
        </w:rPr>
      </w:pPr>
      <w:r>
        <w:rPr>
          <w:rFonts w:ascii="Arial" w:hAnsi="Arial"/>
          <w:b/>
          <w:color w:val="000000"/>
          <w:sz w:val="20"/>
        </w:rPr>
        <w:t>About Tenaya Therapeutics</w:t>
        <w:br/>
      </w:r>
      <w:r>
        <w:rPr>
          <w:rFonts w:ascii="Arial" w:hAnsi="Arial"/>
          <w:color w:val="000000"/>
          <w:sz w:val="22"/>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hAnsi="Arial"/>
          <w:i/>
          <w:color w:val="000000"/>
          <w:sz w:val="22"/>
        </w:rPr>
        <w:t>MYBPC3</w:t>
      </w:r>
      <w:r>
        <w:rPr>
          <w:rFonts w:ascii="Arial" w:hAnsi="Arial"/>
          <w:color w:val="000000"/>
          <w:sz w:val="22"/>
        </w:rPr>
        <w:t xml:space="preserve">-associated hypertrophic cardiomyopathy (HCM) and TN-401, a gene therapy for </w:t>
      </w:r>
      <w:r>
        <w:rPr>
          <w:rFonts w:ascii="Arial" w:hAnsi="Arial"/>
          <w:i/>
          <w:color w:val="000000"/>
          <w:sz w:val="22"/>
        </w:rPr>
        <w:t>PKP2</w:t>
      </w:r>
      <w:r>
        <w:rPr>
          <w:rFonts w:ascii="Arial" w:hAnsi="Arial"/>
          <w:color w:val="000000"/>
          <w:sz w:val="22"/>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Arial" w:hAnsi="Arial"/>
          <w:color w:val="467886"/>
          <w:sz w:val="22"/>
          <w:u w:val="single"/>
        </w:rPr>
        <w:t>www.tenayatherapeutics.com</w:t>
      </w:r>
      <w:r>
        <w:rPr>
          <w:rFonts w:ascii="Arial" w:hAnsi="Arial"/>
          <w:color w:val="000000"/>
          <w:sz w:val="22"/>
        </w:rPr>
        <w:t>.</w:t>
      </w:r>
    </w:p>
    <w:p>
      <w:pPr>
        <w:pStyle w:val="TextBody"/>
        <w:bidi w:val="0"/>
        <w:jc w:val="left"/>
        <w:rPr>
          <w:rFonts w:ascii="Arial" w:hAnsi="Arial"/>
          <w:b/>
          <w:color w:val="000000"/>
          <w:sz w:val="20"/>
        </w:rPr>
      </w:pPr>
      <w:r>
        <w:rPr>
          <w:rFonts w:ascii="Arial" w:hAnsi="Arial"/>
          <w:b/>
          <w:color w:val="000000"/>
          <w:sz w:val="20"/>
        </w:rPr>
        <w:t>Forward Looking Statements</w:t>
      </w:r>
    </w:p>
    <w:p>
      <w:pPr>
        <w:pStyle w:val="TextBody"/>
        <w:bidi w:val="0"/>
        <w:jc w:val="left"/>
        <w:rPr>
          <w:rFonts w:ascii="Times New Roman" w:hAnsi="Times New Roman"/>
          <w:sz w:val="20"/>
        </w:rPr>
      </w:pPr>
      <w:r>
        <w:rPr>
          <w:rFonts w:ascii="Arial" w:hAnsi="Arial"/>
          <w:color w:val="000000"/>
          <w:sz w:val="20"/>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“look forward,” “potentially,” “anticipates,” “may,” “plans,” “will,” “expects,” and similar expressions are intended to identify forward-looking statements. Such forward-looking statements include, among other things, planned timing for sharing data from MyPEAK-1 and RIDGE-1 and the expected content of such data releases; the clinical, therapeutic and commercial potential of TN-201 and TN-401; enrollment plans for MyPEAK-1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RIDGE-1; planned timing for sharing data from MyClimb; Tenaya’s plans to host a Key Opinion Leader event; the sufficiency of Tenaya’s cash resources to fund the company into the second half of 2026;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risks related to the impact of the restructuring plan on Tenaya’s business;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240" w:after="283"/>
        <w:jc w:val="left"/>
        <w:rPr>
          <w:rFonts w:ascii="Arial" w:hAnsi="Arial"/>
          <w:b/>
          <w:color w:val="000000"/>
          <w:sz w:val="20"/>
        </w:rPr>
      </w:pPr>
      <w:r>
        <w:rPr>
          <w:rFonts w:ascii="Arial" w:hAnsi="Arial"/>
          <w:b/>
          <w:color w:val="000000"/>
          <w:sz w:val="20"/>
        </w:rPr>
        <w:t>Tenaya Contacts</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Michelle Corral</w:t>
            </w:r>
            <w:r>
              <w:rPr>
                <w:rFonts w:ascii="Arial" w:hAnsi="Arial"/>
                <w:b/>
                <w:color w:val="000000"/>
                <w:sz w:val="20"/>
              </w:rPr>
              <w:br/>
            </w:r>
            <w:r>
              <w:rPr>
                <w:rFonts w:ascii="Arial" w:hAnsi="Arial"/>
                <w:color w:val="000000"/>
                <w:sz w:val="20"/>
              </w:rPr>
              <w:t>VP, Corporate Communications and Investor Relations</w:t>
              <w:br/>
              <w:t>IR@tenayathera.com</w:t>
            </w:r>
          </w:p>
        </w:tc>
      </w:tr>
      <w:tr>
        <w:trPr/>
        <w:tc>
          <w:tcPr>
            <w:tcW w:w="4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Investors</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Anne-Marie Fields</w:t>
              <w:br/>
              <w:t>Precision AQ</w:t>
              <w:br/>
              <w:t>annemarie.fields@precisionaq.com</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Arial" w:hAnsi="Arial"/>
                <w:b/>
                <w:color w:val="000000"/>
                <w:sz w:val="20"/>
              </w:rPr>
              <w:t>Media</w:t>
            </w:r>
            <w:r>
              <w:rPr>
                <w:rFonts w:ascii="Arial" w:hAnsi="Arial"/>
                <w:color w:val="000000"/>
                <w:sz w:val="20"/>
              </w:rPr>
              <w:br/>
              <w:t>Wendy Ryan</w:t>
              <w:br/>
              <w:t>Ten Bridge Communications</w:t>
              <w:br/>
              <w:t>wendy@tenbridgecommunications.com</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4"/>
        <w:gridCol w:w="286"/>
        <w:gridCol w:w="211"/>
        <w:gridCol w:w="1171"/>
        <w:gridCol w:w="306"/>
        <w:gridCol w:w="286"/>
        <w:gridCol w:w="211"/>
        <w:gridCol w:w="1066"/>
        <w:gridCol w:w="266"/>
        <w:gridCol w:w="246"/>
        <w:gridCol w:w="211"/>
        <w:gridCol w:w="1171"/>
        <w:gridCol w:w="306"/>
        <w:gridCol w:w="286"/>
        <w:gridCol w:w="211"/>
        <w:gridCol w:w="1066"/>
        <w:gridCol w:w="471"/>
      </w:tblGrid>
      <w:tr>
        <w:trPr/>
        <w:tc>
          <w:tcPr>
            <w:tcW w:w="24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38,446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47,704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6,712</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operating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51,620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64,585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(30,823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(51,620</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(64,585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1,449</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 (loss), net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before income tax expense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(23,283</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(50,147</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(61,659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(29,431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(50,147</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(61,659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basic and diluted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Weighted-average shares used in computing net loss per share, basic and diluted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162,791,579</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85,706,501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136,476,623</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83,344,414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sz w:val="20"/>
        </w:rPr>
      </w:pPr>
      <w:r>
        <w:rPr>
          <w:rFonts w:ascii="Arial" w:hAnsi="Arial"/>
          <w:b/>
          <w:color w:val="000000"/>
          <w:sz w:val="20"/>
        </w:rPr>
        <w:t>Condensed Balance Sheet Data</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4456"/>
        <w:gridCol w:w="146"/>
        <w:gridCol w:w="211"/>
        <w:gridCol w:w="796"/>
        <w:gridCol w:w="146"/>
        <w:gridCol w:w="146"/>
        <w:gridCol w:w="245"/>
        <w:gridCol w:w="925"/>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2631</Words>
  <Characters>14841</Characters>
  <CharactersWithSpaces>17493</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