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16, 2024</w:t>
      </w:r>
    </w:p>
    <w:p>
      <w:pPr>
        <w:spacing w:after="0" w:line="1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9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2220" w:type="dxa"/>
        <w:tblCellMar>
          <w:top w:w="0" w:type="dxa"/>
          <w:left w:w="0" w:type="dxa"/>
          <w:bottom w:w="0" w:type="dxa"/>
          <w:right w:w="0" w:type="dxa"/>
        </w:tblCellMar>
      </w:tblPr>
      <w:tr>
        <w:trPr>
          <w:trHeight w:val="238"/>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8"/>
              </w:rPr>
              <w:t>81-3789973</w:t>
            </w:r>
          </w:p>
        </w:tc>
      </w:tr>
      <w:tr>
        <w:trPr>
          <w:trHeight w:val="151"/>
        </w:trPr>
        <w:tc>
          <w:tcPr>
            <w:tcW w:w="3900" w:type="dxa"/>
            <w:vAlign w:val="bottom"/>
          </w:tcPr>
          <w:p>
            <w:pPr>
              <w:jc w:val="center"/>
              <w:ind w:right="194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40" w:type="dxa"/>
            <w:vAlign w:val="bottom"/>
          </w:tcPr>
          <w:p>
            <w:pPr>
              <w:jc w:val="center"/>
              <w:ind w:left="196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9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2024 Inducement Equity Incentive Plan</w:t>
      </w:r>
    </w:p>
    <w:p>
      <w:pPr>
        <w:spacing w:after="0" w:line="2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1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Faraz Ali, M.B.A.</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60" w:type="dxa"/>
            <w:vAlign w:val="bottom"/>
            <w:tcBorders>
              <w:top w:val="single" w:sz="8" w:color="auto"/>
            </w:tcBorders>
          </w:tcPr>
          <w:p>
            <w:pPr>
              <w:spacing w:after="0"/>
              <w:rPr>
                <w:sz w:val="18"/>
                <w:szCs w:val="18"/>
                <w:color w:val="auto"/>
              </w:rPr>
            </w:pPr>
          </w:p>
        </w:tc>
        <w:tc>
          <w:tcPr>
            <w:tcW w:w="66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148"/>
        </w:trPr>
        <w:tc>
          <w:tcPr>
            <w:tcW w:w="456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Kenneth A. Clark</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Jennifer Drimmer Rokovich</w:t>
            </w:r>
          </w:p>
        </w:tc>
      </w:tr>
      <w:tr>
        <w:trPr>
          <w:trHeight w:val="148"/>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Jennifer Knapp</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9"/>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Wilson Sonsini Goodrich &amp; Rosati</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Tenaya Therapeutics, Inc.</w:t>
            </w:r>
          </w:p>
        </w:tc>
      </w:tr>
      <w:tr>
        <w:trPr>
          <w:trHeight w:val="148"/>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 Corporation</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171 Oyster Point Boulevard, Suite 500</w:t>
            </w:r>
          </w:p>
        </w:tc>
      </w:tr>
      <w:tr>
        <w:trPr>
          <w:trHeight w:val="148"/>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650 Page Mill Road</w:t>
            </w:r>
          </w:p>
        </w:tc>
        <w:tc>
          <w:tcPr>
            <w:tcW w:w="6680" w:type="dxa"/>
            <w:vAlign w:val="bottom"/>
          </w:tcPr>
          <w:p>
            <w:pPr>
              <w:jc w:val="center"/>
              <w:ind w:left="1005"/>
              <w:spacing w:after="0" w:line="149" w:lineRule="exact"/>
              <w:rPr>
                <w:sz w:val="20"/>
                <w:szCs w:val="20"/>
                <w:color w:val="auto"/>
              </w:rPr>
            </w:pPr>
            <w:r>
              <w:rPr>
                <w:rFonts w:ascii="Times New Roman" w:cs="Times New Roman" w:eastAsia="Times New Roman" w:hAnsi="Times New Roman"/>
                <w:sz w:val="14"/>
                <w:szCs w:val="14"/>
                <w:b w:val="1"/>
                <w:bCs w:val="1"/>
                <w:color w:val="auto"/>
              </w:rPr>
              <w:t>South San Francisco, California 94080</w:t>
            </w:r>
          </w:p>
        </w:tc>
      </w:tr>
      <w:tr>
        <w:trPr>
          <w:trHeight w:val="149"/>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Palo Alto, CA 94304</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(650) 825-6990</w:t>
            </w:r>
          </w:p>
        </w:tc>
      </w:tr>
      <w:tr>
        <w:trPr>
          <w:trHeight w:val="188"/>
        </w:trPr>
        <w:tc>
          <w:tcPr>
            <w:tcW w:w="456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(650) 493-9300</w:t>
            </w:r>
          </w:p>
        </w:tc>
        <w:tc>
          <w:tcPr>
            <w:tcW w:w="6680" w:type="dxa"/>
            <w:vAlign w:val="bottom"/>
          </w:tcPr>
          <w:p>
            <w:pPr>
              <w:spacing w:after="0"/>
              <w:rPr>
                <w:sz w:val="16"/>
                <w:szCs w:val="16"/>
                <w:color w:val="auto"/>
              </w:rPr>
            </w:pPr>
          </w:p>
        </w:tc>
      </w:tr>
    </w:tbl>
    <w:p>
      <w:pPr>
        <w:ind w:right="44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S-8 (Registration Statement) is filed by Tenaya Therapeutics, Inc. (Registrant) for the purpose of registering 1,200,000 shares of common stock of the Registrant reserved for issuance under the 2024 Inducement Equity Incentive Plan.</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66"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(Commission):</w:t>
      </w:r>
    </w:p>
    <w:p>
      <w:pPr>
        <w:spacing w:after="0" w:line="207" w:lineRule="exact"/>
        <w:rPr>
          <w:sz w:val="20"/>
          <w:szCs w:val="20"/>
          <w:color w:val="auto"/>
        </w:rPr>
      </w:pPr>
    </w:p>
    <w:p>
      <w:pPr>
        <w:ind w:right="60" w:firstLine="8"/>
        <w:spacing w:after="0" w:line="282"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2023, filed with the Commission on March 18, 2024, pursuant to Section 13(a) of the Securities Exchange Act of 1934, as amended (Exchange Act); and</w:t>
      </w:r>
    </w:p>
    <w:p>
      <w:pPr>
        <w:spacing w:after="0" w:line="161"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Sections 13(a) or 15(d) of the Exchange Act since the end of the fiscal year covered by the Registrant’s Annual Report referred to in (a) above; and</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Company’s Registration Statement on </w:t>
      </w:r>
      <w:r>
        <w:rPr>
          <w:rFonts w:ascii="Times New Roman" w:cs="Times New Roman" w:eastAsia="Times New Roman" w:hAnsi="Times New Roman"/>
          <w:sz w:val="18"/>
          <w:szCs w:val="18"/>
          <w:color w:val="0000EE"/>
        </w:rPr>
        <w:t>Form 8-A</w:t>
      </w:r>
      <w:r>
        <w:rPr>
          <w:rFonts w:ascii="Times New Roman" w:cs="Times New Roman" w:eastAsia="Times New Roman" w:hAnsi="Times New Roman"/>
          <w:sz w:val="18"/>
          <w:szCs w:val="18"/>
          <w:color w:val="auto"/>
        </w:rPr>
        <w:t xml:space="preserve"> (File No. 001-40656) filed with the Commission on July 23, 2021, pursuant to Section 12(b) of Exchange Act, including any amendment or report filed for the purpose of updating such description.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4"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generally empowers a corporation to indemnify its directors and officers, provided that the person acted in good faith and in a manner the person reasonably believed to be in our best interests, and, with respect to any criminal action, had no reasonable cause to believe the person’s actions were unlawful, and to purchase insurance with respect to liability arising out of their capacity or status as directors and officers.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Delaware General Corporation Law.</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the amended and restated bylaws of the Registrant require, subject to certain limitations,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or an officer of the corporation shall not be personally liable to the corporation or its stockholders for monetary damages for breach of fiduciary duty as a director or officer, except (1) for any breach of the director’s or officer’s duty of loyalty to the corporation or its stockholders, (2) for acts or omissions not in good faith or which involve intentional misconduct or a knowing violation of law, (3) for payments of unlawful dividends or unlawful stock repurchases or redemptions, (4) for any transaction from which the director or officer derived an improper personal benefit, or (5) with respect to an officer, in any action by or in the right of the corporation. The Registrant’s amended and restated certificate of incorporation provides that the Registrant’s directors and officers shall not be personally liable to it or its stockholders for monetary damages for breach of fiduciary duty as a director or officer and that if the Delaware General Corporation Law is amended to authorize corporate action further eliminating or limiting the personal liability of directors, then the liability of the Registrant’s directors and officers shall be eliminated or limited to the fullest extent permitted by the Delaware General Corporation Law, as so amended.</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Section 174 of the Delaware General Corporation Law provides, among other things, that a director who willfully or negligently approves of an unlawful payment of dividends or an unlawful stock repurchase or redemption may be held liable to the full amount of the dividend unlawfully paid, or to the full amount unlawfully paid for the repurchase or redemption of the corporation’s stock, with interest from the time such liability accrued. A director who was either absent when the unlawful actions were approved, or dissented at the time, may avoid liability by causing his or her dissent to such actions to be entered in the books containing minutes of the proceedings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at the time such action occurred or immediately after such absent director receives notice of the unlawful acts.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Registrant has obtained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6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ectPr>
          <w:pgSz w:w="11900" w:h="16838" w:orient="portrait"/>
          <w:cols w:equalWidth="0" w:num="1">
            <w:col w:w="11160"/>
          </w:cols>
          <w:pgMar w:left="320" w:top="1440" w:right="41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400" w:type="dxa"/>
            <w:vAlign w:val="bottom"/>
          </w:tcPr>
          <w:p>
            <w:pPr>
              <w:spacing w:after="0"/>
              <w:rPr>
                <w:sz w:val="20"/>
                <w:szCs w:val="20"/>
                <w:color w:val="auto"/>
              </w:rPr>
            </w:pPr>
          </w:p>
        </w:tc>
        <w:tc>
          <w:tcPr>
            <w:tcW w:w="566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338"/>
        </w:trPr>
        <w:tc>
          <w:tcPr>
            <w:tcW w:w="7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47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00" w:type="dxa"/>
            <w:vAlign w:val="bottom"/>
          </w:tcPr>
          <w:p>
            <w:pPr>
              <w:spacing w:after="0"/>
              <w:rPr>
                <w:sz w:val="24"/>
                <w:szCs w:val="24"/>
                <w:color w:val="auto"/>
              </w:rPr>
            </w:pPr>
          </w:p>
        </w:tc>
        <w:tc>
          <w:tcPr>
            <w:tcW w:w="566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74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gridSpan w:val="6"/>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8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Specimen common stock certificate of the Registrant</w:t>
              </w:r>
            </w:hyperlink>
          </w:p>
        </w:tc>
        <w:tc>
          <w:tcPr>
            <w:tcW w:w="2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6060" w:type="dxa"/>
            <w:vAlign w:val="bottom"/>
            <w:gridSpan w:val="9"/>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2024 Inducement Equity Incentive Plan and forms of agreements thereunder</w:t>
              </w:r>
            </w:hyperlink>
          </w:p>
        </w:tc>
        <w:tc>
          <w:tcPr>
            <w:tcW w:w="0" w:type="dxa"/>
            <w:vAlign w:val="bottom"/>
          </w:tcPr>
          <w:p>
            <w:pPr>
              <w:spacing w:after="0"/>
              <w:rPr>
                <w:sz w:val="1"/>
                <w:szCs w:val="1"/>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52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 Professional Corporation</w:t>
            </w:r>
          </w:p>
        </w:tc>
        <w:tc>
          <w:tcPr>
            <w:tcW w:w="220" w:type="dxa"/>
            <w:vAlign w:val="bottom"/>
            <w:tcBorders>
              <w:top w:val="single" w:sz="8" w:color="0000FF"/>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5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Deloitte and Touche LLP, Independent Registered Public Accounting</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5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6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Wilson Sonsini Goodrich &amp; Rosati, Professional Corporation (contained</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0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in Exhibit 5.1 hereto)</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4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20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47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880" w:hanging="859"/>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97"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3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333-257820</w:t>
            </w: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7/26/2021</w:t>
            </w:r>
          </w:p>
        </w:tc>
      </w:tr>
      <w:tr>
        <w:trPr>
          <w:trHeight w:val="351"/>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001-40656</w:t>
            </w: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9/16/2024</w:t>
            </w:r>
          </w:p>
        </w:tc>
      </w:tr>
    </w:tbl>
    <w:p>
      <w:pPr>
        <w:spacing w:after="0" w:line="3411" w:lineRule="exact"/>
        <w:rPr>
          <w:sz w:val="20"/>
          <w:szCs w:val="20"/>
          <w:color w:val="auto"/>
        </w:rPr>
      </w:pPr>
    </w:p>
    <w:p>
      <w:pPr>
        <w:sectPr>
          <w:pgSz w:w="11900" w:h="16838" w:orient="portrait"/>
          <w:cols w:equalWidth="0" w:num="2">
            <w:col w:w="7020" w:space="120"/>
            <w:col w:w="4020"/>
          </w:cols>
          <w:pgMar w:left="320" w:top="1440" w:right="419" w:bottom="1440" w:gutter="0" w:footer="0" w:header="0"/>
          <w:type w:val="continuous"/>
        </w:sectPr>
      </w:pPr>
    </w:p>
    <w:p>
      <w:pPr>
        <w:ind w:left="580" w:hanging="55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ind w:left="580" w:hanging="437"/>
        <w:spacing w:after="0"/>
        <w:tabs>
          <w:tab w:leader="none" w:pos="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file, during any period in which offers or sales are being made, a post-effective amendment to this Registration Statement:</w:t>
      </w:r>
    </w:p>
    <w:p>
      <w:pPr>
        <w:spacing w:after="0" w:line="158" w:lineRule="exact"/>
        <w:rPr>
          <w:sz w:val="20"/>
          <w:szCs w:val="20"/>
          <w:color w:val="auto"/>
        </w:rPr>
      </w:pPr>
    </w:p>
    <w:p>
      <w:pPr>
        <w:ind w:left="580" w:hanging="437"/>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4" w:name="page5"/>
    <w:bookmarkEnd w:id="4"/>
    <w:p>
      <w:pPr>
        <w:ind w:left="580" w:right="120" w:hanging="437"/>
        <w:spacing w:after="0" w:line="255"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21" w:lineRule="exact"/>
        <w:rPr>
          <w:rFonts w:ascii="Times New Roman" w:cs="Times New Roman" w:eastAsia="Times New Roman" w:hAnsi="Times New Roman"/>
          <w:sz w:val="18"/>
          <w:szCs w:val="18"/>
          <w:color w:val="auto"/>
        </w:rPr>
      </w:pPr>
    </w:p>
    <w:p>
      <w:pPr>
        <w:ind w:left="580" w:right="180" w:hanging="437"/>
        <w:spacing w:after="0" w:line="28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94" w:lineRule="exact"/>
        <w:rPr>
          <w:sz w:val="20"/>
          <w:szCs w:val="20"/>
          <w:color w:val="auto"/>
        </w:rPr>
      </w:pPr>
    </w:p>
    <w:p>
      <w:pPr>
        <w:jc w:val="both"/>
        <w:ind w:left="580" w:hanging="437"/>
        <w:spacing w:after="0" w:line="266" w:lineRule="auto"/>
        <w:tabs>
          <w:tab w:leader="none" w:pos="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Times New Roman" w:cs="Times New Roman" w:eastAsia="Times New Roman" w:hAnsi="Times New Roman"/>
          <w:sz w:val="18"/>
          <w:szCs w:val="18"/>
          <w:color w:val="auto"/>
        </w:rPr>
      </w:pPr>
    </w:p>
    <w:p>
      <w:pPr>
        <w:ind w:left="580" w:right="700" w:hanging="437"/>
        <w:spacing w:after="0" w:line="282" w:lineRule="auto"/>
        <w:tabs>
          <w:tab w:leader="none" w:pos="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215" w:lineRule="exact"/>
        <w:rPr>
          <w:rFonts w:ascii="Times New Roman" w:cs="Times New Roman" w:eastAsia="Times New Roman" w:hAnsi="Times New Roman"/>
          <w:sz w:val="18"/>
          <w:szCs w:val="18"/>
          <w:color w:val="auto"/>
        </w:rPr>
      </w:pPr>
    </w:p>
    <w:p>
      <w:pPr>
        <w:ind w:left="580" w:right="100" w:hanging="559"/>
        <w:spacing w:after="0" w:line="258"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5" w:lineRule="exact"/>
        <w:rPr>
          <w:rFonts w:ascii="Times New Roman" w:cs="Times New Roman" w:eastAsia="Times New Roman" w:hAnsi="Times New Roman"/>
          <w:sz w:val="18"/>
          <w:szCs w:val="18"/>
          <w:color w:val="auto"/>
        </w:rPr>
      </w:pPr>
    </w:p>
    <w:p>
      <w:pPr>
        <w:ind w:left="580" w:right="120" w:hanging="559"/>
        <w:spacing w:after="0" w:line="254"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South San Francisco, California, on September 16, 2024.</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56"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17145</wp:posOffset>
            </wp:positionV>
            <wp:extent cx="6043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Faraz Ali, M.B.A.</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Faraz Ali and Leone Patterson as his or her true and lawful attorneys-in-fact and agents, with full power of substitution, for him or her and in his or her name, place and stead, in any and all capacities to sign this Registration Statement and any and all amendments thereto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0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2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Faraz Ali, M.B.A.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Faraz Ali, M.B.A.</w:t>
            </w:r>
          </w:p>
        </w:tc>
        <w:tc>
          <w:tcPr>
            <w:tcW w:w="12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 and Interim Principal Financial</w:t>
            </w: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Chihiro Saito</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Accounting and Financial Operations</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Chihiro Saito</w:t>
            </w:r>
          </w:p>
        </w:tc>
        <w:tc>
          <w:tcPr>
            <w:tcW w:w="1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Principal Accounting Officer</w:t>
            </w: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Burroughs, M.B.A.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Burroughs, M.B.A.</w:t>
            </w:r>
          </w:p>
        </w:tc>
        <w:tc>
          <w:tcPr>
            <w:tcW w:w="1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V. Goeddel, Ph.D.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V. Goeddel, Ph.D.</w:t>
            </w:r>
          </w:p>
        </w:tc>
        <w:tc>
          <w:tcPr>
            <w:tcW w:w="1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June Lee, M.D.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Lee, M.D.</w:t>
            </w:r>
          </w:p>
        </w:tc>
        <w:tc>
          <w:tcPr>
            <w:tcW w:w="1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Karah Parschauer, J.D.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Karah Parschauer, J.D.</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3"/>
        </w:trPr>
        <w:tc>
          <w:tcPr>
            <w:tcW w:w="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Deepak Srivastava, M.D.</w:t>
            </w:r>
          </w:p>
        </w:tc>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40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September 16, 2024</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Deepak Srivastava, M.D.</w:t>
            </w:r>
          </w:p>
        </w:tc>
        <w:tc>
          <w:tcPr>
            <w:tcW w:w="30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88"/>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Catherine Stehman-Breen, M.D.</w:t>
            </w:r>
          </w:p>
        </w:tc>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40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September 16, 2024</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Catherine Stehman-Breen, M.D.</w:t>
            </w:r>
          </w:p>
        </w:tc>
        <w:tc>
          <w:tcPr>
            <w:tcW w:w="30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88"/>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T. Walsh, M.B.A.</w:t>
            </w:r>
          </w:p>
        </w:tc>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40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September 16, 2024</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T. Walsh, M.B.A.</w:t>
            </w:r>
          </w:p>
        </w:tc>
        <w:tc>
          <w:tcPr>
            <w:tcW w:w="30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88"/>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 Sanders (Sandy) Williams, M.D.</w:t>
            </w:r>
          </w:p>
        </w:tc>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40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September 16, 2024</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Sanders (Sandy) Williams, M.D.</w:t>
            </w:r>
          </w:p>
        </w:tc>
        <w:tc>
          <w:tcPr>
            <w:tcW w:w="30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1420"/>
        </w:trPr>
        <w:tc>
          <w:tcPr>
            <w:tcW w:w="41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294005</wp:posOffset>
            </wp:positionV>
            <wp:extent cx="1011555"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0115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4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24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O: 650.493.9300</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F: 866.974.7329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16,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40" w:firstLine="1030"/>
        <w:spacing w:after="0" w:line="262"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by Tenaya Therapeutics, Inc., a Delaware corporation,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or about the date hereof, in connection with the registration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shares of your common stock, par value $0.0001 per share, consisting of 1,200,000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be issued under the Tenaya Therapeutics, Inc. 2024 Inducement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1030"/>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162" w:lineRule="exact"/>
        <w:rPr>
          <w:sz w:val="20"/>
          <w:szCs w:val="20"/>
          <w:color w:val="auto"/>
        </w:rPr>
      </w:pPr>
    </w:p>
    <w:p>
      <w:pPr>
        <w:jc w:val="both"/>
        <w:ind w:right="580" w:firstLine="1030"/>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Act or the rules and regulations of the Commission thereunder.</w:t>
      </w:r>
    </w:p>
    <w:p>
      <w:pPr>
        <w:spacing w:after="0" w:line="17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34" w:lineRule="exact"/>
        <w:rPr>
          <w:sz w:val="20"/>
          <w:szCs w:val="20"/>
          <w:color w:val="auto"/>
        </w:rPr>
      </w:pPr>
    </w:p>
    <w:p>
      <w:pPr>
        <w:jc w:val="center"/>
        <w:ind w:right="80"/>
        <w:spacing w:after="0" w:line="282" w:lineRule="auto"/>
        <w:rPr>
          <w:sz w:val="20"/>
          <w:szCs w:val="20"/>
          <w:color w:val="auto"/>
        </w:rPr>
      </w:pPr>
      <w:r>
        <w:rPr>
          <w:rFonts w:ascii="Times New Roman" w:cs="Times New Roman" w:eastAsia="Times New Roman" w:hAnsi="Times New Roman"/>
          <w:sz w:val="18"/>
          <w:szCs w:val="18"/>
          <w:color w:val="auto"/>
        </w:rPr>
        <w:t>AUSTIN BEIJING BOSTON BOULDER BRUSSELS HONG KONG LONDON LOS ANGELES NEW YORK PALO ALTO SALT LAKE CITY SAN DIEGO SAN FRANCISCO SEATTLE SHANGHAI WASHINGTON, DC WILMINGTON,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18, 2024 relating to the financial statements of Tenaya Therapeutics, Inc., appearing in the Annual Report on Form 10-K of Tenaya Therapeutics, Inc. for the year ended December 31, 2023.</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920" w:type="dxa"/>
            <w:vAlign w:val="bottom"/>
            <w:tcBorders>
              <w:top w:val="single" w:sz="8" w:color="auto"/>
              <w:left w:val="single" w:sz="8" w:color="auto"/>
              <w:right w:val="single" w:sz="8" w:color="auto"/>
            </w:tcBorders>
          </w:tcPr>
          <w:p>
            <w:pPr>
              <w:spacing w:after="0"/>
              <w:rPr>
                <w:sz w:val="10"/>
                <w:szCs w:val="10"/>
                <w:color w:val="auto"/>
              </w:rPr>
            </w:pPr>
          </w:p>
        </w:tc>
        <w:tc>
          <w:tcPr>
            <w:tcW w:w="3700" w:type="dxa"/>
            <w:vAlign w:val="bottom"/>
            <w:tcBorders>
              <w:top w:val="single" w:sz="8" w:color="auto"/>
              <w:right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440" w:type="dxa"/>
            <w:vAlign w:val="bottom"/>
            <w:tcBorders>
              <w:top w:val="single" w:sz="8" w:color="auto"/>
              <w:right w:val="single" w:sz="8" w:color="auto"/>
            </w:tcBorders>
          </w:tcPr>
          <w:p>
            <w:pPr>
              <w:spacing w:after="0"/>
              <w:rPr>
                <w:sz w:val="10"/>
                <w:szCs w:val="10"/>
                <w:color w:val="auto"/>
              </w:rPr>
            </w:pPr>
          </w:p>
        </w:tc>
        <w:tc>
          <w:tcPr>
            <w:tcW w:w="122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3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7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jc w:val="center"/>
              <w:ind w:left="28"/>
              <w:spacing w:after="0" w:line="142"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37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9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(1)</w:t>
            </w:r>
          </w:p>
        </w:tc>
        <w:tc>
          <w:tcPr>
            <w:tcW w:w="8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4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2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Fee</w:t>
            </w:r>
          </w:p>
        </w:tc>
        <w:tc>
          <w:tcPr>
            <w:tcW w:w="11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28"/>
        </w:trPr>
        <w:tc>
          <w:tcPr>
            <w:tcW w:w="920" w:type="dxa"/>
            <w:vAlign w:val="bottom"/>
            <w:tcBorders>
              <w:left w:val="single" w:sz="8" w:color="auto"/>
              <w:right w:val="single" w:sz="8" w:color="auto"/>
            </w:tcBorders>
          </w:tcPr>
          <w:p>
            <w:pPr>
              <w:jc w:val="center"/>
              <w:ind w:left="68"/>
              <w:spacing w:after="0" w:line="128" w:lineRule="exact"/>
              <w:rPr>
                <w:sz w:val="20"/>
                <w:szCs w:val="20"/>
                <w:color w:val="auto"/>
              </w:rPr>
            </w:pPr>
            <w:r>
              <w:rPr>
                <w:rFonts w:ascii="Times New Roman" w:cs="Times New Roman" w:eastAsia="Times New Roman" w:hAnsi="Times New Roman"/>
                <w:sz w:val="13"/>
                <w:szCs w:val="13"/>
                <w:b w:val="1"/>
                <w:bCs w:val="1"/>
                <w:color w:val="auto"/>
                <w:w w:val="92"/>
              </w:rPr>
              <w:t>Type</w:t>
            </w:r>
          </w:p>
        </w:tc>
        <w:tc>
          <w:tcPr>
            <w:tcW w:w="37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Title</w:t>
            </w:r>
          </w:p>
        </w:tc>
        <w:tc>
          <w:tcPr>
            <w:tcW w:w="9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Rule</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Registered</w:t>
            </w:r>
          </w:p>
        </w:tc>
        <w:tc>
          <w:tcPr>
            <w:tcW w:w="28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Unit</w:t>
            </w:r>
          </w:p>
        </w:tc>
        <w:tc>
          <w:tcPr>
            <w:tcW w:w="14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2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1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Fee</w:t>
            </w:r>
          </w:p>
        </w:tc>
        <w:tc>
          <w:tcPr>
            <w:tcW w:w="0" w:type="dxa"/>
            <w:vAlign w:val="bottom"/>
          </w:tcPr>
          <w:p>
            <w:pPr>
              <w:spacing w:after="0"/>
              <w:rPr>
                <w:sz w:val="1"/>
                <w:szCs w:val="1"/>
                <w:color w:val="auto"/>
              </w:rPr>
            </w:pPr>
          </w:p>
        </w:tc>
      </w:tr>
      <w:tr>
        <w:trPr>
          <w:trHeight w:val="45"/>
        </w:trPr>
        <w:tc>
          <w:tcPr>
            <w:tcW w:w="92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920" w:type="dxa"/>
            <w:vAlign w:val="bottom"/>
            <w:tcBorders>
              <w:right w:val="single" w:sz="8" w:color="auto"/>
            </w:tcBorders>
            <w:vMerge w:val="restart"/>
          </w:tcPr>
          <w:p>
            <w:pPr>
              <w:jc w:val="center"/>
              <w:spacing w:after="0" w:line="273" w:lineRule="exact"/>
              <w:rPr>
                <w:sz w:val="20"/>
                <w:szCs w:val="20"/>
                <w:color w:val="auto"/>
              </w:rPr>
            </w:pPr>
            <w:r>
              <w:rPr>
                <w:rFonts w:ascii="Times New Roman" w:cs="Times New Roman" w:eastAsia="Times New Roman" w:hAnsi="Times New Roman"/>
                <w:sz w:val="18"/>
                <w:szCs w:val="18"/>
                <w:color w:val="auto"/>
                <w:w w:val="93"/>
              </w:rPr>
              <w:t>Other</w:t>
            </w:r>
            <w:r>
              <w:rPr>
                <w:rFonts w:ascii="Times New Roman" w:cs="Times New Roman" w:eastAsia="Times New Roman" w:hAnsi="Times New Roman"/>
                <w:sz w:val="24"/>
                <w:szCs w:val="24"/>
                <w:color w:val="auto"/>
                <w:w w:val="93"/>
                <w:vertAlign w:val="superscript"/>
              </w:rPr>
              <w:t>(2)</w:t>
            </w:r>
          </w:p>
        </w:tc>
        <w:tc>
          <w:tcPr>
            <w:tcW w:w="1000" w:type="dxa"/>
            <w:vAlign w:val="bottom"/>
            <w:tcBorders>
              <w:right w:val="single" w:sz="8" w:color="auto"/>
            </w:tcBorders>
            <w:gridSpan w:val="2"/>
            <w:vMerge w:val="restart"/>
          </w:tcPr>
          <w:p>
            <w:pPr>
              <w:jc w:val="right"/>
              <w:ind w:right="38"/>
              <w:spacing w:after="0" w:line="273" w:lineRule="exact"/>
              <w:rPr>
                <w:sz w:val="20"/>
                <w:szCs w:val="20"/>
                <w:color w:val="auto"/>
              </w:rPr>
            </w:pPr>
            <w:r>
              <w:rPr>
                <w:rFonts w:ascii="Times New Roman" w:cs="Times New Roman" w:eastAsia="Times New Roman" w:hAnsi="Times New Roman"/>
                <w:sz w:val="18"/>
                <w:szCs w:val="18"/>
                <w:color w:val="auto"/>
                <w:w w:val="99"/>
              </w:rPr>
              <w:t>1,200,000</w:t>
            </w:r>
            <w:r>
              <w:rPr>
                <w:rFonts w:ascii="Times New Roman" w:cs="Times New Roman" w:eastAsia="Times New Roman" w:hAnsi="Times New Roman"/>
                <w:sz w:val="24"/>
                <w:szCs w:val="24"/>
                <w:color w:val="auto"/>
                <w:w w:val="99"/>
                <w:vertAlign w:val="superscript"/>
              </w:rPr>
              <w:t>(2)</w:t>
            </w:r>
          </w:p>
        </w:tc>
        <w:tc>
          <w:tcPr>
            <w:tcW w:w="800" w:type="dxa"/>
            <w:vAlign w:val="bottom"/>
            <w:tcBorders>
              <w:right w:val="single" w:sz="8" w:color="auto"/>
            </w:tcBorders>
            <w:vMerge w:val="restart"/>
          </w:tcPr>
          <w:p>
            <w:pPr>
              <w:jc w:val="center"/>
              <w:spacing w:after="0" w:line="273" w:lineRule="exact"/>
              <w:rPr>
                <w:sz w:val="20"/>
                <w:szCs w:val="20"/>
                <w:color w:val="auto"/>
              </w:rPr>
            </w:pPr>
            <w:r>
              <w:rPr>
                <w:rFonts w:ascii="Times New Roman" w:cs="Times New Roman" w:eastAsia="Times New Roman" w:hAnsi="Times New Roman"/>
                <w:sz w:val="18"/>
                <w:szCs w:val="18"/>
                <w:color w:val="auto"/>
                <w:w w:val="93"/>
              </w:rPr>
              <w:t>$2.31</w:t>
            </w:r>
            <w:r>
              <w:rPr>
                <w:rFonts w:ascii="Times New Roman" w:cs="Times New Roman" w:eastAsia="Times New Roman" w:hAnsi="Times New Roman"/>
                <w:sz w:val="28"/>
                <w:szCs w:val="28"/>
                <w:color w:val="auto"/>
                <w:w w:val="93"/>
                <w:vertAlign w:val="superscript"/>
              </w:rPr>
              <w:t>(3)</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$2,772,000.00</w:t>
            </w:r>
          </w:p>
        </w:tc>
        <w:tc>
          <w:tcPr>
            <w:tcW w:w="12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$147.60 per</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$409.15</w:t>
            </w:r>
          </w:p>
        </w:tc>
        <w:tc>
          <w:tcPr>
            <w:tcW w:w="0" w:type="dxa"/>
            <w:vAlign w:val="bottom"/>
          </w:tcPr>
          <w:p>
            <w:pPr>
              <w:spacing w:after="0"/>
              <w:rPr>
                <w:sz w:val="1"/>
                <w:szCs w:val="1"/>
                <w:color w:val="auto"/>
              </w:rPr>
            </w:pPr>
          </w:p>
        </w:tc>
      </w:tr>
      <w:tr>
        <w:trPr>
          <w:trHeight w:val="208"/>
        </w:trPr>
        <w:tc>
          <w:tcPr>
            <w:tcW w:w="920" w:type="dxa"/>
            <w:vAlign w:val="bottom"/>
            <w:tcBorders>
              <w:left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8"/>
                <w:szCs w:val="18"/>
                <w:color w:val="auto"/>
                <w:w w:val="99"/>
              </w:rPr>
              <w:t>Equity</w:t>
            </w:r>
          </w:p>
        </w:tc>
        <w:tc>
          <w:tcPr>
            <w:tcW w:w="3700" w:type="dxa"/>
            <w:vAlign w:val="bottom"/>
            <w:tcBorders>
              <w:right w:val="single" w:sz="8" w:color="auto"/>
            </w:tcBorders>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reserved for issuance pursuant to the Tenaya</w:t>
            </w:r>
          </w:p>
        </w:tc>
        <w:tc>
          <w:tcPr>
            <w:tcW w:w="9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Therapeutics, Inc. 2024 Inducement Equity</w:t>
            </w:r>
          </w:p>
        </w:tc>
        <w:tc>
          <w:tcPr>
            <w:tcW w:w="9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9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20" w:type="dxa"/>
            <w:vAlign w:val="bottom"/>
            <w:tcBorders>
              <w:left w:val="single" w:sz="8" w:color="auto"/>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$2,772,000.00</w:t>
            </w: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$409.15</w:t>
            </w:r>
          </w:p>
        </w:tc>
        <w:tc>
          <w:tcPr>
            <w:tcW w:w="0" w:type="dxa"/>
            <w:vAlign w:val="bottom"/>
          </w:tcPr>
          <w:p>
            <w:pPr>
              <w:spacing w:after="0"/>
              <w:rPr>
                <w:sz w:val="1"/>
                <w:szCs w:val="1"/>
                <w:color w:val="auto"/>
              </w:rPr>
            </w:pP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left="1078"/>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left="1078"/>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$409.15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-1071245</wp:posOffset>
            </wp:positionV>
            <wp:extent cx="64916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6491605" cy="8255"/>
                    </a:xfrm>
                    <a:prstGeom prst="rect">
                      <a:avLst/>
                    </a:prstGeom>
                    <a:noFill/>
                  </pic:spPr>
                </pic:pic>
              </a:graphicData>
            </a:graphic>
          </wp:anchor>
        </w:drawing>
      </w:r>
    </w:p>
    <w:p>
      <w:pPr>
        <w:spacing w:after="0" w:line="218" w:lineRule="exact"/>
        <w:rPr>
          <w:sz w:val="20"/>
          <w:szCs w:val="20"/>
          <w:color w:val="auto"/>
        </w:rPr>
      </w:pPr>
    </w:p>
    <w:p>
      <w:pPr>
        <w:ind w:left="480" w:right="300" w:hanging="459"/>
        <w:spacing w:after="0" w:line="281" w:lineRule="auto"/>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under the Securities Act of 1933, as amended (the “Securities Act”), this Registration Statement shall also cover any additional shares of the Registrant’s common stock, $0.0001 par value per share ("Common Stock"), that become issuable under the Registrant’s 2024 Inducement Equity Incentive Plan (the "Plan") by reason of an event such as any stock split, stock dividend or similar adjustment effected without the Registrant’s receipt of consideration that increases the number of the Registrant’s outstanding shares of common stock.</w:t>
      </w:r>
    </w:p>
    <w:p>
      <w:pPr>
        <w:spacing w:after="0" w:line="218" w:lineRule="exact"/>
        <w:rPr>
          <w:rFonts w:ascii="Times New Roman" w:cs="Times New Roman" w:eastAsia="Times New Roman" w:hAnsi="Times New Roman"/>
          <w:sz w:val="17"/>
          <w:szCs w:val="17"/>
          <w:color w:val="auto"/>
        </w:rPr>
      </w:pPr>
    </w:p>
    <w:p>
      <w:pPr>
        <w:ind w:left="480" w:hanging="459"/>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1,200,000 shares of Common Stock reserved for issuance under the Plan.</w:t>
      </w:r>
    </w:p>
    <w:p>
      <w:pPr>
        <w:spacing w:after="0" w:line="279" w:lineRule="exact"/>
        <w:rPr>
          <w:rFonts w:ascii="Times New Roman" w:cs="Times New Roman" w:eastAsia="Times New Roman" w:hAnsi="Times New Roman"/>
          <w:sz w:val="18"/>
          <w:szCs w:val="18"/>
          <w:color w:val="auto"/>
        </w:rPr>
      </w:pPr>
    </w:p>
    <w:p>
      <w:pPr>
        <w:ind w:left="480" w:right="240" w:hanging="459"/>
        <w:spacing w:after="0" w:line="266"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 (c) and (h) of the Securities Act solely for the purpose of calculating the registration fee on the basis of $2.31 per share, which represents the average of the high and low prices of the Registrant’s common stock on September 10, 2024,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1319530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lvl w:ilvl="1">
      <w:lvlJc w:val="left"/>
      <w:lvlText w:val="(%2)"/>
      <w:numFmt w:val="decimal"/>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upperLetter"/>
      <w:start w:val="1"/>
    </w:lvl>
    <w:lvl w:ilvl="1">
      <w:lvlJc w:val="left"/>
      <w:lvlText w:val="(%2)"/>
      <w:numFmt w:val="decimal"/>
      <w:start w:val="2"/>
    </w:lvl>
  </w:abstractNum>
  <w:abstractNum w:abstractNumId="6">
    <w:nsid w:val="79E2A9E3"/>
    <w:multiLevelType w:val="hybridMultilevel"/>
    <w:lvl w:ilvl="0">
      <w:lvlJc w:val="left"/>
      <w:lvlText w:val="%1."/>
      <w:numFmt w:val="upp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16" Type="http://schemas.openxmlformats.org/officeDocument/2006/relationships/hyperlink" Target="https://www.sec.gov/Archives/edgar/data/0001858848/000119312521223559/d175698dex42.htm" TargetMode="External"/><Relationship Id="rId17" Type="http://schemas.openxmlformats.org/officeDocument/2006/relationships/hyperlink" Target="https://www.sec.gov/Archives/edgar/data/1858848/000095017024106817/tny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2024-09-17T05:40:33Z</dcterms:created>
  <dcterms:modified xsi:type="dcterms:W3CDTF">2024-09-17T05:40:33Z</dcterms:modified>
</cp:coreProperties>
</file>