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3" w:lineRule="exact"/>
        <w:rPr>
          <w:sz w:val="24"/>
          <w:szCs w:val="24"/>
          <w:color w:val="auto"/>
        </w:rPr>
      </w:pPr>
    </w:p>
    <w:p>
      <w:pPr>
        <w:ind w:left="340" w:right="14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-217170</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300"/>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-598170</wp:posOffset>
            </wp:positionV>
            <wp:extent cx="5651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1505"/>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-598170</wp:posOffset>
            </wp:positionV>
            <wp:extent cx="56515" cy="6115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150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634365</wp:posOffset>
            </wp:positionV>
            <wp:extent cx="7049135" cy="8125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8125460"/>
                    </a:xfrm>
                    <a:prstGeom prst="rect">
                      <a:avLst/>
                    </a:prstGeom>
                    <a:noFill/>
                  </pic:spPr>
                </pic:pic>
              </a:graphicData>
            </a:graphic>
          </wp:anchor>
        </w:drawing>
      </w:r>
    </w:p>
    <w:p>
      <w:pPr>
        <w:spacing w:after="0" w:line="1069" w:lineRule="exact"/>
        <w:rPr>
          <w:sz w:val="24"/>
          <w:szCs w:val="24"/>
          <w:color w:val="auto"/>
        </w:rPr>
      </w:pPr>
    </w:p>
    <w:p>
      <w:pPr>
        <w:sectPr>
          <w:pgSz w:w="11900" w:h="16838" w:orient="portrait"/>
          <w:cols w:equalWidth="0" w:num="2">
            <w:col w:w="2280" w:space="420"/>
            <w:col w:w="838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Tingley Whittemore</w:t>
        </w:r>
      </w:hyperlink>
    </w:p>
    <w:p>
      <w:pPr>
        <w:spacing w:after="0" w:line="278"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Tenaya Therapeutics,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TNYA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200" w:lineRule="exact"/>
        <w:rPr>
          <w:sz w:val="24"/>
          <w:szCs w:val="24"/>
          <w:color w:val="auto"/>
        </w:rPr>
      </w:pPr>
    </w:p>
    <w:p>
      <w:pPr>
        <w:spacing w:after="0" w:line="31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01/24/2025</w:t>
      </w:r>
    </w:p>
    <w:p>
      <w:pPr>
        <w:spacing w:after="0" w:line="20" w:lineRule="exact"/>
        <w:rPr>
          <w:sz w:val="24"/>
          <w:szCs w:val="24"/>
          <w:color w:val="auto"/>
        </w:rPr>
      </w:pPr>
      <w:r>
        <w:rPr>
          <w:sz w:val="24"/>
          <w:szCs w:val="24"/>
          <w:color w:val="auto"/>
        </w:rPr>
        <w:br w:type="column"/>
      </w:r>
    </w:p>
    <w:p>
      <w:pPr>
        <w:ind w:left="9" w:right="760" w:hanging="9"/>
        <w:spacing w:after="0" w:line="267" w:lineRule="auto"/>
        <w:tabs>
          <w:tab w:leader="none" w:pos="146"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7"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9" w:lineRule="exact"/>
        <w:rPr>
          <w:sz w:val="24"/>
          <w:szCs w:val="24"/>
          <w:color w:val="auto"/>
        </w:rPr>
      </w:pPr>
    </w:p>
    <w:p>
      <w:pPr>
        <w:ind w:left="529"/>
        <w:spacing w:after="0"/>
        <w:tabs>
          <w:tab w:leader="none" w:pos="208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4" w:lineRule="exact"/>
        <w:rPr>
          <w:sz w:val="24"/>
          <w:szCs w:val="24"/>
          <w:color w:val="auto"/>
        </w:rPr>
      </w:pPr>
    </w:p>
    <w:p>
      <w:pPr>
        <w:ind w:left="869"/>
        <w:spacing w:after="0"/>
        <w:rPr>
          <w:sz w:val="20"/>
          <w:szCs w:val="20"/>
          <w:color w:val="auto"/>
        </w:rPr>
      </w:pPr>
      <w:r>
        <w:rPr>
          <w:rFonts w:ascii="Times New Roman" w:cs="Times New Roman" w:eastAsia="Times New Roman" w:hAnsi="Times New Roman"/>
          <w:sz w:val="16"/>
          <w:szCs w:val="16"/>
          <w:color w:val="0000FF"/>
        </w:rPr>
        <w:t>Chief Medical Officer</w:t>
      </w:r>
    </w:p>
    <w:p>
      <w:pPr>
        <w:spacing w:after="0" w:line="569" w:lineRule="exact"/>
        <w:rPr>
          <w:sz w:val="24"/>
          <w:szCs w:val="24"/>
          <w:color w:val="auto"/>
        </w:rPr>
      </w:pPr>
    </w:p>
    <w:p>
      <w:pPr>
        <w:sectPr>
          <w:pgSz w:w="11900" w:h="16838" w:orient="portrait"/>
          <w:cols w:equalWidth="0" w:num="3">
            <w:col w:w="3180" w:space="720"/>
            <w:col w:w="3111" w:space="720"/>
            <w:col w:w="3349"/>
          </w:cols>
          <w:pgMar w:left="460" w:top="213" w:right="359" w:bottom="0" w:gutter="0" w:footer="0" w:header="0"/>
          <w:type w:val="continuous"/>
        </w:sectPr>
      </w:pP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42"/>
        </w:trPr>
        <w:tc>
          <w:tcPr>
            <w:tcW w:w="20" w:type="dxa"/>
            <w:vAlign w:val="bottom"/>
            <w:vMerge w:val="restart"/>
          </w:tcPr>
          <w:p>
            <w:pPr>
              <w:spacing w:after="0"/>
              <w:rPr>
                <w:sz w:val="3"/>
                <w:szCs w:val="3"/>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80" w:type="dxa"/>
            <w:vAlign w:val="bottom"/>
            <w:gridSpan w:val="7"/>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560" w:type="dxa"/>
            <w:vAlign w:val="bottom"/>
            <w:gridSpan w:val="8"/>
            <w:vMerge w:val="restart"/>
          </w:tcPr>
          <w:p>
            <w:pPr>
              <w:ind w:left="22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SOUTH SAN</w:t>
            </w: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80" w:type="dxa"/>
            <w:vAlign w:val="bottom"/>
            <w:gridSpan w:val="7"/>
            <w:vMerge w:val="continue"/>
          </w:tcPr>
          <w:p>
            <w:pPr>
              <w:spacing w:after="0"/>
              <w:rPr>
                <w:sz w:val="8"/>
                <w:szCs w:val="8"/>
                <w:color w:val="auto"/>
              </w:rPr>
            </w:pPr>
          </w:p>
        </w:tc>
        <w:tc>
          <w:tcPr>
            <w:tcW w:w="35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94080</w:t>
            </w: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140" w:type="dxa"/>
            <w:vAlign w:val="bottom"/>
            <w:gridSpan w:val="4"/>
            <w:vMerge w:val="restart"/>
          </w:tcPr>
          <w:p>
            <w:pPr>
              <w:ind w:left="14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FRANCISCO</w:t>
            </w:r>
          </w:p>
        </w:tc>
        <w:tc>
          <w:tcPr>
            <w:tcW w:w="1120" w:type="dxa"/>
            <w:vAlign w:val="bottom"/>
            <w:gridSpan w:val="2"/>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14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120" w:type="dxa"/>
            <w:vAlign w:val="bottom"/>
            <w:tcBorders>
              <w:bottom w:val="single" w:sz="8" w:color="9A9A9A"/>
            </w:tcBorders>
            <w:gridSpan w:val="2"/>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64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000" w:type="dxa"/>
            <w:vAlign w:val="bottom"/>
          </w:tcPr>
          <w:p>
            <w:pPr>
              <w:ind w:left="14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3"/>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3"/>
                <w:szCs w:val="13"/>
                <w:color w:val="auto"/>
              </w:rPr>
            </w:pPr>
          </w:p>
        </w:tc>
        <w:tc>
          <w:tcPr>
            <w:tcW w:w="900" w:type="dxa"/>
            <w:vAlign w:val="bottom"/>
            <w:gridSpan w:val="4"/>
          </w:tcPr>
          <w:p>
            <w:pPr>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140"/>
              <w:spacing w:after="0"/>
              <w:rPr>
                <w:sz w:val="20"/>
                <w:szCs w:val="20"/>
                <w:color w:val="auto"/>
              </w:rPr>
            </w:pPr>
            <w:r>
              <w:rPr>
                <w:rFonts w:ascii="Arial" w:cs="Arial" w:eastAsia="Arial" w:hAnsi="Arial"/>
                <w:sz w:val="11"/>
                <w:szCs w:val="11"/>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0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14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20" w:type="dxa"/>
            <w:vAlign w:val="bottom"/>
            <w:gridSpan w:val="5"/>
          </w:tcPr>
          <w:p>
            <w:pPr>
              <w:spacing w:after="0" w:line="123" w:lineRule="exact"/>
              <w:rPr>
                <w:sz w:val="20"/>
                <w:szCs w:val="20"/>
                <w:color w:val="auto"/>
              </w:rPr>
            </w:pPr>
            <w:r>
              <w:rPr>
                <w:rFonts w:ascii="Arial" w:cs="Arial" w:eastAsia="Arial" w:hAnsi="Arial"/>
                <w:sz w:val="11"/>
                <w:szCs w:val="11"/>
                <w:b w:val="1"/>
                <w:bCs w:val="1"/>
                <w:color w:val="auto"/>
              </w:rPr>
              <w:t>(Month/Day/Year)  if any</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gridSpan w:val="2"/>
          </w:tcPr>
          <w:p>
            <w:pPr>
              <w:ind w:left="140"/>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8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80"/>
              <w:spacing w:after="0" w:line="123" w:lineRule="exact"/>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0"/>
                <w:szCs w:val="20"/>
                <w:color w:val="008000"/>
                <w:vertAlign w:val="superscript"/>
              </w:rPr>
              <w:t>(1)</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w w:val="97"/>
              </w:rPr>
              <w:t>01/24/2025</w:t>
            </w:r>
            <w:r>
              <w:rPr>
                <w:rFonts w:ascii="Times New Roman" w:cs="Times New Roman" w:eastAsia="Times New Roman" w:hAnsi="Times New Roman"/>
                <w:sz w:val="20"/>
                <w:szCs w:val="20"/>
                <w:color w:val="008000"/>
                <w:w w:val="97"/>
                <w:vertAlign w:val="superscript"/>
              </w:rPr>
              <w:t>(2)</w:t>
            </w:r>
          </w:p>
        </w:tc>
        <w:tc>
          <w:tcPr>
            <w:tcW w:w="5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A</w:t>
            </w: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40,000</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6"/>
                <w:szCs w:val="16"/>
                <w:color w:val="0000FF"/>
              </w:rPr>
              <w:t>147,106</w:t>
            </w:r>
            <w:r>
              <w:rPr>
                <w:rFonts w:ascii="Times New Roman" w:cs="Times New Roman" w:eastAsia="Times New Roman" w:hAnsi="Times New Roman"/>
                <w:sz w:val="20"/>
                <w:szCs w:val="20"/>
                <w:color w:val="008000"/>
                <w:vertAlign w:val="superscript"/>
              </w:rPr>
              <w:t>(3)</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0"/>
                <w:szCs w:val="20"/>
                <w:color w:val="008000"/>
                <w:vertAlign w:val="superscript"/>
              </w:rPr>
              <w:t>(1)</w:t>
            </w:r>
          </w:p>
        </w:tc>
        <w:tc>
          <w:tcPr>
            <w:tcW w:w="1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6"/>
                <w:szCs w:val="16"/>
                <w:color w:val="0000FF"/>
                <w:w w:val="97"/>
              </w:rPr>
              <w:t>01/24/2025</w:t>
            </w:r>
            <w:r>
              <w:rPr>
                <w:rFonts w:ascii="Times New Roman" w:cs="Times New Roman" w:eastAsia="Times New Roman" w:hAnsi="Times New Roman"/>
                <w:sz w:val="20"/>
                <w:szCs w:val="20"/>
                <w:color w:val="008000"/>
                <w:w w:val="97"/>
                <w:vertAlign w:val="superscript"/>
              </w:rPr>
              <w:t>(4)</w:t>
            </w:r>
          </w:p>
        </w:tc>
        <w:tc>
          <w:tcPr>
            <w:tcW w:w="5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A</w:t>
            </w: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6"/>
                <w:szCs w:val="16"/>
                <w:color w:val="0000FF"/>
              </w:rPr>
              <w:t>31,676</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6"/>
                <w:szCs w:val="16"/>
                <w:color w:val="0000FF"/>
              </w:rPr>
              <w:t>178,782</w:t>
            </w:r>
            <w:r>
              <w:rPr>
                <w:rFonts w:ascii="Times New Roman" w:cs="Times New Roman" w:eastAsia="Times New Roman" w:hAnsi="Times New Roman"/>
                <w:sz w:val="20"/>
                <w:szCs w:val="20"/>
                <w:color w:val="008000"/>
                <w:vertAlign w:val="superscript"/>
              </w:rPr>
              <w:t>(5)</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360" w:type="dxa"/>
            <w:vAlign w:val="bottom"/>
            <w:tcBorders>
              <w:top w:val="single" w:sz="8" w:color="2C2C2C"/>
            </w:tcBorders>
            <w:gridSpan w:val="13"/>
          </w:tcPr>
          <w:p>
            <w:pPr>
              <w:ind w:left="2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2"/>
          </w:tcPr>
          <w:p>
            <w:pPr>
              <w:ind w:left="9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34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520" w:type="dxa"/>
            <w:vAlign w:val="bottom"/>
          </w:tcPr>
          <w:p>
            <w:pPr>
              <w:spacing w:after="0" w:line="123" w:lineRule="exact"/>
              <w:rPr>
                <w:sz w:val="20"/>
                <w:szCs w:val="20"/>
                <w:color w:val="auto"/>
              </w:rPr>
            </w:pPr>
            <w:r>
              <w:rPr>
                <w:rFonts w:ascii="Arial" w:cs="Arial" w:eastAsia="Arial" w:hAnsi="Arial"/>
                <w:sz w:val="11"/>
                <w:szCs w:val="11"/>
                <w:b w:val="1"/>
                <w:bCs w:val="1"/>
                <w:color w:val="auto"/>
                <w:w w:val="94"/>
              </w:rPr>
              <w:t>Derivative</w:t>
            </w:r>
          </w:p>
        </w:tc>
        <w:tc>
          <w:tcPr>
            <w:tcW w:w="540" w:type="dxa"/>
            <w:vAlign w:val="bottom"/>
          </w:tcPr>
          <w:p>
            <w:pPr>
              <w:spacing w:after="0"/>
              <w:rPr>
                <w:sz w:val="10"/>
                <w:szCs w:val="10"/>
                <w:color w:val="auto"/>
              </w:rPr>
            </w:pPr>
          </w:p>
        </w:tc>
        <w:tc>
          <w:tcPr>
            <w:tcW w:w="8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Expiration Date</w:t>
            </w:r>
          </w:p>
        </w:tc>
        <w:tc>
          <w:tcPr>
            <w:tcW w:w="660" w:type="dxa"/>
            <w:vAlign w:val="bottom"/>
          </w:tcPr>
          <w:p>
            <w:pPr>
              <w:spacing w:after="0"/>
              <w:rPr>
                <w:sz w:val="10"/>
                <w:szCs w:val="10"/>
                <w:color w:val="auto"/>
              </w:rPr>
            </w:pPr>
          </w:p>
        </w:tc>
        <w:tc>
          <w:tcPr>
            <w:tcW w:w="12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line="123" w:lineRule="exact"/>
              <w:rPr>
                <w:sz w:val="20"/>
                <w:szCs w:val="20"/>
                <w:color w:val="auto"/>
              </w:rPr>
            </w:pPr>
            <w:r>
              <w:rPr>
                <w:rFonts w:ascii="Arial" w:cs="Arial" w:eastAsia="Arial" w:hAnsi="Arial"/>
                <w:sz w:val="11"/>
                <w:szCs w:val="11"/>
                <w:b w:val="1"/>
                <w:bCs w:val="1"/>
                <w:color w:val="auto"/>
                <w:w w:val="94"/>
              </w:rPr>
              <w:t>Securities</w:t>
            </w:r>
          </w:p>
        </w:tc>
        <w:tc>
          <w:tcPr>
            <w:tcW w:w="540" w:type="dxa"/>
            <w:vAlign w:val="bottom"/>
          </w:tcPr>
          <w:p>
            <w:pPr>
              <w:spacing w:after="0"/>
              <w:rPr>
                <w:sz w:val="10"/>
                <w:szCs w:val="10"/>
                <w:color w:val="auto"/>
              </w:rPr>
            </w:pPr>
          </w:p>
        </w:tc>
        <w:tc>
          <w:tcPr>
            <w:tcW w:w="150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7"/>
              </w:rPr>
              <w:t>Underlying</w:t>
            </w:r>
          </w:p>
        </w:tc>
        <w:tc>
          <w:tcPr>
            <w:tcW w:w="600" w:type="dxa"/>
            <w:vAlign w:val="bottom"/>
          </w:tcPr>
          <w:p>
            <w:pPr>
              <w:spacing w:after="0"/>
              <w:rPr>
                <w:sz w:val="10"/>
                <w:szCs w:val="10"/>
                <w:color w:val="auto"/>
              </w:rPr>
            </w:pP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ind w:left="10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340" w:type="dxa"/>
            <w:vAlign w:val="bottom"/>
            <w:gridSpan w:val="2"/>
          </w:tcPr>
          <w:p>
            <w:pPr>
              <w:ind w:left="120"/>
              <w:spacing w:after="0" w:line="123"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4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5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3"/>
          </w:tcPr>
          <w:p>
            <w:pPr>
              <w:ind w:left="16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6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vMerge w:val="restart"/>
          </w:tcPr>
          <w:p>
            <w:pPr>
              <w:ind w:left="60"/>
              <w:spacing w:after="0" w:line="123" w:lineRule="exact"/>
              <w:rPr>
                <w:sz w:val="20"/>
                <w:szCs w:val="20"/>
                <w:color w:val="auto"/>
              </w:rPr>
            </w:pPr>
            <w:r>
              <w:rPr>
                <w:rFonts w:ascii="Arial" w:cs="Arial" w:eastAsia="Arial" w:hAnsi="Arial"/>
                <w:sz w:val="11"/>
                <w:szCs w:val="11"/>
                <w:b w:val="1"/>
                <w:bCs w:val="1"/>
                <w:color w:val="auto"/>
                <w:w w:val="95"/>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line="123"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line="123"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5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600" w:type="dxa"/>
            <w:vAlign w:val="bottom"/>
          </w:tcPr>
          <w:p>
            <w:pPr>
              <w:spacing w:after="0" w:line="123"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jc w:val="center"/>
              <w:ind w:left="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1.21</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01/24/2025</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20" w:type="dxa"/>
            <w:vAlign w:val="bottom"/>
          </w:tcPr>
          <w:p>
            <w:pPr>
              <w:jc w:val="center"/>
              <w:ind w:right="63"/>
              <w:spacing w:after="0"/>
              <w:rPr>
                <w:sz w:val="20"/>
                <w:szCs w:val="20"/>
                <w:color w:val="auto"/>
              </w:rPr>
            </w:pPr>
            <w:r>
              <w:rPr>
                <w:rFonts w:ascii="Times New Roman" w:cs="Times New Roman" w:eastAsia="Times New Roman" w:hAnsi="Times New Roman"/>
                <w:sz w:val="12"/>
                <w:szCs w:val="12"/>
                <w:color w:val="0000FF"/>
              </w:rPr>
              <w:t>235,000</w:t>
            </w:r>
          </w:p>
        </w:tc>
        <w:tc>
          <w:tcPr>
            <w:tcW w:w="540" w:type="dxa"/>
            <w:vAlign w:val="bottom"/>
          </w:tcPr>
          <w:p>
            <w:pPr>
              <w:spacing w:after="0"/>
              <w:rPr>
                <w:sz w:val="17"/>
                <w:szCs w:val="17"/>
                <w:color w:val="auto"/>
              </w:rPr>
            </w:pPr>
          </w:p>
        </w:tc>
        <w:tc>
          <w:tcPr>
            <w:tcW w:w="840" w:type="dxa"/>
            <w:vAlign w:val="bottom"/>
            <w:gridSpan w:val="2"/>
          </w:tcPr>
          <w:p>
            <w:pPr>
              <w:jc w:val="center"/>
              <w:ind w:right="62"/>
              <w:spacing w:after="0" w:line="198" w:lineRule="exact"/>
              <w:rPr>
                <w:sz w:val="20"/>
                <w:szCs w:val="20"/>
                <w:color w:val="auto"/>
              </w:rPr>
            </w:pPr>
            <w:r>
              <w:rPr>
                <w:rFonts w:ascii="Times New Roman" w:cs="Times New Roman" w:eastAsia="Times New Roman" w:hAnsi="Times New Roman"/>
                <w:sz w:val="12"/>
                <w:szCs w:val="12"/>
                <w:color w:val="0000FF"/>
                <w:w w:val="96"/>
              </w:rPr>
              <w:t>02/24/2025</w:t>
            </w:r>
            <w:r>
              <w:rPr>
                <w:rFonts w:ascii="Times New Roman" w:cs="Times New Roman" w:eastAsia="Times New Roman" w:hAnsi="Times New Roman"/>
                <w:sz w:val="20"/>
                <w:szCs w:val="20"/>
                <w:color w:val="008000"/>
                <w:w w:val="96"/>
                <w:vertAlign w:val="superscript"/>
              </w:rPr>
              <w:t>(6)</w:t>
            </w:r>
          </w:p>
        </w:tc>
        <w:tc>
          <w:tcPr>
            <w:tcW w:w="66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01/23/2035</w:t>
            </w: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jc w:val="center"/>
              <w:ind w:right="8"/>
              <w:spacing w:after="0"/>
              <w:rPr>
                <w:sz w:val="20"/>
                <w:szCs w:val="20"/>
                <w:color w:val="auto"/>
              </w:rPr>
            </w:pPr>
            <w:r>
              <w:rPr>
                <w:rFonts w:ascii="Times New Roman" w:cs="Times New Roman" w:eastAsia="Times New Roman" w:hAnsi="Times New Roman"/>
                <w:sz w:val="16"/>
                <w:szCs w:val="16"/>
                <w:color w:val="0000FF"/>
                <w:w w:val="99"/>
              </w:rPr>
              <w:t>235,000</w:t>
            </w:r>
          </w:p>
        </w:tc>
        <w:tc>
          <w:tcPr>
            <w:tcW w:w="660" w:type="dxa"/>
            <w:vAlign w:val="bottom"/>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235,000</w:t>
            </w:r>
          </w:p>
        </w:tc>
        <w:tc>
          <w:tcPr>
            <w:tcW w:w="62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jc w:val="center"/>
              <w:ind w:right="24"/>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640" w:type="dxa"/>
            <w:vAlign w:val="bottom"/>
            <w:vMerge w:val="restart"/>
          </w:tcPr>
          <w:p>
            <w:pPr>
              <w:jc w:val="center"/>
              <w:ind w:left="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9.36</w:t>
            </w:r>
          </w:p>
        </w:tc>
        <w:tc>
          <w:tcPr>
            <w:tcW w:w="1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01/24/2025</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520" w:type="dxa"/>
            <w:vAlign w:val="bottom"/>
          </w:tcPr>
          <w:p>
            <w:pPr>
              <w:spacing w:after="0"/>
              <w:rPr>
                <w:sz w:val="11"/>
                <w:szCs w:val="11"/>
                <w:color w:val="auto"/>
              </w:rPr>
            </w:pPr>
          </w:p>
        </w:tc>
        <w:tc>
          <w:tcPr>
            <w:tcW w:w="540" w:type="dxa"/>
            <w:vAlign w:val="bottom"/>
            <w:vMerge w:val="restart"/>
          </w:tcPr>
          <w:p>
            <w:pPr>
              <w:jc w:val="center"/>
              <w:ind w:right="60"/>
              <w:spacing w:after="0"/>
              <w:rPr>
                <w:sz w:val="20"/>
                <w:szCs w:val="20"/>
                <w:color w:val="auto"/>
              </w:rPr>
            </w:pPr>
            <w:r>
              <w:rPr>
                <w:rFonts w:ascii="Times New Roman" w:cs="Times New Roman" w:eastAsia="Times New Roman" w:hAnsi="Times New Roman"/>
                <w:sz w:val="12"/>
                <w:szCs w:val="12"/>
                <w:color w:val="0000FF"/>
              </w:rPr>
              <w:t>69,982</w:t>
            </w:r>
          </w:p>
        </w:tc>
        <w:tc>
          <w:tcPr>
            <w:tcW w:w="840" w:type="dxa"/>
            <w:vAlign w:val="bottom"/>
            <w:gridSpan w:val="2"/>
            <w:vMerge w:val="restart"/>
          </w:tcPr>
          <w:p>
            <w:pPr>
              <w:jc w:val="center"/>
              <w:ind w:right="62"/>
              <w:spacing w:after="0"/>
              <w:rPr>
                <w:sz w:val="20"/>
                <w:szCs w:val="20"/>
                <w:color w:val="auto"/>
              </w:rPr>
            </w:pPr>
            <w:r>
              <w:rPr>
                <w:rFonts w:ascii="Times New Roman" w:cs="Times New Roman" w:eastAsia="Times New Roman" w:hAnsi="Times New Roman"/>
                <w:sz w:val="12"/>
                <w:szCs w:val="12"/>
                <w:color w:val="0000FF"/>
                <w:w w:val="96"/>
              </w:rPr>
              <w:t>07/17/2021</w:t>
            </w:r>
            <w:r>
              <w:rPr>
                <w:rFonts w:ascii="Times New Roman" w:cs="Times New Roman" w:eastAsia="Times New Roman" w:hAnsi="Times New Roman"/>
                <w:sz w:val="20"/>
                <w:szCs w:val="20"/>
                <w:color w:val="008000"/>
                <w:w w:val="96"/>
                <w:vertAlign w:val="superscript"/>
              </w:rPr>
              <w:t>(7)</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06/16/2031</w:t>
            </w:r>
          </w:p>
        </w:tc>
        <w:tc>
          <w:tcPr>
            <w:tcW w:w="640" w:type="dxa"/>
            <w:vAlign w:val="bottom"/>
          </w:tcPr>
          <w:p>
            <w:pPr>
              <w:jc w:val="center"/>
              <w:ind w:right="4"/>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w w:val="99"/>
              </w:rPr>
              <w:t>69,982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(8)(9)</w:t>
            </w:r>
          </w:p>
        </w:tc>
        <w:tc>
          <w:tcPr>
            <w:tcW w:w="540" w:type="dxa"/>
            <w:vAlign w:val="bottom"/>
            <w:vMerge w:val="restart"/>
          </w:tcPr>
          <w:p>
            <w:pPr>
              <w:jc w:val="center"/>
              <w:ind w:left="302"/>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1"/>
                <w:szCs w:val="11"/>
                <w:color w:val="auto"/>
              </w:rPr>
            </w:pP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40" w:type="dxa"/>
            <w:vAlign w:val="bottom"/>
          </w:tcPr>
          <w:p>
            <w:pPr>
              <w:jc w:val="center"/>
              <w:ind w:right="24"/>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Option</w:t>
            </w:r>
          </w:p>
        </w:tc>
        <w:tc>
          <w:tcPr>
            <w:tcW w:w="640" w:type="dxa"/>
            <w:vAlign w:val="bottom"/>
            <w:vMerge w:val="restart"/>
          </w:tcPr>
          <w:p>
            <w:pPr>
              <w:jc w:val="center"/>
              <w:ind w:left="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1.21</w:t>
            </w:r>
          </w:p>
        </w:tc>
        <w:tc>
          <w:tcPr>
            <w:tcW w:w="120" w:type="dxa"/>
            <w:vAlign w:val="bottom"/>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01/24/2025</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20" w:type="dxa"/>
            <w:vAlign w:val="bottom"/>
            <w:vMerge w:val="restart"/>
          </w:tcPr>
          <w:p>
            <w:pPr>
              <w:jc w:val="center"/>
              <w:ind w:right="43"/>
              <w:spacing w:after="0"/>
              <w:rPr>
                <w:sz w:val="20"/>
                <w:szCs w:val="20"/>
                <w:color w:val="auto"/>
              </w:rPr>
            </w:pPr>
            <w:r>
              <w:rPr>
                <w:rFonts w:ascii="Times New Roman" w:cs="Times New Roman" w:eastAsia="Times New Roman" w:hAnsi="Times New Roman"/>
                <w:sz w:val="12"/>
                <w:szCs w:val="12"/>
                <w:color w:val="0000FF"/>
              </w:rPr>
              <w:t>69,982</w:t>
            </w:r>
          </w:p>
        </w:tc>
        <w:tc>
          <w:tcPr>
            <w:tcW w:w="540" w:type="dxa"/>
            <w:vAlign w:val="bottom"/>
          </w:tcPr>
          <w:p>
            <w:pPr>
              <w:spacing w:after="0"/>
              <w:rPr>
                <w:sz w:val="11"/>
                <w:szCs w:val="11"/>
                <w:color w:val="auto"/>
              </w:rPr>
            </w:pPr>
          </w:p>
        </w:tc>
        <w:tc>
          <w:tcPr>
            <w:tcW w:w="840" w:type="dxa"/>
            <w:vAlign w:val="bottom"/>
            <w:gridSpan w:val="2"/>
            <w:vMerge w:val="restart"/>
          </w:tcPr>
          <w:p>
            <w:pPr>
              <w:jc w:val="center"/>
              <w:ind w:right="62"/>
              <w:spacing w:after="0"/>
              <w:rPr>
                <w:sz w:val="20"/>
                <w:szCs w:val="20"/>
                <w:color w:val="auto"/>
              </w:rPr>
            </w:pPr>
            <w:r>
              <w:rPr>
                <w:rFonts w:ascii="Times New Roman" w:cs="Times New Roman" w:eastAsia="Times New Roman" w:hAnsi="Times New Roman"/>
                <w:sz w:val="12"/>
                <w:szCs w:val="12"/>
                <w:color w:val="0000FF"/>
                <w:w w:val="96"/>
              </w:rPr>
              <w:t>07/17/2021</w:t>
            </w:r>
            <w:r>
              <w:rPr>
                <w:rFonts w:ascii="Times New Roman" w:cs="Times New Roman" w:eastAsia="Times New Roman" w:hAnsi="Times New Roman"/>
                <w:sz w:val="20"/>
                <w:szCs w:val="20"/>
                <w:color w:val="008000"/>
                <w:w w:val="96"/>
                <w:vertAlign w:val="superscript"/>
              </w:rPr>
              <w:t>(7)</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06/16/2031</w:t>
            </w:r>
          </w:p>
        </w:tc>
        <w:tc>
          <w:tcPr>
            <w:tcW w:w="640" w:type="dxa"/>
            <w:vAlign w:val="bottom"/>
          </w:tcPr>
          <w:p>
            <w:pPr>
              <w:jc w:val="center"/>
              <w:ind w:right="4"/>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color w:val="0000FF"/>
                <w:w w:val="99"/>
              </w:rPr>
              <w:t>69,982</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(8)(9)</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69,982</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40" w:type="dxa"/>
            <w:vAlign w:val="bottom"/>
          </w:tcPr>
          <w:p>
            <w:pPr>
              <w:jc w:val="center"/>
              <w:ind w:right="24"/>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jc w:val="center"/>
              <w:ind w:left="8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15.19</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01/24/2025</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520" w:type="dxa"/>
            <w:vAlign w:val="bottom"/>
          </w:tcPr>
          <w:p>
            <w:pPr>
              <w:spacing w:after="0"/>
              <w:rPr>
                <w:sz w:val="17"/>
                <w:szCs w:val="17"/>
                <w:color w:val="auto"/>
              </w:rPr>
            </w:pPr>
          </w:p>
        </w:tc>
        <w:tc>
          <w:tcPr>
            <w:tcW w:w="5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0000FF"/>
              </w:rPr>
              <w:t>141,000</w:t>
            </w:r>
          </w:p>
        </w:tc>
        <w:tc>
          <w:tcPr>
            <w:tcW w:w="840" w:type="dxa"/>
            <w:vAlign w:val="bottom"/>
            <w:gridSpan w:val="2"/>
          </w:tcPr>
          <w:p>
            <w:pPr>
              <w:jc w:val="center"/>
              <w:ind w:right="42"/>
              <w:spacing w:after="0" w:line="198" w:lineRule="exact"/>
              <w:rPr>
                <w:sz w:val="20"/>
                <w:szCs w:val="20"/>
                <w:color w:val="auto"/>
              </w:rPr>
            </w:pPr>
            <w:r>
              <w:rPr>
                <w:rFonts w:ascii="Times New Roman" w:cs="Times New Roman" w:eastAsia="Times New Roman" w:hAnsi="Times New Roman"/>
                <w:sz w:val="12"/>
                <w:szCs w:val="12"/>
                <w:color w:val="0000FF"/>
                <w:w w:val="96"/>
              </w:rPr>
              <w:t>03/15/2022</w:t>
            </w:r>
            <w:r>
              <w:rPr>
                <w:rFonts w:ascii="Times New Roman" w:cs="Times New Roman" w:eastAsia="Times New Roman" w:hAnsi="Times New Roman"/>
                <w:sz w:val="20"/>
                <w:szCs w:val="20"/>
                <w:color w:val="008000"/>
                <w:w w:val="96"/>
                <w:vertAlign w:val="superscript"/>
              </w:rPr>
              <w:t>(10)</w:t>
            </w:r>
          </w:p>
        </w:tc>
        <w:tc>
          <w:tcPr>
            <w:tcW w:w="66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02/14/2032</w:t>
            </w:r>
          </w:p>
        </w:tc>
        <w:tc>
          <w:tcPr>
            <w:tcW w:w="640" w:type="dxa"/>
            <w:vAlign w:val="bottom"/>
          </w:tcPr>
          <w:p>
            <w:pPr>
              <w:jc w:val="center"/>
              <w:ind w:right="4"/>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jc w:val="center"/>
              <w:ind w:right="8"/>
              <w:spacing w:after="0"/>
              <w:rPr>
                <w:sz w:val="20"/>
                <w:szCs w:val="20"/>
                <w:color w:val="auto"/>
              </w:rPr>
            </w:pPr>
            <w:r>
              <w:rPr>
                <w:rFonts w:ascii="Times New Roman" w:cs="Times New Roman" w:eastAsia="Times New Roman" w:hAnsi="Times New Roman"/>
                <w:sz w:val="16"/>
                <w:szCs w:val="16"/>
                <w:color w:val="0000FF"/>
                <w:w w:val="99"/>
              </w:rPr>
              <w:t>141,000</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(8)(9)</w:t>
            </w:r>
          </w:p>
        </w:tc>
        <w:tc>
          <w:tcPr>
            <w:tcW w:w="540" w:type="dxa"/>
            <w:vAlign w:val="bottom"/>
          </w:tcPr>
          <w:p>
            <w:pPr>
              <w:jc w:val="center"/>
              <w:ind w:left="302"/>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7"/>
                <w:szCs w:val="17"/>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jc w:val="center"/>
              <w:ind w:right="24"/>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jc w:val="center"/>
              <w:ind w:left="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1.21</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01/24/2025</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20" w:type="dxa"/>
            <w:vAlign w:val="bottom"/>
          </w:tcPr>
          <w:p>
            <w:pPr>
              <w:jc w:val="center"/>
              <w:ind w:right="63"/>
              <w:spacing w:after="0"/>
              <w:rPr>
                <w:sz w:val="20"/>
                <w:szCs w:val="20"/>
                <w:color w:val="auto"/>
              </w:rPr>
            </w:pPr>
            <w:r>
              <w:rPr>
                <w:rFonts w:ascii="Times New Roman" w:cs="Times New Roman" w:eastAsia="Times New Roman" w:hAnsi="Times New Roman"/>
                <w:sz w:val="12"/>
                <w:szCs w:val="12"/>
                <w:color w:val="0000FF"/>
              </w:rPr>
              <w:t>141,000</w:t>
            </w:r>
          </w:p>
        </w:tc>
        <w:tc>
          <w:tcPr>
            <w:tcW w:w="540" w:type="dxa"/>
            <w:vAlign w:val="bottom"/>
          </w:tcPr>
          <w:p>
            <w:pPr>
              <w:spacing w:after="0"/>
              <w:rPr>
                <w:sz w:val="17"/>
                <w:szCs w:val="17"/>
                <w:color w:val="auto"/>
              </w:rPr>
            </w:pPr>
          </w:p>
        </w:tc>
        <w:tc>
          <w:tcPr>
            <w:tcW w:w="840" w:type="dxa"/>
            <w:vAlign w:val="bottom"/>
            <w:gridSpan w:val="2"/>
          </w:tcPr>
          <w:p>
            <w:pPr>
              <w:jc w:val="center"/>
              <w:ind w:right="42"/>
              <w:spacing w:after="0" w:line="198" w:lineRule="exact"/>
              <w:rPr>
                <w:sz w:val="20"/>
                <w:szCs w:val="20"/>
                <w:color w:val="auto"/>
              </w:rPr>
            </w:pPr>
            <w:r>
              <w:rPr>
                <w:rFonts w:ascii="Times New Roman" w:cs="Times New Roman" w:eastAsia="Times New Roman" w:hAnsi="Times New Roman"/>
                <w:sz w:val="12"/>
                <w:szCs w:val="12"/>
                <w:color w:val="0000FF"/>
                <w:w w:val="96"/>
              </w:rPr>
              <w:t>03/15/2022</w:t>
            </w:r>
            <w:r>
              <w:rPr>
                <w:rFonts w:ascii="Times New Roman" w:cs="Times New Roman" w:eastAsia="Times New Roman" w:hAnsi="Times New Roman"/>
                <w:sz w:val="20"/>
                <w:szCs w:val="20"/>
                <w:color w:val="008000"/>
                <w:w w:val="96"/>
                <w:vertAlign w:val="superscript"/>
              </w:rPr>
              <w:t>(10)</w:t>
            </w:r>
          </w:p>
        </w:tc>
        <w:tc>
          <w:tcPr>
            <w:tcW w:w="66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02/14/2032</w:t>
            </w:r>
          </w:p>
        </w:tc>
        <w:tc>
          <w:tcPr>
            <w:tcW w:w="640" w:type="dxa"/>
            <w:vAlign w:val="bottom"/>
          </w:tcPr>
          <w:p>
            <w:pPr>
              <w:jc w:val="center"/>
              <w:ind w:right="4"/>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jc w:val="center"/>
              <w:ind w:right="8"/>
              <w:spacing w:after="0"/>
              <w:rPr>
                <w:sz w:val="20"/>
                <w:szCs w:val="20"/>
                <w:color w:val="auto"/>
              </w:rPr>
            </w:pPr>
            <w:r>
              <w:rPr>
                <w:rFonts w:ascii="Times New Roman" w:cs="Times New Roman" w:eastAsia="Times New Roman" w:hAnsi="Times New Roman"/>
                <w:sz w:val="16"/>
                <w:szCs w:val="16"/>
                <w:color w:val="0000FF"/>
                <w:w w:val="99"/>
              </w:rPr>
              <w:t>141,000</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(8)(9)</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141,000</w:t>
            </w:r>
          </w:p>
        </w:tc>
        <w:tc>
          <w:tcPr>
            <w:tcW w:w="62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jc w:val="center"/>
              <w:ind w:right="24"/>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jc w:val="center"/>
              <w:ind w:left="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3.06</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01/24/2025</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520" w:type="dxa"/>
            <w:vAlign w:val="bottom"/>
          </w:tcPr>
          <w:p>
            <w:pPr>
              <w:spacing w:after="0"/>
              <w:rPr>
                <w:sz w:val="17"/>
                <w:szCs w:val="17"/>
                <w:color w:val="auto"/>
              </w:rPr>
            </w:pPr>
          </w:p>
        </w:tc>
        <w:tc>
          <w:tcPr>
            <w:tcW w:w="5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0000FF"/>
              </w:rPr>
              <w:t>205,000</w:t>
            </w:r>
          </w:p>
        </w:tc>
        <w:tc>
          <w:tcPr>
            <w:tcW w:w="840" w:type="dxa"/>
            <w:vAlign w:val="bottom"/>
            <w:gridSpan w:val="2"/>
          </w:tcPr>
          <w:p>
            <w:pPr>
              <w:jc w:val="center"/>
              <w:ind w:right="42"/>
              <w:spacing w:after="0" w:line="198" w:lineRule="exact"/>
              <w:rPr>
                <w:sz w:val="20"/>
                <w:szCs w:val="20"/>
                <w:color w:val="auto"/>
              </w:rPr>
            </w:pPr>
            <w:r>
              <w:rPr>
                <w:rFonts w:ascii="Times New Roman" w:cs="Times New Roman" w:eastAsia="Times New Roman" w:hAnsi="Times New Roman"/>
                <w:sz w:val="12"/>
                <w:szCs w:val="12"/>
                <w:color w:val="0000FF"/>
                <w:w w:val="96"/>
              </w:rPr>
              <w:t>03/15/2023</w:t>
            </w:r>
            <w:r>
              <w:rPr>
                <w:rFonts w:ascii="Times New Roman" w:cs="Times New Roman" w:eastAsia="Times New Roman" w:hAnsi="Times New Roman"/>
                <w:sz w:val="20"/>
                <w:szCs w:val="20"/>
                <w:color w:val="008000"/>
                <w:w w:val="96"/>
                <w:vertAlign w:val="superscript"/>
              </w:rPr>
              <w:t>(11)</w:t>
            </w:r>
          </w:p>
        </w:tc>
        <w:tc>
          <w:tcPr>
            <w:tcW w:w="66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02/14/2033</w:t>
            </w:r>
          </w:p>
        </w:tc>
        <w:tc>
          <w:tcPr>
            <w:tcW w:w="640" w:type="dxa"/>
            <w:vAlign w:val="bottom"/>
          </w:tcPr>
          <w:p>
            <w:pPr>
              <w:jc w:val="center"/>
              <w:ind w:right="4"/>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jc w:val="center"/>
              <w:ind w:right="8"/>
              <w:spacing w:after="0"/>
              <w:rPr>
                <w:sz w:val="20"/>
                <w:szCs w:val="20"/>
                <w:color w:val="auto"/>
              </w:rPr>
            </w:pPr>
            <w:r>
              <w:rPr>
                <w:rFonts w:ascii="Times New Roman" w:cs="Times New Roman" w:eastAsia="Times New Roman" w:hAnsi="Times New Roman"/>
                <w:sz w:val="16"/>
                <w:szCs w:val="16"/>
                <w:color w:val="0000FF"/>
                <w:w w:val="99"/>
              </w:rPr>
              <w:t>205,000</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(8)(9)</w:t>
            </w:r>
          </w:p>
        </w:tc>
        <w:tc>
          <w:tcPr>
            <w:tcW w:w="540" w:type="dxa"/>
            <w:vAlign w:val="bottom"/>
          </w:tcPr>
          <w:p>
            <w:pPr>
              <w:jc w:val="center"/>
              <w:ind w:left="302"/>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7"/>
                <w:szCs w:val="17"/>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jc w:val="center"/>
              <w:ind w:right="24"/>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jc w:val="center"/>
              <w:ind w:left="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1.21</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01/24/2025</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20" w:type="dxa"/>
            <w:vAlign w:val="bottom"/>
          </w:tcPr>
          <w:p>
            <w:pPr>
              <w:jc w:val="center"/>
              <w:ind w:right="63"/>
              <w:spacing w:after="0"/>
              <w:rPr>
                <w:sz w:val="20"/>
                <w:szCs w:val="20"/>
                <w:color w:val="auto"/>
              </w:rPr>
            </w:pPr>
            <w:r>
              <w:rPr>
                <w:rFonts w:ascii="Times New Roman" w:cs="Times New Roman" w:eastAsia="Times New Roman" w:hAnsi="Times New Roman"/>
                <w:sz w:val="12"/>
                <w:szCs w:val="12"/>
                <w:color w:val="0000FF"/>
              </w:rPr>
              <w:t>205,000</w:t>
            </w:r>
          </w:p>
        </w:tc>
        <w:tc>
          <w:tcPr>
            <w:tcW w:w="540" w:type="dxa"/>
            <w:vAlign w:val="bottom"/>
          </w:tcPr>
          <w:p>
            <w:pPr>
              <w:spacing w:after="0"/>
              <w:rPr>
                <w:sz w:val="17"/>
                <w:szCs w:val="17"/>
                <w:color w:val="auto"/>
              </w:rPr>
            </w:pPr>
          </w:p>
        </w:tc>
        <w:tc>
          <w:tcPr>
            <w:tcW w:w="840" w:type="dxa"/>
            <w:vAlign w:val="bottom"/>
            <w:gridSpan w:val="2"/>
          </w:tcPr>
          <w:p>
            <w:pPr>
              <w:jc w:val="center"/>
              <w:ind w:right="42"/>
              <w:spacing w:after="0" w:line="198" w:lineRule="exact"/>
              <w:rPr>
                <w:sz w:val="20"/>
                <w:szCs w:val="20"/>
                <w:color w:val="auto"/>
              </w:rPr>
            </w:pPr>
            <w:r>
              <w:rPr>
                <w:rFonts w:ascii="Times New Roman" w:cs="Times New Roman" w:eastAsia="Times New Roman" w:hAnsi="Times New Roman"/>
                <w:sz w:val="12"/>
                <w:szCs w:val="12"/>
                <w:color w:val="0000FF"/>
                <w:w w:val="96"/>
              </w:rPr>
              <w:t>03/15/2023</w:t>
            </w:r>
            <w:r>
              <w:rPr>
                <w:rFonts w:ascii="Times New Roman" w:cs="Times New Roman" w:eastAsia="Times New Roman" w:hAnsi="Times New Roman"/>
                <w:sz w:val="20"/>
                <w:szCs w:val="20"/>
                <w:color w:val="008000"/>
                <w:w w:val="96"/>
                <w:vertAlign w:val="superscript"/>
              </w:rPr>
              <w:t>(11)</w:t>
            </w:r>
          </w:p>
        </w:tc>
        <w:tc>
          <w:tcPr>
            <w:tcW w:w="66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02/14/2033</w:t>
            </w:r>
          </w:p>
        </w:tc>
        <w:tc>
          <w:tcPr>
            <w:tcW w:w="640" w:type="dxa"/>
            <w:vAlign w:val="bottom"/>
          </w:tcPr>
          <w:p>
            <w:pPr>
              <w:jc w:val="center"/>
              <w:ind w:right="4"/>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jc w:val="center"/>
              <w:ind w:right="8"/>
              <w:spacing w:after="0"/>
              <w:rPr>
                <w:sz w:val="20"/>
                <w:szCs w:val="20"/>
                <w:color w:val="auto"/>
              </w:rPr>
            </w:pPr>
            <w:r>
              <w:rPr>
                <w:rFonts w:ascii="Times New Roman" w:cs="Times New Roman" w:eastAsia="Times New Roman" w:hAnsi="Times New Roman"/>
                <w:sz w:val="16"/>
                <w:szCs w:val="16"/>
                <w:color w:val="0000FF"/>
                <w:w w:val="99"/>
              </w:rPr>
              <w:t>205,000</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(8)(9)</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205,000</w:t>
            </w:r>
          </w:p>
        </w:tc>
        <w:tc>
          <w:tcPr>
            <w:tcW w:w="62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jc w:val="center"/>
              <w:ind w:right="24"/>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jc w:val="center"/>
              <w:ind w:left="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5.22</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01/24/2025</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520" w:type="dxa"/>
            <w:vAlign w:val="bottom"/>
          </w:tcPr>
          <w:p>
            <w:pPr>
              <w:spacing w:after="0"/>
              <w:rPr>
                <w:sz w:val="17"/>
                <w:szCs w:val="17"/>
                <w:color w:val="auto"/>
              </w:rPr>
            </w:pPr>
          </w:p>
        </w:tc>
        <w:tc>
          <w:tcPr>
            <w:tcW w:w="5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0000FF"/>
              </w:rPr>
              <w:t>215,000</w:t>
            </w:r>
          </w:p>
        </w:tc>
        <w:tc>
          <w:tcPr>
            <w:tcW w:w="840" w:type="dxa"/>
            <w:vAlign w:val="bottom"/>
            <w:gridSpan w:val="2"/>
          </w:tcPr>
          <w:p>
            <w:pPr>
              <w:jc w:val="center"/>
              <w:ind w:right="42"/>
              <w:spacing w:after="0" w:line="198" w:lineRule="exact"/>
              <w:rPr>
                <w:sz w:val="20"/>
                <w:szCs w:val="20"/>
                <w:color w:val="auto"/>
              </w:rPr>
            </w:pPr>
            <w:r>
              <w:rPr>
                <w:rFonts w:ascii="Times New Roman" w:cs="Times New Roman" w:eastAsia="Times New Roman" w:hAnsi="Times New Roman"/>
                <w:sz w:val="12"/>
                <w:szCs w:val="12"/>
                <w:color w:val="0000FF"/>
                <w:w w:val="96"/>
              </w:rPr>
              <w:t>03/23/2024</w:t>
            </w:r>
            <w:r>
              <w:rPr>
                <w:rFonts w:ascii="Times New Roman" w:cs="Times New Roman" w:eastAsia="Times New Roman" w:hAnsi="Times New Roman"/>
                <w:sz w:val="20"/>
                <w:szCs w:val="20"/>
                <w:color w:val="008000"/>
                <w:w w:val="96"/>
                <w:vertAlign w:val="superscript"/>
              </w:rPr>
              <w:t>(12)</w:t>
            </w:r>
          </w:p>
        </w:tc>
        <w:tc>
          <w:tcPr>
            <w:tcW w:w="66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02/22/2034</w:t>
            </w:r>
          </w:p>
        </w:tc>
        <w:tc>
          <w:tcPr>
            <w:tcW w:w="640" w:type="dxa"/>
            <w:vAlign w:val="bottom"/>
          </w:tcPr>
          <w:p>
            <w:pPr>
              <w:jc w:val="center"/>
              <w:ind w:right="4"/>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jc w:val="center"/>
              <w:ind w:right="8"/>
              <w:spacing w:after="0"/>
              <w:rPr>
                <w:sz w:val="20"/>
                <w:szCs w:val="20"/>
                <w:color w:val="auto"/>
              </w:rPr>
            </w:pPr>
            <w:r>
              <w:rPr>
                <w:rFonts w:ascii="Times New Roman" w:cs="Times New Roman" w:eastAsia="Times New Roman" w:hAnsi="Times New Roman"/>
                <w:sz w:val="16"/>
                <w:szCs w:val="16"/>
                <w:color w:val="0000FF"/>
                <w:w w:val="99"/>
              </w:rPr>
              <w:t>215,000</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(8)(9)</w:t>
            </w:r>
          </w:p>
        </w:tc>
        <w:tc>
          <w:tcPr>
            <w:tcW w:w="540" w:type="dxa"/>
            <w:vAlign w:val="bottom"/>
          </w:tcPr>
          <w:p>
            <w:pPr>
              <w:jc w:val="center"/>
              <w:ind w:left="302"/>
              <w:spacing w:after="0"/>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7"/>
                <w:szCs w:val="17"/>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4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(Right to</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jc w:val="center"/>
              <w:ind w:right="24"/>
              <w:spacing w:after="0" w:line="74"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640" w:type="dxa"/>
            <w:vAlign w:val="bottom"/>
          </w:tcPr>
          <w:p>
            <w:pPr>
              <w:jc w:val="center"/>
              <w:ind w:left="65"/>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1.21</w:t>
            </w: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01/24/2025</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20" w:type="dxa"/>
            <w:vAlign w:val="bottom"/>
          </w:tcPr>
          <w:p>
            <w:pPr>
              <w:jc w:val="center"/>
              <w:ind w:right="63"/>
              <w:spacing w:after="0"/>
              <w:rPr>
                <w:sz w:val="20"/>
                <w:szCs w:val="20"/>
                <w:color w:val="auto"/>
              </w:rPr>
            </w:pPr>
            <w:r>
              <w:rPr>
                <w:rFonts w:ascii="Times New Roman" w:cs="Times New Roman" w:eastAsia="Times New Roman" w:hAnsi="Times New Roman"/>
                <w:sz w:val="12"/>
                <w:szCs w:val="12"/>
                <w:color w:val="0000FF"/>
              </w:rPr>
              <w:t>215,000</w:t>
            </w:r>
          </w:p>
        </w:tc>
        <w:tc>
          <w:tcPr>
            <w:tcW w:w="540" w:type="dxa"/>
            <w:vAlign w:val="bottom"/>
          </w:tcPr>
          <w:p>
            <w:pPr>
              <w:spacing w:after="0"/>
              <w:rPr>
                <w:sz w:val="17"/>
                <w:szCs w:val="17"/>
                <w:color w:val="auto"/>
              </w:rPr>
            </w:pPr>
          </w:p>
        </w:tc>
        <w:tc>
          <w:tcPr>
            <w:tcW w:w="840" w:type="dxa"/>
            <w:vAlign w:val="bottom"/>
            <w:gridSpan w:val="2"/>
          </w:tcPr>
          <w:p>
            <w:pPr>
              <w:jc w:val="center"/>
              <w:ind w:right="42"/>
              <w:spacing w:after="0" w:line="198" w:lineRule="exact"/>
              <w:rPr>
                <w:sz w:val="20"/>
                <w:szCs w:val="20"/>
                <w:color w:val="auto"/>
              </w:rPr>
            </w:pPr>
            <w:r>
              <w:rPr>
                <w:rFonts w:ascii="Times New Roman" w:cs="Times New Roman" w:eastAsia="Times New Roman" w:hAnsi="Times New Roman"/>
                <w:sz w:val="12"/>
                <w:szCs w:val="12"/>
                <w:color w:val="0000FF"/>
                <w:w w:val="96"/>
              </w:rPr>
              <w:t>03/23/2024</w:t>
            </w:r>
            <w:r>
              <w:rPr>
                <w:rFonts w:ascii="Times New Roman" w:cs="Times New Roman" w:eastAsia="Times New Roman" w:hAnsi="Times New Roman"/>
                <w:sz w:val="20"/>
                <w:szCs w:val="20"/>
                <w:color w:val="008000"/>
                <w:w w:val="96"/>
                <w:vertAlign w:val="superscript"/>
              </w:rPr>
              <w:t>(12)</w:t>
            </w:r>
          </w:p>
        </w:tc>
        <w:tc>
          <w:tcPr>
            <w:tcW w:w="660" w:type="dxa"/>
            <w:vAlign w:val="bottom"/>
          </w:tcPr>
          <w:p>
            <w:pPr>
              <w:ind w:left="20"/>
              <w:spacing w:after="0"/>
              <w:rPr>
                <w:sz w:val="20"/>
                <w:szCs w:val="20"/>
                <w:color w:val="auto"/>
              </w:rPr>
            </w:pPr>
            <w:r>
              <w:rPr>
                <w:rFonts w:ascii="Times New Roman" w:cs="Times New Roman" w:eastAsia="Times New Roman" w:hAnsi="Times New Roman"/>
                <w:sz w:val="12"/>
                <w:szCs w:val="12"/>
                <w:color w:val="0000FF"/>
              </w:rPr>
              <w:t>02/22/2034</w:t>
            </w:r>
          </w:p>
        </w:tc>
        <w:tc>
          <w:tcPr>
            <w:tcW w:w="640" w:type="dxa"/>
            <w:vAlign w:val="bottom"/>
          </w:tcPr>
          <w:p>
            <w:pPr>
              <w:jc w:val="center"/>
              <w:ind w:right="4"/>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tcPr>
          <w:p>
            <w:pPr>
              <w:jc w:val="center"/>
              <w:ind w:right="8"/>
              <w:spacing w:after="0"/>
              <w:rPr>
                <w:sz w:val="20"/>
                <w:szCs w:val="20"/>
                <w:color w:val="auto"/>
              </w:rPr>
            </w:pPr>
            <w:r>
              <w:rPr>
                <w:rFonts w:ascii="Times New Roman" w:cs="Times New Roman" w:eastAsia="Times New Roman" w:hAnsi="Times New Roman"/>
                <w:sz w:val="16"/>
                <w:szCs w:val="16"/>
                <w:color w:val="0000FF"/>
                <w:w w:val="99"/>
              </w:rPr>
              <w:t>215,000</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(8)(9)</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215,000</w:t>
            </w:r>
          </w:p>
        </w:tc>
        <w:tc>
          <w:tcPr>
            <w:tcW w:w="62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40" w:type="dxa"/>
            <w:vAlign w:val="bottom"/>
            <w:gridSpan w:val="2"/>
          </w:tcPr>
          <w:p>
            <w:pPr>
              <w:ind w:left="60"/>
              <w:spacing w:after="0" w:line="88"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jc w:val="center"/>
              <w:ind w:right="24"/>
              <w:spacing w:after="0" w:line="88" w:lineRule="exact"/>
              <w:rPr>
                <w:sz w:val="20"/>
                <w:szCs w:val="20"/>
                <w:color w:val="auto"/>
              </w:rPr>
            </w:pPr>
            <w:r>
              <w:rPr>
                <w:rFonts w:ascii="Times New Roman" w:cs="Times New Roman" w:eastAsia="Times New Roman" w:hAnsi="Times New Roman"/>
                <w:sz w:val="10"/>
                <w:szCs w:val="10"/>
                <w:color w:val="0000FF"/>
              </w:rPr>
              <w:t>Stock</w:t>
            </w: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4"/>
          <w:szCs w:val="24"/>
          <w:color w:val="auto"/>
        </w:rPr>
      </w:pPr>
    </w:p>
    <w:p>
      <w:pPr>
        <w:ind w:left="40" w:right="460" w:hanging="5"/>
        <w:spacing w:after="0" w:line="273"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shares of Tenaya Therapeutics, Inc. common stock that will be issued to the Reporting Person upon vesting of restricted stock units. Each restricted stock unit is the economic equivalent of one share of Tenaya Therapeutics, Inc. common stock.</w:t>
      </w:r>
    </w:p>
    <w:p>
      <w:pPr>
        <w:spacing w:after="0" w:line="6" w:lineRule="exact"/>
        <w:rPr>
          <w:rFonts w:ascii="Times New Roman" w:cs="Times New Roman" w:eastAsia="Times New Roman" w:hAnsi="Times New Roman"/>
          <w:sz w:val="12"/>
          <w:szCs w:val="12"/>
          <w:color w:val="008000"/>
        </w:rPr>
      </w:pPr>
    </w:p>
    <w:p>
      <w:pPr>
        <w:ind w:left="40" w:right="300" w:hanging="5"/>
        <w:spacing w:after="0" w:line="273" w:lineRule="auto"/>
        <w:tabs>
          <w:tab w:leader="none" w:pos="163"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restricted stock units were granted to the Reporting Person on the Transaction Date pursuant to the Tenaya Therapeutics, Inc. 2021 Equity Incentive Plan. The restricted stock units will vest as to 1/8th of the total number of shares subject to the restricted stock unit award on August 15, 2025, and 1/8th of the total number of shares subject to the restricted stock unit award every six months thereafter until fully vested.</w:t>
      </w:r>
    </w:p>
    <w:p>
      <w:pPr>
        <w:spacing w:after="0" w:line="6" w:lineRule="exact"/>
        <w:rPr>
          <w:rFonts w:ascii="Times New Roman" w:cs="Times New Roman" w:eastAsia="Times New Roman" w:hAnsi="Times New Roman"/>
          <w:sz w:val="12"/>
          <w:szCs w:val="12"/>
          <w:color w:val="008000"/>
        </w:rPr>
      </w:pPr>
    </w:p>
    <w:p>
      <w:pPr>
        <w:ind w:left="160" w:hanging="125"/>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103,750 shares of Tenaya Therapeutics, Inc. common stock that will be issued to the Reporting Person upon vesting of restricted stock units.</w:t>
      </w:r>
    </w:p>
    <w:p>
      <w:pPr>
        <w:sectPr>
          <w:pgSz w:w="11900" w:h="16838" w:orient="portrait"/>
          <w:cols w:equalWidth="0" w:num="1">
            <w:col w:w="11080"/>
          </w:cols>
          <w:pgMar w:left="460" w:top="213" w:right="359" w:bottom="0" w:gutter="0" w:footer="0" w:header="0"/>
          <w:type w:val="continuous"/>
        </w:sectPr>
      </w:pPr>
    </w:p>
    <w:bookmarkStart w:id="1" w:name="page2"/>
    <w:bookmarkEnd w:id="1"/>
    <w:p>
      <w:pPr>
        <w:ind w:left="5" w:right="160" w:hanging="5"/>
        <w:spacing w:after="0" w:line="273"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restricted stock units were granted to the Reporting Person on the Transaction Date pursuant to the Tenaya Therapeutics, Inc. 2021 Equity Incentive Plan. The restricted stock units will vest as to 1/4th of the total number of shares subject to the restricted stock unit award on May 15, 2025, and 1/4th of the total number of shares subject to the restricted stock unit award every six months thereafter until fully vested.</w:t>
      </w:r>
    </w:p>
    <w:p>
      <w:pPr>
        <w:spacing w:after="0" w:line="6" w:lineRule="exact"/>
        <w:rPr>
          <w:rFonts w:ascii="Times New Roman" w:cs="Times New Roman" w:eastAsia="Times New Roman" w:hAnsi="Times New Roman"/>
          <w:sz w:val="12"/>
          <w:szCs w:val="12"/>
          <w:color w:val="008000"/>
        </w:rPr>
      </w:pPr>
    </w:p>
    <w:p>
      <w:pPr>
        <w:ind w:left="125" w:hanging="125"/>
        <w:spacing w:after="0"/>
        <w:tabs>
          <w:tab w:leader="none" w:pos="125"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135,426 shares of Tenaya Therapeutics, Inc. common stock that will be issued to the Reporting Person upon vesting of restricted stock units.</w:t>
      </w:r>
    </w:p>
    <w:p>
      <w:pPr>
        <w:spacing w:after="0" w:line="46" w:lineRule="exact"/>
        <w:rPr>
          <w:rFonts w:ascii="Times New Roman" w:cs="Times New Roman" w:eastAsia="Times New Roman" w:hAnsi="Times New Roman"/>
          <w:sz w:val="12"/>
          <w:szCs w:val="12"/>
          <w:color w:val="008000"/>
        </w:rPr>
      </w:pPr>
    </w:p>
    <w:p>
      <w:pPr>
        <w:ind w:left="5" w:right="240" w:hanging="5"/>
        <w:spacing w:after="0" w:line="273"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Option granted pursuant to the Tenaya Therapeutics, Inc. 2021 Equity Incentive Plan. Option will vest as to 1/48th of the total number of shares subject to the option on the one month anniversary of the Transaction Date and 1/48th of the total number of shares subject to the option on each monthly anniversary thereafter until fully vested.</w:t>
      </w:r>
    </w:p>
    <w:p>
      <w:pPr>
        <w:spacing w:after="0" w:line="6" w:lineRule="exact"/>
        <w:rPr>
          <w:rFonts w:ascii="Times New Roman" w:cs="Times New Roman" w:eastAsia="Times New Roman" w:hAnsi="Times New Roman"/>
          <w:sz w:val="12"/>
          <w:szCs w:val="12"/>
          <w:color w:val="008000"/>
        </w:rPr>
      </w:pPr>
    </w:p>
    <w:p>
      <w:pPr>
        <w:ind w:left="125" w:hanging="125"/>
        <w:spacing w:after="0"/>
        <w:tabs>
          <w:tab w:leader="none" w:pos="125"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1/48th of the shares underying the option vested on July 17, 2021, and the remaining shares vest in 48 equal monthly installments thereafter.</w:t>
      </w:r>
    </w:p>
    <w:p>
      <w:pPr>
        <w:spacing w:after="0" w:line="46" w:lineRule="exact"/>
        <w:rPr>
          <w:rFonts w:ascii="Times New Roman" w:cs="Times New Roman" w:eastAsia="Times New Roman" w:hAnsi="Times New Roman"/>
          <w:sz w:val="12"/>
          <w:szCs w:val="12"/>
          <w:color w:val="008000"/>
        </w:rPr>
      </w:pPr>
    </w:p>
    <w:p>
      <w:pPr>
        <w:ind w:left="5" w:right="400" w:hanging="5"/>
        <w:spacing w:after="0" w:line="273"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transactions reported herein reflect a one-time stock option repricing (the "Option Repricing") effective on January 24, 2025 (the "Effective Date"). The Option Repricing applies to nonstatutory options with exercise prices equal to or greater than $3.00 per share held by all continuing employees and certain other service providers of the Issuer as of the Effective Date.</w:t>
      </w:r>
    </w:p>
    <w:p>
      <w:pPr>
        <w:spacing w:after="0" w:line="6" w:lineRule="exact"/>
        <w:rPr>
          <w:rFonts w:ascii="Times New Roman" w:cs="Times New Roman" w:eastAsia="Times New Roman" w:hAnsi="Times New Roman"/>
          <w:sz w:val="12"/>
          <w:szCs w:val="12"/>
          <w:color w:val="008000"/>
        </w:rPr>
      </w:pPr>
    </w:p>
    <w:p>
      <w:pPr>
        <w:ind w:left="5" w:hanging="5"/>
        <w:spacing w:after="0" w:line="245" w:lineRule="auto"/>
        <w:tabs>
          <w:tab w:leader="none" w:pos="128"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Option Repricing, the exercise price of the repriced options, including the reported option, has been amended to reduce the exercise price to $1.21 per share, the closing price of the Issuer's common stock on the Effective Date. However, if an option holder exercises a repriced option before the end of a "Retention Period" through which the option holder must remain in service to the Issuer, then the option holder will be required to pay a premium exercise price that is equal to the original exercise price per share of such option. The "Retention Period" begins on the Effective Date of the Option Repricing and ends on the earliest to occur of the following: (i) July 24, 2025 or (ii) a Change in Control, as defined in the Issuer's 2016 Equity Incentive Plan or 2021 Equity Incentive Plan (as applicable). There was no change to the vesting schedules, expiration dates or number of shares underlying the repriced options.</w:t>
      </w:r>
    </w:p>
    <w:p>
      <w:pPr>
        <w:spacing w:after="0" w:line="22" w:lineRule="exact"/>
        <w:rPr>
          <w:rFonts w:ascii="Times New Roman" w:cs="Times New Roman" w:eastAsia="Times New Roman" w:hAnsi="Times New Roman"/>
          <w:sz w:val="12"/>
          <w:szCs w:val="12"/>
          <w:color w:val="008000"/>
        </w:rPr>
      </w:pPr>
    </w:p>
    <w:p>
      <w:pPr>
        <w:ind w:left="185" w:hanging="185"/>
        <w:spacing w:after="0"/>
        <w:tabs>
          <w:tab w:leader="none" w:pos="185"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1/48th of the shares underying the option vested on March 15, 2022, and the remaining shares vest in 48 equal monthly installments thereafter.</w:t>
      </w:r>
    </w:p>
    <w:p>
      <w:pPr>
        <w:spacing w:after="0" w:line="46" w:lineRule="exact"/>
        <w:rPr>
          <w:rFonts w:ascii="Times New Roman" w:cs="Times New Roman" w:eastAsia="Times New Roman" w:hAnsi="Times New Roman"/>
          <w:sz w:val="12"/>
          <w:szCs w:val="12"/>
          <w:color w:val="008000"/>
        </w:rPr>
      </w:pPr>
    </w:p>
    <w:p>
      <w:pPr>
        <w:ind w:left="185" w:hanging="185"/>
        <w:spacing w:after="0"/>
        <w:tabs>
          <w:tab w:leader="none" w:pos="185"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1/48th of the shares underying the option vested on March 15, 2023, and the remaining shares vest in 48 equal monthly installments thereafter.</w:t>
      </w:r>
    </w:p>
    <w:p>
      <w:pPr>
        <w:spacing w:after="0" w:line="46" w:lineRule="exact"/>
        <w:rPr>
          <w:rFonts w:ascii="Times New Roman" w:cs="Times New Roman" w:eastAsia="Times New Roman" w:hAnsi="Times New Roman"/>
          <w:sz w:val="12"/>
          <w:szCs w:val="12"/>
          <w:color w:val="008000"/>
        </w:rPr>
      </w:pPr>
    </w:p>
    <w:p>
      <w:pPr>
        <w:ind w:left="185" w:hanging="185"/>
        <w:spacing w:after="0"/>
        <w:tabs>
          <w:tab w:leader="none" w:pos="185" w:val="left"/>
        </w:tabs>
        <w:numPr>
          <w:ilvl w:val="0"/>
          <w:numId w:val="3"/>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1/48th of the shares underying the option vested on March 23, 2024, and the remaining shares vest in 48 equal monthly installments thereafter.</w:t>
      </w:r>
    </w:p>
    <w:p>
      <w:pPr>
        <w:spacing w:after="0" w:line="60" w:lineRule="exact"/>
        <w:rPr>
          <w:sz w:val="20"/>
          <w:szCs w:val="20"/>
          <w:color w:val="auto"/>
        </w:rPr>
      </w:pPr>
    </w:p>
    <w:tbl>
      <w:tblPr>
        <w:tblLayout w:type="fixed"/>
        <w:tblInd w:w="6565" w:type="dxa"/>
        <w:tblCellMar>
          <w:top w:w="0" w:type="dxa"/>
          <w:left w:w="0" w:type="dxa"/>
          <w:bottom w:w="0" w:type="dxa"/>
          <w:right w:w="0" w:type="dxa"/>
        </w:tblCellMar>
      </w:tblPr>
      <w:tr>
        <w:trPr>
          <w:trHeight w:val="18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Jennifer Drimmer Rokovich,</w:t>
            </w:r>
          </w:p>
        </w:tc>
        <w:tc>
          <w:tcPr>
            <w:tcW w:w="1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01/28/2025</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7" w:lineRule="exact"/>
              <w:rPr>
                <w:sz w:val="20"/>
                <w:szCs w:val="20"/>
                <w:color w:val="auto"/>
              </w:rPr>
            </w:pPr>
            <w:r>
              <w:rPr>
                <w:rFonts w:ascii="Times New Roman" w:cs="Times New Roman" w:eastAsia="Times New Roman" w:hAnsi="Times New Roman"/>
                <w:sz w:val="16"/>
                <w:szCs w:val="16"/>
                <w:color w:val="0000FF"/>
              </w:rPr>
              <w:t>Attorney in Fact</w:t>
            </w: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5"/>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5"/>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5" w:right="3800" w:hanging="5"/>
        <w:spacing w:after="0" w:line="321"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5"/>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5"/>
      </w:cols>
      <w:pgMar w:left="495"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68494"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2025-01-28T19:08:49Z</dcterms:created>
  <dcterms:modified xsi:type="dcterms:W3CDTF">2025-01-28T19:08:49Z</dcterms:modified>
</cp:coreProperties>
</file>