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333-266741</w:t>
      </w:r>
    </w:p>
    <w:p>
      <w:pPr>
        <w:spacing w:after="0" w:line="1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PROSPECTUS SUPPLEMENT</w:t>
      </w:r>
    </w:p>
    <w:p>
      <w:pPr>
        <w:spacing w:after="0" w:line="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(To prospectus dated August 17, 2022)</w:t>
      </w:r>
    </w:p>
    <w:p>
      <w:pPr>
        <w:spacing w:after="0" w:line="1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8,888,890 SHARES OF COMMON STOCK</w:t>
      </w:r>
    </w:p>
    <w:p>
      <w:pPr>
        <w:spacing w:after="0" w:line="1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PRE-FUNDED WARRANTS TO PURCHASE 2,222,271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753745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111125</wp:posOffset>
            </wp:positionV>
            <wp:extent cx="1397000"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00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We are offering an aggregate of 8,888,890 shares of our common stock and, in lieu of common stock to certain investors that so choose, pre-funded warrants to purchase 2,222,271 shares of our common stock in a registered direct offering. The purchase price of each pre-funded warrant equals the price per share at which shares of our common stock are being sold in this offering, minus $0.001 multiplied by the number of shares subject to the warrant, and the exercise price of each pre-funded warrant equals $0.001 per share. This prospectus supplement also relates to the offering of the shares of our common stock issuable upon the exercise of such pre-funded warrants.</w:t>
      </w:r>
    </w:p>
    <w:p>
      <w:pPr>
        <w:spacing w:after="0" w:line="71" w:lineRule="exact"/>
        <w:rPr>
          <w:sz w:val="24"/>
          <w:szCs w:val="24"/>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Certain existing stockholders, including stockholders affiliated with certain of our directors, are participating in this offering and are expected to purchase an aggregate of 2,222,222 shares of common stock, on the same terms as other investors in this offering.</w:t>
      </w:r>
    </w:p>
    <w:p>
      <w:pPr>
        <w:spacing w:after="0" w:line="47" w:lineRule="exact"/>
        <w:rPr>
          <w:sz w:val="24"/>
          <w:szCs w:val="24"/>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color w:val="auto"/>
        </w:rPr>
        <w:t>Our common stock is listed on the Nasdaq Global Select Market under the symbol “TNYA.” On February 7, 2024, the last reported sale price of our common stock was $4.42 per share. There is no established public trading market for the pre-funded warrants, and we do not expect a market to develop. We do not intend to list the pre-funded warrants on the Nasdaq Global Select Market, any other national securities exchange or any other recognized trading system.</w:t>
      </w:r>
    </w:p>
    <w:p>
      <w:pPr>
        <w:spacing w:after="0" w:line="68" w:lineRule="exact"/>
        <w:rPr>
          <w:sz w:val="24"/>
          <w:szCs w:val="24"/>
          <w:color w:val="auto"/>
        </w:rPr>
      </w:pPr>
    </w:p>
    <w:p>
      <w:pPr>
        <w:ind w:left="120" w:right="20"/>
        <w:spacing w:after="0" w:line="291" w:lineRule="auto"/>
        <w:rPr>
          <w:sz w:val="20"/>
          <w:szCs w:val="20"/>
          <w:color w:val="auto"/>
        </w:rPr>
      </w:pPr>
      <w:r>
        <w:rPr>
          <w:rFonts w:ascii="Times New Roman" w:cs="Times New Roman" w:eastAsia="Times New Roman" w:hAnsi="Times New Roman"/>
          <w:sz w:val="17"/>
          <w:szCs w:val="17"/>
          <w:b w:val="1"/>
          <w:bCs w:val="1"/>
          <w:color w:val="auto"/>
        </w:rPr>
        <w:t>We are an “emerging growth company” and a “smaller reporting company” as defined under U.S. federal securities laws and as such, we have elected to comply with certain reduced public company reporting requirements for this prospectus supplement and may elect to do so for future filings. See “Prospectus Supplement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w:t>
            </w:r>
          </w:p>
        </w:tc>
        <w:tc>
          <w:tcPr>
            <w:tcW w:w="46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580" w:type="dxa"/>
            <w:vAlign w:val="bottom"/>
          </w:tcPr>
          <w:p>
            <w:pPr>
              <w:spacing w:after="0"/>
              <w:rPr>
                <w:sz w:val="12"/>
                <w:szCs w:val="12"/>
                <w:color w:val="auto"/>
              </w:rPr>
            </w:pPr>
          </w:p>
        </w:tc>
        <w:tc>
          <w:tcPr>
            <w:tcW w:w="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Offering price</w:t>
            </w:r>
          </w:p>
        </w:tc>
        <w:tc>
          <w:tcPr>
            <w:tcW w:w="2700" w:type="dxa"/>
            <w:vAlign w:val="bottom"/>
            <w:gridSpan w:val="3"/>
          </w:tcPr>
          <w:p>
            <w:pPr>
              <w:jc w:val="center"/>
              <w:ind w:left="134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vMerge w:val="continue"/>
          </w:tcPr>
          <w:p>
            <w:pPr>
              <w:spacing w:after="0" w:line="20" w:lineRule="exact"/>
              <w:rPr>
                <w:sz w:val="1"/>
                <w:szCs w:val="1"/>
                <w:color w:val="auto"/>
              </w:rPr>
            </w:pPr>
          </w:p>
        </w:tc>
        <w:tc>
          <w:tcPr>
            <w:tcW w:w="18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6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w w:val="77"/>
              </w:rPr>
              <w:t>$4.500</w:t>
            </w:r>
          </w:p>
        </w:tc>
        <w:tc>
          <w:tcPr>
            <w:tcW w:w="4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100" w:type="dxa"/>
            <w:vAlign w:val="bottom"/>
            <w:gridSpan w:val="2"/>
          </w:tcPr>
          <w:p>
            <w:pPr>
              <w:jc w:val="right"/>
              <w:ind w:right="420"/>
              <w:spacing w:after="0" w:line="182" w:lineRule="exact"/>
              <w:rPr>
                <w:sz w:val="20"/>
                <w:szCs w:val="20"/>
                <w:color w:val="auto"/>
              </w:rPr>
            </w:pPr>
            <w:r>
              <w:rPr>
                <w:rFonts w:ascii="Times New Roman" w:cs="Times New Roman" w:eastAsia="Times New Roman" w:hAnsi="Times New Roman"/>
                <w:sz w:val="16"/>
                <w:szCs w:val="16"/>
                <w:color w:val="auto"/>
              </w:rPr>
              <w:t>$4.499</w:t>
            </w:r>
          </w:p>
        </w:tc>
        <w:tc>
          <w:tcPr>
            <w:tcW w:w="580" w:type="dxa"/>
            <w:vAlign w:val="bottom"/>
            <w:vMerge w:val="continue"/>
          </w:tcPr>
          <w:p>
            <w:pPr>
              <w:spacing w:after="0"/>
              <w:rPr>
                <w:sz w:val="15"/>
                <w:szCs w:val="15"/>
                <w:color w:val="auto"/>
              </w:rPr>
            </w:pPr>
          </w:p>
        </w:tc>
        <w:tc>
          <w:tcPr>
            <w:tcW w:w="6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w w:val="88"/>
              </w:rPr>
              <w:t>49,998,002</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 (1)</w:t>
            </w:r>
          </w:p>
        </w:tc>
        <w:tc>
          <w:tcPr>
            <w:tcW w:w="2700" w:type="dxa"/>
            <w:vAlign w:val="bottom"/>
            <w:gridSpan w:val="3"/>
          </w:tcPr>
          <w:p>
            <w:pPr>
              <w:ind w:left="1880"/>
              <w:spacing w:after="0"/>
              <w:rPr>
                <w:sz w:val="20"/>
                <w:szCs w:val="20"/>
                <w:color w:val="auto"/>
              </w:rPr>
            </w:pPr>
            <w:r>
              <w:rPr>
                <w:rFonts w:ascii="Times New Roman" w:cs="Times New Roman" w:eastAsia="Times New Roman" w:hAnsi="Times New Roman"/>
                <w:sz w:val="16"/>
                <w:szCs w:val="16"/>
                <w:color w:val="auto"/>
              </w:rPr>
              <w:t>$0.270</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$0.270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$3,000,013</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Proceeds to Tenaya Therapeutics, Inc., before expenses</w:t>
            </w:r>
          </w:p>
        </w:tc>
        <w:tc>
          <w:tcPr>
            <w:tcW w:w="2700" w:type="dxa"/>
            <w:vAlign w:val="bottom"/>
            <w:gridSpan w:val="3"/>
          </w:tcPr>
          <w:p>
            <w:pPr>
              <w:ind w:left="1880"/>
              <w:spacing w:after="0"/>
              <w:rPr>
                <w:sz w:val="20"/>
                <w:szCs w:val="20"/>
                <w:color w:val="auto"/>
              </w:rPr>
            </w:pPr>
            <w:r>
              <w:rPr>
                <w:rFonts w:ascii="Times New Roman" w:cs="Times New Roman" w:eastAsia="Times New Roman" w:hAnsi="Times New Roman"/>
                <w:sz w:val="16"/>
                <w:szCs w:val="16"/>
                <w:color w:val="auto"/>
              </w:rPr>
              <w:t>$4.230</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$4.229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$46,997,989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98425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2"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2" w:lineRule="exact"/>
        <w:rPr>
          <w:sz w:val="24"/>
          <w:szCs w:val="24"/>
          <w:color w:val="auto"/>
        </w:rPr>
      </w:pPr>
    </w:p>
    <w:p>
      <w:pPr>
        <w:ind w:left="120" w:right="500"/>
        <w:spacing w:after="0" w:line="249" w:lineRule="auto"/>
        <w:rPr>
          <w:sz w:val="20"/>
          <w:szCs w:val="20"/>
          <w:color w:val="auto"/>
        </w:rPr>
      </w:pPr>
      <w:r>
        <w:rPr>
          <w:rFonts w:ascii="Times New Roman" w:cs="Times New Roman" w:eastAsia="Times New Roman" w:hAnsi="Times New Roman"/>
          <w:sz w:val="20"/>
          <w:szCs w:val="20"/>
          <w:color w:val="auto"/>
        </w:rPr>
        <w:t>INVESTING IN OUR SECURITIES INVOLVES SIGNIFICANT RISKS. YOU SHOULD REVIEW CAREFULLY THE “</w:t>
      </w:r>
      <w:r>
        <w:rPr>
          <w:rFonts w:ascii="Times New Roman" w:cs="Times New Roman" w:eastAsia="Times New Roman" w:hAnsi="Times New Roman"/>
          <w:sz w:val="20"/>
          <w:szCs w:val="20"/>
          <w:u w:val="single" w:color="auto"/>
          <w:color w:val="0000EE"/>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EE"/>
        </w:rPr>
        <w:t>FACTORS</w:t>
      </w:r>
      <w:r>
        <w:rPr>
          <w:rFonts w:ascii="Times New Roman" w:cs="Times New Roman" w:eastAsia="Times New Roman" w:hAnsi="Times New Roman"/>
          <w:sz w:val="20"/>
          <w:szCs w:val="20"/>
          <w:color w:val="000000"/>
        </w:rPr>
        <w:t>” ON PAGE S-12 OF THIS PROSPECTUS SUPPLEMENT, AND IN THE DOCUMENTS INCORPORATED BY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REFERENCE IN THIS PROSPECTUS SUPPLEMENT AND ACCOMPANYING PROSPECTUS BEFORE INVESTING IN OUR SECURITIES.</w:t>
      </w:r>
    </w:p>
    <w:p>
      <w:pPr>
        <w:spacing w:after="0" w:line="81" w:lineRule="exact"/>
        <w:rPr>
          <w:sz w:val="24"/>
          <w:szCs w:val="24"/>
          <w:color w:val="auto"/>
        </w:rPr>
      </w:pPr>
    </w:p>
    <w:p>
      <w:pPr>
        <w:ind w:left="120" w:right="280"/>
        <w:spacing w:after="0" w:line="298" w:lineRule="auto"/>
        <w:rPr>
          <w:sz w:val="20"/>
          <w:szCs w:val="20"/>
          <w:color w:val="auto"/>
        </w:rPr>
      </w:pPr>
      <w:r>
        <w:rPr>
          <w:rFonts w:ascii="Times New Roman" w:cs="Times New Roman" w:eastAsia="Times New Roman" w:hAnsi="Times New Roman"/>
          <w:sz w:val="16"/>
          <w:szCs w:val="16"/>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5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The underwriters expect to deliver the shares of common stock and pre-funded warrants to purchasers on or about February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166370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Bookrunning Managers</w:t>
      </w:r>
    </w:p>
    <w:p>
      <w:pPr>
        <w:sectPr>
          <w:pgSz w:w="11900" w:h="16838" w:orient="portrait"/>
          <w:cols w:equalWidth="0" w:num="1">
            <w:col w:w="11140"/>
          </w:cols>
          <w:pgMar w:left="320" w:top="226" w:right="439" w:bottom="1440" w:gutter="0" w:footer="0" w:header="0"/>
        </w:sectPr>
      </w:pPr>
    </w:p>
    <w:p>
      <w:pPr>
        <w:spacing w:after="0" w:line="10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auto"/>
        </w:rPr>
        <w:t>Leerink Partners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TD Cowen</w:t>
      </w:r>
    </w:p>
    <w:p>
      <w:pPr>
        <w:spacing w:after="0" w:line="133" w:lineRule="exact"/>
        <w:rPr>
          <w:sz w:val="24"/>
          <w:szCs w:val="24"/>
          <w:color w:val="auto"/>
        </w:rPr>
      </w:pPr>
    </w:p>
    <w:p>
      <w:pPr>
        <w:sectPr>
          <w:pgSz w:w="11900" w:h="16838" w:orient="portrait"/>
          <w:cols w:equalWidth="0" w:num="2">
            <w:col w:w="8920" w:space="720"/>
            <w:col w:w="1500"/>
          </w:cols>
          <w:pgMar w:left="320" w:top="226"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Lead Manager</w:t>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LifeSci Capital</w:t>
      </w:r>
    </w:p>
    <w:p>
      <w:pPr>
        <w:spacing w:after="0" w:line="25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date of this prospectus supplement is February 7, 2024</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8"/>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7"/>
            <w:vMerge w:val="continue"/>
          </w:tcPr>
          <w:p>
            <w:pPr>
              <w:spacing w:after="0"/>
              <w:rPr>
                <w:sz w:val="14"/>
                <w:szCs w:val="14"/>
                <w:color w:val="auto"/>
              </w:rPr>
            </w:pPr>
          </w:p>
        </w:tc>
        <w:tc>
          <w:tcPr>
            <w:tcW w:w="7120" w:type="dxa"/>
            <w:vAlign w:val="bottom"/>
            <w:gridSpan w:val="8"/>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PRE-FUNDED WARRANTS</w:t>
            </w:r>
          </w:p>
        </w:tc>
        <w:tc>
          <w:tcPr>
            <w:tcW w:w="6920" w:type="dxa"/>
            <w:vAlign w:val="bottom"/>
            <w:gridSpan w:val="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FOR HOLDERS OF COMMON STOCK AND PRE-FUNDED WARRANTS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196"/>
        </w:trPr>
        <w:tc>
          <w:tcPr>
            <w:tcW w:w="104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S-35</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561"/>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5"/>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7"/>
          </w:tcPr>
          <w:p>
            <w:pPr>
              <w:spacing w:after="0"/>
              <w:rPr>
                <w:sz w:val="17"/>
                <w:szCs w:val="17"/>
                <w:color w:val="auto"/>
              </w:rPr>
            </w:pPr>
          </w:p>
        </w:tc>
        <w:tc>
          <w:tcPr>
            <w:tcW w:w="764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24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2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12"/>
          </w:tcPr>
          <w:p>
            <w:pPr>
              <w:spacing w:after="0"/>
              <w:rPr>
                <w:sz w:val="17"/>
                <w:szCs w:val="17"/>
                <w:color w:val="auto"/>
              </w:rPr>
            </w:pPr>
          </w:p>
        </w:tc>
        <w:tc>
          <w:tcPr>
            <w:tcW w:w="702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940" w:type="dxa"/>
            <w:vAlign w:val="bottom"/>
            <w:tcBorders>
              <w:top w:val="single" w:sz="8" w:color="0000EE"/>
            </w:tcBorders>
            <w:gridSpan w:val="9"/>
          </w:tcPr>
          <w:p>
            <w:pPr>
              <w:spacing w:after="0"/>
              <w:rPr>
                <w:sz w:val="17"/>
                <w:szCs w:val="17"/>
                <w:color w:val="auto"/>
              </w:rPr>
            </w:pPr>
          </w:p>
        </w:tc>
        <w:tc>
          <w:tcPr>
            <w:tcW w:w="6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(the SEC), using a “shelf” registration process.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common stock and pre-funded warrants in two parts. The first part is this prospectus supplement, which provides you with specific information regarding the terms of this offering of our common stock and pre-funded warrants,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 and pre-funded warrants. Generally, when we refer to this prospectus, we are referring to both parts of this document combined.</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common stock or pre-funded warrants that we are offering, we urge you to carefully read this prospectus supplement, the accompanying prospectus and all of the information incorporated by reference herein and therein,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supplement or the accompanying prospectus, and the documents herein or therein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any information or to make any representation, other than those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herein and therein or any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offering to sell, and seeking offers to buy,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76" w:lineRule="exact"/>
        <w:rPr>
          <w:sz w:val="20"/>
          <w:szCs w:val="20"/>
          <w:color w:val="auto"/>
        </w:rPr>
      </w:pPr>
    </w:p>
    <w:p>
      <w:pPr>
        <w:ind w:left="120" w:right="80" w:firstLine="440"/>
        <w:spacing w:after="0" w:line="242" w:lineRule="auto"/>
        <w:rPr>
          <w:sz w:val="20"/>
          <w:szCs w:val="20"/>
          <w:color w:val="auto"/>
        </w:rPr>
      </w:pPr>
      <w:r>
        <w:rPr>
          <w:rFonts w:ascii="Times New Roman" w:cs="Times New Roman" w:eastAsia="Times New Roman" w:hAnsi="Times New Roman"/>
          <w:sz w:val="18"/>
          <w:szCs w:val="18"/>
          <w:color w:val="auto"/>
        </w:rPr>
        <w:t xml:space="preserve">Unless the context otherwise indicates, references in this prospectus supplement, the accompanying prospectus and the information incorporated by reference herein and therein to “Tenaya Therapeutics,” “Tenaya,” “we,” “our” and “us” refer, collectively, to Tenaya Therapeutics, Inc. We have proprietary rights to trademarks that are used in this prospectus supplement and the documents incorporated by reference herein, which are important to our business and many of which are registered under applicable intellectual property laws. Solely for convenience, the trademarks, service marks, logos and trade names referred to in this prospectus supplement and the documents incorporated by reference herein may be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to these trademarks, service marks and trade names. This prospectus supplement and the documents incorporated by reference herein contain additional trademarks, service marks and trade names of others, which are the property of their respective owners. All trademarks, service marks and trade names appearing in this prospectus supplement and the documents incorporated by reference herein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79" w:lineRule="exact"/>
        <w:rPr>
          <w:sz w:val="20"/>
          <w:szCs w:val="20"/>
          <w:color w:val="auto"/>
        </w:rPr>
      </w:pPr>
    </w:p>
    <w:p>
      <w:pPr>
        <w:ind w:left="1080" w:right="54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ongoing preclinical studies and ongoing or planned clinical trials to demonstrate safety and efficacy of our product candidates, and other positive results;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ongoing or planned clinical trials for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and targets we may pursue;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laws and regulations and regulatory developments in the United States, Europe and other jurisdictions;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44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partnership, licensing or other arrangements that may be necessary or desirable to develop, manufacture or commercialize our product candidates, as well as our ability to realize the potential benefits of any such agreements;</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operating losses,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and therein by reference, and any free writing prospectus that we may have authorized for use in connection with this offering,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6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carefully read this entire prospectus supplement and the accompanying prospectus, including the information incorporated by reference herein and therein, especially the risks of investing in our common stock discussed under “Risk Factors” beginning on page S-12 of this prospectus supplement, the “Risk Factors” section of our most recent Quarterly Report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developing and delivering potentially curative therapies that address the underlying drivers of heart disease. Our vision is to change the treatment paradigm for heart disease, and in doing so improve and extend the lives of millions of individuals and families.</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extensive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p>
    <w:p>
      <w:pPr>
        <w:spacing w:after="0" w:line="180"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lead product candidates are: TN-201, a gene therapy for myosin binding protein C3 (MYBPC3)-associated hypertrophic cardiomyopathy (HCM), TN-401, a gene therapy for plakophilin 2 (PKP2)-associated arrhythmogenic right ventricular cardiomyopathy (ARVC), and TN-301, a small molecule for heart failure with preserved ejection fraction (HFpEF).</w:t>
      </w:r>
    </w:p>
    <w:p>
      <w:pPr>
        <w:spacing w:after="0" w:line="176" w:lineRule="exact"/>
        <w:rPr>
          <w:sz w:val="20"/>
          <w:szCs w:val="20"/>
          <w:color w:val="auto"/>
        </w:rPr>
      </w:pPr>
    </w:p>
    <w:p>
      <w:pPr>
        <w:ind w:left="300" w:firstLine="426"/>
        <w:spacing w:after="0" w:line="239" w:lineRule="auto"/>
        <w:rPr>
          <w:sz w:val="20"/>
          <w:szCs w:val="20"/>
          <w:color w:val="auto"/>
        </w:rPr>
      </w:pPr>
      <w:r>
        <w:rPr>
          <w:rFonts w:ascii="Times New Roman" w:cs="Times New Roman" w:eastAsia="Times New Roman" w:hAnsi="Times New Roman"/>
          <w:sz w:val="18"/>
          <w:szCs w:val="18"/>
          <w:color w:val="auto"/>
        </w:rPr>
        <w:t>TN-201 is our investigational AAV9-based gene therapy for adults and children with HCM due to MYBPC3 gene mutations. These mutations can cause the heart walls of affected individuals to become significantly thickened, leading to fibrosis, abnormal heart rhythms, cardiac dysfunction and heart failure. HCM is a chronic, progressive condition and those diagnosed with the disease often experience significant impairment in overall quality of life. TN-201 is designed to deliver a functional MYBPC3 gene to the heart utilizing a recombinant adeno-associated virus serotype 9 (AAV9) capsid to restore expression of the cardiac myosin binding protein to halt disease progression and potentially reverse the course of genetic HCM following a single intravenous injection. In October 2023, we began dosing patients in the MyPeak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 Phase 1b multi-center, open-label clinical trial, designed to assess the safety, tolerability and efficacy of a one-time intravenous infusion of TN-201. Initial data from the trial is anticipated in the second half of 2024.</w:t>
      </w:r>
    </w:p>
    <w:p>
      <w:pPr>
        <w:spacing w:after="0" w:line="20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In order to support our development efforts for TN-201, we have initiated two non-interventional studies: a study evaluating seroprevalence to AAV9 antibodies among adults with MYBPC3-associated HCM, and MyClimb, a prospective and retrospective global natural history study focused on pediatric patients with MYBPC3 mutation-associated cardiomyopathy. The objective of the natural history study is to characterize the outcomes, burden of illness, risk factors, quality of life, and biomarkers associated with disease progression in pediatric patients with cardiomyopathy due to MYBPC3 gene mutations, as well as treatments, procedures, and patient outcomes. MyClimb complements existing disease registries focused primarily on adult patient HCM populations and may support and expedite the development of TN-201 in the pediatric patient population. TN-201 has received orphan drug designation and Fast Track Designation from the FDA and orphan medicinal product designation from the European Commission (EC) for the treatment of MYBPC3-associated HCM.</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TN-401 is our AAV9-based investigational gene therapy product candidate for the treatment of ARVC caused by mutations in the PKP2 gene. ARVC, also known as arrhythmogenic cardiomyopathy or ACM, is a chronic, progressive, familial disease characterized by ventricular arrhythmias, adverse remodeling of the heart and an increased risk of sudden cardiac death. PKP2 mutations are the most common genetic cause of ARVC and result in a loss of key proteins needed to maintain the structural integrity and cell-to-cell signaling of heart muscle cells.</w:t>
      </w:r>
    </w:p>
    <w:p>
      <w:pPr>
        <w:spacing w:after="0" w:line="180" w:lineRule="exact"/>
        <w:rPr>
          <w:sz w:val="20"/>
          <w:szCs w:val="20"/>
          <w:color w:val="auto"/>
        </w:rPr>
      </w:pPr>
    </w:p>
    <w:p>
      <w:pPr>
        <w:ind w:left="300" w:right="60" w:firstLine="426"/>
        <w:spacing w:after="0" w:line="236" w:lineRule="auto"/>
        <w:rPr>
          <w:sz w:val="20"/>
          <w:szCs w:val="20"/>
          <w:color w:val="auto"/>
        </w:rPr>
      </w:pPr>
      <w:r>
        <w:rPr>
          <w:rFonts w:ascii="Times New Roman" w:cs="Times New Roman" w:eastAsia="Times New Roman" w:hAnsi="Times New Roman"/>
          <w:sz w:val="18"/>
          <w:szCs w:val="18"/>
          <w:color w:val="auto"/>
        </w:rPr>
        <w:t>In October 2023, the FDA provided clearance of our IND application to initiate clinical testing of TN-401. We plan to initiate patient dosing in RIDGE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 our Phase 1b multi-center, open-label clinical trial, designed to assess the safety, tolerability and efficacy of a one-time intravenous infusion of TN-401, during the second half of 2024. Additionally, in support of our development efforts for TN-401, we have initiated a global non-interventional study to collect treatment history and seroprevalence to AAV9 antibodies data among ARVC patients who carry pathogenic or likely pathogenic PKP2 gene mutations. TN-401 has received orphan drug designation and Fast Track Designation from the FDA and orphan medicinal product designation from the EC.</w:t>
      </w:r>
    </w:p>
    <w:p>
      <w:pPr>
        <w:spacing w:after="0" w:line="200" w:lineRule="exact"/>
        <w:rPr>
          <w:sz w:val="20"/>
          <w:szCs w:val="20"/>
          <w:color w:val="auto"/>
        </w:rPr>
      </w:pPr>
    </w:p>
    <w:p>
      <w:pPr>
        <w:ind w:left="300" w:right="460" w:firstLine="426"/>
        <w:spacing w:after="0" w:line="258" w:lineRule="auto"/>
        <w:rPr>
          <w:sz w:val="20"/>
          <w:szCs w:val="20"/>
          <w:color w:val="auto"/>
        </w:rPr>
      </w:pPr>
      <w:r>
        <w:rPr>
          <w:rFonts w:ascii="Times New Roman" w:cs="Times New Roman" w:eastAsia="Times New Roman" w:hAnsi="Times New Roman"/>
          <w:sz w:val="18"/>
          <w:szCs w:val="18"/>
          <w:color w:val="auto"/>
        </w:rPr>
        <w:t>TN-301 is our highly specific small molecule inhibitor of histone deacetylase 6 (HDAC6). TN-301 is initially being developed for the potential treatment of HFpEF. HFpEF is characterized by a stiffening of the heart muscle resulting in an inability for the left ventricle to relax properly during normal heart rhythm, referred to as diastolic dysfunction. There are several cellular processes thought to underlie the pathophysiology of HFpEF, including increases in fibrosis and inflammation and defects in metabolism. Although HFpEF accounts for approximately 50% of all heart failures, there are few proven treatment options.</w:t>
      </w:r>
    </w:p>
    <w:p>
      <w:pPr>
        <w:spacing w:after="0" w:line="183"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In October 2023, Tenaya shared positive data from its Phase 1 clinical trial of TN-301 in healthy participants at the 2023 Heart Failure Society of America (HFSA) Annual Scientific Meeting. The Phase 1 trial enrolled participants in two stages. In Stage 1, participants received single ascending doses (SAD) and in Stage 2, participants received multiple ascending doses (MAD). TN-301 was generally well tolerated across the broad range of doses studied. Pharmacokinetic results showed overall dose proportionality in the SAD and MAD stages of the study with a half-life supportive of once-daily dosing. Robust HDAC6 inhibition was observed and increasing doses and exposures with TN-301 correlated with increased pharmacodynamic effects. There were no changes in histone acetylation with TN-301, underscoring the selectivity of TN-301 for HDAC6 and potentially reducing the risk of off target effects observed with less selective HDAC6 inhibitors or pan-HDAC inhibition. In preclinical studies, selective HDAC6 inhibition has been shown to have comparable efficacy to empagliflozin, a sodium-glucose cotransporter-2 (SGLT2) inhibitor which is approved for the treatment of HFpEF. More recently, using a validated mouse model of disease, we demonstrated that HDAC6 inhibition co-administered with an SGLT2 inhibitor demonstrated additive benefit, improving several measures of heart function. Taken together, these data support continued development of TN-301 as a potential treatment for patients with HFpEF. We believe late-stage clinical development of TN-301 is best suited for development by or with a well-resourced partner.</w:t>
      </w:r>
    </w:p>
    <w:p>
      <w:pPr>
        <w:spacing w:after="0" w:line="190"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In addition to our lead product candidates, we have multiple early-stage programs to address other forms of heart failure progressing through preclinical development.</w:t>
      </w:r>
    </w:p>
    <w:p>
      <w:pPr>
        <w:spacing w:after="0" w:line="162"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Our distinct, but interrelated suite of integrated capabilities support our efforts to discover disease-modifying treatments focused on heart disease in a modality-agnostic manner. We also continue to invest in complementary new technologies and the optimization of our existing proprietary capabilities, including the use of human-iPSC disease models, machine learning and phenotypic screening, gene editing, capsid engineering and novel promoter constructs to enable the discovery, design, delivery and development of therapeutics that are best suited to a given cardiovascular condition.</w:t>
      </w:r>
    </w:p>
    <w:p>
      <w:pPr>
        <w:spacing w:after="0" w:line="183"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We have internalized and integrated both current Good Manufacturing Practices (GMP) and non-GMP AAV manufacturing capabilities to support our emerging portfolio of gene therapy and cellular regeneration product candidates. Our Genetic Medicines Manufacturing Center, a cGMP facility, is strategically located near our</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04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8"/>
          <w:szCs w:val="18"/>
          <w:color w:val="auto"/>
        </w:rPr>
        <w:t>research labs in the San Francisco Bay Area to enable smooth scale-up of production to support our clinical studies and utilizes a modular, scalable design to produce AAV-based gene therapies under current GMP standards.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and risks related to this offering.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prospectus supplement. Additional risks, beyond those summarized below or discussed elsewhere in this prospectus supplement and the documents incorporated herein by reference,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94" w:lineRule="exact"/>
        <w:rPr>
          <w:sz w:val="20"/>
          <w:szCs w:val="20"/>
          <w:color w:val="auto"/>
        </w:rPr>
      </w:pPr>
    </w:p>
    <w:p>
      <w:pPr>
        <w:ind w:left="1240" w:right="18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with a limited operating history and have no products approved for commercial sale, which may make it difficult for you to evaluate our current business and likelihood of success and future viability.</w:t>
      </w:r>
    </w:p>
    <w:p>
      <w:pPr>
        <w:spacing w:after="0" w:line="67" w:lineRule="exact"/>
        <w:rPr>
          <w:rFonts w:ascii="Times New Roman" w:cs="Times New Roman" w:eastAsia="Times New Roman" w:hAnsi="Times New Roman"/>
          <w:sz w:val="18"/>
          <w:szCs w:val="18"/>
          <w:color w:val="auto"/>
        </w:rPr>
      </w:pPr>
    </w:p>
    <w:p>
      <w:pPr>
        <w:ind w:left="1240" w:right="8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product revenue to date, have incurred significant net losses since our inception, and expect to continue to incur significant net losses for the foreseeable future.</w:t>
      </w:r>
    </w:p>
    <w:p>
      <w:pPr>
        <w:spacing w:after="0" w:line="67" w:lineRule="exact"/>
        <w:rPr>
          <w:rFonts w:ascii="Times New Roman" w:cs="Times New Roman" w:eastAsia="Times New Roman" w:hAnsi="Times New Roman"/>
          <w:sz w:val="18"/>
          <w:szCs w:val="18"/>
          <w:color w:val="auto"/>
        </w:rPr>
      </w:pPr>
    </w:p>
    <w:p>
      <w:pPr>
        <w:ind w:left="1240" w:right="16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7" w:lineRule="exact"/>
        <w:rPr>
          <w:rFonts w:ascii="Times New Roman" w:cs="Times New Roman" w:eastAsia="Times New Roman" w:hAnsi="Times New Roman"/>
          <w:sz w:val="18"/>
          <w:szCs w:val="18"/>
          <w:color w:val="auto"/>
        </w:rPr>
      </w:pPr>
    </w:p>
    <w:p>
      <w:pPr>
        <w:ind w:left="1240" w:hanging="523"/>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which if available, may cause dilution to our stockholders, restrict our operations or require us to relinquish rights to our technologies or product candidates. If we are unable to raise such capital when needed, or on acceptable terms, we may be forced to delay, reduce and/or eliminate one or more of our research and drug development programs or future commercialization efforts.</w:t>
      </w:r>
    </w:p>
    <w:p>
      <w:pPr>
        <w:spacing w:after="0" w:line="85" w:lineRule="exact"/>
        <w:rPr>
          <w:rFonts w:ascii="Times New Roman" w:cs="Times New Roman" w:eastAsia="Times New Roman" w:hAnsi="Times New Roman"/>
          <w:sz w:val="18"/>
          <w:szCs w:val="18"/>
          <w:color w:val="auto"/>
        </w:rPr>
      </w:pPr>
    </w:p>
    <w:p>
      <w:pPr>
        <w:ind w:left="1240" w:right="480" w:hanging="523"/>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1"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1"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mechanisms of action of our product candidates are unproven, and we do not know whether we will be able to develop any drug of commercial value.</w:t>
      </w:r>
    </w:p>
    <w:p>
      <w:pPr>
        <w:spacing w:after="0" w:line="67" w:lineRule="exact"/>
        <w:rPr>
          <w:rFonts w:ascii="Times New Roman" w:cs="Times New Roman" w:eastAsia="Times New Roman" w:hAnsi="Times New Roman"/>
          <w:sz w:val="18"/>
          <w:szCs w:val="18"/>
          <w:color w:val="auto"/>
        </w:rPr>
      </w:pPr>
    </w:p>
    <w:p>
      <w:pPr>
        <w:ind w:left="1240" w:right="120" w:hanging="523"/>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8" w:lineRule="exact"/>
        <w:rPr>
          <w:rFonts w:ascii="Times New Roman" w:cs="Times New Roman" w:eastAsia="Times New Roman" w:hAnsi="Times New Roman"/>
          <w:sz w:val="18"/>
          <w:szCs w:val="18"/>
          <w:color w:val="auto"/>
        </w:rPr>
      </w:pPr>
    </w:p>
    <w:p>
      <w:pPr>
        <w:ind w:left="1240" w:right="840" w:hanging="523"/>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toxicities or other undesirable side effects when used alone or in combination with other approved products or investigational new drugs that may</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66" w:lineRule="auto"/>
        <w:rPr>
          <w:sz w:val="20"/>
          <w:szCs w:val="20"/>
          <w:color w:val="auto"/>
        </w:rPr>
      </w:pPr>
      <w:r>
        <w:rPr>
          <w:rFonts w:ascii="Times New Roman" w:cs="Times New Roman" w:eastAsia="Times New Roman" w:hAnsi="Times New Roman"/>
          <w:sz w:val="18"/>
          <w:szCs w:val="18"/>
          <w:color w:val="auto"/>
        </w:rPr>
        <w:t>result in a safety profile that could delay or prevent regulatory approval, or market acceptance, or even if approval is received, require them to be taken off the market, include new safety warnings, contraindications or precautions, or otherwise limit their commercial potential or result in significant negative consequences.</w:t>
      </w:r>
    </w:p>
    <w:p>
      <w:pPr>
        <w:spacing w:after="0" w:line="81" w:lineRule="exact"/>
        <w:rPr>
          <w:sz w:val="20"/>
          <w:szCs w:val="20"/>
          <w:color w:val="auto"/>
        </w:rPr>
      </w:pPr>
    </w:p>
    <w:p>
      <w:pPr>
        <w:ind w:left="1240" w:hanging="523"/>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5" w:lineRule="exact"/>
        <w:rPr>
          <w:rFonts w:ascii="Times New Roman" w:cs="Times New Roman" w:eastAsia="Times New Roman" w:hAnsi="Times New Roman"/>
          <w:sz w:val="18"/>
          <w:szCs w:val="18"/>
          <w:color w:val="auto"/>
        </w:rPr>
      </w:pPr>
    </w:p>
    <w:p>
      <w:pPr>
        <w:jc w:val="both"/>
        <w:ind w:left="1240" w:right="180" w:hanging="523"/>
        <w:spacing w:after="0" w:line="312"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45" w:lineRule="exact"/>
        <w:rPr>
          <w:rFonts w:ascii="Times New Roman" w:cs="Times New Roman" w:eastAsia="Times New Roman" w:hAnsi="Times New Roman"/>
          <w:sz w:val="17"/>
          <w:szCs w:val="17"/>
          <w:color w:val="auto"/>
        </w:rPr>
      </w:pPr>
    </w:p>
    <w:p>
      <w:pPr>
        <w:ind w:left="1240" w:right="420" w:hanging="523"/>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our limited manufacturing experience, there can be no assurance that we will be able to successfully manufacture product candidates to support our clinical development and commercialization plans.</w:t>
      </w:r>
    </w:p>
    <w:p>
      <w:pPr>
        <w:spacing w:after="0" w:line="67" w:lineRule="exact"/>
        <w:rPr>
          <w:rFonts w:ascii="Times New Roman" w:cs="Times New Roman" w:eastAsia="Times New Roman" w:hAnsi="Times New Roman"/>
          <w:sz w:val="18"/>
          <w:szCs w:val="18"/>
          <w:color w:val="auto"/>
        </w:rPr>
      </w:pPr>
    </w:p>
    <w:p>
      <w:pPr>
        <w:jc w:val="both"/>
        <w:ind w:left="1240" w:right="2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1" w:lineRule="exact"/>
        <w:rPr>
          <w:rFonts w:ascii="Times New Roman" w:cs="Times New Roman" w:eastAsia="Times New Roman" w:hAnsi="Times New Roman"/>
          <w:sz w:val="18"/>
          <w:szCs w:val="18"/>
          <w:color w:val="auto"/>
        </w:rPr>
      </w:pPr>
    </w:p>
    <w:p>
      <w:pPr>
        <w:ind w:left="1240" w:right="20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81"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misappropriating or otherwise violating the patents and other intellectual property and proprietary rights of third parties.</w:t>
      </w:r>
    </w:p>
    <w:p>
      <w:pPr>
        <w:spacing w:after="0" w:line="67"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our clinical trials, and plan to rely on third parties to conduct such future drug development activities. These third parties may not perform satisfactorily, including failing to meet completion deadlines, or to comply with applicable regulatory requirements, which may harm our business.</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public market for the pre-funded warrants being offered in this offering.</w:t>
      </w:r>
    </w:p>
    <w:p>
      <w:pPr>
        <w:spacing w:after="0" w:line="130" w:lineRule="exact"/>
        <w:rPr>
          <w:rFonts w:ascii="Times New Roman" w:cs="Times New Roman" w:eastAsia="Times New Roman" w:hAnsi="Times New Roman"/>
          <w:sz w:val="18"/>
          <w:szCs w:val="18"/>
          <w:color w:val="auto"/>
        </w:rPr>
      </w:pPr>
    </w:p>
    <w:p>
      <w:pPr>
        <w:ind w:left="1240" w:right="120" w:hanging="523"/>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pre-funded warrants will have no rights as common stockholders until such holders exercise their pre-funded warrants and acquire our common stock.</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holders or beneficial owners of our common stock may not be permitted to exercise the pre-funded warrants that they hold.</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Suite 500,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24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which will be December 31, 2026.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left="300"/>
        <w:spacing w:after="0"/>
        <w:tabs>
          <w:tab w:leader="none" w:pos="5800" w:val="left"/>
        </w:tabs>
        <w:rPr>
          <w:sz w:val="20"/>
          <w:szCs w:val="20"/>
          <w:color w:val="auto"/>
        </w:rPr>
      </w:pPr>
      <w:r>
        <w:rPr>
          <w:rFonts w:ascii="Times New Roman" w:cs="Times New Roman" w:eastAsia="Times New Roman" w:hAnsi="Times New Roman"/>
          <w:sz w:val="18"/>
          <w:szCs w:val="18"/>
          <w:color w:val="auto"/>
        </w:rPr>
        <w:t>Common Stock and Pre-Funded Warrants Offered by Us</w:t>
      </w:r>
      <w:r>
        <w:rPr>
          <w:sz w:val="20"/>
          <w:szCs w:val="20"/>
          <w:color w:val="auto"/>
        </w:rPr>
        <w:tab/>
      </w:r>
      <w:r>
        <w:rPr>
          <w:rFonts w:ascii="Times New Roman" w:cs="Times New Roman" w:eastAsia="Times New Roman" w:hAnsi="Times New Roman"/>
          <w:sz w:val="17"/>
          <w:szCs w:val="17"/>
          <w:color w:val="auto"/>
        </w:rPr>
        <w:t>8,888,890 shares of our common stock. We are also offering, in lieu of</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common stock to certain investors that so choose, pre-funded warrants</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to purchase 2,222,271 shares of our common stock. The purchase</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price of each pre-funded warrant equals the price per share at which</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shares of common stock are being sold in this offering minus $0.001,</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multiplied by the number of shares subject to the warrant, and the</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exercise price of each pre-funded warrant equals $0.001 per share.</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Each pre-funded warrant will be exercisable from the date of issuance</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until the date the warrant is exercised in full, subject to an ownership</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limitation. See “Description of Pre-Funded Warrants.” This prospectus</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supplement also relates to the offering of the shares of common stock</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issuable upon the exercise of such pre-funded warrants.</w:t>
      </w:r>
    </w:p>
    <w:p>
      <w:pPr>
        <w:sectPr>
          <w:pgSz w:w="11900" w:h="16838" w:orient="portrait"/>
          <w:cols w:equalWidth="0" w:num="1">
            <w:col w:w="11140"/>
          </w:cols>
          <w:pgMar w:left="320" w:top="455" w:right="439" w:bottom="1440" w:gutter="0" w:footer="0" w:header="0"/>
        </w:sectPr>
      </w:pPr>
    </w:p>
    <w:p>
      <w:pPr>
        <w:spacing w:after="0" w:line="234" w:lineRule="exact"/>
        <w:rPr>
          <w:sz w:val="20"/>
          <w:szCs w:val="20"/>
          <w:color w:val="auto"/>
        </w:rPr>
      </w:pPr>
    </w:p>
    <w:p>
      <w:pPr>
        <w:ind w:left="300" w:right="960"/>
        <w:spacing w:after="0" w:line="579" w:lineRule="auto"/>
        <w:rPr>
          <w:sz w:val="20"/>
          <w:szCs w:val="20"/>
          <w:color w:val="auto"/>
        </w:rPr>
      </w:pPr>
      <w:r>
        <w:rPr>
          <w:rFonts w:ascii="Times New Roman" w:cs="Times New Roman" w:eastAsia="Times New Roman" w:hAnsi="Times New Roman"/>
          <w:sz w:val="18"/>
          <w:szCs w:val="18"/>
          <w:color w:val="auto"/>
        </w:rPr>
        <w:t>Common Stock to be Outstanding After this Offering Use of Proceeds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76,999,909 shares of our common stock.</w:t>
      </w:r>
    </w:p>
    <w:p>
      <w:pPr>
        <w:spacing w:after="0" w:line="26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ongoing and planned development of our lead gene therapy product candidates, the continued development of our earlier-stage research programs, the progression of our core capabilities, and for working capital and other general corporate purposes. See “Use of Proceeds” on page S-16 of this prospectus supplement.</w:t>
      </w:r>
    </w:p>
    <w:p>
      <w:pPr>
        <w:spacing w:after="0" w:line="200" w:lineRule="exact"/>
        <w:rPr>
          <w:sz w:val="20"/>
          <w:szCs w:val="20"/>
          <w:color w:val="auto"/>
        </w:rPr>
      </w:pPr>
    </w:p>
    <w:p>
      <w:pPr>
        <w:sectPr>
          <w:pgSz w:w="11900" w:h="16838" w:orient="portrait"/>
          <w:cols w:equalWidth="0" w:num="2">
            <w:col w:w="5100" w:space="720"/>
            <w:col w:w="5320"/>
          </w:cols>
          <w:pgMar w:left="320" w:top="455" w:right="439" w:bottom="1440" w:gutter="0" w:footer="0" w:header="0"/>
          <w:type w:val="continuous"/>
        </w:sectPr>
      </w:pP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Investing in our securities involves significant risks. You should read</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the “Risk Factors” section on page S-12 of this prospectus supplement</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and in the documents incorporated by reference in this prospectus</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supplement and accompanying prospectus for a discussion of factors</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to consider carefully before deciding to purchase shares of our</w:t>
            </w:r>
          </w:p>
        </w:tc>
      </w:tr>
      <w:tr>
        <w:trPr>
          <w:trHeight w:val="234"/>
        </w:trPr>
        <w:tc>
          <w:tcPr>
            <w:tcW w:w="4120" w:type="dxa"/>
            <w:vAlign w:val="bottom"/>
          </w:tcPr>
          <w:p>
            <w:pPr>
              <w:spacing w:after="0"/>
              <w:rPr>
                <w:sz w:val="20"/>
                <w:szCs w:val="20"/>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common stock or pre-funded warrants.</w:t>
            </w:r>
          </w:p>
        </w:tc>
      </w:tr>
      <w:tr>
        <w:trPr>
          <w:trHeight w:val="441"/>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the symbol “TNYA.” There is no established public trading market for</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the pre-funded warrants, and we do not expect a market to develop.</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We do not intend to list the pre-funded warrants on the Nasdaq Global</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Select Market or any other national securities exchange or nationally</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recognized trading system. Without an active trading market, the</w:t>
            </w:r>
          </w:p>
        </w:tc>
      </w:tr>
      <w:tr>
        <w:trPr>
          <w:trHeight w:val="216"/>
        </w:trPr>
        <w:tc>
          <w:tcPr>
            <w:tcW w:w="4120" w:type="dxa"/>
            <w:vAlign w:val="bottom"/>
          </w:tcPr>
          <w:p>
            <w:pPr>
              <w:spacing w:after="0"/>
              <w:rPr>
                <w:sz w:val="18"/>
                <w:szCs w:val="18"/>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liquidity of the pre-funded warrants will be limited. See “Description</w:t>
            </w:r>
          </w:p>
        </w:tc>
      </w:tr>
      <w:tr>
        <w:trPr>
          <w:trHeight w:val="234"/>
        </w:trPr>
        <w:tc>
          <w:tcPr>
            <w:tcW w:w="4120" w:type="dxa"/>
            <w:vAlign w:val="bottom"/>
          </w:tcPr>
          <w:p>
            <w:pPr>
              <w:spacing w:after="0"/>
              <w:rPr>
                <w:sz w:val="20"/>
                <w:szCs w:val="20"/>
                <w:color w:val="auto"/>
              </w:rPr>
            </w:pPr>
          </w:p>
        </w:tc>
        <w:tc>
          <w:tcPr>
            <w:tcW w:w="69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of Pre-Funded Warrants.”</w:t>
            </w:r>
          </w:p>
        </w:tc>
      </w:tr>
      <w:tr>
        <w:trPr>
          <w:trHeight w:val="159"/>
        </w:trPr>
        <w:tc>
          <w:tcPr>
            <w:tcW w:w="4120" w:type="dxa"/>
            <w:vAlign w:val="bottom"/>
            <w:tcBorders>
              <w:bottom w:val="single" w:sz="8" w:color="auto"/>
            </w:tcBorders>
          </w:tcPr>
          <w:p>
            <w:pPr>
              <w:spacing w:after="0"/>
              <w:rPr>
                <w:sz w:val="13"/>
                <w:szCs w:val="13"/>
                <w:color w:val="auto"/>
              </w:rPr>
            </w:pPr>
          </w:p>
        </w:tc>
        <w:tc>
          <w:tcPr>
            <w:tcW w:w="6900" w:type="dxa"/>
            <w:vAlign w:val="bottom"/>
            <w:tcBorders>
              <w:bottom w:val="single" w:sz="8" w:color="auto"/>
            </w:tcBorders>
          </w:tcPr>
          <w:p>
            <w:pPr>
              <w:spacing w:after="0"/>
              <w:rPr>
                <w:sz w:val="13"/>
                <w:szCs w:val="13"/>
                <w:color w:val="auto"/>
              </w:rPr>
            </w:pPr>
          </w:p>
        </w:tc>
      </w:tr>
      <w:tr>
        <w:trPr>
          <w:trHeight w:val="361"/>
        </w:trPr>
        <w:tc>
          <w:tcPr>
            <w:tcW w:w="4120" w:type="dxa"/>
            <w:vAlign w:val="bottom"/>
          </w:tcPr>
          <w:p>
            <w:pPr>
              <w:spacing w:after="0"/>
              <w:rPr>
                <w:sz w:val="24"/>
                <w:szCs w:val="24"/>
                <w:color w:val="auto"/>
              </w:rPr>
            </w:pPr>
          </w:p>
        </w:tc>
        <w:tc>
          <w:tcPr>
            <w:tcW w:w="69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S-10</w:t>
            </w:r>
          </w:p>
        </w:tc>
      </w:tr>
    </w:tbl>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78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4478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68,111,019 shares of our common stock outstanding as of September 30, 2023, and excludes:</w:t>
      </w:r>
    </w:p>
    <w:p>
      <w:pPr>
        <w:spacing w:after="0" w:line="67" w:lineRule="exact"/>
        <w:rPr>
          <w:sz w:val="20"/>
          <w:szCs w:val="20"/>
          <w:color w:val="auto"/>
        </w:rPr>
      </w:pPr>
    </w:p>
    <w:p>
      <w:pPr>
        <w:ind w:left="1240" w:right="52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8,224,346 shares of common stock issuable upon exercise of stock options outstanding as of September 30, 2023, at a weighted average exercise price of $7.57 per share;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1,094,781 shares of common stock issuable upon vesting of restricted stock units outstanding as of September 30, 2023;</w:t>
      </w:r>
    </w:p>
    <w:p>
      <w:pPr>
        <w:spacing w:after="0" w:line="130"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253,600 shares of our common stock issuable upon the exercise of options granted subsequent to September 30, 2023, at a weighted average exercise price of $2.38 per share;</w:t>
      </w:r>
    </w:p>
    <w:p>
      <w:pPr>
        <w:spacing w:after="0" w:line="67" w:lineRule="exact"/>
        <w:rPr>
          <w:rFonts w:ascii="Times New Roman" w:cs="Times New Roman" w:eastAsia="Times New Roman" w:hAnsi="Times New Roman"/>
          <w:sz w:val="18"/>
          <w:szCs w:val="18"/>
          <w:color w:val="auto"/>
        </w:rPr>
      </w:pPr>
    </w:p>
    <w:p>
      <w:pPr>
        <w:ind w:left="1240" w:right="28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5,934,176 shares of common stock issuable upon exercise of pre-funded warrants as of September 30, 2023, at an exercise price of $0.001 per share;</w:t>
      </w:r>
    </w:p>
    <w:p>
      <w:pPr>
        <w:spacing w:after="0" w:line="67" w:lineRule="exact"/>
        <w:rPr>
          <w:rFonts w:ascii="Times New Roman" w:cs="Times New Roman" w:eastAsia="Times New Roman" w:hAnsi="Times New Roman"/>
          <w:sz w:val="18"/>
          <w:szCs w:val="18"/>
          <w:color w:val="auto"/>
        </w:rPr>
      </w:pPr>
    </w:p>
    <w:p>
      <w:pPr>
        <w:ind w:left="1240" w:right="240" w:hanging="523"/>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1,078,248 shares of common stock reserved for issuance under our 2021 Equity Incentive Plan (the 2021 Plan) as of September 30, 2023, as well as shares that become available pursuant to provisions in our 2021 Plan that automatically increase the share reserve thereunder each year;</w:t>
      </w:r>
    </w:p>
    <w:p>
      <w:pPr>
        <w:spacing w:after="0" w:line="81" w:lineRule="exact"/>
        <w:rPr>
          <w:rFonts w:ascii="Times New Roman" w:cs="Times New Roman" w:eastAsia="Times New Roman" w:hAnsi="Times New Roman"/>
          <w:sz w:val="18"/>
          <w:szCs w:val="18"/>
          <w:color w:val="auto"/>
        </w:rPr>
      </w:pPr>
    </w:p>
    <w:p>
      <w:pPr>
        <w:ind w:left="1240" w:right="140" w:hanging="523"/>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1,624,717 shares of common stock reserved for issuance under our 2021 Employee Stock Purchase Plan (the 2021 ESPP) as of September 30, 2023, as well as shares that become available pursuant to provisions in our 2021 ESPP that automatically increase the share reserve thereunder each year; and</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2,222,271 shares of common stock issuable upon exercise of pre-funded warrants sold in this offering.</w:t>
      </w:r>
    </w:p>
    <w:p>
      <w:pPr>
        <w:spacing w:after="0" w:line="225"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Up to $75.0 million of shares of our common stock may be sold from time to time under our “at-the-market” program that we entered into on August 10, 2022, with Leerink Partners LLC. As of the date of this prospectus supplement, we have sold an aggregate of 535,767 shares of our common stock under this program for aggregate net proceeds of $3.9 million.</w:t>
      </w:r>
    </w:p>
    <w:p>
      <w:pPr>
        <w:spacing w:after="0" w:line="176"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or warrants or vesting of outstanding restricted stock units after September 30, 2023, and no purchase and exercise of pre-funded warrants by any purchaser in this offering.</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Certain existing stockholders, including stockholders affiliated with certain of our directors, are participating in this offering and are expected to purchase an aggregate of 2,222,222 shares of common stock, on the same terms as the other investors in this offering.</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 the documents incorporated by reference herein or therein, you should carefully consider the risks described below, as well as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common stock to decline, resulting in a loss of all or part of your investment. See “Where You Can Find More Information” and “Incorporation of Certain Information by Reference.”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5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vesting of outstanding restricted stock units and the exercise of our outstanding options and warrants will dilute stockholders and could decrease our stock price.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vesting of outstanding restricted stock units and 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September 30, 2023, we had 68,111,019 shares of our common stock outstanding. If our stockholders sell, or the market perceives that our stockholders intend to sell, a substantial amount of our common stock in the public market, the market price of our common stock could decline significantly. Sales of a substantial number of shares of our common stock in the public market could occur at any time, including by us pursuant to our existing “at-the-market” program, under which, as of February 7, 2024, we may issue and sell up to approximately $71.0 million in additional shares of our common stock.</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Rule 144 under the Securities Act.</w:t>
      </w:r>
    </w:p>
    <w:p>
      <w:pPr>
        <w:spacing w:after="0" w:line="6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dilution in the book value per share of the securities you purchase in this offering.</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Because the price per share of our common stock being offered is substantially higher than the net tangible book value per share of our common stock, you will suffer substantial dilution in the net tangible book value of the common stock you purchase in this offering. Our net tangible book value as of September 30, 2023, was approximately $164.9 million, or $2.42 per share of our common stock. Therefore, if you purchase shares of common stock in this offering, you will suffer immediate and substantial dilution of $1.83 per share with respect to the net tangible book value of our common stock, based on the sale of 11,111,161 shares in total at an assumed offering price of $4.50 per share (assuming the exercise of all pre-funded warrants sold in this offering). See the section titled “Dilution” in this prospectus supplement for a detailed discussion of the dilution you will incur if you purchase common stock in this offering.</w:t>
      </w:r>
    </w:p>
    <w:p>
      <w:pPr>
        <w:spacing w:after="0" w:line="185" w:lineRule="exact"/>
        <w:rPr>
          <w:sz w:val="20"/>
          <w:szCs w:val="20"/>
          <w:color w:val="auto"/>
        </w:rPr>
      </w:pPr>
    </w:p>
    <w:p>
      <w:pPr>
        <w:ind w:left="5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15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fluctuations. Our net loss and other operating results will be affected by numerous factors, including:</w:t>
      </w:r>
    </w:p>
    <w:p>
      <w:pPr>
        <w:spacing w:after="0" w:line="67"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preclinical studies and clinical trials or funding support by us or potential future collaborators;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81"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and changes in the competitive landscape of our industry;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our operating results or announcements related to our product candidates fall below the expectations of investors or securities analysts, the price of our common stock could decline substantially. Furthermore, any fluctuations in our operating results or announcements related to our product candidates may, in turn, cause the price of our stock to fluctuate substantially. We believe that comparisons of our financial results are not necessarily meaningful and should not be relied upon as an indication of our future performance.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w:t>
      </w:r>
    </w:p>
    <w:p>
      <w:pPr>
        <w:spacing w:after="0" w:line="280" w:lineRule="exact"/>
        <w:rPr>
          <w:sz w:val="20"/>
          <w:szCs w:val="20"/>
          <w:color w:val="auto"/>
        </w:rPr>
      </w:pPr>
    </w:p>
    <w:p>
      <w:pPr>
        <w:ind w:left="5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such holders exercise their pre-funded warrants and acquire our common stock.</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our common stock underlying such pre-funded warrants.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the pre-funded warrants that they hold.</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pre-funded warrants will not be entitled to exercise any portion of any pre-funded warrant that, upon giving effect to such exercise, would cause (i) the aggregate number of shares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00"/>
          </w:cols>
          <w:pgMar w:left="320" w:top="455" w:right="5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the issuance and sale of shares of common stock and pre-funded warrants in this offering will be approximately $46.5 million, after deducting underwriting discounts and commissions and estimated offering expenses payable by us.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the ongoing and planned development of our lead gene therapy product candidates, the continued development of our earlier-stage research programs, the progression of our core capabilities, and for working capital and other general corporate purposes.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net proceeds from this offering, together with our existing cash, cash equivalents and marketable securities, will not be sufficient for us to fund our clinical programs, and we will need to raise additional capital to achieve our business objectives.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invest in this offering, your ownership interest will be diluted immediately to the extent of the difference between the offering price of our common stock and the as adjusted net tangible book value per share of our common stock immediately after this offering.</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2023, was approximately $164.9 million, or approximately $2.42 per share of common stock based upon 68,111,019 shares outstanding as of September 30, 2023. Historical net tangible book value per share represents the amount of our total tangible assets less total liabilities, divided by the number of shares of our common stock outstanding as of September 30, 2023.</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After giving effect to the sale by us of 11,111,161 shares of our common stock in this offering (which assumes the exercise of all pre-funded warrants sold in this offering) based on the offering price of $4.50 per share, and after deducting underwriting discounts and commissions and estimated offering expenses payable by us, our as adjusted net tangible book value as of September 30, 2023 would have been $211.4 million, or $2.67 per share of common stock. This represents an immediate increase in net tangible book value of $0.25 per share to our existing stockholders and an immediate dilution of $1.83 in net tangible book value per share to new investors purchasing common stock in this offering. Dilution per share to new investors is determined by subtracting as adjusted net tangible book value per share after this offering from the offering price per share paid by new investors.</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2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80" w:type="dxa"/>
            <w:vAlign w:val="bottom"/>
          </w:tcPr>
          <w:p>
            <w:pPr>
              <w:spacing w:after="0"/>
              <w:rPr>
                <w:sz w:val="18"/>
                <w:szCs w:val="18"/>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2023</w:t>
            </w: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6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0.25</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to this offering</w:t>
            </w:r>
          </w:p>
        </w:tc>
        <w:tc>
          <w:tcPr>
            <w:tcW w:w="7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in this offering</w:t>
            </w:r>
          </w:p>
        </w:tc>
        <w:tc>
          <w:tcPr>
            <w:tcW w:w="20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1.83</w:t>
            </w:r>
          </w:p>
        </w:tc>
      </w:tr>
      <w:tr>
        <w:trPr>
          <w:trHeight w:val="20"/>
        </w:trPr>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 are based on 68,111,019 shares of our common stock outstanding as of September 30, 2023 and excludes:</w:t>
      </w:r>
    </w:p>
    <w:p>
      <w:pPr>
        <w:spacing w:after="0" w:line="131" w:lineRule="exact"/>
        <w:rPr>
          <w:sz w:val="20"/>
          <w:szCs w:val="20"/>
          <w:color w:val="auto"/>
        </w:rPr>
      </w:pPr>
    </w:p>
    <w:p>
      <w:pPr>
        <w:ind w:left="1080" w:right="20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8,224,346 shares of common stock issuable upon exercise of stock options outstanding as of September 30, 2023, at a weighted average exercise price of $7.57 per share;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1,094,781 shares of common stock issuable upon vesting of restricted stock units outstanding as of September 30, 2023;</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253,600 shares of our common stock issuable upon the exercise of options granted subsequent to September 30, 2023, at a weighted average exercise price of $2.38 per share;</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5,934,176 shares of common stock issuable upon exercise of pre-funded warrants as of September 30, 2023 at an exercise price of $0.001 per share;</w:t>
      </w:r>
    </w:p>
    <w:p>
      <w:pPr>
        <w:spacing w:after="0" w:line="67"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1,078,248 shares of common stock reserved for issuance under our 2021 Equity Incentive Plan (the 2021 Plan) as of September 30, 2023, as well as shares that become available pursuant to provisions in our 2021 Plan that automatically increase the share reserve thereunder each year; and</w:t>
      </w:r>
    </w:p>
    <w:p>
      <w:pPr>
        <w:spacing w:after="0" w:line="81"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1,624,717 shares of common stock reserved for issuance under our 2021 Employee Stock Purchase Plan (the 2021 ESPP) as of September 30, 2023, as well as shares that become available pursuant to provisions in our 2021 ESPP that automatically increase the share reserve thereunder each year.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restricted stock awards or warrants outstanding as of September 30, 2023 have been or may be exercised or other shares issued, including pursuant to our 2021 ESPP,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or other equity-linked securities, the issuance of these securities could result in further dilution to our stockholders.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040"/>
          </w:cols>
          <w:pgMar w:left="320" w:top="455"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You should review the form of pre-funded warrant, which is filed as an exhibit to a Current Report on Form 8-K that we filed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will expire on the date the warrant is exercised in full.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There is no established trading market for the pre-funded warrants, and we do not expect a market to develop. We do not plan on applying to list the pre-funded warrants on the Nasdaq Global Select Market, any other national securities exchange or any other nationally recognized trading system.</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In the event a holder does not exercise its pre-funded warrants in connection with a fundamental transaction, such holder’s pre-funded warrants will be deemed exercised in full pursuant to the “cashless exercise” mechanism described above upon the consummation of such transaction.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as a Stockholder</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HOLDERS OF COMMON STOCK AND PRE-FUNDED WARRANTS</w:t>
      </w:r>
    </w:p>
    <w:p>
      <w:pPr>
        <w:spacing w:after="0" w:line="20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ownership and disposition of our common stock and pre-funded warrants acquired in this offering,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w:t>
      </w:r>
    </w:p>
    <w:p>
      <w:pPr>
        <w:spacing w:after="0" w:line="85"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five percent of our capital stock and/or pre-funded warrants (except to the extent specifically set forth below);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or pre-funded warrants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pre-funded warrants as a capital asset within the meaning of Section 1221 of the Code (generally, property held for investment);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if a partnership, entity or arrangement classified as a partnership or flow-through entity for U.S. federal income tax purposes holds our common stock or pre-funded warrants, the tax treatment of a partner in such partnership or other entity generally will depend on the status of the partner and upon the activities of the partnership or other entity. A partner in a partnership or other such entity that will hold our common stock or pre-funded warrants should consult his, her or its own tax advisor regarding the tax consequences of the ownership and disposition of our common stock or pre-funded warrants through a partnership or other such entity, as applicable.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or pre-funded warrants, arising under the U.S. federal gift or estate tax rules or under the laws of any state, local, non-U.S. or other taxing jurisdiction or under any applicable tax treaty.</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 and Non-U.S. Holder Defined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you are a “U.S. holder” if you are a beneficial owner (other than a partnership or other entity or arrangement classified as a partnership for U.S. federal income tax purposes) of our common stock or pre-funded warrants that, for U.S. federal income tax purposes, is:</w:t>
      </w:r>
    </w:p>
    <w:p>
      <w:pPr>
        <w:spacing w:after="0" w:line="81"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4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or pre-funded warrants that is not a U.S. holder or a partnership (or other entity or arrangement classified as a partnership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Treatment of Pre-Funded Warrants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the law in this area is not completely settled, the pre-funded warrants are generally expected to be treated as outstanding stock for U.S. federal income tax purposes. Accordingly, upon exercise, no income, gain or loss should be recognized upon the exercise of a prefunded warrant except to the extent of cash received in exchange for a fractional share, which will be treated as a sale subject to the rules described below under “Tax Consequences Applicable to U.S. Holders—Gain on Disposition of Common Stock or Pre-Funded Warrants,” and “Tax Consequences Applicable to Non-U.S. Holders—Gain on Disposition of Common Stock or Pre-Funded Warrants,” and the holding period of a pre-funded warrant should carry over to the share of common stock received. The tax basis of the pre-funded warrant should carry over to the share of common stock received upon exercise of the pre-funded warrant increased by the exercise price. If you are contemplating the acquisition of pre-funded warrants, you should discuss with your personal tax advisor the consequences of the purchase, ownership and disposition of the pre-funded warrants, as well as the exercise of, certain adjustments to, and any payments in respect of the pre-funded warrants (including potential alternative characterizations).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constitute a return of capital and will first reduce your basis in our common stock, but not below zero, and then will be treated as gain from the sale of stock as described below under “Tax Consequences Applicable to U.S. Holders—Gain on Disposition of Common Stock or Pre-Funded Warrants.” If you are a non-corporate U.S. holder, and certain requirements are met, a preferential U.S. federal income tax rate will apply to any dividends paid to you if you meet certain holding period requirements.</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you are a corporate shareholder, distributions constituting dividends for U.S. federal income tax purposes will generally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spacing w:after="0" w:line="18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You should consult your tax advisors regarding the proper treatment of any payments in respect of the pre-funded warrants.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Pre-Funded Warrants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Upon a sale or other taxable disposition of common stock or pre-funded warrants, you generally will recognize capital gain or loss in an amount equal to the difference between the amount realized and your adjusted tax basis in the common stock or pre-funded warrant. Capital gain or loss will constitute long-term capital gain or loss if your holding period for the common stock or pre-funded warrant exceeds one year. The deductibility of capital losses is subject to certain limitations. U.S. holders who recognize losses with respect to a disposition of our common stock or pre-funded warrants should consult their own tax advisors regarding the tax treatment of such losses.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Pre-Funded Warrants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U.S. Holders—Distributions.” You should consult your tax advisor regarding the proper tax treatment of any such adjustment.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(including constructive dividends) on the common stock or pre-funded warrants and to the proceeds of a sale or other disposition of common stock or pre-funded warrants paid to you unless you are an exempt recipient, such as certain corporations. Backup withholding at a current rate of 24% will apply to those payments if you fail to provide your taxpayer identification number (generally in the form of a properly completed and executed IRS Form W-9), or certification of exempt status, or if you otherwise fail to comply with applicable requirements to establish an exemption.</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“Tax Consequences Applicable to Non-U.S. Holders—Gain on Disposition of Common Stock or Pre-Funded Warrants.”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Foreign Account Tax Compliance Act, or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or pre-funded warrants eligible for a reduced rate of U.S. federal withholding tax pursuant to an income tax treaty may obtain a refund of any excess amounts withheld by timely filing an appropriate claim for refund with the IRS. If the non-U.S. holder holds our common stock or pre-funded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or pre-funded warrants, including any applicable tax treaties that may provide for different rules.</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You should consult your own tax advisors regarding the proper treatment of any payments in respect of the pre-funded warrants.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Pre-Funded Warrants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you generally will not be required to pay U.S. federal income tax on any gain realized upon the sale or other disposition of our common stock or pre-funded warrants unless:</w:t>
      </w:r>
    </w:p>
    <w:p>
      <w:pPr>
        <w:spacing w:after="0" w:line="67" w:lineRule="exact"/>
        <w:rPr>
          <w:sz w:val="20"/>
          <w:szCs w:val="20"/>
          <w:color w:val="auto"/>
        </w:rPr>
      </w:pPr>
    </w:p>
    <w:p>
      <w:pPr>
        <w:ind w:left="1080" w:right="2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a U.S. real property interest only if you actually (directly or indirectly) or constructively hold more than five percent of such regularly traded common stock at any time during the shorter of the five-year period preceding your disposition of, or your holding period for, our common stock. Special rules may apply to non-U.S. holders of pre-funded warrants, who should consult their tax advisors.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Pre-Funded Warrants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 Any such adjustment that is treated as a constructive distribution would be treated as a dividend, subject to withholding, to the extent described above under “Tax Consequences Applicable to U.S. Holders—Distributions.” You should consult your tax advisor regarding the proper tax treatment of any such adjustment.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or pre-funded warrants made to you will generally be subject to information reporting and backup withholding at a current rate of 24% unless you establish an exemption, for example, by properly certifying your non-U.S. status on a properly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1" w:lineRule="auto"/>
        <w:rPr>
          <w:sz w:val="20"/>
          <w:szCs w:val="20"/>
          <w:color w:val="auto"/>
        </w:rPr>
      </w:pPr>
      <w:r>
        <w:rPr>
          <w:rFonts w:ascii="Times New Roman" w:cs="Times New Roman" w:eastAsia="Times New Roman" w:hAnsi="Times New Roman"/>
          <w:sz w:val="18"/>
          <w:szCs w:val="18"/>
          <w:color w:val="auto"/>
        </w:rPr>
        <w:t>completed IRS Form W-8BEN or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or pre-funded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or pre-funded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common stock or pre-funded warrants and subject to the proposed Treasury regulations described in the next sentence, will apply to the payment of gross proceeds of a sale or other disposition of our common stock or pre-funded warrants. The Treasury Department has released proposed Treasury regulations (the preamble to which specifies that taxpayers are permitted to rely on them pending finalization) that, if finalized in their present form, would eliminate the federal withholding tax of 30% applicable to the gross proceeds of a disposition of our common stock or pre-funded warrants. The withholding tax on dividends will apply regardless of whether the payment otherwise would be exempt from U.S. non-resident and backup withholding tax, including under the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 or pre-funded warrants.</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or pre-funded warrants, including the consequences of any proposed change in applicable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Leerink Partners LLC and Cowen and Company,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and pre-funded warrants set forth opposite its name below.</w:t>
      </w:r>
    </w:p>
    <w:p>
      <w:pPr>
        <w:spacing w:after="0" w:line="188"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6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480" w:type="dxa"/>
            <w:vAlign w:val="bottom"/>
            <w:vMerge w:val="restart"/>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9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4,000,001</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1,000,022</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4,000,001</w:t>
            </w:r>
          </w:p>
        </w:tc>
        <w:tc>
          <w:tcPr>
            <w:tcW w:w="20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1,000,022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888,888</w:t>
            </w: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222,227</w:t>
            </w:r>
          </w:p>
        </w:tc>
        <w:tc>
          <w:tcPr>
            <w:tcW w:w="0" w:type="dxa"/>
            <w:vAlign w:val="bottom"/>
          </w:tcPr>
          <w:p>
            <w:pPr>
              <w:spacing w:after="0"/>
              <w:rPr>
                <w:sz w:val="1"/>
                <w:szCs w:val="1"/>
                <w:color w:val="auto"/>
              </w:rPr>
            </w:pPr>
          </w:p>
        </w:tc>
      </w:tr>
      <w:tr>
        <w:trPr>
          <w:trHeight w:val="223"/>
        </w:trPr>
        <w:tc>
          <w:tcPr>
            <w:tcW w:w="62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8,888,890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2,222,271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and pre-funded warrants sold under the underwriting agreement if any of the shares or pre-funded warrants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and pre-funded warrants, subject to prior sale, when, as and if issued to and accepted by them, subject to approval of legal matters by their counsel, including the validity of the shares and pre-funded warrants, and subject to other conditions contained in the underwriting agreement, such as the receipt by the underwriters of officers’ certificates and legal opinions. The underwriters reserve the right to withdraw, cancel or modify offers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and pre-funded warrants at the initial offering price set forth on the cover page of this prospectus supplement and to dealers at that price less a concession not in excess of $0.162 per share or pre-funded warrant. After the initial offering of the shares and pre-funded warrants, the offering price, concession or any other term of this offering may be changed by the representatives.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initial offering price, underwriting discounts and commissions and proceeds, before expenses, to us.</w:t>
      </w:r>
    </w:p>
    <w:p>
      <w:pPr>
        <w:spacing w:after="0" w:line="23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3"/>
              </w:rPr>
              <w:t>4.499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49,998,002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9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0.270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0.270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3,000,013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4.230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4.229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46,997,989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$485,000. We have agreed to reimburse the underwriters for certain expenses in an amount up to $15,000.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other existing security holders have agreed not to sell or transfer any common stock or securities convertible into or exchangeable or exercisable for common stock, for 60 days after the date of this prospectus supplement without first obtaining the written consent of the representatives on behalf of the underwriters. Specifically, we and these other persons have agreed, with certain limited exceptions, not to directly or indirectly:</w:t>
      </w:r>
    </w:p>
    <w:p>
      <w:pPr>
        <w:spacing w:after="0" w:line="85"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dispose of or transfer any common stock;</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common stock; or</w:t>
      </w:r>
    </w:p>
    <w:p>
      <w:pPr>
        <w:spacing w:after="0" w:line="130" w:lineRule="exact"/>
        <w:rPr>
          <w:rFonts w:ascii="Times New Roman" w:cs="Times New Roman" w:eastAsia="Times New Roman" w:hAnsi="Times New Roman"/>
          <w:sz w:val="18"/>
          <w:szCs w:val="18"/>
          <w:color w:val="auto"/>
        </w:rPr>
      </w:pPr>
    </w:p>
    <w:p>
      <w:pPr>
        <w:jc w:val="both"/>
        <w:ind w:left="1080" w:right="28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spacing w:after="0" w:line="176"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lock-up provisions do not limit our ability to issue and sell shares of our common stock pursuant to placements under our “at-the-market” offering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 Syndicate covering transactions involve purchases of common stock in the open market after the distribution has been completed in order to cover syndicate short positions. If the underwriters sell more shares in excess of the number of shares the underwriters are obligated to purchase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0"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7"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Leerink Partners LLC is the sales agent for us under our “at-the-market” program. Under our “at-the-market” program, we may offer and sell, from time to time, shares of our common stock through Leerink Partners LLC through an “at-the-market offering,” as defined in Rule 415(a)(4) promulgated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in that Relevant State at any time:</w:t>
      </w:r>
    </w:p>
    <w:p>
      <w:pPr>
        <w:spacing w:after="0" w:line="70" w:lineRule="exact"/>
        <w:rPr>
          <w:sz w:val="20"/>
          <w:szCs w:val="20"/>
          <w:color w:val="auto"/>
        </w:rPr>
      </w:pPr>
    </w:p>
    <w:p>
      <w:pPr>
        <w:ind w:left="5460" w:right="2320" w:hanging="4547"/>
        <w:spacing w:after="0" w:line="454" w:lineRule="auto"/>
        <w:tabs>
          <w:tab w:leader="none" w:pos="13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 S-30</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00" w:right="460" w:hanging="377"/>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300" w:hanging="377"/>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w:t>
      </w:r>
    </w:p>
    <w:p>
      <w:pPr>
        <w:spacing w:after="0" w:line="160"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1300" w:hanging="387"/>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300" w:right="160" w:hanging="377"/>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300" w:hanging="377"/>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“FMSA”),</w:t>
      </w:r>
    </w:p>
    <w:p>
      <w:pPr>
        <w:spacing w:after="0" w:line="223" w:lineRule="exact"/>
        <w:rPr>
          <w:sz w:val="20"/>
          <w:szCs w:val="20"/>
          <w:color w:val="auto"/>
        </w:rPr>
      </w:pPr>
    </w:p>
    <w:p>
      <w:pPr>
        <w:ind w:left="120" w:righ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shares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supplement,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document has not been registered as a prospectus supplement with the Monetary Authority of Singapore. Accordingly, the securities have not been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300" w:right="460" w:hanging="337"/>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300" w:right="80" w:hanging="347"/>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300" w:right="1080" w:hanging="337"/>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300" w:hanging="347"/>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300" w:hanging="337"/>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300" w:hanging="347"/>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300" w:right="380" w:hanging="337"/>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of 2005 of Singapore (Regulation 32).</w:t>
      </w:r>
    </w:p>
    <w:p>
      <w:pPr>
        <w:spacing w:after="0" w:line="16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Singapore SFA </w:t>
      </w:r>
      <w:r>
        <w:rPr>
          <w:rFonts w:ascii="Times New Roman" w:cs="Times New Roman" w:eastAsia="Times New Roman" w:hAnsi="Times New Roman"/>
          <w:sz w:val="18"/>
          <w:szCs w:val="18"/>
          <w:i w:val="1"/>
          <w:iCs w:val="1"/>
          <w:color w:val="auto"/>
        </w:rPr>
        <w:t>product classification</w:t>
      </w:r>
      <w:r>
        <w:rPr>
          <w:rFonts w:ascii="Times New Roman" w:cs="Times New Roman" w:eastAsia="Times New Roman" w:hAnsi="Times New Roman"/>
          <w:sz w:val="18"/>
          <w:szCs w:val="18"/>
          <w:color w:val="auto"/>
        </w:rPr>
        <w:t>. In connection with Section 309B of the SFA and the CMP Regulations 2018, unless otherwise specified before an offer of shares, we have determined, and hereby 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in this prospectus supplement will be passed upon for us by Wilson Sonsini Goodrich &amp; Rosati, Professional Corporation, Palo Alto, California. Davis Polk &amp; Wardwell LLP, Menlo Park, California, is acting as counsel for the underwriters.</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of Tenaya Therapeutics, Inc.,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w:t>
      </w:r>
    </w:p>
    <w:p>
      <w:pPr>
        <w:spacing w:after="0" w:line="14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and do not contain all of the information in the registration statement. The full registration statement may be obtained from the SEC or us, as provided below. You may inspect a copy of the registration statement through the SEC’s website, as provided above.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82"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8, 2023;</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59">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June 30, 2023</w:t>
        </w:r>
      </w:hyperlink>
      <w:r>
        <w:rPr>
          <w:rFonts w:ascii="Times New Roman" w:cs="Times New Roman" w:eastAsia="Times New Roman" w:hAnsi="Times New Roman"/>
          <w:sz w:val="18"/>
          <w:szCs w:val="18"/>
          <w:color w:val="auto"/>
        </w:rPr>
        <w:t xml:space="preserve">, and </w:t>
      </w:r>
      <w:hyperlink r:id="rId61">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filed with the SEC on May 10, 2023, August 9, 2023 and November 8, 2023, respectively;</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6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our Annual Report on Form 10-K, filed with the SEC on April 27, 2023;</w:t>
      </w:r>
    </w:p>
    <w:p>
      <w:pPr>
        <w:spacing w:after="0" w:line="67" w:lineRule="exact"/>
        <w:rPr>
          <w:rFonts w:ascii="Times New Roman" w:cs="Times New Roman" w:eastAsia="Times New Roman" w:hAnsi="Times New Roman"/>
          <w:sz w:val="18"/>
          <w:szCs w:val="18"/>
          <w:color w:val="auto"/>
        </w:rPr>
      </w:pPr>
    </w:p>
    <w:p>
      <w:pPr>
        <w:ind w:left="540"/>
        <w:spacing w:after="0"/>
        <w:tabs>
          <w:tab w:leader="none" w:pos="10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our Current Reports on Form 8-K filed on </w:t>
      </w:r>
      <w:hyperlink r:id="rId63">
        <w:r>
          <w:rPr>
            <w:rFonts w:ascii="Times New Roman" w:cs="Times New Roman" w:eastAsia="Times New Roman" w:hAnsi="Times New Roman"/>
            <w:sz w:val="18"/>
            <w:szCs w:val="18"/>
            <w:u w:val="single" w:color="auto"/>
            <w:color w:val="0000EE"/>
          </w:rPr>
          <w:t>March  21, 2023</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June 12, 2023</w:t>
        </w:r>
      </w:hyperlink>
      <w:r>
        <w:rPr>
          <w:rFonts w:ascii="Times New Roman" w:cs="Times New Roman" w:eastAsia="Times New Roman" w:hAnsi="Times New Roman"/>
          <w:sz w:val="18"/>
          <w:szCs w:val="18"/>
          <w:color w:val="auto"/>
        </w:rPr>
        <w:t xml:space="preserve">, and </w:t>
      </w:r>
      <w:hyperlink r:id="rId65">
        <w:r>
          <w:rPr>
            <w:rFonts w:ascii="Times New Roman" w:cs="Times New Roman" w:eastAsia="Times New Roman" w:hAnsi="Times New Roman"/>
            <w:sz w:val="18"/>
            <w:szCs w:val="18"/>
            <w:u w:val="single" w:color="auto"/>
            <w:color w:val="0000EE"/>
          </w:rPr>
          <w:t>February 8, 2024</w:t>
        </w:r>
      </w:hyperlink>
      <w:r>
        <w:rPr>
          <w:rFonts w:ascii="Times New Roman" w:cs="Times New Roman" w:eastAsia="Times New Roman" w:hAnsi="Times New Roman"/>
          <w:sz w:val="18"/>
          <w:szCs w:val="18"/>
          <w:color w:val="auto"/>
        </w:rPr>
        <w:t>; and</w:t>
      </w:r>
    </w:p>
    <w:p>
      <w:pPr>
        <w:spacing w:after="0" w:line="131"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to whom this prospectus supplement is delivered, upon written or oral request, a copy of any or all of the documents incorporated by reference, including exhibits to these documents. You can request a copy of these filings by writing or telephoning us at the following address or telephone number:</w:t>
      </w:r>
    </w:p>
    <w:p>
      <w:pPr>
        <w:spacing w:after="0" w:line="17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(650) 825-6990</w:t>
      </w:r>
    </w:p>
    <w:p>
      <w:pPr>
        <w:spacing w:after="0" w:line="207" w:lineRule="exact"/>
        <w:rPr>
          <w:rFonts w:ascii="Times New Roman" w:cs="Times New Roman" w:eastAsia="Times New Roman" w:hAnsi="Times New Roman"/>
          <w:sz w:val="18"/>
          <w:szCs w:val="18"/>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supplement or any document incorporated therein is not, and should not be deemed to be, a part of this prospectus supplement.</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234315</wp:posOffset>
            </wp:positionV>
            <wp:extent cx="2580005" cy="9690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258000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Tenaya Therapeutics, Inc.</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 Each prospectus supplement will indicate whether the securities offered thereby will be listed on any securities exchange.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b w:val="1"/>
          <w:bCs w:val="1"/>
          <w:color w:val="auto"/>
        </w:rPr>
        <w:t>Investing in these securities involves risks. Please carefully read the information under the headings “</w:t>
      </w:r>
      <w:r>
        <w:rPr>
          <w:rFonts w:ascii="Times New Roman" w:cs="Times New Roman" w:eastAsia="Times New Roman" w:hAnsi="Times New Roman"/>
          <w:sz w:val="21"/>
          <w:szCs w:val="21"/>
          <w:b w:val="1"/>
          <w:bCs w:val="1"/>
          <w:u w:val="single" w:color="auto"/>
          <w:color w:val="0000EE"/>
        </w:rPr>
        <w:t>Risk Factors</w:t>
      </w:r>
    </w:p>
    <w:p>
      <w:pPr>
        <w:spacing w:after="0" w:line="30" w:lineRule="exact"/>
        <w:rPr>
          <w:sz w:val="20"/>
          <w:szCs w:val="20"/>
          <w:color w:val="auto"/>
        </w:rPr>
      </w:pPr>
    </w:p>
    <w:p>
      <w:pPr>
        <w:ind w:left="120" w:right="340"/>
        <w:spacing w:after="0" w:line="235" w:lineRule="auto"/>
        <w:rPr>
          <w:sz w:val="20"/>
          <w:szCs w:val="20"/>
          <w:color w:val="auto"/>
        </w:rPr>
      </w:pPr>
      <w:r>
        <w:rPr>
          <w:rFonts w:ascii="Times New Roman" w:cs="Times New Roman" w:eastAsia="Times New Roman" w:hAnsi="Times New Roman"/>
          <w:sz w:val="22"/>
          <w:szCs w:val="22"/>
          <w:b w:val="1"/>
          <w:bCs w:val="1"/>
          <w:color w:val="auto"/>
        </w:rPr>
        <w:t>” beginning on page 5 of this prospectus, any similar section contained in the applicable prospectus supplement, and “Item 1A—Risk Factors” of our most recent report on Form 10-K or 10-Q that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215900</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date of this prospectus is August 17, 2022.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9"/>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9"/>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13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2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24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1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You should read both this prospectus and any applicable prospectus supplement and free writing prospectus together with the additional information described under the heading “Where You Can Find More Information” and “Incorporation by Reference.” If there is any inconsistency between the information in this prospectus and the applicable prospectus supplement or free writing prospectus, you should rely on the prospectus supplement or free writing prospectus, as applicable.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76"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0" w:lineRule="exact"/>
        <w:rPr>
          <w:sz w:val="20"/>
          <w:szCs w:val="20"/>
          <w:color w:val="auto"/>
        </w:rPr>
      </w:pPr>
    </w:p>
    <w:p>
      <w:pPr>
        <w:ind w:left="300" w:right="160" w:firstLine="426"/>
        <w:spacing w:after="0" w:line="268" w:lineRule="auto"/>
        <w:rPr>
          <w:sz w:val="20"/>
          <w:szCs w:val="20"/>
          <w:color w:val="auto"/>
        </w:rPr>
      </w:pPr>
      <w:r>
        <w:rPr>
          <w:rFonts w:ascii="Times New Roman" w:cs="Times New Roman" w:eastAsia="Times New Roman" w:hAnsi="Times New Roman"/>
          <w:sz w:val="17"/>
          <w:szCs w:val="17"/>
          <w:color w:val="auto"/>
        </w:rPr>
        <w:t>The most advanced product candidate from our Gene Therapy Platform is TN-201. TN-201 is an adeno-associated virus (AAV)-based gene therapy that addresses genetic hypertrophic cardiomyopathy (HCM) caused by Myosin Binding Protein C3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Times New Roman" w:cs="Times New Roman" w:eastAsia="Times New Roman" w:hAnsi="Times New Roman"/>
          <w:sz w:val="17"/>
          <w:szCs w:val="17"/>
          <w:i w:val="1"/>
          <w:iCs w:val="1"/>
          <w:color w:val="auto"/>
        </w:rPr>
        <w:t>MYBPC3</w:t>
      </w:r>
    </w:p>
    <w:p>
      <w:pPr>
        <w:spacing w:after="0" w:line="5"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8"/>
          <w:szCs w:val="18"/>
          <w:color w:val="auto"/>
        </w:rPr>
        <w:t xml:space="preserve">gene mutation carriers with symptomatic non-obstructive HCM. TN-201 has been granted orphan drug designation by both the U.S. Food and Drug Administration (FDA) and the European Commission for the potential treatment of HCM due to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w:t>
      </w:r>
    </w:p>
    <w:p>
      <w:pPr>
        <w:spacing w:after="0" w:line="181"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 xml:space="preserve">In 2021, we initiated a global natural history study to improve our understanding of disease progression and unmet need in individuals carrying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83"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183" w:lineRule="exact"/>
        <w:rPr>
          <w:sz w:val="20"/>
          <w:szCs w:val="20"/>
          <w:color w:val="auto"/>
        </w:rPr>
      </w:pPr>
    </w:p>
    <w:p>
      <w:pPr>
        <w:jc w:val="both"/>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TN-401, another product candidate from our Gene Therapy Platform, uses an AAV-based gene therapy to address genetic arrhythmogenic right ventricular cardiomyopathy (ARVC) caused by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gene mutations. ARVC is characterized by enlargement of the right ventricle in affected individuals, replacement</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7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earlier-stage discovery programs include an AAV-based gene therapy designed to express the Dwarf Open Reading Frame (</w:t>
      </w:r>
      <w:r>
        <w:rPr>
          <w:rFonts w:ascii="Times New Roman" w:cs="Times New Roman" w:eastAsia="Times New Roman" w:hAnsi="Times New Roman"/>
          <w:sz w:val="18"/>
          <w:szCs w:val="18"/>
          <w:i w:val="1"/>
          <w:iCs w:val="1"/>
          <w:color w:val="auto"/>
        </w:rPr>
        <w:t>DWORF</w:t>
      </w:r>
      <w:r>
        <w:rPr>
          <w:rFonts w:ascii="Times New Roman" w:cs="Times New Roman" w:eastAsia="Times New Roman" w:hAnsi="Times New Roman"/>
          <w:sz w:val="18"/>
          <w:szCs w:val="18"/>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85"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76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40" w:firstLine="426"/>
        <w:spacing w:after="0" w:line="281" w:lineRule="auto"/>
        <w:rPr>
          <w:sz w:val="20"/>
          <w:szCs w:val="20"/>
          <w:color w:val="auto"/>
        </w:rPr>
      </w:pPr>
      <w:r>
        <w:rPr>
          <w:rFonts w:ascii="Times New Roman" w:cs="Times New Roman" w:eastAsia="Times New Roman" w:hAnsi="Times New Roman"/>
          <w:sz w:val="17"/>
          <w:szCs w:val="17"/>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4014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6998970" cy="14014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Reports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(Securities Act), and Section 21E of the Securities Exchange Act of 1934, as amended (Exchange Act).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is incorporated by reference to </w:t>
      </w:r>
      <w:hyperlink r:id="rId85">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2021, filed with the SEC on March 23, 2022.</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00"/>
          </w:cols>
          <w:pgMar w:left="320" w:top="455" w:right="1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320" w:firstLine="96"/>
        <w:spacing w:after="0" w:line="578" w:lineRule="auto"/>
        <w:tabs>
          <w:tab w:leader="none" w:pos="109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Any common stock will be listed on The Nasdaq Global Select Market, but any other securities may or may not be listed on a national securities exchange. We can make no assurance as to the liquidity of or the existence of trading markets for any of the securities.</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 26</w:t>
      </w:r>
    </w:p>
    <w:p>
      <w:pPr>
        <w:sectPr>
          <w:pgSz w:w="11900" w:h="16838" w:orient="portrait"/>
          <w:cols w:equalWidth="0" w:num="1">
            <w:col w:w="11000"/>
          </w:cols>
          <w:pgMar w:left="320" w:top="455"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our common stock offered in this prospectus supplement will be passed upon for us by Wilson Sonsini Goodrich &amp; Rosati, Professional Corporation, Palo Alto, California.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www.tenayatherapeutics.com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100"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0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07">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8">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09">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28,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10">
        <w:r>
          <w:rPr>
            <w:rFonts w:ascii="Times New Roman" w:cs="Times New Roman" w:eastAsia="Times New Roman" w:hAnsi="Times New Roman"/>
            <w:sz w:val="18"/>
            <w:szCs w:val="18"/>
            <w:u w:val="single" w:color="auto"/>
            <w:color w:val="0000EE"/>
          </w:rPr>
          <w:t>June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11">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825-6990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525145</wp:posOffset>
            </wp:positionV>
            <wp:extent cx="1962785" cy="7283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196278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8,888,890 SHARES OF COMMON STOCK</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PRE-FUNDED WARRANTS TO PURCHASE 2,222,271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Joint Bookrunning Managers</w:t>
      </w:r>
    </w:p>
    <w:p>
      <w:pPr>
        <w:sectPr>
          <w:pgSz w:w="11900" w:h="16838" w:orient="portrait"/>
          <w:cols w:equalWidth="0" w:num="1">
            <w:col w:w="11140"/>
          </w:cols>
          <w:pgMar w:left="320" w:top="455" w:right="439" w:bottom="1440" w:gutter="0" w:footer="0" w:header="0"/>
        </w:sectPr>
      </w:pP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b w:val="1"/>
          <w:bCs w:val="1"/>
          <w:color w:val="auto"/>
        </w:rPr>
        <w:t>Leerink Partners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TD Cowen</w:t>
      </w:r>
    </w:p>
    <w:p>
      <w:pPr>
        <w:spacing w:after="0" w:line="200" w:lineRule="exact"/>
        <w:rPr>
          <w:sz w:val="20"/>
          <w:szCs w:val="20"/>
          <w:color w:val="auto"/>
        </w:rPr>
      </w:pPr>
    </w:p>
    <w:p>
      <w:pPr>
        <w:sectPr>
          <w:pgSz w:w="11900" w:h="16838" w:orient="portrait"/>
          <w:cols w:equalWidth="0" w:num="2">
            <w:col w:w="8920" w:space="720"/>
            <w:col w:w="1500"/>
          </w:cols>
          <w:pgMar w:left="320" w:top="455" w:right="439" w:bottom="1440" w:gutter="0" w:footer="0" w:header="0"/>
          <w:type w:val="continuous"/>
        </w:sectPr>
      </w:pP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Lead Manager</w:t>
      </w:r>
    </w:p>
    <w:p>
      <w:pPr>
        <w:spacing w:after="0" w:line="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LifeSci Capital</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7, 2024</w:t>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upperLetter"/>
      <w:start w:val="1"/>
    </w:lvl>
  </w:abstractNum>
  <w:abstractNum w:abstractNumId="14">
    <w:nsid w:val="2901D82"/>
    <w:multiLevelType w:val="hybridMultilevel"/>
    <w:lvl w:ilvl="0">
      <w:lvlJc w:val="left"/>
      <w:lvlText w:val="%1."/>
      <w:numFmt w:val="upperLetter"/>
      <w:start w:val="2"/>
    </w:lvl>
  </w:abstractNum>
  <w:abstractNum w:abstractNumId="15">
    <w:nsid w:val="3A95F874"/>
    <w:multiLevelType w:val="hybridMultilevel"/>
    <w:lvl w:ilvl="0">
      <w:lvlJc w:val="left"/>
      <w:lvlText w:val="%1."/>
      <w:numFmt w:val="upp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rdblquote"/>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jpe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jpeg"/><Relationship Id="rId58" Type="http://schemas.openxmlformats.org/officeDocument/2006/relationships/hyperlink" Target="http://www.sec.gov/ix?doc=/Archives/edgar/data/1858848/000095017023006725/tnya-20221231.htm" TargetMode="External"/><Relationship Id="rId59" Type="http://schemas.openxmlformats.org/officeDocument/2006/relationships/hyperlink" Target="http://www.sec.gov/ix?doc=/Archives/edgar/data/1858848/000095017023020609/tnya-20230331.htm" TargetMode="External"/><Relationship Id="rId60" Type="http://schemas.openxmlformats.org/officeDocument/2006/relationships/hyperlink" Target="http://www.sec.gov/ix?doc=/Archives/edgar/data/1858848/000095017023040651/tnya-20230630.htm" TargetMode="External"/><Relationship Id="rId61" Type="http://schemas.openxmlformats.org/officeDocument/2006/relationships/hyperlink" Target="http://www.sec.gov/ix?doc=/Archives/edgar/data/1858848/000095017023061162/tnya-20230930.htm" TargetMode="External"/><Relationship Id="rId62" Type="http://schemas.openxmlformats.org/officeDocument/2006/relationships/hyperlink" Target="http://www.sec.gov/Archives/edgar/data/1858848/000119312523122205/d455357ddef14a.htm" TargetMode="External"/><Relationship Id="rId63" Type="http://schemas.openxmlformats.org/officeDocument/2006/relationships/hyperlink" Target="http://www.sec.gov/ix?doc=/Archives/edgar/data/1858848/000095017023008934/tnya-20230316.htm" TargetMode="External"/><Relationship Id="rId64" Type="http://schemas.openxmlformats.org/officeDocument/2006/relationships/hyperlink" Target="http://www.sec.gov/ix?doc=/Archives/edgar/data/1858848/000095017023027497/tnya-20230608.htm" TargetMode="External"/><Relationship Id="rId65" Type="http://schemas.openxmlformats.org/officeDocument/2006/relationships/hyperlink" Target="http://www.sec.gov/Archives/edgar/data/1858848/000119312524027611/d761271d8k.htm" TargetMode="External"/><Relationship Id="rId66" Type="http://schemas.openxmlformats.org/officeDocument/2006/relationships/hyperlink" Target="http://www.sec.gov/Archives/edgar/data/1858848/000119312521223152/d170858d8a12b.htm" TargetMode="External"/><Relationship Id="rId85" Type="http://schemas.openxmlformats.org/officeDocument/2006/relationships/hyperlink" Target="http://www.sec.gov/Archives/edgar/data/1858848/000095017022004426/tnya-ex4_3.htm" TargetMode="External"/><Relationship Id="rId106" Type="http://schemas.openxmlformats.org/officeDocument/2006/relationships/hyperlink" Target="http://www.sec.gov/ix?doc=/Archives/edgar/data/1858848/000095017022004426/tnya-20211231.htm" TargetMode="External"/><Relationship Id="rId107" Type="http://schemas.openxmlformats.org/officeDocument/2006/relationships/hyperlink" Target="http://www.sec.gov/ix?doc=/Archives/edgar/data/1858848/000095017022009363/tnya-20220331.htm" TargetMode="External"/><Relationship Id="rId108" Type="http://schemas.openxmlformats.org/officeDocument/2006/relationships/hyperlink" Target="http://www.sec.gov/ix?doc=/Archives/edgar/data/1858848/000095017022016478/tnya-20220630.htm" TargetMode="External"/><Relationship Id="rId109" Type="http://schemas.openxmlformats.org/officeDocument/2006/relationships/hyperlink" Target="http://www.sec.gov/Archives/edgar/data/1858848/000119312522127693/d263092ddef14a.htm" TargetMode="External"/><Relationship Id="rId110" Type="http://schemas.openxmlformats.org/officeDocument/2006/relationships/hyperlink" Target="http://www.sec.gov/ix?doc=/Archives/edgar/data/1858848/000095017022011496/tnya-20220609.htm" TargetMode="External"/><Relationship Id="rId111" Type="http://schemas.openxmlformats.org/officeDocument/2006/relationships/hyperlink" Target="http://www.sec.gov/ix?doc=/Archives/edgar/data/1858848/000119312522217452/d30169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2024-02-08T16:34:16Z</dcterms:created>
  <dcterms:modified xsi:type="dcterms:W3CDTF">2024-02-08T16:34:16Z</dcterms:modified>
</cp:coreProperties>
</file>