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020" w:right="130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215265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699"/>
        <w:spacing w:after="0"/>
        <w:rPr>
          <w:sz w:val="20"/>
          <w:szCs w:val="20"/>
          <w:color w:val="auto"/>
        </w:rPr>
      </w:pPr>
      <w:r>
        <w:rPr>
          <w:rFonts w:ascii="Arial" w:cs="Arial" w:eastAsia="Arial" w:hAnsi="Arial"/>
          <w:sz w:val="43"/>
          <w:szCs w:val="43"/>
          <w:b w:val="1"/>
          <w:bCs w:val="1"/>
          <w:color w:val="auto"/>
        </w:rPr>
        <w:t>TENAYA THERAPEUTICS, INC.</w:t>
      </w:r>
    </w:p>
    <w:p>
      <w:pPr>
        <w:spacing w:after="0" w:line="50"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280"/>
          </w:cols>
          <w:pgMar w:left="440" w:top="368" w:right="11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81-3789973</w:t>
      </w:r>
    </w:p>
    <w:p>
      <w:pPr>
        <w:spacing w:after="0" w:line="50" w:lineRule="exact"/>
        <w:rPr>
          <w:sz w:val="24"/>
          <w:szCs w:val="24"/>
          <w:color w:val="auto"/>
        </w:rPr>
      </w:pPr>
    </w:p>
    <w:p>
      <w:pPr>
        <w:sectPr>
          <w:pgSz w:w="11900" w:h="16838" w:orient="portrait"/>
          <w:cols w:equalWidth="0" w:num="2">
            <w:col w:w="7180" w:space="720"/>
            <w:col w:w="2380"/>
          </w:cols>
          <w:pgMar w:left="440" w:top="368" w:right="1179" w:bottom="1440" w:gutter="0" w:footer="0" w:header="0"/>
          <w:type w:val="continuous"/>
        </w:sectPr>
      </w:pPr>
    </w:p>
    <w:p>
      <w:pPr>
        <w:ind w:left="1560"/>
        <w:spacing w:after="0"/>
        <w:rPr>
          <w:sz w:val="20"/>
          <w:szCs w:val="20"/>
          <w:color w:val="auto"/>
        </w:rPr>
      </w:pPr>
      <w:r>
        <w:rPr>
          <w:rFonts w:ascii="Arial" w:cs="Arial" w:eastAsia="Arial" w:hAnsi="Arial"/>
          <w:sz w:val="13"/>
          <w:szCs w:val="13"/>
          <w:b w:val="1"/>
          <w:bCs w:val="1"/>
          <w:color w:val="auto"/>
        </w:rPr>
        <w:t>(State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7" w:lineRule="exact"/>
        <w:rPr>
          <w:sz w:val="24"/>
          <w:szCs w:val="24"/>
          <w:color w:val="auto"/>
        </w:rPr>
      </w:pPr>
    </w:p>
    <w:p>
      <w:pPr>
        <w:sectPr>
          <w:pgSz w:w="11900" w:h="16838" w:orient="portrait"/>
          <w:cols w:equalWidth="0" w:num="2">
            <w:col w:w="6520" w:space="720"/>
            <w:col w:w="3040"/>
          </w:cols>
          <w:pgMar w:left="440" w:top="368" w:right="1179" w:bottom="1440" w:gutter="0" w:footer="0" w:header="0"/>
          <w:type w:val="continuous"/>
        </w:sectPr>
      </w:pPr>
    </w:p>
    <w:p>
      <w:pPr>
        <w:jc w:val="center"/>
        <w:ind w:right="-739"/>
        <w:spacing w:after="0"/>
        <w:rPr>
          <w:sz w:val="20"/>
          <w:szCs w:val="20"/>
          <w:color w:val="auto"/>
        </w:rPr>
      </w:pPr>
      <w:r>
        <w:rPr>
          <w:rFonts w:ascii="Arial" w:cs="Arial" w:eastAsia="Arial" w:hAnsi="Arial"/>
          <w:sz w:val="18"/>
          <w:szCs w:val="18"/>
          <w:b w:val="1"/>
          <w:bCs w:val="1"/>
          <w:color w:val="auto"/>
        </w:rPr>
        <w:t>171 Oyster Point Boulevard, 5</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South San Francisco, CA 94080</w:t>
      </w:r>
    </w:p>
    <w:p>
      <w:pPr>
        <w:spacing w:after="0" w:line="2" w:lineRule="exact"/>
        <w:rPr>
          <w:sz w:val="24"/>
          <w:szCs w:val="24"/>
          <w:color w:val="auto"/>
        </w:rPr>
      </w:pPr>
    </w:p>
    <w:p>
      <w:pPr>
        <w:jc w:val="center"/>
        <w:ind w:right="-73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35"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 of each class</w:t>
            </w:r>
          </w:p>
        </w:tc>
        <w:tc>
          <w:tcPr>
            <w:tcW w:w="3760" w:type="dxa"/>
            <w:vAlign w:val="bottom"/>
            <w:gridSpan w:val="3"/>
          </w:tcPr>
          <w:p>
            <w:pPr>
              <w:ind w:left="1520"/>
              <w:spacing w:after="0"/>
              <w:rPr>
                <w:sz w:val="20"/>
                <w:szCs w:val="20"/>
                <w:color w:val="auto"/>
              </w:rPr>
            </w:pPr>
            <w:r>
              <w:rPr>
                <w:rFonts w:ascii="Arial" w:cs="Arial" w:eastAsia="Arial" w:hAnsi="Arial"/>
                <w:sz w:val="14"/>
                <w:szCs w:val="14"/>
                <w:b w:val="1"/>
                <w:bCs w:val="1"/>
                <w:color w:val="auto"/>
                <w:w w:val="99"/>
              </w:rPr>
              <w:t>Name of each exchange on which</w:t>
            </w:r>
          </w:p>
        </w:tc>
      </w:tr>
      <w:tr>
        <w:trPr>
          <w:trHeight w:val="171"/>
        </w:trPr>
        <w:tc>
          <w:tcPr>
            <w:tcW w:w="1140" w:type="dxa"/>
            <w:vAlign w:val="bottom"/>
          </w:tcPr>
          <w:p>
            <w:pPr>
              <w:spacing w:after="0"/>
              <w:rPr>
                <w:sz w:val="14"/>
                <w:szCs w:val="1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to be so registered</w:t>
            </w:r>
          </w:p>
        </w:tc>
        <w:tc>
          <w:tcPr>
            <w:tcW w:w="2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each class is to be registered</w:t>
            </w:r>
          </w:p>
        </w:tc>
        <w:tc>
          <w:tcPr>
            <w:tcW w:w="360" w:type="dxa"/>
            <w:vAlign w:val="bottom"/>
          </w:tcPr>
          <w:p>
            <w:pPr>
              <w:spacing w:after="0"/>
              <w:rPr>
                <w:sz w:val="14"/>
                <w:szCs w:val="14"/>
                <w:color w:val="auto"/>
              </w:rPr>
            </w:pPr>
          </w:p>
        </w:tc>
      </w:tr>
      <w:tr>
        <w:trPr>
          <w:trHeight w:val="228"/>
        </w:trPr>
        <w:tc>
          <w:tcPr>
            <w:tcW w:w="1140" w:type="dxa"/>
            <w:vAlign w:val="bottom"/>
          </w:tcPr>
          <w:p>
            <w:pPr>
              <w:spacing w:after="0"/>
              <w:rPr>
                <w:sz w:val="20"/>
                <w:szCs w:val="20"/>
                <w:color w:val="auto"/>
              </w:rPr>
            </w:pPr>
            <w:r>
              <w:rPr>
                <w:rFonts w:ascii="Arial" w:cs="Arial" w:eastAsia="Arial" w:hAnsi="Arial"/>
                <w:sz w:val="18"/>
                <w:szCs w:val="18"/>
                <w:b w:val="1"/>
                <w:bCs w:val="1"/>
                <w:color w:val="auto"/>
                <w:w w:val="81"/>
              </w:rPr>
              <w:t>Common Stock,</w:t>
            </w:r>
          </w:p>
        </w:tc>
        <w:tc>
          <w:tcPr>
            <w:tcW w:w="3580" w:type="dxa"/>
            <w:vAlign w:val="bottom"/>
            <w:gridSpan w:val="2"/>
          </w:tcPr>
          <w:p>
            <w:pPr>
              <w:ind w:left="140"/>
              <w:spacing w:after="0"/>
              <w:rPr>
                <w:sz w:val="20"/>
                <w:szCs w:val="20"/>
                <w:color w:val="auto"/>
              </w:rPr>
            </w:pPr>
            <w:r>
              <w:rPr>
                <w:rFonts w:ascii="Arial" w:cs="Arial" w:eastAsia="Arial" w:hAnsi="Arial"/>
                <w:sz w:val="18"/>
                <w:szCs w:val="18"/>
                <w:b w:val="1"/>
                <w:bCs w:val="1"/>
                <w:color w:val="auto"/>
              </w:rPr>
              <w:t>par value $0.0001 per share</w:t>
            </w:r>
          </w:p>
        </w:tc>
        <w:tc>
          <w:tcPr>
            <w:tcW w:w="1680" w:type="dxa"/>
            <w:vAlign w:val="bottom"/>
          </w:tcPr>
          <w:p>
            <w:pPr>
              <w:ind w:left="1320"/>
              <w:spacing w:after="0"/>
              <w:rPr>
                <w:sz w:val="20"/>
                <w:szCs w:val="20"/>
                <w:color w:val="auto"/>
              </w:rPr>
            </w:pPr>
            <w:r>
              <w:rPr>
                <w:rFonts w:ascii="Arial" w:cs="Arial" w:eastAsia="Arial" w:hAnsi="Arial"/>
                <w:sz w:val="18"/>
                <w:szCs w:val="18"/>
                <w:b w:val="1"/>
                <w:bCs w:val="1"/>
                <w:color w:val="auto"/>
              </w:rPr>
              <w:t>The</w:t>
            </w:r>
          </w:p>
        </w:tc>
        <w:tc>
          <w:tcPr>
            <w:tcW w:w="1720" w:type="dxa"/>
            <w:vAlign w:val="bottom"/>
          </w:tcPr>
          <w:p>
            <w:pPr>
              <w:spacing w:after="0"/>
              <w:rPr>
                <w:sz w:val="20"/>
                <w:szCs w:val="20"/>
                <w:color w:val="auto"/>
              </w:rPr>
            </w:pPr>
            <w:r>
              <w:rPr>
                <w:rFonts w:ascii="Arial" w:cs="Arial" w:eastAsia="Arial" w:hAnsi="Arial"/>
                <w:sz w:val="18"/>
                <w:szCs w:val="18"/>
                <w:b w:val="1"/>
                <w:bCs w:val="1"/>
                <w:color w:val="auto"/>
                <w:w w:val="93"/>
              </w:rPr>
              <w:t>Nasdaq Stock Market</w:t>
            </w:r>
          </w:p>
        </w:tc>
        <w:tc>
          <w:tcPr>
            <w:tcW w:w="360" w:type="dxa"/>
            <w:vAlign w:val="bottom"/>
          </w:tcPr>
          <w:p>
            <w:pPr>
              <w:spacing w:after="0"/>
              <w:rPr>
                <w:sz w:val="20"/>
                <w:szCs w:val="20"/>
                <w:color w:val="auto"/>
              </w:rPr>
            </w:pPr>
            <w:r>
              <w:rPr>
                <w:rFonts w:ascii="Arial" w:cs="Arial" w:eastAsia="Arial" w:hAnsi="Arial"/>
                <w:sz w:val="18"/>
                <w:szCs w:val="18"/>
                <w:b w:val="1"/>
                <w:bCs w:val="1"/>
                <w:color w:val="auto"/>
                <w:w w:val="97"/>
              </w:rPr>
              <w:t>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219710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check the following box.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Act registration statement file number to which this form relates:</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333-257820</w:t>
      </w:r>
    </w:p>
    <w:p>
      <w:pPr>
        <w:spacing w:after="0" w:line="20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7" w:lineRule="exact"/>
        <w:rPr>
          <w:sz w:val="24"/>
          <w:szCs w:val="24"/>
          <w:color w:val="auto"/>
        </w:rPr>
      </w:pPr>
    </w:p>
    <w:p>
      <w:pPr>
        <w:ind w:left="530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280"/>
          </w:cols>
          <w:pgMar w:left="440" w:top="368" w:right="11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Description of Registrant’s Securities to be Registered</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For a description of the securities of Tenaya Therapeutics, Inc. (Registrant) being registered hereunder, reference is made to the information set forth under the heading “Description of Capital Stock” contained in the Registrant’s Registration Statement on Form S-1 (File No. 333-257820), as initially filed with the Securities and Exchange Commission (Commission) on July 9, 2021, as amended (Registration Statement), and in the prospectus included in the Registration Statement to be filed separately by the Registrant with the Commission pursuant to Rule 424(b) under the Securities Act of 1933, as amended, which prospectus shall be deemed to be incorporated by reference herein.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Under the “Instructions as to Exhibits” section of Form 8-A, no exhibits are required to be filed because no other securities of the Registrant are to be registered on The Nasdaq Stock Market LLC and the securities to be registered hereby are not being registered pursuant to Section 12(g) of the Securities Exchange Act of 1934, as amended.</w:t>
      </w:r>
    </w:p>
    <w:p>
      <w:pPr>
        <w:sectPr>
          <w:pgSz w:w="11900" w:h="16838" w:orient="portrait"/>
          <w:cols w:equalWidth="0" w:num="1">
            <w:col w:w="10980"/>
          </w:cols>
          <w:pgMar w:left="440" w:top="270" w:right="47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July 23, 2021</w:t>
      </w:r>
      <w:r>
        <w:rPr>
          <w:sz w:val="20"/>
          <w:szCs w:val="20"/>
          <w:color w:val="auto"/>
        </w:rPr>
        <w:tab/>
      </w:r>
      <w:r>
        <w:rPr>
          <w:rFonts w:ascii="Arial" w:cs="Arial" w:eastAsia="Arial" w:hAnsi="Arial"/>
          <w:sz w:val="18"/>
          <w:szCs w:val="18"/>
          <w:b w:val="1"/>
          <w:bCs w:val="1"/>
          <w:color w:val="auto"/>
        </w:rPr>
        <w:t>TENAYA THERAPEUTICS,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Faraz Ali, M.B.A.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2021-07-23T16:24:16Z</dcterms:created>
  <dcterms:modified xsi:type="dcterms:W3CDTF">2021-07-23T16:24:16Z</dcterms:modified>
</cp:coreProperties>
</file>