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5" w:lineRule="exact"/>
        <w:rPr>
          <w:sz w:val="24"/>
          <w:szCs w:val="24"/>
          <w:color w:val="auto"/>
        </w:rPr>
      </w:pPr>
    </w:p>
    <w:p>
      <w:pPr>
        <w:jc w:val="center"/>
        <w:ind w:left="3640" w:right="700" w:hanging="3619"/>
        <w:spacing w:after="0" w:line="310" w:lineRule="auto"/>
        <w:tabs>
          <w:tab w:leader="none" w:pos="489"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QUARTERLY REPORT PURSUANT TO SECTION 13 OR 15(d) OF THE SECURITIES EXCHANGE ACT OF 1934 For the quarterly period ended March 31, 2024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94" w:lineRule="exact"/>
        <w:rPr>
          <w:sz w:val="24"/>
          <w:szCs w:val="24"/>
          <w:color w:val="auto"/>
        </w:rPr>
      </w:pPr>
    </w:p>
    <w:p>
      <w:pPr>
        <w:jc w:val="center"/>
        <w:ind w:left="3340" w:right="680" w:hanging="3319"/>
        <w:spacing w:after="0" w:line="324" w:lineRule="auto"/>
        <w:tabs>
          <w:tab w:leader="none" w:pos="472"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 For the transition period from ________ to _________</w:t>
      </w:r>
    </w:p>
    <w:p>
      <w:pPr>
        <w:ind w:left="4060"/>
        <w:spacing w:after="0"/>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Commission File Number: 001-40656</w:t>
      </w:r>
    </w:p>
    <w:p>
      <w:pPr>
        <w:spacing w:after="0" w:line="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TENAYA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-266065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p>
      <w:pPr>
        <w:spacing w:after="0" w:line="4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7"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20"/>
          <w:szCs w:val="20"/>
          <w:b w:val="1"/>
          <w:bCs w:val="1"/>
          <w:color w:val="auto"/>
        </w:rPr>
        <w:t>Delaware</w:t>
      </w:r>
    </w:p>
    <w:p>
      <w:pPr>
        <w:spacing w:after="0" w:line="3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spacing w:after="0" w:line="2"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3"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9"/>
          <w:szCs w:val="19"/>
          <w:b w:val="1"/>
          <w:bCs w:val="1"/>
          <w:color w:val="auto"/>
        </w:rPr>
        <w:t>171 Oyster Point Boulevard, Suite 500</w:t>
      </w:r>
    </w:p>
    <w:p>
      <w:pPr>
        <w:spacing w:after="0" w:line="44"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20"/>
          <w:szCs w:val="20"/>
          <w:b w:val="1"/>
          <w:bCs w:val="1"/>
          <w:color w:val="auto"/>
        </w:rPr>
        <w:t>South San Francisco, CA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81-3789973</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58"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20"/>
          <w:szCs w:val="20"/>
          <w:b w:val="1"/>
          <w:bCs w:val="1"/>
          <w:color w:val="auto"/>
        </w:rPr>
        <w:t>94080</w:t>
      </w:r>
    </w:p>
    <w:p>
      <w:pPr>
        <w:spacing w:after="0" w:line="32" w:lineRule="exact"/>
        <w:rPr>
          <w:sz w:val="24"/>
          <w:szCs w:val="24"/>
          <w:color w:val="auto"/>
        </w:rPr>
      </w:pPr>
    </w:p>
    <w:p>
      <w:pPr>
        <w:sectPr>
          <w:pgSz w:w="11900" w:h="16838" w:orient="portrait"/>
          <w:cols w:equalWidth="0" w:num="2">
            <w:col w:w="7620" w:space="320"/>
            <w:col w:w="3300"/>
          </w:cols>
          <w:pgMar w:left="320" w:top="1186" w:right="339" w:bottom="1440" w:gutter="0" w:footer="0" w:header="0"/>
          <w:type w:val="continuous"/>
        </w:sect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(650) 825-6990</w:t>
      </w:r>
    </w:p>
    <w:p>
      <w:pPr>
        <w:spacing w:after="0" w:line="2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84"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-116205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4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1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TNYA</w:t>
            </w:r>
          </w:p>
        </w:tc>
        <w:tc>
          <w:tcPr>
            <w:tcW w:w="120" w:type="dxa"/>
            <w:vAlign w:val="bottom"/>
          </w:tcPr>
          <w:p>
            <w:pPr>
              <w:spacing w:after="0"/>
              <w:rPr>
                <w:sz w:val="17"/>
                <w:szCs w:val="17"/>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c>
          <w:tcPr>
            <w:tcW w:w="0" w:type="dxa"/>
            <w:vAlign w:val="bottom"/>
          </w:tcPr>
          <w:p>
            <w:pPr>
              <w:spacing w:after="0"/>
              <w:rPr>
                <w:sz w:val="1"/>
                <w:szCs w:val="1"/>
                <w:color w:val="auto"/>
              </w:rPr>
            </w:pPr>
          </w:p>
        </w:tc>
      </w:tr>
    </w:tbl>
    <w:p>
      <w:pPr>
        <w:spacing w:after="0" w:line="86" w:lineRule="exact"/>
        <w:rPr>
          <w:sz w:val="24"/>
          <w:szCs w:val="24"/>
          <w:color w:val="auto"/>
        </w:rPr>
      </w:pPr>
    </w:p>
    <w:p>
      <w:pPr>
        <w:ind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right="300" w:firstLine="50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18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8" w:lineRule="exact"/>
        <w:rPr>
          <w:sz w:val="24"/>
          <w:szCs w:val="24"/>
          <w:color w:val="auto"/>
        </w:rPr>
      </w:pPr>
    </w:p>
    <w:p>
      <w:pPr>
        <w:jc w:val="both"/>
        <w:ind w:right="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ind w:left="520" w:right="2100"/>
        <w:spacing w:after="0" w:line="25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6, 2024, the registrant had 78,517,534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643255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type w:val="continuous"/>
        </w:sectPr>
      </w:pPr>
    </w:p>
    <w:bookmarkStart w:id="1" w:name="page2"/>
    <w:bookmarkEnd w:id="1"/>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0" w:type="dxa"/>
            <w:vAlign w:val="bottom"/>
            <w:gridSpan w:val="10"/>
          </w:tcPr>
          <w:p>
            <w:pPr>
              <w:ind w:left="5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60" w:type="dxa"/>
            <w:vAlign w:val="bottom"/>
          </w:tcPr>
          <w:p>
            <w:pPr>
              <w:spacing w:after="0"/>
              <w:rPr>
                <w:sz w:val="20"/>
                <w:szCs w:val="20"/>
                <w:color w:val="auto"/>
              </w:rPr>
            </w:pPr>
          </w:p>
        </w:tc>
      </w:tr>
      <w:tr>
        <w:trPr>
          <w:trHeight w:val="439"/>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75"/>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360" w:type="dxa"/>
            <w:vAlign w:val="bottom"/>
            <w:gridSpan w:val="11"/>
          </w:tcPr>
          <w:p>
            <w:pPr>
              <w:jc w:val="center"/>
              <w:ind w:right="3200"/>
              <w:spacing w:after="0" w:line="176" w:lineRule="exact"/>
              <w:rPr>
                <w:sz w:val="20"/>
                <w:szCs w:val="20"/>
                <w:color w:val="auto"/>
              </w:rPr>
            </w:pPr>
            <w:r>
              <w:rPr>
                <w:rFonts w:ascii="Times New Roman" w:cs="Times New Roman" w:eastAsia="Times New Roman" w:hAnsi="Times New Roman"/>
                <w:sz w:val="18"/>
                <w:szCs w:val="18"/>
                <w:b w:val="1"/>
                <w:bCs w:val="1"/>
                <w:color w:val="0000FF"/>
                <w:w w:val="99"/>
              </w:rPr>
              <w:t>PART I—FINANCIAL INFORMATION</w:t>
            </w:r>
          </w:p>
        </w:tc>
        <w:tc>
          <w:tcPr>
            <w:tcW w:w="660" w:type="dxa"/>
            <w:vAlign w:val="bottom"/>
          </w:tcPr>
          <w:p>
            <w:pPr>
              <w:spacing w:after="0"/>
              <w:rPr>
                <w:sz w:val="15"/>
                <w:szCs w:val="15"/>
                <w:color w:val="auto"/>
              </w:rPr>
            </w:pPr>
          </w:p>
        </w:tc>
      </w:tr>
      <w:tr>
        <w:trPr>
          <w:trHeight w:val="439"/>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31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3160" w:type="dxa"/>
            <w:vAlign w:val="bottom"/>
            <w:tcBorders>
              <w:top w:val="single" w:sz="8" w:color="0000FF"/>
            </w:tcBorders>
            <w:gridSpan w:val="6"/>
          </w:tcPr>
          <w:p>
            <w:pPr>
              <w:spacing w:after="0"/>
              <w:rPr>
                <w:sz w:val="24"/>
                <w:szCs w:val="24"/>
                <w:color w:val="auto"/>
              </w:rPr>
            </w:pPr>
          </w:p>
        </w:tc>
        <w:tc>
          <w:tcPr>
            <w:tcW w:w="3200" w:type="dxa"/>
            <w:vAlign w:val="bottom"/>
            <w:gridSpan w:val="5"/>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3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Balance Sheets as of March 31, 2024 and December 31, 2023</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50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FF"/>
              </w:rPr>
              <w:t>Condensed Statements of Operations and Comprehensive Loss for the three months ended March 31, 2024 and 2023</w:t>
            </w:r>
          </w:p>
        </w:tc>
        <w:tc>
          <w:tcPr>
            <w:tcW w:w="8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Statements of Stockholders’ Equity for the three months ended March 31, 2024 and 2023</w:t>
            </w:r>
          </w:p>
        </w:tc>
        <w:tc>
          <w:tcPr>
            <w:tcW w:w="2040" w:type="dxa"/>
            <w:vAlign w:val="bottom"/>
            <w:gridSpan w:val="2"/>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4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FF"/>
              </w:rPr>
              <w:t>Condensed Statements of Cash Flows for the three months ended March 31, 2024 and 2023</w:t>
            </w:r>
          </w:p>
        </w:tc>
        <w:tc>
          <w:tcPr>
            <w:tcW w:w="2680" w:type="dxa"/>
            <w:vAlign w:val="bottom"/>
            <w:gridSpan w:val="3"/>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3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Unaudited Condensed Financial Statements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9"/>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4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8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4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840" w:type="dxa"/>
            <w:vAlign w:val="bottom"/>
            <w:tcBorders>
              <w:left w:val="single" w:sz="8" w:color="0000FF"/>
            </w:tcBorders>
            <w:gridSpan w:val="2"/>
          </w:tcPr>
          <w:p>
            <w:pPr>
              <w:spacing w:after="0" w:line="20" w:lineRule="exact"/>
              <w:rPr>
                <w:sz w:val="1"/>
                <w:szCs w:val="1"/>
                <w:color w:val="auto"/>
              </w:rPr>
            </w:pPr>
          </w:p>
        </w:tc>
        <w:tc>
          <w:tcPr>
            <w:tcW w:w="334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9"/>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4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39"/>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360" w:type="dxa"/>
            <w:vAlign w:val="bottom"/>
            <w:gridSpan w:val="11"/>
          </w:tcPr>
          <w:p>
            <w:pPr>
              <w:jc w:val="center"/>
              <w:ind w:right="3180"/>
              <w:spacing w:after="0"/>
              <w:rPr>
                <w:sz w:val="20"/>
                <w:szCs w:val="20"/>
                <w:color w:val="auto"/>
              </w:rPr>
            </w:pPr>
            <w:r>
              <w:rPr>
                <w:rFonts w:ascii="Times New Roman" w:cs="Times New Roman" w:eastAsia="Times New Roman" w:hAnsi="Times New Roman"/>
                <w:sz w:val="18"/>
                <w:szCs w:val="18"/>
                <w:b w:val="1"/>
                <w:bCs w:val="1"/>
                <w:color w:val="0000FF"/>
                <w:w w:val="98"/>
              </w:rPr>
              <w:t>PART II—OTHER INFORMATION</w:t>
            </w:r>
          </w:p>
        </w:tc>
        <w:tc>
          <w:tcPr>
            <w:tcW w:w="660" w:type="dxa"/>
            <w:vAlign w:val="bottom"/>
          </w:tcPr>
          <w:p>
            <w:pPr>
              <w:spacing w:after="0"/>
              <w:rPr>
                <w:sz w:val="24"/>
                <w:szCs w:val="24"/>
                <w:color w:val="auto"/>
              </w:rPr>
            </w:pPr>
          </w:p>
        </w:tc>
      </w:tr>
      <w:tr>
        <w:trPr>
          <w:trHeight w:val="209"/>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32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860" w:type="dxa"/>
            <w:vAlign w:val="bottom"/>
            <w:tcBorders>
              <w:top w:val="single" w:sz="8" w:color="0000FF"/>
            </w:tcBorders>
            <w:gridSpan w:val="4"/>
          </w:tcPr>
          <w:p>
            <w:pPr>
              <w:spacing w:after="0"/>
              <w:rPr>
                <w:sz w:val="18"/>
                <w:szCs w:val="18"/>
                <w:color w:val="auto"/>
              </w:rPr>
            </w:pPr>
          </w:p>
        </w:tc>
        <w:tc>
          <w:tcPr>
            <w:tcW w:w="3340" w:type="dxa"/>
            <w:vAlign w:val="bottom"/>
            <w:gridSpan w:val="6"/>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18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4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18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9"/>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4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518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9"/>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4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7200" w:type="dxa"/>
            <w:vAlign w:val="bottom"/>
            <w:gridSpan w:val="1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4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760" w:type="dxa"/>
            <w:vAlign w:val="bottom"/>
            <w:gridSpan w:val="1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9"/>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4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220" w:type="dxa"/>
            <w:vAlign w:val="bottom"/>
            <w:gridSpan w:val="1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4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940" w:type="dxa"/>
            <w:vAlign w:val="bottom"/>
            <w:gridSpan w:val="1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0"/>
        </w:trPr>
        <w:tc>
          <w:tcPr>
            <w:tcW w:w="10580" w:type="dxa"/>
            <w:vAlign w:val="bottom"/>
            <w:gridSpan w:val="21"/>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1877"/>
        </w:trPr>
        <w:tc>
          <w:tcPr>
            <w:tcW w:w="20" w:type="dxa"/>
            <w:vAlign w:val="bottom"/>
            <w:tcBorders>
              <w:bottom w:val="single" w:sz="8" w:color="9A9A9A"/>
            </w:tcBorders>
          </w:tcPr>
          <w:p>
            <w:pPr>
              <w:spacing w:after="0"/>
              <w:rPr>
                <w:sz w:val="24"/>
                <w:szCs w:val="24"/>
                <w:color w:val="auto"/>
              </w:rPr>
            </w:pPr>
          </w:p>
        </w:tc>
        <w:tc>
          <w:tcPr>
            <w:tcW w:w="110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SPECIAL NOTE REGARDING FORWARD LOOKING STATEMENTS</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31F20"/>
        </w:rPr>
        <w:t>This Quarterly Report on Form 10-Q, or Quarterly Report, contains forward-looking statements within the meaning of Section 27A of the Securities Act of 1933 and Section 21E of the Securities Act of 1934. All statements other than statements of historical facts contained in this Quarterly Report,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investors can identify forward-looking statements by terms such as “may,” “will,” “should,” “would,” “expect,” “plan,” “anticipate,” “could,” “intend,” “target,” “project,” “contemplate,” “believe,” “estimate,” “predict,” “potential” or “continue” or the negative of these terms or other similar expressions. These forward-looking statements include, but are not limited to, statements about:</w:t>
      </w:r>
    </w:p>
    <w:p>
      <w:pPr>
        <w:spacing w:after="0" w:line="84" w:lineRule="exact"/>
        <w:rPr>
          <w:sz w:val="20"/>
          <w:szCs w:val="20"/>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vision to change the treatment paradigm for heart disease;</w:t>
      </w:r>
    </w:p>
    <w:p>
      <w:pPr>
        <w:spacing w:after="0" w:line="117" w:lineRule="exact"/>
        <w:rPr>
          <w:rFonts w:ascii="Times New Roman" w:cs="Times New Roman" w:eastAsia="Times New Roman" w:hAnsi="Times New Roman"/>
          <w:sz w:val="18"/>
          <w:szCs w:val="18"/>
          <w:color w:val="231F20"/>
        </w:rPr>
      </w:pPr>
    </w:p>
    <w:p>
      <w:pPr>
        <w:ind w:left="900" w:right="820" w:hanging="383"/>
        <w:spacing w:after="0" w:line="282" w:lineRule="auto"/>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ability of our ongoing preclinical studies and ongoing or planned clinical trials to demonstrate safety and efficacy of our product candidates, and other positive results;</w:t>
      </w:r>
    </w:p>
    <w:p>
      <w:pPr>
        <w:spacing w:after="0" w:line="53" w:lineRule="exact"/>
        <w:rPr>
          <w:rFonts w:ascii="Times New Roman" w:cs="Times New Roman" w:eastAsia="Times New Roman" w:hAnsi="Times New Roman"/>
          <w:sz w:val="18"/>
          <w:szCs w:val="18"/>
          <w:color w:val="231F20"/>
        </w:rPr>
      </w:pPr>
    </w:p>
    <w:p>
      <w:pPr>
        <w:ind w:left="900" w:right="60" w:hanging="383"/>
        <w:spacing w:after="0" w:line="282" w:lineRule="auto"/>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timing, dosing, patient enrollment and populations, progress, and results of preclinical studies and ongoing or planned clinical trials for our current product candidates and other product candidates we may develop;</w:t>
      </w:r>
    </w:p>
    <w:p>
      <w:pPr>
        <w:spacing w:after="0" w:line="53" w:lineRule="exact"/>
        <w:rPr>
          <w:rFonts w:ascii="Times New Roman" w:cs="Times New Roman" w:eastAsia="Times New Roman" w:hAnsi="Times New Roman"/>
          <w:sz w:val="18"/>
          <w:szCs w:val="18"/>
          <w:color w:val="231F20"/>
        </w:rPr>
      </w:pPr>
    </w:p>
    <w:p>
      <w:pPr>
        <w:ind w:left="900" w:hanging="383"/>
        <w:spacing w:after="0" w:line="266" w:lineRule="auto"/>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timing, scope and likelihood of regulatory filings and approvals, including timing of investigational new drugs (INDs), clinical trial applications (CTAs), U.S. Food and Drug Administration (FDA) approvals, and final regulatory approval of our current product candidates and any other future product candidates;</w:t>
      </w:r>
    </w:p>
    <w:p>
      <w:pPr>
        <w:spacing w:after="0" w:line="6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develop and advance our current product candidates and programs into, and successfully complete, clinical trials;</w:t>
      </w:r>
    </w:p>
    <w:p>
      <w:pPr>
        <w:spacing w:after="0" w:line="117" w:lineRule="exact"/>
        <w:rPr>
          <w:rFonts w:ascii="Times New Roman" w:cs="Times New Roman" w:eastAsia="Times New Roman" w:hAnsi="Times New Roman"/>
          <w:sz w:val="18"/>
          <w:szCs w:val="18"/>
          <w:color w:val="231F20"/>
        </w:rPr>
      </w:pPr>
    </w:p>
    <w:p>
      <w:pPr>
        <w:ind w:left="900" w:right="220" w:hanging="383"/>
        <w:spacing w:after="0" w:line="282" w:lineRule="auto"/>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size of the market opportunity for our product candidates, including our estimates of the number of patients who suffer from the diseases we are targeting;</w:t>
      </w:r>
    </w:p>
    <w:p>
      <w:pPr>
        <w:spacing w:after="0" w:line="53"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manufacturing, commercialization, and marketing capabilities and strategy;</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competitive position and the success of competing therapies that are or may become available;</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plans relating to the further development of our product candidates, including additional indications and targets we may pursue;</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impact of existing laws and regulations and regulatory developments in the United States (U.S), Europe and other jurisdictions;</w:t>
      </w:r>
    </w:p>
    <w:p>
      <w:pPr>
        <w:spacing w:after="0" w:line="117" w:lineRule="exact"/>
        <w:rPr>
          <w:rFonts w:ascii="Times New Roman" w:cs="Times New Roman" w:eastAsia="Times New Roman" w:hAnsi="Times New Roman"/>
          <w:sz w:val="18"/>
          <w:szCs w:val="18"/>
          <w:color w:val="231F20"/>
        </w:rPr>
      </w:pPr>
    </w:p>
    <w:p>
      <w:pPr>
        <w:ind w:left="900" w:right="80" w:hanging="383"/>
        <w:spacing w:after="0" w:line="261" w:lineRule="auto"/>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intellectual property position, including the scope and length of protection we are able to establish and maintain for intellectual property rights covering our current product candidates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spacing w:after="0" w:line="71" w:lineRule="exact"/>
        <w:rPr>
          <w:rFonts w:ascii="Times New Roman" w:cs="Times New Roman" w:eastAsia="Times New Roman" w:hAnsi="Times New Roman"/>
          <w:sz w:val="18"/>
          <w:szCs w:val="18"/>
          <w:color w:val="231F20"/>
        </w:rPr>
      </w:pPr>
    </w:p>
    <w:p>
      <w:pPr>
        <w:ind w:left="900" w:right="640" w:hanging="383"/>
        <w:spacing w:after="0" w:line="282" w:lineRule="auto"/>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continued reliance on third parties to conduct additional preclinical studies and clinical trials of our product candidates, and for the development and manufacture of our product candidates for preclinical studies and clinical trials;</w:t>
      </w:r>
    </w:p>
    <w:p>
      <w:pPr>
        <w:spacing w:after="0" w:line="53" w:lineRule="exact"/>
        <w:rPr>
          <w:rFonts w:ascii="Times New Roman" w:cs="Times New Roman" w:eastAsia="Times New Roman" w:hAnsi="Times New Roman"/>
          <w:sz w:val="18"/>
          <w:szCs w:val="18"/>
          <w:color w:val="231F20"/>
        </w:rPr>
      </w:pPr>
    </w:p>
    <w:p>
      <w:pPr>
        <w:ind w:left="900" w:right="60" w:hanging="383"/>
        <w:spacing w:after="0" w:line="282" w:lineRule="auto"/>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obtain, and negotiate favorable terms of, any collaboration, partnership, licensing or other arrangements that may be necessary or desirable to develop, manufacture or commercialize our product candidates;</w:t>
      </w:r>
    </w:p>
    <w:p>
      <w:pPr>
        <w:spacing w:after="0" w:line="53" w:lineRule="exact"/>
        <w:rPr>
          <w:rFonts w:ascii="Times New Roman" w:cs="Times New Roman" w:eastAsia="Times New Roman" w:hAnsi="Times New Roman"/>
          <w:sz w:val="18"/>
          <w:szCs w:val="18"/>
          <w:color w:val="231F20"/>
        </w:rPr>
      </w:pPr>
    </w:p>
    <w:p>
      <w:pPr>
        <w:ind w:left="900" w:right="360" w:hanging="383"/>
        <w:spacing w:after="0" w:line="282" w:lineRule="auto"/>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pricing and reimbursement of our current product candidates and other product candidates we may develop, if approved, including any increase in demand as a result of the availability of reimbursement from the government and third-party payors;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 w:name="page4"/>
    <w:bookmarkEnd w:id="3"/>
    <w:p>
      <w:pPr>
        <w:spacing w:after="0" w:line="86" w:lineRule="exact"/>
        <w:rPr>
          <w:sz w:val="20"/>
          <w:szCs w:val="20"/>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rate and degree of market acceptance and clinical utility of our current product candidates and other product candidates we may develop;</w:t>
      </w:r>
    </w:p>
    <w:p>
      <w:pPr>
        <w:spacing w:after="0" w:line="117" w:lineRule="exact"/>
        <w:rPr>
          <w:rFonts w:ascii="Times New Roman" w:cs="Times New Roman" w:eastAsia="Times New Roman" w:hAnsi="Times New Roman"/>
          <w:sz w:val="18"/>
          <w:szCs w:val="18"/>
          <w:color w:val="231F20"/>
        </w:rPr>
      </w:pPr>
    </w:p>
    <w:p>
      <w:pPr>
        <w:ind w:left="900" w:right="500" w:hanging="383"/>
        <w:spacing w:after="0" w:line="282" w:lineRule="auto"/>
        <w:tabs>
          <w:tab w:leader="none" w:pos="9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estimates regarding expenses, operating losses, future revenue, cash outlays, capital requirements and needs for additional financing, including expenses arising as a result of being a public company;</w:t>
      </w:r>
    </w:p>
    <w:p>
      <w:pPr>
        <w:spacing w:after="0" w:line="53"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financial performance;</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facilities;</w:t>
      </w:r>
    </w:p>
    <w:p>
      <w:pPr>
        <w:spacing w:after="0" w:line="117" w:lineRule="exact"/>
        <w:rPr>
          <w:rFonts w:ascii="Times New Roman" w:cs="Times New Roman" w:eastAsia="Times New Roman" w:hAnsi="Times New Roman"/>
          <w:sz w:val="18"/>
          <w:szCs w:val="18"/>
          <w:color w:val="231F20"/>
        </w:rPr>
      </w:pPr>
    </w:p>
    <w:p>
      <w:pPr>
        <w:ind w:left="900" w:right="240" w:hanging="383"/>
        <w:spacing w:after="0" w:line="282" w:lineRule="auto"/>
        <w:tabs>
          <w:tab w:leader="none" w:pos="9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period over which we estimate our existing cash, cash equivalents and investments in marketable securities will be sufficient to fund our future operating expenses and capital expenditure requirements;</w:t>
      </w:r>
    </w:p>
    <w:p>
      <w:pPr>
        <w:spacing w:after="0" w:line="53"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impact of critical accounting policies on investor’s ability to understand our financial performance; and</w:t>
      </w:r>
    </w:p>
    <w:p>
      <w:pPr>
        <w:spacing w:after="0" w:line="117" w:lineRule="exact"/>
        <w:rPr>
          <w:rFonts w:ascii="Times New Roman" w:cs="Times New Roman" w:eastAsia="Times New Roman" w:hAnsi="Times New Roman"/>
          <w:sz w:val="18"/>
          <w:szCs w:val="18"/>
          <w:color w:val="231F20"/>
        </w:rPr>
      </w:pPr>
    </w:p>
    <w:p>
      <w:pPr>
        <w:ind w:left="900" w:right="220" w:hanging="383"/>
        <w:spacing w:after="0" w:line="282" w:lineRule="auto"/>
        <w:tabs>
          <w:tab w:leader="none" w:pos="9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our expectations regarding the period during which we will remain an emerging growth company under the </w:t>
      </w:r>
      <w:r>
        <w:rPr>
          <w:rFonts w:ascii="Times New Roman" w:cs="Times New Roman" w:eastAsia="Times New Roman" w:hAnsi="Times New Roman"/>
          <w:sz w:val="18"/>
          <w:szCs w:val="18"/>
          <w:color w:val="000000"/>
        </w:rPr>
        <w:t>Jumpstart Our Business Startups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Act of 2012 (</w:t>
      </w:r>
      <w:r>
        <w:rPr>
          <w:rFonts w:ascii="Times New Roman" w:cs="Times New Roman" w:eastAsia="Times New Roman" w:hAnsi="Times New Roman"/>
          <w:sz w:val="18"/>
          <w:szCs w:val="18"/>
          <w:color w:val="231F20"/>
        </w:rPr>
        <w:t>JOBS Act).</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and are subject to a number of risks, uncertainties and assumptions described in the section titled “Risk Factors” and elsewhere in this Quarterly Report. Because forward-looking statements are inherently subject to risks and uncertainties, some of which cannot be predicted or quantified, investors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231F20"/>
        </w:rPr>
        <w:t>In addition, statements such as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5"/>
                <w:szCs w:val="15"/>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59,303</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45,681</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investments in marketable securities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62,946</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58,961</w:t>
            </w: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6,450</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128,699</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111,582</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41,396</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43,277</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9,177</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9,979</w:t>
            </w: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5,627</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184,899</w:t>
            </w:r>
          </w:p>
        </w:tc>
        <w:tc>
          <w:tcPr>
            <w:tcW w:w="3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170,515</w:t>
            </w:r>
          </w:p>
        </w:tc>
        <w:tc>
          <w:tcPr>
            <w:tcW w:w="10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6,659</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5,630</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12,784</w:t>
            </w: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19,158</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22,733</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7,302</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8,105</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20"/>
                <w:szCs w:val="20"/>
                <w:color w:val="auto"/>
              </w:rPr>
            </w:pPr>
          </w:p>
        </w:tc>
      </w:tr>
      <w:tr>
        <w:trPr>
          <w:trHeight w:val="241"/>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26,719</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31,091</w:t>
            </w:r>
          </w:p>
        </w:tc>
        <w:tc>
          <w:tcPr>
            <w:tcW w:w="100" w:type="dxa"/>
            <w:vAlign w:val="bottom"/>
            <w:shd w:val="clear" w:color="auto" w:fill="CFF0FC"/>
          </w:tcPr>
          <w:p>
            <w:pPr>
              <w:spacing w:after="0"/>
              <w:rPr>
                <w:sz w:val="20"/>
                <w:szCs w:val="20"/>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593,802</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542,805</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(120 )</w:t>
            </w:r>
          </w:p>
        </w:tc>
        <w:tc>
          <w:tcPr>
            <w:tcW w:w="2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(106 )</w:t>
            </w:r>
          </w:p>
        </w:tc>
      </w:tr>
      <w:tr>
        <w:trPr>
          <w:trHeight w:val="243"/>
        </w:trPr>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(435,510 )</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(403,282 )</w:t>
            </w:r>
          </w:p>
        </w:tc>
      </w:tr>
      <w:tr>
        <w:trPr>
          <w:trHeight w:val="237"/>
        </w:trPr>
        <w:tc>
          <w:tcPr>
            <w:tcW w:w="7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158,180</w:t>
            </w:r>
          </w:p>
        </w:tc>
        <w:tc>
          <w:tcPr>
            <w:tcW w:w="30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139,424</w:t>
            </w:r>
          </w:p>
        </w:tc>
        <w:tc>
          <w:tcPr>
            <w:tcW w:w="100" w:type="dxa"/>
            <w:vAlign w:val="bottom"/>
            <w:tcBorders>
              <w:top w:val="single" w:sz="8" w:color="CFF0FC"/>
            </w:tcBorders>
          </w:tcPr>
          <w:p>
            <w:pPr>
              <w:spacing w:after="0"/>
              <w:rPr>
                <w:sz w:val="20"/>
                <w:szCs w:val="20"/>
                <w:color w:val="auto"/>
              </w:rPr>
            </w:pPr>
          </w:p>
        </w:tc>
      </w:tr>
      <w:tr>
        <w:trPr>
          <w:trHeight w:val="277"/>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184,899</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170,515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-3496945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-3496945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-2870835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-2870835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-1910715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-1910715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-350520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4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77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25,055</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25,605</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8,707</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33,762</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33,723</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(33,762 )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(33,723 )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r>
      <w:tr>
        <w:trPr>
          <w:trHeight w:val="237"/>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other income, net</w:t>
            </w: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before income tax expense</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(32,228 )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(31,737 )</w:t>
            </w: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(32,228 )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(31,737 )</w:t>
            </w: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8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unrealized gain (loss) on marketable securities</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(14 )</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(32,242 )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(31,479 )</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(0.40 )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(0.43 )</w:t>
            </w:r>
          </w:p>
        </w:tc>
      </w:tr>
      <w:tr>
        <w:trPr>
          <w:trHeight w:val="20"/>
        </w:trPr>
        <w:tc>
          <w:tcPr>
            <w:tcW w:w="7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loss per share, basic and diluted</w:t>
            </w:r>
          </w:p>
        </w:tc>
        <w:tc>
          <w:tcPr>
            <w:tcW w:w="38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80,982,326</w:t>
            </w:r>
          </w:p>
        </w:tc>
        <w:tc>
          <w:tcPr>
            <w:tcW w:w="2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73,097,889</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-2296795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-2296795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-1344930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-1344930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-1028065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-385445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-367665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3"/>
                <w:szCs w:val="13"/>
                <w:color w:val="auto"/>
              </w:rPr>
            </w:pPr>
          </w:p>
        </w:tc>
        <w:tc>
          <w:tcPr>
            <w:tcW w:w="12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2180" w:type="dxa"/>
            <w:vAlign w:val="bottom"/>
            <w:gridSpan w:val="3"/>
            <w:vMerge w:val="restart"/>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1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2180" w:type="dxa"/>
            <w:vAlign w:val="bottom"/>
            <w:tcBorders>
              <w:bottom w:val="single" w:sz="8" w:color="auto"/>
            </w:tcBorders>
            <w:gridSpan w:val="3"/>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5"/>
                <w:szCs w:val="15"/>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112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January 1, 2024</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68,330,342</w:t>
            </w:r>
          </w:p>
        </w:tc>
        <w:tc>
          <w:tcPr>
            <w:tcW w:w="1060" w:type="dxa"/>
            <w:vAlign w:val="bottom"/>
            <w:gridSpan w:val="2"/>
            <w:shd w:val="clear" w:color="auto" w:fill="CFF0FC"/>
          </w:tcPr>
          <w:p>
            <w:pPr>
              <w:jc w:val="right"/>
              <w:ind w:right="644"/>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542,805</w:t>
            </w:r>
          </w:p>
        </w:tc>
        <w:tc>
          <w:tcPr>
            <w:tcW w:w="420" w:type="dxa"/>
            <w:vAlign w:val="bottom"/>
            <w:gridSpan w:val="2"/>
            <w:shd w:val="clear" w:color="auto" w:fill="CFF0FC"/>
          </w:tcPr>
          <w:p>
            <w:pPr>
              <w:jc w:val="right"/>
              <w:ind w:right="25"/>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(106 )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(403,282 )</w:t>
            </w:r>
          </w:p>
        </w:tc>
        <w:tc>
          <w:tcPr>
            <w:tcW w:w="2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139,424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common stock and pre-funded</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warrants, net of issuance costs of $3,236</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8,888,890</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46,761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options and vesting of restricted stock units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246,708</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common stock upon exercise of pre-</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funded warrants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1,051,594</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4,224</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(32,228 )</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(32,228 )</w:t>
            </w:r>
          </w:p>
        </w:tc>
        <w:tc>
          <w:tcPr>
            <w:tcW w:w="0" w:type="dxa"/>
            <w:vAlign w:val="bottom"/>
          </w:tcPr>
          <w:p>
            <w:pPr>
              <w:spacing w:after="0"/>
              <w:rPr>
                <w:sz w:val="1"/>
                <w:szCs w:val="1"/>
                <w:color w:val="auto"/>
              </w:rPr>
            </w:pPr>
          </w:p>
        </w:tc>
      </w:tr>
      <w:tr>
        <w:trPr>
          <w:trHeight w:val="23"/>
        </w:trPr>
        <w:tc>
          <w:tcPr>
            <w:tcW w:w="3740" w:type="dxa"/>
            <w:vAlign w:val="bottom"/>
            <w:shd w:val="clear" w:color="auto" w:fill="CFF0F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March 31, 2024</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78,517,534</w:t>
            </w:r>
          </w:p>
        </w:tc>
        <w:tc>
          <w:tcPr>
            <w:tcW w:w="240" w:type="dxa"/>
            <w:vAlign w:val="bottom"/>
          </w:tcPr>
          <w:p>
            <w:pPr>
              <w:spacing w:after="0"/>
              <w:rPr>
                <w:sz w:val="19"/>
                <w:szCs w:val="19"/>
                <w:color w:val="auto"/>
              </w:rPr>
            </w:pPr>
          </w:p>
        </w:tc>
        <w:tc>
          <w:tcPr>
            <w:tcW w:w="820" w:type="dxa"/>
            <w:vAlign w:val="bottom"/>
          </w:tcPr>
          <w:p>
            <w:pPr>
              <w:jc w:val="right"/>
              <w:ind w:right="644"/>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593,802</w:t>
            </w:r>
          </w:p>
        </w:tc>
        <w:tc>
          <w:tcPr>
            <w:tcW w:w="220" w:type="dxa"/>
            <w:vAlign w:val="bottom"/>
          </w:tcPr>
          <w:p>
            <w:pPr>
              <w:spacing w:after="0"/>
              <w:rPr>
                <w:sz w:val="19"/>
                <w:szCs w:val="19"/>
                <w:color w:val="auto"/>
              </w:rPr>
            </w:pPr>
          </w:p>
        </w:tc>
        <w:tc>
          <w:tcPr>
            <w:tcW w:w="20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(120 )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(435,510 )</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158,180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3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vMerge w:val="restart"/>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24"/>
                <w:szCs w:val="24"/>
                <w:color w:val="auto"/>
              </w:rPr>
            </w:pPr>
          </w:p>
        </w:tc>
        <w:tc>
          <w:tcPr>
            <w:tcW w:w="12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2180" w:type="dxa"/>
            <w:vAlign w:val="bottom"/>
            <w:gridSpan w:val="3"/>
            <w:vMerge w:val="restart"/>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1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2180" w:type="dxa"/>
            <w:vAlign w:val="bottom"/>
            <w:tcBorders>
              <w:bottom w:val="single" w:sz="8" w:color="auto"/>
            </w:tcBorders>
            <w:gridSpan w:val="3"/>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5"/>
                <w:szCs w:val="15"/>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112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January 1, 2023</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66,857,113</w:t>
            </w:r>
          </w:p>
        </w:tc>
        <w:tc>
          <w:tcPr>
            <w:tcW w:w="1060" w:type="dxa"/>
            <w:vAlign w:val="bottom"/>
            <w:gridSpan w:val="2"/>
            <w:shd w:val="clear" w:color="auto" w:fill="CFF0FC"/>
          </w:tcPr>
          <w:p>
            <w:pPr>
              <w:jc w:val="right"/>
              <w:ind w:right="644"/>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522,945</w:t>
            </w:r>
          </w:p>
        </w:tc>
        <w:tc>
          <w:tcPr>
            <w:tcW w:w="420" w:type="dxa"/>
            <w:vAlign w:val="bottom"/>
            <w:gridSpan w:val="2"/>
            <w:shd w:val="clear" w:color="auto" w:fill="CFF0FC"/>
          </w:tcPr>
          <w:p>
            <w:pPr>
              <w:jc w:val="right"/>
              <w:ind w:right="25"/>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(378 )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(279,198 )</w:t>
            </w:r>
          </w:p>
        </w:tc>
        <w:tc>
          <w:tcPr>
            <w:tcW w:w="2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243,376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common stock upon exercise</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of stock options and vesting of restricted</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stock units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8,311</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Vesting of early exercised stock options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(31,737 )</w:t>
            </w: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(31,737 )</w:t>
            </w: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March 31, 2023</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66,865,424</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644"/>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526,460</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(120 )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(310,935 )</w:t>
            </w:r>
          </w:p>
        </w:tc>
        <w:tc>
          <w:tcPr>
            <w:tcW w:w="2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215,412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-2047875</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-2047875</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-2047875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-2047875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-2047875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-2047875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-24765</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-7620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-24765</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-7620</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-24765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-24765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-24765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8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(32,228 )</w:t>
            </w:r>
          </w:p>
        </w:tc>
        <w:tc>
          <w:tcPr>
            <w:tcW w:w="102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(31,737 )</w:t>
            </w:r>
          </w:p>
        </w:tc>
      </w:tr>
      <w:tr>
        <w:trPr>
          <w:trHeight w:val="17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76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2,155</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2,130</w:t>
            </w:r>
          </w:p>
        </w:tc>
        <w:tc>
          <w:tcPr>
            <w:tcW w:w="100" w:type="dxa"/>
            <w:vAlign w:val="bottom"/>
          </w:tcPr>
          <w:p>
            <w:pPr>
              <w:spacing w:after="0"/>
              <w:rPr>
                <w:sz w:val="15"/>
                <w:szCs w:val="15"/>
                <w:color w:val="auto"/>
              </w:rPr>
            </w:pPr>
          </w:p>
        </w:tc>
      </w:tr>
      <w:tr>
        <w:trPr>
          <w:trHeight w:val="175"/>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Amortization (accretion) of premium (discount) on marketable securities</w:t>
            </w:r>
          </w:p>
        </w:tc>
        <w:tc>
          <w:tcPr>
            <w:tcW w:w="10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(74 )</w:t>
            </w:r>
          </w:p>
        </w:tc>
        <w:tc>
          <w:tcPr>
            <w:tcW w:w="10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(567 )</w:t>
            </w:r>
          </w:p>
        </w:tc>
      </w:tr>
      <w:tr>
        <w:trPr>
          <w:trHeight w:val="176"/>
        </w:trPr>
        <w:tc>
          <w:tcPr>
            <w:tcW w:w="76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4,224</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3,514</w:t>
            </w:r>
          </w:p>
        </w:tc>
        <w:tc>
          <w:tcPr>
            <w:tcW w:w="100" w:type="dxa"/>
            <w:vAlign w:val="bottom"/>
          </w:tcPr>
          <w:p>
            <w:pPr>
              <w:spacing w:after="0"/>
              <w:rPr>
                <w:sz w:val="15"/>
                <w:szCs w:val="15"/>
                <w:color w:val="auto"/>
              </w:rPr>
            </w:pPr>
          </w:p>
        </w:tc>
      </w:tr>
      <w:tr>
        <w:trPr>
          <w:trHeight w:val="175"/>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Non-cash operating lease expense</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100" w:type="dxa"/>
            <w:vAlign w:val="bottom"/>
            <w:shd w:val="clear" w:color="auto" w:fill="CFF0FC"/>
          </w:tcPr>
          <w:p>
            <w:pPr>
              <w:spacing w:after="0"/>
              <w:rPr>
                <w:sz w:val="15"/>
                <w:szCs w:val="15"/>
                <w:color w:val="auto"/>
              </w:rPr>
            </w:pPr>
          </w:p>
        </w:tc>
      </w:tr>
      <w:tr>
        <w:trPr>
          <w:trHeight w:val="176"/>
        </w:trPr>
        <w:tc>
          <w:tcPr>
            <w:tcW w:w="76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5"/>
                <w:szCs w:val="15"/>
                <w:color w:val="auto"/>
              </w:rPr>
            </w:pPr>
          </w:p>
        </w:tc>
      </w:tr>
      <w:tr>
        <w:trPr>
          <w:trHeight w:val="17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6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00" w:type="dxa"/>
            <w:vAlign w:val="bottom"/>
          </w:tcPr>
          <w:p>
            <w:pPr>
              <w:spacing w:after="0"/>
              <w:rPr>
                <w:sz w:val="15"/>
                <w:szCs w:val="15"/>
                <w:color w:val="auto"/>
              </w:rPr>
            </w:pPr>
          </w:p>
        </w:tc>
      </w:tr>
      <w:tr>
        <w:trPr>
          <w:trHeight w:val="176"/>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Other noncurrent assets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shd w:val="clear" w:color="auto" w:fill="CFF0FC"/>
          </w:tcPr>
          <w:p>
            <w:pPr>
              <w:spacing w:after="0"/>
              <w:rPr>
                <w:sz w:val="15"/>
                <w:szCs w:val="15"/>
                <w:color w:val="auto"/>
              </w:rPr>
            </w:pPr>
          </w:p>
        </w:tc>
      </w:tr>
      <w:tr>
        <w:trPr>
          <w:trHeight w:val="175"/>
        </w:trPr>
        <w:tc>
          <w:tcPr>
            <w:tcW w:w="76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Accounts payable</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(1,324 )</w:t>
            </w:r>
          </w:p>
        </w:tc>
      </w:tr>
      <w:tr>
        <w:trPr>
          <w:trHeight w:val="176"/>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Accrued and other current liabilities</w:t>
            </w:r>
          </w:p>
        </w:tc>
        <w:tc>
          <w:tcPr>
            <w:tcW w:w="10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(4,350 )</w:t>
            </w:r>
          </w:p>
        </w:tc>
        <w:tc>
          <w:tcPr>
            <w:tcW w:w="10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(2,662 )</w:t>
            </w:r>
          </w:p>
        </w:tc>
      </w:tr>
      <w:tr>
        <w:trPr>
          <w:trHeight w:val="175"/>
        </w:trPr>
        <w:tc>
          <w:tcPr>
            <w:tcW w:w="76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040" w:type="dxa"/>
            <w:vAlign w:val="bottom"/>
          </w:tcPr>
          <w:p>
            <w:pPr>
              <w:spacing w:after="0"/>
              <w:rPr>
                <w:sz w:val="15"/>
                <w:szCs w:val="15"/>
                <w:color w:val="auto"/>
              </w:rPr>
            </w:pPr>
          </w:p>
        </w:tc>
        <w:tc>
          <w:tcPr>
            <w:tcW w:w="8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(1,058 )</w:t>
            </w:r>
          </w:p>
        </w:tc>
        <w:tc>
          <w:tcPr>
            <w:tcW w:w="10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(979 )</w:t>
            </w:r>
          </w:p>
        </w:tc>
      </w:tr>
      <w:tr>
        <w:trPr>
          <w:trHeight w:val="169"/>
        </w:trPr>
        <w:tc>
          <w:tcPr>
            <w:tcW w:w="768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040" w:type="dxa"/>
            <w:vAlign w:val="bottom"/>
            <w:tcBorders>
              <w:top w:val="single" w:sz="8" w:color="auto"/>
              <w:bottom w:val="single" w:sz="8" w:color="auto"/>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(28,660</w:t>
            </w:r>
          </w:p>
        </w:tc>
        <w:tc>
          <w:tcPr>
            <w:tcW w:w="280" w:type="dxa"/>
            <w:vAlign w:val="bottom"/>
            <w:tcBorders>
              <w:top w:val="single" w:sz="8" w:color="CFF0FC"/>
              <w:bottom w:val="single" w:sz="8" w:color="CFF0FC"/>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4"/>
              </w:rPr>
              <w:t>)</w:t>
            </w:r>
          </w:p>
        </w:tc>
        <w:tc>
          <w:tcPr>
            <w:tcW w:w="1020" w:type="dxa"/>
            <w:vAlign w:val="bottom"/>
            <w:tcBorders>
              <w:top w:val="single" w:sz="8" w:color="auto"/>
              <w:bottom w:val="single" w:sz="8" w:color="auto"/>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(30,290</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69"/>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0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(564 )</w:t>
            </w:r>
          </w:p>
        </w:tc>
        <w:tc>
          <w:tcPr>
            <w:tcW w:w="10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(629 )</w:t>
            </w:r>
          </w:p>
        </w:tc>
      </w:tr>
      <w:tr>
        <w:trPr>
          <w:trHeight w:val="175"/>
        </w:trPr>
        <w:tc>
          <w:tcPr>
            <w:tcW w:w="76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1040" w:type="dxa"/>
            <w:vAlign w:val="bottom"/>
          </w:tcPr>
          <w:p>
            <w:pPr>
              <w:spacing w:after="0"/>
              <w:rPr>
                <w:sz w:val="15"/>
                <w:szCs w:val="15"/>
                <w:color w:val="auto"/>
              </w:rPr>
            </w:pPr>
          </w:p>
        </w:tc>
        <w:tc>
          <w:tcPr>
            <w:tcW w:w="8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(23,643 )</w:t>
            </w:r>
          </w:p>
        </w:tc>
        <w:tc>
          <w:tcPr>
            <w:tcW w:w="10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(25,798 )</w:t>
            </w:r>
          </w:p>
        </w:tc>
      </w:tr>
      <w:tr>
        <w:trPr>
          <w:trHeight w:val="17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Proceeds from maturities of marketable securities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19,717</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34,500</w:t>
            </w:r>
          </w:p>
        </w:tc>
        <w:tc>
          <w:tcPr>
            <w:tcW w:w="100" w:type="dxa"/>
            <w:vAlign w:val="bottom"/>
            <w:shd w:val="clear" w:color="auto" w:fill="CFF0FC"/>
          </w:tcPr>
          <w:p>
            <w:pPr>
              <w:spacing w:after="0"/>
              <w:rPr>
                <w:sz w:val="15"/>
                <w:szCs w:val="15"/>
                <w:color w:val="auto"/>
              </w:rPr>
            </w:pPr>
          </w:p>
        </w:tc>
      </w:tr>
      <w:tr>
        <w:trPr>
          <w:trHeight w:val="175"/>
        </w:trPr>
        <w:tc>
          <w:tcPr>
            <w:tcW w:w="76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(12 )</w:t>
            </w:r>
          </w:p>
        </w:tc>
      </w:tr>
      <w:tr>
        <w:trPr>
          <w:trHeight w:val="20"/>
        </w:trPr>
        <w:tc>
          <w:tcPr>
            <w:tcW w:w="76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7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10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(4,489 )</w:t>
            </w: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8,061</w:t>
            </w:r>
          </w:p>
        </w:tc>
        <w:tc>
          <w:tcPr>
            <w:tcW w:w="100" w:type="dxa"/>
            <w:vAlign w:val="bottom"/>
            <w:shd w:val="clear" w:color="auto" w:fill="CFF0FC"/>
          </w:tcPr>
          <w:p>
            <w:pPr>
              <w:spacing w:after="0"/>
              <w:rPr>
                <w:sz w:val="14"/>
                <w:szCs w:val="14"/>
                <w:color w:val="auto"/>
              </w:rPr>
            </w:pPr>
          </w:p>
        </w:tc>
      </w:tr>
      <w:tr>
        <w:trPr>
          <w:trHeight w:val="169"/>
        </w:trPr>
        <w:tc>
          <w:tcPr>
            <w:tcW w:w="7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80" w:type="dxa"/>
            <w:vAlign w:val="bottom"/>
            <w:tcBorders>
              <w:top w:val="single" w:sz="8" w:color="CFF0FC"/>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r>
        <w:trPr>
          <w:trHeight w:val="175"/>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Proceeds from issuance of common stock and pre-funded warrants in follow-on offering, net of issuance costs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46,762</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6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from exercise of stock options and employee stock purchase plan</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Proceeds from exercises of pre-funded warrants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6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Payment of accrued offering costs</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(501 )</w:t>
            </w:r>
          </w:p>
        </w:tc>
      </w:tr>
      <w:tr>
        <w:trPr>
          <w:trHeight w:val="20"/>
        </w:trPr>
        <w:tc>
          <w:tcPr>
            <w:tcW w:w="76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7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0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46,771</w:t>
            </w: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(501 )</w:t>
            </w:r>
          </w:p>
        </w:tc>
      </w:tr>
      <w:tr>
        <w:trPr>
          <w:trHeight w:val="20"/>
        </w:trPr>
        <w:tc>
          <w:tcPr>
            <w:tcW w:w="76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cash, cash equivalents and restricted cash</w:t>
            </w:r>
          </w:p>
        </w:tc>
        <w:tc>
          <w:tcPr>
            <w:tcW w:w="10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13,622</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(22,730 )</w:t>
            </w:r>
          </w:p>
        </w:tc>
      </w:tr>
      <w:tr>
        <w:trPr>
          <w:trHeight w:val="175"/>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at beginning of period</w:t>
            </w:r>
          </w:p>
        </w:tc>
        <w:tc>
          <w:tcPr>
            <w:tcW w:w="104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46,363</w:t>
            </w:r>
          </w:p>
        </w:tc>
        <w:tc>
          <w:tcPr>
            <w:tcW w:w="28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95,671</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at end of period</w:t>
            </w:r>
          </w:p>
        </w:tc>
        <w:tc>
          <w:tcPr>
            <w:tcW w:w="1040" w:type="dxa"/>
            <w:vAlign w:val="bottom"/>
            <w:tcBorders>
              <w:bottom w:val="single" w:sz="8" w:color="auto"/>
            </w:tcBorders>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59,985</w:t>
            </w:r>
          </w:p>
        </w:tc>
        <w:tc>
          <w:tcPr>
            <w:tcW w:w="280" w:type="dxa"/>
            <w:vAlign w:val="bottom"/>
          </w:tcPr>
          <w:p>
            <w:pPr>
              <w:spacing w:after="0"/>
              <w:rPr>
                <w:sz w:val="14"/>
                <w:szCs w:val="14"/>
                <w:color w:val="auto"/>
              </w:rPr>
            </w:pPr>
          </w:p>
        </w:tc>
        <w:tc>
          <w:tcPr>
            <w:tcW w:w="1020" w:type="dxa"/>
            <w:vAlign w:val="bottom"/>
            <w:tcBorders>
              <w:bottom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72,941</w:t>
            </w:r>
          </w:p>
        </w:tc>
        <w:tc>
          <w:tcPr>
            <w:tcW w:w="100" w:type="dxa"/>
            <w:vAlign w:val="bottom"/>
          </w:tcPr>
          <w:p>
            <w:pPr>
              <w:spacing w:after="0"/>
              <w:rPr>
                <w:sz w:val="14"/>
                <w:szCs w:val="14"/>
                <w:color w:val="auto"/>
              </w:rPr>
            </w:pPr>
          </w:p>
        </w:tc>
      </w:tr>
      <w:tr>
        <w:trPr>
          <w:trHeight w:val="20"/>
        </w:trPr>
        <w:tc>
          <w:tcPr>
            <w:tcW w:w="7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6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Components of cash, cash equivalents and restricted cash:</w:t>
            </w:r>
          </w:p>
        </w:tc>
        <w:tc>
          <w:tcPr>
            <w:tcW w:w="10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5"/>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4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59,303</w:t>
            </w:r>
          </w:p>
        </w:tc>
        <w:tc>
          <w:tcPr>
            <w:tcW w:w="280" w:type="dxa"/>
            <w:vAlign w:val="bottom"/>
          </w:tcPr>
          <w:p>
            <w:pPr>
              <w:spacing w:after="0"/>
              <w:rPr>
                <w:sz w:val="15"/>
                <w:szCs w:val="15"/>
                <w:color w:val="auto"/>
              </w:rPr>
            </w:pPr>
          </w:p>
        </w:tc>
        <w:tc>
          <w:tcPr>
            <w:tcW w:w="102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72,542</w:t>
            </w:r>
          </w:p>
        </w:tc>
        <w:tc>
          <w:tcPr>
            <w:tcW w:w="100" w:type="dxa"/>
            <w:vAlign w:val="bottom"/>
          </w:tcPr>
          <w:p>
            <w:pPr>
              <w:spacing w:after="0"/>
              <w:rPr>
                <w:sz w:val="15"/>
                <w:szCs w:val="15"/>
                <w:color w:val="auto"/>
              </w:rPr>
            </w:pPr>
          </w:p>
        </w:tc>
      </w:tr>
      <w:tr>
        <w:trPr>
          <w:trHeight w:val="175"/>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Restricted cash included in other noncurrent assets</w:t>
            </w:r>
          </w:p>
        </w:tc>
        <w:tc>
          <w:tcPr>
            <w:tcW w:w="104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28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w:t>
            </w:r>
          </w:p>
        </w:tc>
        <w:tc>
          <w:tcPr>
            <w:tcW w:w="1040" w:type="dxa"/>
            <w:vAlign w:val="bottom"/>
            <w:tcBorders>
              <w:bottom w:val="single" w:sz="8" w:color="auto"/>
            </w:tcBorders>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59,985</w:t>
            </w:r>
          </w:p>
        </w:tc>
        <w:tc>
          <w:tcPr>
            <w:tcW w:w="280" w:type="dxa"/>
            <w:vAlign w:val="bottom"/>
          </w:tcPr>
          <w:p>
            <w:pPr>
              <w:spacing w:after="0"/>
              <w:rPr>
                <w:sz w:val="14"/>
                <w:szCs w:val="14"/>
                <w:color w:val="auto"/>
              </w:rPr>
            </w:pPr>
          </w:p>
        </w:tc>
        <w:tc>
          <w:tcPr>
            <w:tcW w:w="1020" w:type="dxa"/>
            <w:vAlign w:val="bottom"/>
            <w:tcBorders>
              <w:bottom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72,941</w:t>
            </w:r>
          </w:p>
        </w:tc>
        <w:tc>
          <w:tcPr>
            <w:tcW w:w="100" w:type="dxa"/>
            <w:vAlign w:val="bottom"/>
          </w:tcPr>
          <w:p>
            <w:pPr>
              <w:spacing w:after="0"/>
              <w:rPr>
                <w:sz w:val="14"/>
                <w:szCs w:val="14"/>
                <w:color w:val="auto"/>
              </w:rPr>
            </w:pPr>
          </w:p>
        </w:tc>
      </w:tr>
      <w:tr>
        <w:trPr>
          <w:trHeight w:val="20"/>
        </w:trPr>
        <w:tc>
          <w:tcPr>
            <w:tcW w:w="7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6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10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5"/>
        </w:trPr>
        <w:tc>
          <w:tcPr>
            <w:tcW w:w="76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Property and equipment included in accounts payable and accrued and other current liabilities</w:t>
            </w:r>
          </w:p>
        </w:tc>
        <w:tc>
          <w:tcPr>
            <w:tcW w:w="104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80" w:type="dxa"/>
            <w:vAlign w:val="bottom"/>
          </w:tcPr>
          <w:p>
            <w:pPr>
              <w:spacing w:after="0"/>
              <w:rPr>
                <w:sz w:val="15"/>
                <w:szCs w:val="15"/>
                <w:color w:val="auto"/>
              </w:rPr>
            </w:pPr>
          </w:p>
        </w:tc>
        <w:tc>
          <w:tcPr>
            <w:tcW w:w="102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100" w:type="dxa"/>
            <w:vAlign w:val="bottom"/>
          </w:tcPr>
          <w:p>
            <w:pPr>
              <w:spacing w:after="0"/>
              <w:rPr>
                <w:sz w:val="15"/>
                <w:szCs w:val="15"/>
                <w:color w:val="auto"/>
              </w:rPr>
            </w:pPr>
          </w:p>
        </w:tc>
      </w:tr>
      <w:tr>
        <w:trPr>
          <w:trHeight w:val="175"/>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Non-cash exercise of stock options</w:t>
            </w:r>
          </w:p>
        </w:tc>
        <w:tc>
          <w:tcPr>
            <w:tcW w:w="1040" w:type="dxa"/>
            <w:vAlign w:val="bottom"/>
            <w:shd w:val="clear" w:color="auto" w:fill="CFF0FC"/>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5881370</wp:posOffset>
            </wp:positionH>
            <wp:positionV relativeFrom="paragraph">
              <wp:posOffset>-2694940</wp:posOffset>
            </wp:positionV>
            <wp:extent cx="9398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-2694940</wp:posOffset>
            </wp:positionV>
            <wp:extent cx="9398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-1876425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-1876425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-1190625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-959485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-479425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5"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Description of the Business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Tenaya Therapeutics, Inc. (the Company) was incorporated in the state of Delaware in August 2016 and is headquartered in South San Francisco, California. The Company is a clinical-stage biotechnology company focused on discovering, developing and delivering curative therapies that address the underlying drivers of heart disease. The Company’s lead product candidates include TN-201, a gene therapy for myosin binding protein C3-associated hypertrophic cardiomyopathy, TN-401, a gene therapy for plakophilin 2-associated arrhythmogenic right ventricular cardiomyopathy, and TN-301, a small molecule for heart failure with preserved ejection fraction.</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has incurred net losses since inception and expects such losses to continue in the future as it conducts research and development activities. As of March 31, 2024, the Company had an accumulated deficit of $435.5 million. The Company incurred a net loss of $32.2 million and $31.7 million during the three months ended March 31, 2024 and 2023, respectively. The Company had $122.2 million of cash, cash equivalents and investments in marketable securities as of March 31, 2024.</w:t>
      </w:r>
    </w:p>
    <w:p>
      <w:pPr>
        <w:spacing w:after="0" w:line="7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Management recognizes the need to raise additional capital to fully implement its business plan. The Company may seek to raise capital through equity financings, debt financings, license agreements, collaborative agreements or other sources of financing. Management believes that its existing cash, cash equivalents and investments in marketable securities as of March 31, 2024 will be sufficient to fund the Company’s operations for at least the next twelve months following the date these condensed financial statements are filed with the Securities and Exchange Commission (SEC).</w:t>
      </w:r>
    </w:p>
    <w:p>
      <w:pPr>
        <w:spacing w:after="0" w:line="176" w:lineRule="exact"/>
        <w:rPr>
          <w:sz w:val="20"/>
          <w:szCs w:val="20"/>
          <w:color w:val="auto"/>
        </w:rPr>
      </w:pPr>
    </w:p>
    <w:p>
      <w:pPr>
        <w:ind w:left="520" w:right="7420" w:hanging="512"/>
        <w:spacing w:after="0" w:line="378" w:lineRule="auto"/>
        <w:tabs>
          <w:tab w:leader="none" w:pos="38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condensed financial statements have been prepared in accordance with accounting principles generally accepted in the United States of America (GAAP) and follow the requirements of the SEC for interim reporting. As permitted under those rules, certain footnotes or other financial information that are normally required by GAAP can be condensed or omitted.</w:t>
      </w:r>
    </w:p>
    <w:p>
      <w:pPr>
        <w:spacing w:after="0" w:line="6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interim condensed balance sheet as of March 31, 2024, the interim condensed statements of operations and comprehensive loss, stockholders’ equity and cash flows for the three months ended March 31, 2024 and 2023 are unaudited. These unaudited interim condensed financial statements have been prepared on the same basis as the Company’s annual financial statements and reflect all adjustments that are necessary for the fair statement of the Company’s financial position, results of operations and cash flows for the interim periods presented. The condensed results of operations for the three months ended March 31, 2024, are not necessarily indicative of the results to be expected for the full year or for any other future annual or interim period. The condensed balance sheet as of December 31, 2023, included herein was derived from the audited financial statements as of that date. These condensed financial statements should be read in conjunction with the Company’s audited financial statements and the related notes thereto for the year ended December 31, 2023, included in Company’s Annual Report on Form 10-K, filed with the SEC on March 18, 2024.</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preparation of condensed financial statements in conformity with GAAP requires management to make estimates and assumptions that affect the reported amounts of assets, liabilities, and the disclosure of contingent assets and liabilities at the date of the condensed financial statements and the reported amounts of expenses during the reporting period. Significant estimates and assumptions made in the accompanying financial statements include, but are not limited to, accrued expenses related to research and development activities. The Company bases its</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9" w:name="page10"/>
    <w:bookmarkEnd w:id="9"/>
    <w:p>
      <w:pPr>
        <w:spacing w:after="0" w:line="8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estimates on historical experience, the current economic environment, and on various other assumptions that are believed to be reasonable under the circumstances. Actual results may differ from those estimates or assumptions.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revisions to the Company’s significant accounting policies described in Note 2 to the financial statements included in the Company’s Annual Report on Form 10-K for the year ended December 31, 2023.</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19"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(ASU 2023-07), which improves reportable segment disclosure requirements, primarily through enhanced disclosures about significant segment expenses. In addition, ASU 2023-07 enhances interim disclosure requirements, clarifies circumstances in which an entity can disclose multiple segment measures of profit or loss, provides new segment disclosure requirements for entities with a single reportable segment, and contains other disclosure requirements. ASU 2023-07 is effective for annual periods beginning after December 15, 2023, and interim periods beginning after December 15, 2024. The Company is evaluating the impact of this standard on its financial statements and related disclosures.</w:t>
      </w:r>
    </w:p>
    <w:p>
      <w:pPr>
        <w:spacing w:after="0" w:line="7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which requires disaggregated information about a reporting entity’s effective tax rate reconciliation as well as information on income taxes paid. ASU 2023-09 is effective for the Company beginning January 1, 2025. The Company is evaluating the impact of this standard on its financial statements and related disclosures.</w:t>
      </w:r>
    </w:p>
    <w:p>
      <w:pPr>
        <w:spacing w:after="0" w:line="178" w:lineRule="exact"/>
        <w:rPr>
          <w:sz w:val="20"/>
          <w:szCs w:val="20"/>
          <w:color w:val="auto"/>
        </w:rPr>
      </w:pPr>
    </w:p>
    <w:p>
      <w:pPr>
        <w:ind w:left="380" w:hanging="372"/>
        <w:spacing w:after="0"/>
        <w:tabs>
          <w:tab w:leader="none" w:pos="3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 Inputs are unadjusted, quoted prices in active markets for identical assets or liabilities at the measurement date.</w:t>
      </w:r>
    </w:p>
    <w:p>
      <w:pPr>
        <w:spacing w:after="0" w:line="117"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 Inputs reflect management’s best estimate of what market participants would use in pricing the asset or liability at the measurement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 is given to the risk inherent in the valuation technique and the risk inherent in the inputs to the model.</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 w:name="page11"/>
    <w:bookmarkEnd w:id="10"/>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the Company’s financial assets measured at fair value on a recurring basis by level within the fair value hierarchy:</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00" w:type="dxa"/>
            <w:vAlign w:val="bottom"/>
          </w:tcPr>
          <w:p>
            <w:pPr>
              <w:spacing w:after="0"/>
              <w:rPr>
                <w:sz w:val="16"/>
                <w:szCs w:val="16"/>
                <w:color w:val="auto"/>
              </w:rPr>
            </w:pPr>
          </w:p>
        </w:tc>
        <w:tc>
          <w:tcPr>
            <w:tcW w:w="16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Valuation</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left="576"/>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40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jc w:val="center"/>
              <w:ind w:right="154"/>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center"/>
              <w:ind w:right="136"/>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gridSpan w:val="2"/>
          </w:tcPr>
          <w:p>
            <w:pPr>
              <w:jc w:val="center"/>
              <w:ind w:right="54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1"/>
                <w:szCs w:val="11"/>
                <w:color w:val="auto"/>
              </w:rPr>
            </w:pPr>
          </w:p>
        </w:tc>
        <w:tc>
          <w:tcPr>
            <w:tcW w:w="104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40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Gain</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Loss</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3"/>
          </w:tcPr>
          <w:p>
            <w:pPr>
              <w:jc w:val="center"/>
              <w:ind w:left="57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6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Level 1</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5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treasuries</w:t>
            </w: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Level 1</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6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Level 2</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25,238</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(14 )</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25,224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 agencies bonds</w:t>
            </w: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Level 2</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1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treasuries</w:t>
            </w: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Level 1</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(15 )</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6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Level 2</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13,837</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(10 )</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 agencies bonds</w:t>
            </w: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Level 2</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(80 )</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14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121,638</w:t>
            </w:r>
          </w:p>
        </w:tc>
        <w:tc>
          <w:tcPr>
            <w:tcW w:w="28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(120 )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121,518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3400" w:type="dxa"/>
            <w:vAlign w:val="bottom"/>
          </w:tcPr>
          <w:p>
            <w:pPr>
              <w:spacing w:after="0"/>
              <w:rPr>
                <w:sz w:val="24"/>
                <w:szCs w:val="24"/>
                <w:color w:val="auto"/>
              </w:rPr>
            </w:pPr>
          </w:p>
        </w:tc>
        <w:tc>
          <w:tcPr>
            <w:tcW w:w="16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Valuation</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40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jc w:val="center"/>
              <w:ind w:right="154"/>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center"/>
              <w:ind w:right="136"/>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gridSpan w:val="2"/>
          </w:tcPr>
          <w:p>
            <w:pPr>
              <w:jc w:val="center"/>
              <w:ind w:right="54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1"/>
                <w:szCs w:val="11"/>
                <w:color w:val="auto"/>
              </w:rPr>
            </w:pPr>
          </w:p>
        </w:tc>
        <w:tc>
          <w:tcPr>
            <w:tcW w:w="104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40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Gain</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Loss</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3"/>
          </w:tcPr>
          <w:p>
            <w:pPr>
              <w:jc w:val="center"/>
              <w:ind w:left="57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6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Level 1</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5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treasuries</w:t>
            </w: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Level 1</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6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Level 2</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34,901</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(18 )</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34,883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 agencies bonds</w:t>
            </w: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Level 2</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1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treasuries</w:t>
            </w: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Level 1</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(15 )</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6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Level 2</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(2 )</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 agencies bonds</w:t>
            </w: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Level 2</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(82 )</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14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104,026</w:t>
            </w:r>
          </w:p>
        </w:tc>
        <w:tc>
          <w:tcPr>
            <w:tcW w:w="28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(117 )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103,920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-2356485</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-2339340</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-2356485</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-2339340</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-2356485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-2339340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-2356485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-2339340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-25400</wp:posOffset>
            </wp:positionV>
            <wp:extent cx="774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-8255</wp:posOffset>
            </wp:positionV>
            <wp:extent cx="774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-25400</wp:posOffset>
            </wp:positionV>
            <wp:extent cx="768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-8255</wp:posOffset>
            </wp:positionV>
            <wp:extent cx="768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Money market funds and U.S. treasury securities are classified as Level 1 because they are valued using quoted market prices in active markets for identical assets. Financial instruments classified within Level 2 of the fair value hierarchy are valued based on observable inputs or can be derived from non-binding quotes from the Company’s investment managers, which are based on proprietary valuation models of independent pricing services. These models generally use inputs such as observable market data, quoted market prices for similar instruments, or historical pricing trends of a security relative to its peers.</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believes it is more likely than not that its marketable securities in an unrealized loss position will be held until maturity or the recovery of the cost basis of the investment. To date, the Company has not recorded any allowance for credit losses on its investment securities. Based upon its quarterly impairment review, the Company determined that the unrealized losses were not attributed to credit risk, but were primarily driven by the broader change in interest rates.</w:t>
      </w:r>
    </w:p>
    <w:p>
      <w:pPr>
        <w:spacing w:after="0" w:line="7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2024, the fair value of available-for-sale marketable securities was $62.9 million, all of which had remaining maturities of less than one year.</w:t>
      </w:r>
    </w:p>
    <w:p>
      <w:pPr>
        <w:spacing w:after="0" w:line="54"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remaining financial assets and liabilities, which include cash, receivables and payables, approximate their fair values due to their short-term nature.</w:t>
      </w:r>
    </w:p>
    <w:p>
      <w:pPr>
        <w:spacing w:after="0" w:line="158" w:lineRule="exact"/>
        <w:rPr>
          <w:sz w:val="20"/>
          <w:szCs w:val="20"/>
          <w:color w:val="auto"/>
        </w:rPr>
      </w:pPr>
    </w:p>
    <w:p>
      <w:pPr>
        <w:ind w:left="520" w:right="8540" w:hanging="512"/>
        <w:spacing w:after="0" w:line="400" w:lineRule="auto"/>
        <w:tabs>
          <w:tab w:leader="none" w:pos="385"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Balance Sheet Components </w:t>
      </w:r>
      <w:r>
        <w:rPr>
          <w:rFonts w:ascii="Times New Roman" w:cs="Times New Roman" w:eastAsia="Times New Roman" w:hAnsi="Times New Roman"/>
          <w:sz w:val="17"/>
          <w:szCs w:val="17"/>
          <w:b w:val="1"/>
          <w:bCs w:val="1"/>
          <w:i w:val="1"/>
          <w:iCs w:val="1"/>
          <w:color w:val="auto"/>
        </w:rPr>
        <w:t>Property and Equipment, Net</w:t>
      </w:r>
    </w:p>
    <w:p>
      <w:pPr>
        <w:ind w:left="5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Property and equipment, net consists of the following: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tbl>
      <w:tblPr>
        <w:tblLayout w:type="fixed"/>
        <w:tblInd w:w="114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r>
      <w:tr>
        <w:trPr>
          <w:trHeight w:val="169"/>
        </w:trPr>
        <w:tc>
          <w:tcPr>
            <w:tcW w:w="6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(In</w:t>
            </w:r>
          </w:p>
        </w:tc>
        <w:tc>
          <w:tcPr>
            <w:tcW w:w="1480" w:type="dxa"/>
            <w:vAlign w:val="bottom"/>
            <w:gridSpan w:val="3"/>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80" w:type="dxa"/>
            <w:vAlign w:val="bottom"/>
          </w:tcPr>
          <w:p>
            <w:pPr>
              <w:spacing w:after="0"/>
              <w:rPr>
                <w:sz w:val="14"/>
                <w:szCs w:val="14"/>
                <w:color w:val="auto"/>
              </w:rPr>
            </w:pPr>
          </w:p>
        </w:tc>
      </w:tr>
      <w:tr>
        <w:trPr>
          <w:trHeight w:val="243"/>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25,668</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25,608</w:t>
            </w:r>
          </w:p>
        </w:tc>
        <w:tc>
          <w:tcPr>
            <w:tcW w:w="80" w:type="dxa"/>
            <w:vAlign w:val="bottom"/>
            <w:shd w:val="clear" w:color="auto" w:fill="CFF0FC"/>
          </w:tcPr>
          <w:p>
            <w:pPr>
              <w:spacing w:after="0"/>
              <w:rPr>
                <w:sz w:val="21"/>
                <w:szCs w:val="21"/>
                <w:color w:val="auto"/>
              </w:rPr>
            </w:pP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19,973</w:t>
            </w:r>
          </w:p>
        </w:tc>
        <w:tc>
          <w:tcPr>
            <w:tcW w:w="80" w:type="dxa"/>
            <w:vAlign w:val="bottom"/>
          </w:tcPr>
          <w:p>
            <w:pPr>
              <w:spacing w:after="0"/>
              <w:rPr>
                <w:sz w:val="20"/>
                <w:szCs w:val="20"/>
                <w:color w:val="auto"/>
              </w:rPr>
            </w:pPr>
          </w:p>
        </w:tc>
      </w:tr>
      <w:tr>
        <w:trPr>
          <w:trHeight w:val="24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 equipment</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17,716</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17,716</w:t>
            </w:r>
          </w:p>
        </w:tc>
        <w:tc>
          <w:tcPr>
            <w:tcW w:w="80" w:type="dxa"/>
            <w:vAlign w:val="bottom"/>
            <w:shd w:val="clear" w:color="auto" w:fill="CFF0FC"/>
          </w:tcPr>
          <w:p>
            <w:pPr>
              <w:spacing w:after="0"/>
              <w:rPr>
                <w:sz w:val="21"/>
                <w:szCs w:val="21"/>
                <w:color w:val="auto"/>
              </w:rPr>
            </w:pP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80" w:type="dxa"/>
            <w:vAlign w:val="bottom"/>
          </w:tcPr>
          <w:p>
            <w:pPr>
              <w:spacing w:after="0"/>
              <w:rPr>
                <w:sz w:val="20"/>
                <w:szCs w:val="20"/>
                <w:color w:val="auto"/>
              </w:rPr>
            </w:pPr>
          </w:p>
        </w:tc>
      </w:tr>
      <w:tr>
        <w:trPr>
          <w:trHeight w:val="24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80" w:type="dxa"/>
            <w:vAlign w:val="bottom"/>
            <w:shd w:val="clear" w:color="auto" w:fill="CFF0FC"/>
          </w:tcPr>
          <w:p>
            <w:pPr>
              <w:spacing w:after="0"/>
              <w:rPr>
                <w:sz w:val="21"/>
                <w:szCs w:val="21"/>
                <w:color w:val="auto"/>
              </w:rPr>
            </w:pP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80" w:type="dxa"/>
            <w:vAlign w:val="bottom"/>
          </w:tcPr>
          <w:p>
            <w:pPr>
              <w:spacing w:after="0"/>
              <w:rPr>
                <w:sz w:val="20"/>
                <w:szCs w:val="20"/>
                <w:color w:val="auto"/>
              </w:rPr>
            </w:pPr>
          </w:p>
        </w:tc>
      </w:tr>
      <w:tr>
        <w:trPr>
          <w:trHeight w:val="241"/>
        </w:trPr>
        <w:tc>
          <w:tcPr>
            <w:tcW w:w="6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67,877</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67,617</w:t>
            </w:r>
          </w:p>
        </w:tc>
        <w:tc>
          <w:tcPr>
            <w:tcW w:w="80" w:type="dxa"/>
            <w:vAlign w:val="bottom"/>
            <w:shd w:val="clear" w:color="auto" w:fill="CFF0FC"/>
          </w:tcPr>
          <w:p>
            <w:pPr>
              <w:spacing w:after="0"/>
              <w:rPr>
                <w:sz w:val="20"/>
                <w:szCs w:val="20"/>
                <w:color w:val="auto"/>
              </w:rPr>
            </w:pP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00" w:type="dxa"/>
            <w:vAlign w:val="bottom"/>
          </w:tcPr>
          <w:p>
            <w:pPr>
              <w:spacing w:after="0"/>
              <w:rPr>
                <w:sz w:val="20"/>
                <w:szCs w:val="20"/>
                <w:color w:val="auto"/>
              </w:rPr>
            </w:pPr>
          </w:p>
        </w:tc>
        <w:tc>
          <w:tcPr>
            <w:tcW w:w="12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(26,481 )</w:t>
            </w:r>
          </w:p>
        </w:tc>
        <w:tc>
          <w:tcPr>
            <w:tcW w:w="16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(24,340 )</w:t>
            </w:r>
          </w:p>
        </w:tc>
      </w:tr>
      <w:tr>
        <w:trPr>
          <w:trHeight w:val="277"/>
        </w:trPr>
        <w:tc>
          <w:tcPr>
            <w:tcW w:w="61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41,396</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43,277</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60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0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and amortization expense for the three months ended March 31, 2024 and 2023 was $2.2 million and $2.1 million, respectively.</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and other current liabilities consist of the following:</w:t>
      </w:r>
    </w:p>
    <w:p>
      <w:pPr>
        <w:spacing w:after="0" w:line="112"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(In</w:t>
            </w:r>
          </w:p>
        </w:tc>
        <w:tc>
          <w:tcPr>
            <w:tcW w:w="1480" w:type="dxa"/>
            <w:vAlign w:val="bottom"/>
            <w:gridSpan w:val="5"/>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0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 and related expenses</w:t>
            </w:r>
          </w:p>
        </w:tc>
        <w:tc>
          <w:tcPr>
            <w:tcW w:w="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9"/>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ESPP deduction liability</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9"/>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facility management services</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9"/>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77"/>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1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2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8,435</w:t>
            </w:r>
          </w:p>
        </w:tc>
        <w:tc>
          <w:tcPr>
            <w:tcW w:w="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12,784</w:t>
            </w:r>
          </w:p>
        </w:tc>
        <w:tc>
          <w:tcPr>
            <w:tcW w:w="80" w:type="dxa"/>
            <w:vAlign w:val="bottom"/>
            <w:tcBorders>
              <w:bottom w:val="single" w:sz="8" w:color="CFF0FC"/>
            </w:tcBorders>
            <w:shd w:val="clear" w:color="auto" w:fill="CFF0FC"/>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7"/>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5"/>
        </w:trPr>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(In</w:t>
            </w:r>
          </w:p>
        </w:tc>
        <w:tc>
          <w:tcPr>
            <w:tcW w:w="1520" w:type="dxa"/>
            <w:vAlign w:val="bottom"/>
            <w:gridSpan w:val="6"/>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80" w:type="dxa"/>
            <w:vAlign w:val="bottom"/>
          </w:tcPr>
          <w:p>
            <w:pPr>
              <w:spacing w:after="0"/>
              <w:rPr>
                <w:sz w:val="14"/>
                <w:szCs w:val="14"/>
                <w:color w:val="auto"/>
              </w:rPr>
            </w:pPr>
          </w:p>
        </w:tc>
      </w:tr>
      <w:tr>
        <w:trPr>
          <w:trHeight w:val="243"/>
        </w:trPr>
        <w:tc>
          <w:tcPr>
            <w:tcW w:w="500" w:type="dxa"/>
            <w:vAlign w:val="bottom"/>
          </w:tcPr>
          <w:p>
            <w:pPr>
              <w:spacing w:after="0"/>
              <w:rPr>
                <w:sz w:val="21"/>
                <w:szCs w:val="21"/>
                <w:color w:val="auto"/>
              </w:rPr>
            </w:pPr>
          </w:p>
        </w:tc>
        <w:tc>
          <w:tcPr>
            <w:tcW w:w="63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8"/>
              </w:rPr>
              <w:t>5,039</w:t>
            </w:r>
          </w:p>
        </w:tc>
        <w:tc>
          <w:tcPr>
            <w:tcW w:w="180" w:type="dxa"/>
            <w:vAlign w:val="bottom"/>
            <w:shd w:val="clear" w:color="auto" w:fill="CFF0FC"/>
          </w:tcPr>
          <w:p>
            <w:pPr>
              <w:spacing w:after="0"/>
              <w:rPr>
                <w:sz w:val="21"/>
                <w:szCs w:val="21"/>
                <w:color w:val="auto"/>
              </w:rPr>
            </w:pPr>
          </w:p>
        </w:tc>
        <w:tc>
          <w:tcPr>
            <w:tcW w:w="1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5,783</w:t>
            </w:r>
          </w:p>
        </w:tc>
        <w:tc>
          <w:tcPr>
            <w:tcW w:w="80" w:type="dxa"/>
            <w:vAlign w:val="bottom"/>
            <w:shd w:val="clear" w:color="auto" w:fill="CFF0FC"/>
          </w:tcPr>
          <w:p>
            <w:pPr>
              <w:spacing w:after="0"/>
              <w:rPr>
                <w:sz w:val="21"/>
                <w:szCs w:val="21"/>
                <w:color w:val="auto"/>
              </w:rPr>
            </w:pPr>
          </w:p>
        </w:tc>
      </w:tr>
      <w:tr>
        <w:trPr>
          <w:trHeight w:val="239"/>
        </w:trPr>
        <w:tc>
          <w:tcPr>
            <w:tcW w:w="500" w:type="dxa"/>
            <w:vAlign w:val="bottom"/>
          </w:tcPr>
          <w:p>
            <w:pPr>
              <w:spacing w:after="0"/>
              <w:rPr>
                <w:sz w:val="20"/>
                <w:szCs w:val="20"/>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8"/>
                <w:szCs w:val="18"/>
                <w:color w:val="auto"/>
                <w:w w:val="98"/>
              </w:rPr>
              <w:t>1,411</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80" w:type="dxa"/>
            <w:vAlign w:val="bottom"/>
          </w:tcPr>
          <w:p>
            <w:pPr>
              <w:spacing w:after="0"/>
              <w:rPr>
                <w:sz w:val="20"/>
                <w:szCs w:val="20"/>
                <w:color w:val="auto"/>
              </w:rPr>
            </w:pPr>
          </w:p>
        </w:tc>
      </w:tr>
      <w:tr>
        <w:trPr>
          <w:trHeight w:val="276"/>
        </w:trPr>
        <w:tc>
          <w:tcPr>
            <w:tcW w:w="500" w:type="dxa"/>
            <w:vAlign w:val="bottom"/>
          </w:tcPr>
          <w:p>
            <w:pPr>
              <w:spacing w:after="0"/>
              <w:rPr>
                <w:sz w:val="24"/>
                <w:szCs w:val="24"/>
                <w:color w:val="auto"/>
              </w:rPr>
            </w:pPr>
          </w:p>
        </w:tc>
        <w:tc>
          <w:tcPr>
            <w:tcW w:w="630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0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8"/>
              </w:rPr>
              <w:t>6,450</w:t>
            </w:r>
          </w:p>
        </w:tc>
        <w:tc>
          <w:tcPr>
            <w:tcW w:w="18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6,940</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-1396365</wp:posOffset>
            </wp:positionV>
            <wp:extent cx="60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-1379220</wp:posOffset>
            </wp:positionV>
            <wp:extent cx="603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-1396365</wp:posOffset>
            </wp:positionV>
            <wp:extent cx="514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-1379220</wp:posOffset>
            </wp:positionV>
            <wp:extent cx="514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-24765</wp:posOffset>
            </wp:positionV>
            <wp:extent cx="603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-8255</wp:posOffset>
            </wp:positionV>
            <wp:extent cx="603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-24765</wp:posOffset>
            </wp:positionV>
            <wp:extent cx="514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-8255</wp:posOffset>
            </wp:positionV>
            <wp:extent cx="514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8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5.</w:t>
        <w:tab/>
        <w:t>Commitments and Contingencies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Facility Leases</w:t>
      </w:r>
    </w:p>
    <w:p>
      <w:pPr>
        <w:spacing w:after="0" w:line="12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In December 2016, the Company entered into a lease agreement for office and laboratory space in South San Francisco, California. The lease expires in May 2025 and the Company may renew the lease term for two additional five-year periods.</w:t>
      </w:r>
    </w:p>
    <w:p>
      <w:pPr>
        <w:spacing w:after="0" w:line="54"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In February 2021, the Company entered into a lease agreement for the Union City Facility. The lease commenced in May 2021 and has a ten-year term with one five-year renewal option.</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November 2021, the Company entered into a short-term sublease agreement for additional office and laboratory space in South San Francisco, California with a lease term that was initially set to expire on June 30, 2022. In May 2022, the Company entered into an amendment to extend the term for the existing sublease premise through December 31, 2022. Under the amendment, the Company also subleased additional office and laboratory space at the same sublease premise through November 30, 2023. In October 2023, the Company entered into a second amendment for additional laboratory space and to extend the term of the sublease premise through November 30, 2024.</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2" w:right="379" w:bottom="1440" w:gutter="0" w:footer="0" w:header="0"/>
        </w:sectPr>
      </w:pPr>
    </w:p>
    <w:bookmarkStart w:id="12" w:name="page13"/>
    <w:bookmarkEnd w:id="12"/>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Information related to operating lease activity during the three months ended March 31, 2024 was as follows (in thousands):</w:t>
      </w:r>
    </w:p>
    <w:p>
      <w:pPr>
        <w:spacing w:after="0" w:line="124"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500" w:type="dxa"/>
            <w:vAlign w:val="bottom"/>
          </w:tcPr>
          <w:p>
            <w:pPr>
              <w:spacing w:after="0"/>
              <w:rPr>
                <w:sz w:val="16"/>
                <w:szCs w:val="16"/>
                <w:color w:val="auto"/>
              </w:rPr>
            </w:pPr>
          </w:p>
        </w:tc>
        <w:tc>
          <w:tcPr>
            <w:tcW w:w="2960" w:type="dxa"/>
            <w:vAlign w:val="bottom"/>
            <w:tcBorders>
              <w:bottom w:val="single" w:sz="8" w:color="auto"/>
            </w:tcBorders>
            <w:gridSpan w:val="4"/>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500" w:type="dxa"/>
            <w:vAlign w:val="bottom"/>
          </w:tcPr>
          <w:p>
            <w:pPr>
              <w:spacing w:after="0"/>
              <w:rPr>
                <w:sz w:val="14"/>
                <w:szCs w:val="14"/>
                <w:color w:val="auto"/>
              </w:rPr>
            </w:pPr>
          </w:p>
        </w:tc>
        <w:tc>
          <w:tcPr>
            <w:tcW w:w="10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6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(In</w:t>
            </w:r>
          </w:p>
        </w:tc>
        <w:tc>
          <w:tcPr>
            <w:tcW w:w="1320" w:type="dxa"/>
            <w:vAlign w:val="bottom"/>
            <w:gridSpan w:val="2"/>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08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320" w:type="dxa"/>
            <w:vAlign w:val="bottom"/>
            <w:gridSpan w:val="2"/>
            <w:shd w:val="clear" w:color="auto" w:fill="CFF0FC"/>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shd w:val="clear" w:color="auto" w:fill="CFF0FC"/>
          </w:tcPr>
          <w:p>
            <w:pPr>
              <w:spacing w:after="0"/>
              <w:rPr>
                <w:sz w:val="21"/>
                <w:szCs w:val="21"/>
                <w:color w:val="auto"/>
              </w:rPr>
            </w:pPr>
          </w:p>
        </w:tc>
      </w:tr>
      <w:tr>
        <w:trPr>
          <w:trHeight w:val="239"/>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0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20"/>
                <w:szCs w:val="20"/>
                <w:color w:val="auto"/>
              </w:rPr>
            </w:pPr>
          </w:p>
        </w:tc>
      </w:tr>
      <w:tr>
        <w:trPr>
          <w:trHeight w:val="243"/>
        </w:trPr>
        <w:tc>
          <w:tcPr>
            <w:tcW w:w="6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08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lease cost</w:t>
            </w:r>
          </w:p>
        </w:tc>
        <w:tc>
          <w:tcPr>
            <w:tcW w:w="108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320" w:type="dxa"/>
            <w:vAlign w:val="bottom"/>
            <w:gridSpan w:val="2"/>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tcPr>
          <w:p>
            <w:pPr>
              <w:spacing w:after="0"/>
              <w:rPr>
                <w:sz w:val="20"/>
                <w:szCs w:val="20"/>
                <w:color w:val="auto"/>
              </w:rPr>
            </w:pPr>
          </w:p>
        </w:tc>
      </w:tr>
      <w:tr>
        <w:trPr>
          <w:trHeight w:val="20"/>
        </w:trPr>
        <w:tc>
          <w:tcPr>
            <w:tcW w:w="65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65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lease obligations</w:t>
            </w:r>
          </w:p>
        </w:tc>
        <w:tc>
          <w:tcPr>
            <w:tcW w:w="108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00" w:type="dxa"/>
            <w:vAlign w:val="bottom"/>
          </w:tcPr>
          <w:p>
            <w:pPr>
              <w:spacing w:after="0"/>
              <w:rPr>
                <w:sz w:val="20"/>
                <w:szCs w:val="20"/>
                <w:color w:val="auto"/>
              </w:rPr>
            </w:pPr>
          </w:p>
        </w:tc>
      </w:tr>
      <w:tr>
        <w:trPr>
          <w:trHeight w:val="247"/>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8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320" w:type="dxa"/>
            <w:vAlign w:val="bottom"/>
            <w:gridSpan w:val="2"/>
            <w:shd w:val="clear" w:color="auto" w:fill="CFF0FC"/>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-650875</wp:posOffset>
            </wp:positionV>
            <wp:extent cx="596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-650875</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2024, the Company’s operating leases had a weighted average remaining lease term of 5.2 years and a weighted average discount rate of 9.4%. Future minimum lease payments under the Company’s operating leases as of March 31, 2024 were as follows:</w:t>
      </w:r>
    </w:p>
    <w:p>
      <w:pPr>
        <w:spacing w:after="0" w:line="61" w:lineRule="exact"/>
        <w:rPr>
          <w:sz w:val="20"/>
          <w:szCs w:val="20"/>
          <w:color w:val="auto"/>
        </w:rPr>
      </w:pPr>
    </w:p>
    <w:tbl>
      <w:tblPr>
        <w:tblLayout w:type="fixed"/>
        <w:tblInd w:w="2260" w:type="dxa"/>
        <w:tblCellMar>
          <w:top w:w="0" w:type="dxa"/>
          <w:left w:w="0" w:type="dxa"/>
          <w:bottom w:w="0" w:type="dxa"/>
          <w:right w:w="0" w:type="dxa"/>
        </w:tblCellMar>
      </w:tblPr>
      <w:tr>
        <w:trPr>
          <w:trHeight w:val="187"/>
        </w:trPr>
        <w:tc>
          <w:tcPr>
            <w:tcW w:w="5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69"/>
        </w:trPr>
        <w:tc>
          <w:tcPr>
            <w:tcW w:w="54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4"/>
                <w:szCs w:val="14"/>
                <w:color w:val="auto"/>
              </w:rPr>
            </w:pPr>
          </w:p>
        </w:tc>
      </w:tr>
      <w:tr>
        <w:trPr>
          <w:trHeight w:val="243"/>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 (remaining 9 months)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20" w:type="dxa"/>
            <w:vAlign w:val="bottom"/>
          </w:tcPr>
          <w:p>
            <w:pPr>
              <w:spacing w:after="0"/>
              <w:rPr>
                <w:sz w:val="21"/>
                <w:szCs w:val="21"/>
                <w:color w:val="auto"/>
              </w:rPr>
            </w:pPr>
          </w:p>
        </w:tc>
      </w:tr>
      <w:tr>
        <w:trPr>
          <w:trHeight w:val="239"/>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20" w:type="dxa"/>
            <w:vAlign w:val="bottom"/>
          </w:tcPr>
          <w:p>
            <w:pPr>
              <w:spacing w:after="0"/>
              <w:rPr>
                <w:sz w:val="20"/>
                <w:szCs w:val="20"/>
                <w:color w:val="auto"/>
              </w:rPr>
            </w:pPr>
          </w:p>
        </w:tc>
      </w:tr>
      <w:tr>
        <w:trPr>
          <w:trHeight w:val="247"/>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FF0FC"/>
          </w:tcPr>
          <w:p>
            <w:pPr>
              <w:spacing w:after="0"/>
              <w:rPr>
                <w:sz w:val="21"/>
                <w:szCs w:val="21"/>
                <w:color w:val="auto"/>
              </w:rPr>
            </w:pPr>
          </w:p>
        </w:tc>
        <w:tc>
          <w:tcPr>
            <w:tcW w:w="11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20" w:type="dxa"/>
            <w:vAlign w:val="bottom"/>
          </w:tcPr>
          <w:p>
            <w:pPr>
              <w:spacing w:after="0"/>
              <w:rPr>
                <w:sz w:val="21"/>
                <w:szCs w:val="21"/>
                <w:color w:val="auto"/>
              </w:rPr>
            </w:pPr>
          </w:p>
        </w:tc>
      </w:tr>
      <w:tr>
        <w:trPr>
          <w:trHeight w:val="239"/>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20" w:type="dxa"/>
            <w:vAlign w:val="bottom"/>
          </w:tcPr>
          <w:p>
            <w:pPr>
              <w:spacing w:after="0"/>
              <w:rPr>
                <w:sz w:val="20"/>
                <w:szCs w:val="20"/>
                <w:color w:val="auto"/>
              </w:rPr>
            </w:pPr>
          </w:p>
        </w:tc>
      </w:tr>
      <w:tr>
        <w:trPr>
          <w:trHeight w:val="247"/>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FF0FC"/>
          </w:tcPr>
          <w:p>
            <w:pPr>
              <w:spacing w:after="0"/>
              <w:rPr>
                <w:sz w:val="21"/>
                <w:szCs w:val="21"/>
                <w:color w:val="auto"/>
              </w:rPr>
            </w:pPr>
          </w:p>
        </w:tc>
        <w:tc>
          <w:tcPr>
            <w:tcW w:w="11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20" w:type="dxa"/>
            <w:vAlign w:val="bottom"/>
          </w:tcPr>
          <w:p>
            <w:pPr>
              <w:spacing w:after="0"/>
              <w:rPr>
                <w:sz w:val="21"/>
                <w:szCs w:val="21"/>
                <w:color w:val="auto"/>
              </w:rPr>
            </w:pPr>
          </w:p>
        </w:tc>
      </w:tr>
      <w:tr>
        <w:trPr>
          <w:trHeight w:val="239"/>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4,006</w:t>
            </w:r>
          </w:p>
        </w:tc>
        <w:tc>
          <w:tcPr>
            <w:tcW w:w="20" w:type="dxa"/>
            <w:vAlign w:val="bottom"/>
          </w:tcPr>
          <w:p>
            <w:pPr>
              <w:spacing w:after="0"/>
              <w:rPr>
                <w:sz w:val="20"/>
                <w:szCs w:val="20"/>
                <w:color w:val="auto"/>
              </w:rPr>
            </w:pPr>
          </w:p>
        </w:tc>
      </w:tr>
      <w:tr>
        <w:trPr>
          <w:trHeight w:val="241"/>
        </w:trPr>
        <w:tc>
          <w:tcPr>
            <w:tcW w:w="5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undiscounted future minimum lease payments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14,681</w:t>
            </w:r>
          </w:p>
        </w:tc>
        <w:tc>
          <w:tcPr>
            <w:tcW w:w="20" w:type="dxa"/>
            <w:vAlign w:val="bottom"/>
          </w:tcPr>
          <w:p>
            <w:pPr>
              <w:spacing w:after="0"/>
              <w:rPr>
                <w:sz w:val="20"/>
                <w:szCs w:val="20"/>
                <w:color w:val="auto"/>
              </w:rPr>
            </w:pPr>
          </w:p>
        </w:tc>
      </w:tr>
      <w:tr>
        <w:trPr>
          <w:trHeight w:val="239"/>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Imputed interest</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(3,315 )</w:t>
            </w:r>
          </w:p>
        </w:tc>
        <w:tc>
          <w:tcPr>
            <w:tcW w:w="20" w:type="dxa"/>
            <w:vAlign w:val="bottom"/>
          </w:tcPr>
          <w:p>
            <w:pPr>
              <w:spacing w:after="0"/>
              <w:rPr>
                <w:sz w:val="20"/>
                <w:szCs w:val="20"/>
                <w:color w:val="auto"/>
              </w:rPr>
            </w:pPr>
          </w:p>
        </w:tc>
      </w:tr>
      <w:tr>
        <w:trPr>
          <w:trHeight w:val="277"/>
        </w:trPr>
        <w:tc>
          <w:tcPr>
            <w:tcW w:w="54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11,366</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-24765</wp:posOffset>
            </wp:positionV>
            <wp:extent cx="342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The Company enters into contractual agreements with various suppliers in the normal course of its business, including vendors that provide machinery and equipment. All contracts are terminable, with varying provisions regarding termination. If a contract with a specific vendor were to be terminated, the Company would only be obligated for the products or services that the Company had received through the time of termination.</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From time to time, the Company may become involved in litigation and other legal actions. The Company estimates the range of liability related to any pending litigation where the amount and range of loss can be estimated. The Company records its best estimate of a loss when the loss is considered probable. Where a liability is probable and there is a range of estimated loss with no best estimate in the range, the Company records a charge equal to at least the minimum estimated liability for a loss contingency when both of the following conditions are met: (i) information available prior to issuance of the financial statements indicates that it is probable that a liability had been incurred at the date of the financial statements and (ii) the range of loss can be reasonably estimated. The Company was not involved in any material litigation as of March 31, 2024.</w:t>
      </w:r>
    </w:p>
    <w:p>
      <w:pPr>
        <w:spacing w:after="0" w:line="7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the Company enters into agreements that may include indemnification provisions. Pursuant to such agreements, the Company may indemnify, hold harmless and defend an indemnified party for losses suffered or incurred by the indemnified party. In some cases, the indemnification will continue after the termination of the agreement. The maximum potential amounts of future payments the Company could be required to make under these provisions is not determinable. In addition, the Company has entered into indemnification agreements with its directors and certain officers that may require the Company, among other things, to indemnify them against certain liabilities that may arise by reason of their status or service as directors or officers. As of March 31, 2024, the Company did not have any material indemnification claims that were probable or reasonably possible and, consequently, has not recorded any related liabilities.</w:t>
      </w:r>
    </w:p>
    <w:p>
      <w:pPr>
        <w:spacing w:after="0" w:line="200" w:lineRule="exact"/>
        <w:rPr>
          <w:sz w:val="20"/>
          <w:szCs w:val="20"/>
          <w:color w:val="auto"/>
        </w:rPr>
      </w:pPr>
    </w:p>
    <w:p>
      <w:pPr>
        <w:spacing w:after="0" w:line="2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3" w:name="page14"/>
    <w:bookmarkEnd w:id="13"/>
    <w:p>
      <w:pPr>
        <w:spacing w:after="0" w:line="190" w:lineRule="exact"/>
        <w:rPr>
          <w:sz w:val="20"/>
          <w:szCs w:val="20"/>
          <w:color w:val="auto"/>
        </w:rPr>
      </w:pPr>
    </w:p>
    <w:p>
      <w:pPr>
        <w:jc w:val="right"/>
        <w:ind w:left="520" w:right="8600" w:hanging="512"/>
        <w:spacing w:after="0" w:line="400" w:lineRule="auto"/>
        <w:tabs>
          <w:tab w:leader="none" w:pos="385"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Stock-Based Compensation </w:t>
      </w:r>
      <w:r>
        <w:rPr>
          <w:rFonts w:ascii="Times New Roman" w:cs="Times New Roman" w:eastAsia="Times New Roman" w:hAnsi="Times New Roman"/>
          <w:sz w:val="17"/>
          <w:szCs w:val="17"/>
          <w:b w:val="1"/>
          <w:bCs w:val="1"/>
          <w:i w:val="1"/>
          <w:iCs w:val="1"/>
          <w:color w:val="auto"/>
        </w:rPr>
        <w:t>2021 Equity Incentive Plan</w:t>
      </w:r>
    </w:p>
    <w:p>
      <w:pPr>
        <w:ind w:firstLine="509"/>
        <w:spacing w:after="0" w:line="258" w:lineRule="auto"/>
        <w:rPr>
          <w:sz w:val="20"/>
          <w:szCs w:val="20"/>
          <w:color w:val="auto"/>
        </w:rPr>
      </w:pPr>
      <w:r>
        <w:rPr>
          <w:rFonts w:ascii="Times New Roman" w:cs="Times New Roman" w:eastAsia="Times New Roman" w:hAnsi="Times New Roman"/>
          <w:sz w:val="18"/>
          <w:szCs w:val="18"/>
          <w:color w:val="auto"/>
        </w:rPr>
        <w:t>Under the Company's 2021 Equity Incentive Plan (2021 Plan), 4,000,000 shares of the Company’s common stock were initially reserved for issuance of equity awards to employees, directors, and consultants, under terms and provisions established by the board of directors. The number of shares of common stock available for issuance under the 2021 Plan automatically increases on the first day of January for a period of ten years, commencing on January 1, 2022, in an amount equal to the lesser of: 4,000,000 shares; 4% of the outstanding shares of the Company’s common stock as of the last day of the immediately preceding year; or such other amount as the board of directors may determine.</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shares reserved and available for grant under the 2021 Plan as of March 31, 2024 are 364,108.</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activity:</w:t>
      </w:r>
    </w:p>
    <w:p>
      <w:pPr>
        <w:spacing w:after="0" w:line="11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1920" w:type="dxa"/>
            <w:vAlign w:val="bottom"/>
            <w:gridSpan w:val="2"/>
            <w:vMerge w:val="restart"/>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87"/>
        </w:trPr>
        <w:tc>
          <w:tcPr>
            <w:tcW w:w="6480" w:type="dxa"/>
            <w:vAlign w:val="bottom"/>
          </w:tcPr>
          <w:p>
            <w:pPr>
              <w:spacing w:after="0"/>
              <w:rPr>
                <w:sz w:val="16"/>
                <w:szCs w:val="16"/>
                <w:color w:val="auto"/>
              </w:rPr>
            </w:pPr>
          </w:p>
        </w:tc>
        <w:tc>
          <w:tcPr>
            <w:tcW w:w="19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69"/>
        </w:trPr>
        <w:tc>
          <w:tcPr>
            <w:tcW w:w="6480" w:type="dxa"/>
            <w:vAlign w:val="bottom"/>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(in dollars)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8,343,434</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2,460,100</w:t>
            </w:r>
          </w:p>
        </w:tc>
        <w:tc>
          <w:tcPr>
            <w:tcW w:w="3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(3,667 )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(10,745 )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March 31, 2024</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10,789,122</w:t>
            </w:r>
          </w:p>
        </w:tc>
        <w:tc>
          <w:tcPr>
            <w:tcW w:w="3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-25400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-8255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Stock option awards granted to employees generally vest over a four-year period. The contractual term of stock option awards is generally 10 years from the grant date.</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the Company’s stock option awards is estimated on the date of grant using the Black-Scholes option pricing model using the following assumptions:</w:t>
      </w:r>
    </w:p>
    <w:p>
      <w:pPr>
        <w:spacing w:after="0" w:line="61" w:lineRule="exact"/>
        <w:rPr>
          <w:sz w:val="20"/>
          <w:szCs w:val="20"/>
          <w:color w:val="auto"/>
        </w:rPr>
      </w:pPr>
    </w:p>
    <w:p>
      <w:pPr>
        <w:jc w:val="center"/>
        <w:ind w:left="6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6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6580" w:type="dxa"/>
            <w:vAlign w:val="bottom"/>
          </w:tcPr>
          <w:p>
            <w:pPr>
              <w:spacing w:after="0"/>
              <w:rPr>
                <w:sz w:val="14"/>
                <w:szCs w:val="14"/>
                <w:color w:val="auto"/>
              </w:rPr>
            </w:pPr>
          </w:p>
        </w:tc>
        <w:tc>
          <w:tcPr>
            <w:tcW w:w="168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Borders>
              <w:top w:val="single" w:sz="8" w:color="auto"/>
            </w:tcBorders>
          </w:tcPr>
          <w:p>
            <w:pPr>
              <w:spacing w:after="0"/>
              <w:rPr>
                <w:sz w:val="14"/>
                <w:szCs w:val="14"/>
                <w:color w:val="auto"/>
              </w:rPr>
            </w:pPr>
          </w:p>
        </w:tc>
        <w:tc>
          <w:tcPr>
            <w:tcW w:w="1660" w:type="dxa"/>
            <w:vAlign w:val="bottom"/>
            <w:tcBorders>
              <w:top w:val="single" w:sz="8" w:color="auto"/>
              <w:bottom w:val="single" w:sz="8" w:color="auto"/>
            </w:tcBorders>
            <w:gridSpan w:val="2"/>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6.1</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6.1</w:t>
            </w:r>
          </w:p>
        </w:tc>
      </w:tr>
      <w:tr>
        <w:trPr>
          <w:trHeight w:val="239"/>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93%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95%</w:t>
            </w:r>
          </w:p>
        </w:tc>
      </w:tr>
      <w:tr>
        <w:trPr>
          <w:trHeight w:val="247"/>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4.3%</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4.0%</w:t>
            </w:r>
          </w:p>
        </w:tc>
      </w:tr>
      <w:tr>
        <w:trPr>
          <w:trHeight w:val="234"/>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80" w:type="dxa"/>
            <w:vAlign w:val="bottom"/>
          </w:tcPr>
          <w:p>
            <w:pPr>
              <w:spacing w:after="0"/>
              <w:rPr>
                <w:sz w:val="20"/>
                <w:szCs w:val="20"/>
                <w:color w:val="auto"/>
              </w:rPr>
            </w:pP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bl>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right="500" w:firstLine="509"/>
        <w:spacing w:after="0" w:line="261" w:lineRule="auto"/>
        <w:rPr>
          <w:sz w:val="20"/>
          <w:szCs w:val="20"/>
          <w:color w:val="auto"/>
        </w:rPr>
      </w:pPr>
      <w:r>
        <w:rPr>
          <w:rFonts w:ascii="Times New Roman" w:cs="Times New Roman" w:eastAsia="Times New Roman" w:hAnsi="Times New Roman"/>
          <w:sz w:val="18"/>
          <w:szCs w:val="18"/>
          <w:color w:val="auto"/>
        </w:rPr>
        <w:t>Restricted stock units (RSUs) are awards that entitle the holder to receive freely tradable shares of the Company’s common stock upon the completion of a specific period of continued service. RSUs generally vest over a two to four year period and are subject to forfeiture if employment terminates prior to the release of vesting restrictions. RSUs are valued at the market price of the underlying common stock on the date of grant. The Company recognizes noncash compensation expense for the fair value of RSUs on a straight-line basis over the</w:t>
      </w:r>
    </w:p>
    <w:p>
      <w:pPr>
        <w:spacing w:after="0" w:line="200" w:lineRule="exact"/>
        <w:rPr>
          <w:sz w:val="20"/>
          <w:szCs w:val="20"/>
          <w:color w:val="auto"/>
        </w:rPr>
      </w:pPr>
    </w:p>
    <w:p>
      <w:pPr>
        <w:spacing w:after="0" w:line="3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4" w:name="page15"/>
    <w:bookmarkEnd w:id="14"/>
    <w:p>
      <w:pPr>
        <w:spacing w:after="0" w:line="8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requisite service period of the awards. The following table summarizes activity of RSUs granted to employees with service-based vesting under the 2021 Plan.</w:t>
      </w:r>
    </w:p>
    <w:p>
      <w:pPr>
        <w:spacing w:after="0" w:line="48"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5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5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6540" w:type="dxa"/>
            <w:vAlign w:val="bottom"/>
          </w:tcPr>
          <w:p>
            <w:pPr>
              <w:spacing w:after="0"/>
              <w:rPr>
                <w:sz w:val="12"/>
                <w:szCs w:val="12"/>
                <w:color w:val="auto"/>
              </w:rPr>
            </w:pPr>
          </w:p>
        </w:tc>
        <w:tc>
          <w:tcPr>
            <w:tcW w:w="1920" w:type="dxa"/>
            <w:vAlign w:val="bottom"/>
            <w:gridSpan w:val="2"/>
            <w:vMerge w:val="restart"/>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2"/>
                <w:szCs w:val="12"/>
                <w:color w:val="auto"/>
              </w:rPr>
            </w:pPr>
          </w:p>
        </w:tc>
        <w:tc>
          <w:tcPr>
            <w:tcW w:w="14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7"/>
        </w:trPr>
        <w:tc>
          <w:tcPr>
            <w:tcW w:w="6540" w:type="dxa"/>
            <w:vAlign w:val="bottom"/>
          </w:tcPr>
          <w:p>
            <w:pPr>
              <w:spacing w:after="0"/>
              <w:rPr>
                <w:sz w:val="16"/>
                <w:szCs w:val="16"/>
                <w:color w:val="auto"/>
              </w:rPr>
            </w:pPr>
          </w:p>
        </w:tc>
        <w:tc>
          <w:tcPr>
            <w:tcW w:w="19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69"/>
        </w:trPr>
        <w:tc>
          <w:tcPr>
            <w:tcW w:w="6540" w:type="dxa"/>
            <w:vAlign w:val="bottom"/>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dollars)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December 31, 2023</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1,088,276</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885,415</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(243,041 )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6"/>
        </w:trPr>
        <w:tc>
          <w:tcPr>
            <w:tcW w:w="6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March 31, 2024</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1,730,650</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-25400</wp:posOffset>
            </wp:positionV>
            <wp:extent cx="603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Under the Company's 2021 Employee Stock Purchase Plan (ESPP), the Company initially reserved 800,000 shares for future issuance. The number of shares of common stock available for issuance under the ESPP automatically increases on the first day of each fiscal year for a period of ten years beginning with 2022 in an amount equal to the lesser of: 800,000 shares; 1% of the outstanding shares of the Company’s common stock as of the last day of the immediately preceding year; or such other amount as the board of directors may determine. As of March 31, 2024, 2,088,697 shares were reserved for future issuance under the ESPP. Under the Company’s ESPP, employees are generally eligible to participate and can purchase shares on each purchase date established semi-annually through payroll deductions at the lower of 85% of the fair market value of the Company’s stock at the commencement of the offering period or each purchase date of the offering period. Each offering period spans 6 months. The ESPP permits eligible employees to purchase common stock through payroll deductions for up to 15% of qualified compensation, up to an annual limit of $25,000 per the Internal Revenue Service. For the three months ended March 31, 2024 and 2023, the stock-based compensation expense for ESPP was not material.</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recognized in the Company’s condensed statements of operations and comprehensive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w:t>
      </w:r>
    </w:p>
    <w:p>
      <w:pPr>
        <w:spacing w:after="0" w:line="106" w:lineRule="exact"/>
        <w:rPr>
          <w:sz w:val="20"/>
          <w:szCs w:val="20"/>
          <w:color w:val="auto"/>
        </w:rPr>
      </w:pPr>
    </w:p>
    <w:p>
      <w:pPr>
        <w:jc w:val="center"/>
        <w:ind w:left="6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6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656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60" w:type="dxa"/>
            <w:vAlign w:val="bottom"/>
            <w:shd w:val="clear" w:color="auto" w:fill="CFF0FC"/>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6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shd w:val="clear" w:color="auto" w:fill="CFF0FC"/>
          </w:tcPr>
          <w:p>
            <w:pPr>
              <w:spacing w:after="0"/>
              <w:rPr>
                <w:sz w:val="20"/>
                <w:szCs w:val="20"/>
                <w:color w:val="auto"/>
              </w:rPr>
            </w:pPr>
          </w:p>
        </w:tc>
      </w:tr>
      <w:tr>
        <w:trPr>
          <w:trHeight w:val="239"/>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00" w:type="dxa"/>
            <w:vAlign w:val="bottom"/>
          </w:tcPr>
          <w:p>
            <w:pPr>
              <w:spacing w:after="0"/>
              <w:rPr>
                <w:sz w:val="20"/>
                <w:szCs w:val="20"/>
                <w:color w:val="auto"/>
              </w:rPr>
            </w:pPr>
          </w:p>
        </w:tc>
      </w:tr>
      <w:tr>
        <w:trPr>
          <w:trHeight w:val="277"/>
        </w:trPr>
        <w:tc>
          <w:tcPr>
            <w:tcW w:w="65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060" w:type="dxa"/>
            <w:vAlign w:val="bottom"/>
            <w:tcBorders>
              <w:bottom w:val="single" w:sz="8" w:color="auto"/>
            </w:tcBorders>
            <w:shd w:val="clear" w:color="auto" w:fill="CFF0FC"/>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4,224</w:t>
            </w:r>
          </w:p>
        </w:tc>
        <w:tc>
          <w:tcPr>
            <w:tcW w:w="3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-24765</wp:posOffset>
            </wp:positionV>
            <wp:extent cx="603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1" w:lineRule="exact"/>
        <w:rPr>
          <w:sz w:val="20"/>
          <w:szCs w:val="20"/>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“At-the-Market” Equity Offering</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On August 10, 2022, the Company entered into a sales agreement (Sales Agreement) with Leerink Partners LLC (formerly SVB Securities LLC) to establish an at-the-market (ATM) offering defined in Rule 415 under the Securities Act. Pursuant to the Sales Agreement, the Company is permitted to offer and sell, from time to time, shares of its common stock having a maximum aggregate offering price of up to $75.0 million. As of March 31, 2024, the Company may issue and sell up to approximately $71.0 million in additional shares of its common stock under the ATM.</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Follow-On Offering</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On February 12, 2024, the Company completed an underwritten offering of 8,888,890 shares of its common stock at a price of $4.50 per share and, to an investor in lieu of common stock, pre-funded warrants to purchase 2,222,271 shares of its common stock at a price of $4.499 per each pre-funded warrant. The pre-funded warrants can be exercised at any time after issuance for an exercise price of $0.001 per share, subject to certain ownership</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limitations. The Company received net proceeds of approximately $46.8 million, after deducting underwriting discounts and commissions of approximately $3.0 million and offering expenses of $0.2 million.</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2024, total shares of common stock reserved for issuance, on an as-if converted basis, are as follows:</w:t>
      </w:r>
    </w:p>
    <w:p>
      <w:pPr>
        <w:spacing w:after="0" w:line="11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182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87"/>
        </w:trPr>
        <w:tc>
          <w:tcPr>
            <w:tcW w:w="8280" w:type="dxa"/>
            <w:vAlign w:val="bottom"/>
          </w:tcPr>
          <w:p>
            <w:pPr>
              <w:spacing w:after="0"/>
              <w:rPr>
                <w:sz w:val="16"/>
                <w:szCs w:val="16"/>
                <w:color w:val="auto"/>
              </w:rPr>
            </w:pPr>
          </w:p>
        </w:tc>
        <w:tc>
          <w:tcPr>
            <w:tcW w:w="17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r>
      <w:tr>
        <w:trPr>
          <w:trHeight w:val="236"/>
        </w:trPr>
        <w:tc>
          <w:tcPr>
            <w:tcW w:w="8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stock options and awards</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12,519,772</w:t>
            </w:r>
          </w:p>
        </w:tc>
        <w:tc>
          <w:tcPr>
            <w:tcW w:w="100" w:type="dxa"/>
            <w:vAlign w:val="bottom"/>
            <w:shd w:val="clear" w:color="auto" w:fill="CFF0FC"/>
          </w:tcPr>
          <w:p>
            <w:pPr>
              <w:spacing w:after="0"/>
              <w:rPr>
                <w:sz w:val="20"/>
                <w:szCs w:val="20"/>
                <w:color w:val="auto"/>
              </w:rPr>
            </w:pPr>
          </w:p>
        </w:tc>
      </w:tr>
      <w:tr>
        <w:trPr>
          <w:trHeight w:val="239"/>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pre-funded warrants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7,104,853</w:t>
            </w:r>
          </w:p>
        </w:tc>
        <w:tc>
          <w:tcPr>
            <w:tcW w:w="100" w:type="dxa"/>
            <w:vAlign w:val="bottom"/>
          </w:tcPr>
          <w:p>
            <w:pPr>
              <w:spacing w:after="0"/>
              <w:rPr>
                <w:sz w:val="20"/>
                <w:szCs w:val="20"/>
                <w:color w:val="auto"/>
              </w:rPr>
            </w:pPr>
          </w:p>
        </w:tc>
      </w:tr>
      <w:tr>
        <w:trPr>
          <w:trHeight w:val="247"/>
        </w:trPr>
        <w:tc>
          <w:tcPr>
            <w:tcW w:w="8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available for further issuance under the 2021 Equity Incentive Plan</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364,108</w:t>
            </w:r>
          </w:p>
        </w:tc>
        <w:tc>
          <w:tcPr>
            <w:tcW w:w="100" w:type="dxa"/>
            <w:vAlign w:val="bottom"/>
            <w:shd w:val="clear" w:color="auto" w:fill="CFF0FC"/>
          </w:tcPr>
          <w:p>
            <w:pPr>
              <w:spacing w:after="0"/>
              <w:rPr>
                <w:sz w:val="21"/>
                <w:szCs w:val="21"/>
                <w:color w:val="auto"/>
              </w:rPr>
            </w:pPr>
          </w:p>
        </w:tc>
      </w:tr>
      <w:tr>
        <w:trPr>
          <w:trHeight w:val="239"/>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Shares available for further issuance under the 2021 Employee Stock Purchase Plan</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2,088,697</w:t>
            </w:r>
          </w:p>
        </w:tc>
        <w:tc>
          <w:tcPr>
            <w:tcW w:w="100" w:type="dxa"/>
            <w:vAlign w:val="bottom"/>
          </w:tcPr>
          <w:p>
            <w:pPr>
              <w:spacing w:after="0"/>
              <w:rPr>
                <w:sz w:val="20"/>
                <w:szCs w:val="20"/>
                <w:color w:val="auto"/>
              </w:rPr>
            </w:pPr>
          </w:p>
        </w:tc>
      </w:tr>
      <w:tr>
        <w:trPr>
          <w:trHeight w:val="276"/>
        </w:trPr>
        <w:tc>
          <w:tcPr>
            <w:tcW w:w="82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22,077,430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1" w:lineRule="exact"/>
        <w:rPr>
          <w:sz w:val="20"/>
          <w:szCs w:val="20"/>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and 2023, the Company did not record any income tax expense or benefit. The Company has recorded a full valuation allowance against its U.S. federal and state deferred tax assets as the Company believes it is more likely than not that the benefit will not be realized.</w:t>
      </w:r>
    </w:p>
    <w:p>
      <w:pPr>
        <w:spacing w:after="0" w:line="172" w:lineRule="exact"/>
        <w:rPr>
          <w:sz w:val="20"/>
          <w:szCs w:val="20"/>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Basic and diluted loss per share are computed by dividing net loss by the weighted-average number of common shares outstanding during the reporting period. Basic weighted-average shares of common stock outstanding includes the weighted-average effect of the Company’s outstanding pre-funded warrants.</w:t>
      </w:r>
    </w:p>
    <w:p>
      <w:pPr>
        <w:spacing w:after="0" w:line="68"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were not included in the calculation of diluted net loss per share as of the periods presented because the effect would have been anti-dilutive:</w:t>
      </w:r>
    </w:p>
    <w:p>
      <w:pPr>
        <w:spacing w:after="0" w:line="61"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120" w:type="dxa"/>
            <w:vAlign w:val="bottom"/>
          </w:tcPr>
          <w:p>
            <w:pPr>
              <w:spacing w:after="0"/>
              <w:rPr>
                <w:sz w:val="16"/>
                <w:szCs w:val="16"/>
                <w:color w:val="auto"/>
              </w:rPr>
            </w:pPr>
          </w:p>
        </w:tc>
        <w:tc>
          <w:tcPr>
            <w:tcW w:w="178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120" w:type="dxa"/>
            <w:vAlign w:val="bottom"/>
          </w:tcPr>
          <w:p>
            <w:pPr>
              <w:spacing w:after="0"/>
              <w:rPr>
                <w:sz w:val="14"/>
                <w:szCs w:val="14"/>
                <w:color w:val="auto"/>
              </w:rPr>
            </w:pPr>
          </w:p>
        </w:tc>
        <w:tc>
          <w:tcPr>
            <w:tcW w:w="12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3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stock options and restricted stock units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12,519,772</w:t>
            </w:r>
          </w:p>
        </w:tc>
        <w:tc>
          <w:tcPr>
            <w:tcW w:w="1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9,134,514</w:t>
            </w:r>
          </w:p>
        </w:tc>
        <w:tc>
          <w:tcPr>
            <w:tcW w:w="80" w:type="dxa"/>
            <w:vAlign w:val="bottom"/>
            <w:shd w:val="clear" w:color="auto" w:fill="CFF0FC"/>
          </w:tcPr>
          <w:p>
            <w:pPr>
              <w:spacing w:after="0"/>
              <w:rPr>
                <w:sz w:val="20"/>
                <w:szCs w:val="20"/>
                <w:color w:val="auto"/>
              </w:rPr>
            </w:pPr>
          </w:p>
        </w:tc>
      </w:tr>
      <w:tr>
        <w:trPr>
          <w:trHeight w:val="23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subject to future vesting</w:t>
            </w:r>
          </w:p>
        </w:tc>
        <w:tc>
          <w:tcPr>
            <w:tcW w:w="17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0"/>
                <w:szCs w:val="20"/>
                <w:color w:val="auto"/>
              </w:rPr>
            </w:pPr>
          </w:p>
        </w:tc>
      </w:tr>
      <w:tr>
        <w:trPr>
          <w:trHeight w:val="277"/>
        </w:trPr>
        <w:tc>
          <w:tcPr>
            <w:tcW w:w="51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12,519,772</w:t>
            </w:r>
          </w:p>
        </w:tc>
        <w:tc>
          <w:tcPr>
            <w:tcW w:w="16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spacing w:after="0"/>
              <w:rPr>
                <w:sz w:val="24"/>
                <w:szCs w:val="24"/>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9,134,552</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-24765</wp:posOffset>
            </wp:positionV>
            <wp:extent cx="514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514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Subsequent Event</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212529"/>
        </w:rPr>
        <w:t>On May 14, 2024, the Company announced cost containment measures, including a committed plan to reduce its workforce (the “Workforce Reduction”) by approximately 22%. The cost containment measures align with the Company's focus on generating data from its clinical-stage gene therapy programs.</w:t>
      </w:r>
    </w:p>
    <w:p>
      <w:pPr>
        <w:spacing w:after="0" w:line="68"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Workforce Reduction, the Company estimates that it will incur approximately $1.3 million to $1.5 million of aggregate charges, primarily related to employee cash severance and continuing health benefits, which are expected to be substantially recognized during the second quarter of 2024.</w:t>
      </w:r>
    </w:p>
    <w:p>
      <w:pPr>
        <w:spacing w:after="0" w:line="68"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212529"/>
        </w:rPr>
        <w:t>The foregoing estimates that the Company expects to incur in connection with the Workforce Reduction are contingent upon various assumptions and actual results may differ. The Company may also incur additional costs not currently contemplated due to events related to or resulting from the Workforce Reduction.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condensed financial statements and related notes included elsewhere in this Quarterly Report on Form 10-Q and our audited financial statements and related notes thereto for the year ended December 31, 2023, included in our Annual Report on Form 10-K filed with the Securities and Exchange Commission on March 18, 2024, or Annual Report.</w:t>
      </w:r>
    </w:p>
    <w:p>
      <w:pPr>
        <w:spacing w:after="0" w:line="180" w:lineRule="exact"/>
        <w:rPr>
          <w:sz w:val="20"/>
          <w:szCs w:val="20"/>
          <w:color w:val="auto"/>
        </w:rPr>
      </w:pPr>
    </w:p>
    <w:p>
      <w:pPr>
        <w:ind w:right="8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In addition to historical financial information, this discussion and analysis and other parts of this report contain forward-looking statements within the meaning of Section 27A of the Securities Act of 1933, as amended, and Section 21E of the Securities Exchange Act of 1934, as amended, based upon current expectations that involve risks, uncertainties and assumptions. Our actual results could differ materially from those anticipated in these forward-looking statements as a result of various factors, including those set forth in the section titled “Risk Factors” under Part II, Item 1A. below. You should carefully read the “Risk Factors” to gain an understanding of the factors that could cause actual results to differ materially from our forward-looking statements. Please also see the section titled “Special Note Regarding Forward-Looking Statements.”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We are a clinical-stage biotechnology company focused on discovering, developing and delivering potentially curative therapies that address the underlying drivers of heart disease. Our vision is to change the treatment paradigm for heart disease, and in doing so improve and extend the lives of millions of patients.</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are advancing a deep and diverse pipeline of disease-modifying therapies that includes both gene therapies and small molecules discovered internally and developed using our extensive core capabilities to target patients with rare or highly prevalent forms of heart disease. All of our programs are currently being assessed in clinical trials or are in the preclinical stage; we do not have any products approved for sale and have not generated any revenue to date.</w:t>
      </w:r>
    </w:p>
    <w:p>
      <w:pPr>
        <w:spacing w:after="0" w:line="70" w:lineRule="exact"/>
        <w:rPr>
          <w:sz w:val="20"/>
          <w:szCs w:val="20"/>
          <w:color w:val="auto"/>
        </w:rPr>
      </w:pPr>
    </w:p>
    <w:p>
      <w:pPr>
        <w:ind w:right="60" w:firstLine="509"/>
        <w:spacing w:after="0" w:line="267" w:lineRule="auto"/>
        <w:rPr>
          <w:sz w:val="20"/>
          <w:szCs w:val="20"/>
          <w:color w:val="auto"/>
        </w:rPr>
      </w:pPr>
      <w:r>
        <w:rPr>
          <w:rFonts w:ascii="Times New Roman" w:cs="Times New Roman" w:eastAsia="Times New Roman" w:hAnsi="Times New Roman"/>
          <w:sz w:val="18"/>
          <w:szCs w:val="18"/>
          <w:color w:val="auto"/>
        </w:rPr>
        <w:t>Our lead investigational product candidates are TN-201, a gene therapy for myosin binding protein C3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-associated hypertrophic cardiomyopathy (HCM), TN-401, a gene therapy for plakophilin 2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-associated arrhythmogenic right ventricular cardiomyopathy (ARVC), and TN-301, a small molecule for heart failure with preserved ejection fraction (HFpEF).</w:t>
      </w:r>
    </w:p>
    <w:p>
      <w:pPr>
        <w:spacing w:after="0" w:line="67"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 xml:space="preserve">TN-201 is our potential first-in-class and best-in-class gene therapy for adults and children with HCM due to MYBPC3 gene mutations. These mutations result in a deficiency of myosin binding protein, which in turn can cause the heart walls of affected individuals to become significantly thickened, leading to fibrosis, abnormal heart rhythms, cardiac dysfunction and heart failure. HCM is a chronic, progressive condition and those diagnosed with the disease often experience significant impairment in overall quality of life. TN-201 utilizes a recombinant adeno-associated virus serotype 9 (AAV9) capsid to deliver a working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to specific cells of the heart in order to produce cardiac myosin binding protein and thereby slow or even reverse the course of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-associated HCM following a single infusion. In October 2023, we began dosing patients in the MyPEAK</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-1 Phase 1b multi-center, open-label clinical trial, designed to assess the safety, tolerability and efficacy of a one-time intravenous infusion of TN-201. Initial data from the trial is anticipated in the second half of 2024.</w:t>
      </w:r>
    </w:p>
    <w:p>
      <w:pPr>
        <w:spacing w:after="0" w:line="8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To support our development efforts for TN-201 we are conducting two noninterventional studies: a study evaluating seroprevalence to AAV9 antibodies among adults with MYBPC3-associated HCM, and MyClimb, a prospective and retrospective global natural history study focused on pediatric patients with MYBPC3 mutation-associated cardiomyopathy. The seroprevalence study has completed enrollment and data is under analysis. The objective of the natural history study is to characterize the outcomes, burden of illness, risk factors, quality of life, and biomarkers associated with disease progression in pediatric patients with cardiomyopathy due to MYBPC3 gene mutations, as well as treatments and procedures. MyClimb complements existing disease registries focused primarily on adult patient HCM populations and may support and expedite the development of TN-201 in the pediatric patient population. TN-201 has received orphan drug designation from the FDA and orphan medicinal product designation from the EC, as well as Fast Track Designation from the FDA.</w:t>
      </w:r>
    </w:p>
    <w:p>
      <w:pPr>
        <w:spacing w:after="0" w:line="84" w:lineRule="exact"/>
        <w:rPr>
          <w:sz w:val="20"/>
          <w:szCs w:val="20"/>
          <w:color w:val="auto"/>
        </w:rPr>
      </w:pPr>
    </w:p>
    <w:p>
      <w:pPr>
        <w:jc w:val="both"/>
        <w:ind w:right="100" w:firstLine="509"/>
        <w:spacing w:after="0" w:line="289" w:lineRule="auto"/>
        <w:rPr>
          <w:sz w:val="20"/>
          <w:szCs w:val="20"/>
          <w:color w:val="auto"/>
        </w:rPr>
      </w:pPr>
      <w:r>
        <w:rPr>
          <w:rFonts w:ascii="Times New Roman" w:cs="Times New Roman" w:eastAsia="Times New Roman" w:hAnsi="Times New Roman"/>
          <w:sz w:val="17"/>
          <w:szCs w:val="17"/>
          <w:color w:val="auto"/>
        </w:rPr>
        <w:t xml:space="preserve">TN-401 is our potential first-in-class and best-in-class AAV9-based gene therapy for the treatment of ARVC due to disease-causing variants in the </w:t>
      </w:r>
      <w:r>
        <w:rPr>
          <w:rFonts w:ascii="Times New Roman" w:cs="Times New Roman" w:eastAsia="Times New Roman" w:hAnsi="Times New Roman"/>
          <w:sz w:val="17"/>
          <w:szCs w:val="17"/>
          <w:i w:val="1"/>
          <w:iCs w:val="1"/>
          <w:color w:val="auto"/>
        </w:rPr>
        <w:t xml:space="preserve">PKP2 </w:t>
      </w:r>
      <w:r>
        <w:rPr>
          <w:rFonts w:ascii="Times New Roman" w:cs="Times New Roman" w:eastAsia="Times New Roman" w:hAnsi="Times New Roman"/>
          <w:sz w:val="17"/>
          <w:szCs w:val="17"/>
          <w:color w:val="auto"/>
        </w:rPr>
        <w:t>gene. ARVC, also known as arrhythmogenic cardiomyopathy, or ACM, is a chronic, progressive disease characterized by potentially dangerous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frequent ventricular arrhythmias. The disease is associated with significant impairment to patients’ overall quality of life, as well as an elevated risk of</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7" w:name="page18"/>
    <w:bookmarkEnd w:id="17"/>
    <w:p>
      <w:pPr>
        <w:spacing w:after="0" w:line="84"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color w:val="auto"/>
        </w:rPr>
        <w:t xml:space="preserve">sudden cardiac death.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mutations are the most common genetic cause of ARVC and result in insufficient expression of a protein needed for proper functioning of the desmosomal complex that maintains physical connections and electrical signaling between heart muscle cells.</w:t>
      </w:r>
    </w:p>
    <w:p>
      <w:pPr>
        <w:spacing w:after="0" w:line="52"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In October 2023, the FDA provided clearance of our IND application to initiate clinical testing of TN-401. We plan to initiate patient dosing in RIDGE</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-1, our Phase 1b multi-center, open-label clinical trial, designed to assess the safety, tolerability and efficacy of a one-time intravenous infusion of TN-401, in the second half of 2024. In support of our development efforts for TN-401, we have initiated a global noninterventional study to collect treatment history and seroprevalence to AAV9 antibodies data among ARVC patients who carry pathogenic or likely pathogenic PKP2 gene mutations.TN-401 has received orphan drug designation from the FDA and orphan medicinal product designation from the European Commission (EC), as well as Fast Track Designation from the FDA.</w:t>
      </w:r>
    </w:p>
    <w:p>
      <w:pPr>
        <w:spacing w:after="0" w:line="9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TN-301 is our small molecule inhibitor of histone deacetylase-6 (HDAC6), initially being developed for the potential treatment of HFpEF. HFpEF is characterized by a stiffening of the heart muscle resulting in an inability for the left ventricle to relax and pump blood effectively with each contraction. There are several cellular processes thought to underlie the pathophysiology of HFpEF, including increases in fibrosis and inflammation and defects in metabolism. Although HFpEF accounts for approximately half of all heart failures, there are few proven treatment options.</w:t>
      </w:r>
    </w:p>
    <w:p>
      <w:pPr>
        <w:spacing w:after="0" w:line="7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October 2023, we shared positive data from our Phase 1 clinical trial of TN-301 in healthy participants at the 2023 Heart Failure Society of America Annual Scientific Meeting. The Phase 1 trial enrolled participants in two stages. In Stage 1, participants received single ascending doses and in Stage 2, participants received multiple ascending doses. TN-301 was generally well tolerated across the broad range of doses studied. Pharmacokinetic results showed overall dose proportionality in both stages of the clinical trial with a half-life supportive of once-daily dosing. Increasing doses and exposures with TN-301 correlated with increased pharmacodynamic effects. There were no changes in histone acetylation with TN-301 underscoring the selectivity of TN-301 for HDAC6 and potentially reducing the risk of off target effects observed with less selective HDAC6 inhibitors or pan-HDAC inhibition. In preclinical studies, selective HDAC6 inhibition has been shown to have comparable efficacy to empagliflozin, a sodium-glucose cotransporter-2 (SGLT2) inhibitor which is approved for the treatment of HFpEF. More recently, using a validated mouse model of disease, we demonstrated that HDAC6 inhibition co-administered with a SGLT2 inhibitor demonstrated additive benefit, improving several measures of heart function. Taken together, these data support continued development of TN-301 as a potential treatment for patients with HFpEF. We believe late-stage clinical development of TN-301 is best suited for development by or with a well-resourced partner</w:t>
      </w:r>
      <w:r>
        <w:rPr>
          <w:rFonts w:ascii="Times New Roman" w:cs="Times New Roman" w:eastAsia="Times New Roman" w:hAnsi="Times New Roman"/>
          <w:sz w:val="18"/>
          <w:szCs w:val="18"/>
          <w:color w:val="333333"/>
        </w:rPr>
        <w:t>.</w:t>
      </w:r>
    </w:p>
    <w:p>
      <w:pPr>
        <w:spacing w:after="0" w:line="84" w:lineRule="exact"/>
        <w:rPr>
          <w:sz w:val="20"/>
          <w:szCs w:val="20"/>
          <w:color w:val="auto"/>
        </w:rPr>
      </w:pPr>
    </w:p>
    <w:p>
      <w:pPr>
        <w:jc w:val="both"/>
        <w:ind w:right="560" w:firstLine="509"/>
        <w:spacing w:after="0" w:line="282" w:lineRule="auto"/>
        <w:rPr>
          <w:sz w:val="20"/>
          <w:szCs w:val="20"/>
          <w:color w:val="auto"/>
        </w:rPr>
      </w:pPr>
      <w:r>
        <w:rPr>
          <w:rFonts w:ascii="Times New Roman" w:cs="Times New Roman" w:eastAsia="Times New Roman" w:hAnsi="Times New Roman"/>
          <w:sz w:val="18"/>
          <w:szCs w:val="18"/>
          <w:color w:val="auto"/>
        </w:rPr>
        <w:t>In addition to our lead product candidates, we have multiple early-stage programs progressing through preclinical development using various therapeutic approaches, including gene editing, cellular regeneration and gene addition to address other forms of rare and/or prevalent heart disease.</w:t>
      </w:r>
    </w:p>
    <w:p>
      <w:pPr>
        <w:spacing w:after="0" w:line="5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Our distinct suite of integrated capabilities supports our efforts to discover and develop disease-modifying treatments focused on heart disease. We also continue to invest in complementary new technologies and the optimization of our existing proprietary capabilities, including the use of human-iPSC disease models, machine learning and phenotypic screening, gene editing, capsid engineering and novel promoter constructs to enable the discovery, design, delivery and development of therapeutics that are best suited to a given cardiovascular condition. We have also internalized and integrated both current Good Manufacturing Practices (cGMP) and non-GMP AAV manufacturing capabilities to support our emerging portfolio of gene therapy and cellular regeneration product candidates. Our Genetic Medicines Manufacturing Center, a cGMP facility, is strategically located near our research labs in the San Francisco Bay Area to enable smooth scale-up of production to support our clinical studies and utilizes a modular, scalable design to produce AAV-based gene therapies under current GMP standards. We seek to build on existing proprietary capabilities with the aim of increasing the safety and efficacy of genetic medicines, accelerating early-stage discovery and preclinical optimization and reducing the overall cost of goods by increasing manufacturing productivity.</w:t>
      </w:r>
    </w:p>
    <w:p>
      <w:pPr>
        <w:spacing w:after="0" w:line="86"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212529"/>
        </w:rPr>
        <w:t>In May 2024, we announced cost containment measures, including a committed plan to reduce our workforce (the “Workforce Reduction”) by approximately 22%. The cost containment measures align with our focus on generating data from our clinical-stage gene therapy programs.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w:t>
      </w:r>
    </w:p>
    <w:p>
      <w:pPr>
        <w:spacing w:after="0" w:line="11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700" w:type="dxa"/>
            <w:vAlign w:val="bottom"/>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87"/>
        </w:trPr>
        <w:tc>
          <w:tcPr>
            <w:tcW w:w="4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r>
      <w:tr>
        <w:trPr>
          <w:trHeight w:val="169"/>
        </w:trPr>
        <w:tc>
          <w:tcPr>
            <w:tcW w:w="4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00" w:type="dxa"/>
            <w:vAlign w:val="bottom"/>
          </w:tcPr>
          <w:p>
            <w:pPr>
              <w:spacing w:after="0"/>
              <w:rPr>
                <w:sz w:val="14"/>
                <w:szCs w:val="14"/>
                <w:color w:val="auto"/>
              </w:rPr>
            </w:pPr>
          </w:p>
        </w:tc>
        <w:tc>
          <w:tcPr>
            <w:tcW w:w="9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0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7"/>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spacing w:after="0"/>
              <w:rPr>
                <w:sz w:val="20"/>
                <w:szCs w:val="20"/>
                <w:color w:val="auto"/>
              </w:rPr>
            </w:pPr>
          </w:p>
        </w:tc>
      </w:tr>
      <w:tr>
        <w:trPr>
          <w:trHeight w:val="23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25,055</w:t>
            </w:r>
          </w:p>
        </w:tc>
        <w:tc>
          <w:tcPr>
            <w:tcW w:w="24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25,605</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(550 )</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w:t>
            </w:r>
          </w:p>
        </w:tc>
      </w:tr>
      <w:tr>
        <w:trPr>
          <w:trHeight w:val="247"/>
        </w:trPr>
        <w:tc>
          <w:tcPr>
            <w:tcW w:w="4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8,707</w:t>
            </w: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8,118</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2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7%</w:t>
            </w:r>
          </w:p>
        </w:tc>
      </w:tr>
      <w:tr>
        <w:trPr>
          <w:trHeight w:val="23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33,762</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33,723</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37"/>
        </w:trPr>
        <w:tc>
          <w:tcPr>
            <w:tcW w:w="4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(33,762 )</w:t>
            </w:r>
          </w:p>
        </w:tc>
        <w:tc>
          <w:tcPr>
            <w:tcW w:w="3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(33,723 )</w:t>
            </w:r>
          </w:p>
        </w:tc>
        <w:tc>
          <w:tcPr>
            <w:tcW w:w="2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(39 )</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3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47"/>
        </w:trPr>
        <w:tc>
          <w:tcPr>
            <w:tcW w:w="4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(521 )</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(26%)</w:t>
            </w:r>
          </w:p>
        </w:tc>
      </w:tr>
      <w:tr>
        <w:trPr>
          <w:trHeight w:val="243"/>
        </w:trPr>
        <w:tc>
          <w:tcPr>
            <w:tcW w:w="4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531%</w:t>
            </w:r>
          </w:p>
        </w:tc>
      </w:tr>
      <w:tr>
        <w:trPr>
          <w:trHeight w:val="237"/>
        </w:trPr>
        <w:tc>
          <w:tcPr>
            <w:tcW w:w="4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(452 )</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(23%)</w:t>
            </w:r>
          </w:p>
        </w:tc>
      </w:tr>
      <w:tr>
        <w:trPr>
          <w:trHeight w:val="20"/>
        </w:trPr>
        <w:tc>
          <w:tcPr>
            <w:tcW w:w="43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r>
      <w:tr>
        <w:trPr>
          <w:trHeight w:val="237"/>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(32,228 )</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(31,737 )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(491 )</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w:t>
            </w:r>
          </w:p>
        </w:tc>
      </w:tr>
      <w:tr>
        <w:trPr>
          <w:trHeight w:val="20"/>
        </w:trPr>
        <w:tc>
          <w:tcPr>
            <w:tcW w:w="4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-1139190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-1139190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-1139190</wp:posOffset>
            </wp:positionV>
            <wp:extent cx="596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-187960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-187960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-187960</wp:posOffset>
            </wp:positionV>
            <wp:extent cx="596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Research and development activities account for a significant portion of our operating expenses. Research and development expenses relate primarily to discovery and development of our research programs, product candidates and proprietary platform technology, and are recognized as incurred. Internal research and development costs include, among others, employee-related costs (including salaries, benefits and stock-based compensation for employees engaged in research and development functions), laboratory supplies, other non-capital equipment utilized for in-house research, and allocated overhead costs. External research and development expenses include, among others, fees paid to contract research organizations (CROs) to execute preclinical studies and clinical trials on our behalf, consulting fees and fees related to licensing agreements. We do not allocate our costs by research program, product candidate or proprietary platform technology, as a significant amount of research and development expenses represent internal costs, which are deployed across our programs, product candidates, proprietary platform technology, and other activities.</w:t>
      </w:r>
    </w:p>
    <w:p>
      <w:pPr>
        <w:spacing w:after="0" w:line="84"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We expense all research and development costs in the periods in which they are incurred. We enter into various agreements with CROs. Costs of certain research and development activities are recognized based on estimates from a number of factors, including an evaluation of the progress of the activities, as well as input from external service providers.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periods presented:</w:t>
      </w:r>
    </w:p>
    <w:p>
      <w:pPr>
        <w:spacing w:after="0" w:line="11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7"/>
        </w:trPr>
        <w:tc>
          <w:tcPr>
            <w:tcW w:w="4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9"/>
        </w:trPr>
        <w:tc>
          <w:tcPr>
            <w:tcW w:w="4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4"/>
                <w:szCs w:val="14"/>
                <w:color w:val="auto"/>
              </w:rPr>
            </w:pPr>
          </w:p>
        </w:tc>
        <w:tc>
          <w:tcPr>
            <w:tcW w:w="13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7"/>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Personnel-related costs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10,549</w:t>
            </w:r>
          </w:p>
        </w:tc>
        <w:tc>
          <w:tcPr>
            <w:tcW w:w="5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9,563</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r>
        <w:trPr>
          <w:trHeight w:val="23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Facility and laboratory costs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6,932</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(2,238 )</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(24%)</w:t>
            </w:r>
          </w:p>
        </w:tc>
      </w:tr>
      <w:tr>
        <w:trPr>
          <w:trHeight w:val="247"/>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Outside services</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6,822</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8%</w:t>
            </w:r>
          </w:p>
        </w:tc>
      </w:tr>
      <w:tr>
        <w:trPr>
          <w:trHeight w:val="243"/>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31%</w:t>
            </w:r>
          </w:p>
        </w:tc>
      </w:tr>
      <w:tr>
        <w:trPr>
          <w:trHeight w:val="257"/>
        </w:trPr>
        <w:tc>
          <w:tcPr>
            <w:tcW w:w="4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25,055</w:t>
            </w: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25,605</w:t>
            </w: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(550 )</w:t>
            </w: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w:t>
            </w:r>
          </w:p>
        </w:tc>
      </w:tr>
      <w:tr>
        <w:trPr>
          <w:trHeight w:val="20"/>
        </w:trPr>
        <w:tc>
          <w:tcPr>
            <w:tcW w:w="44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-24765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-8255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-24765</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-8255</wp:posOffset>
            </wp:positionV>
            <wp:extent cx="603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-24765</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-8255</wp:posOffset>
            </wp:positionV>
            <wp:extent cx="603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0"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$25.1 million and $25.6 million for the three months ended March 31, 2024 and 2023, respectively. The year-over-year decrease of $0.6 million, or 2%, was primarily due to:</w:t>
      </w:r>
    </w:p>
    <w:p>
      <w:pPr>
        <w:spacing w:after="0" w:line="54" w:lineRule="exact"/>
        <w:rPr>
          <w:sz w:val="20"/>
          <w:szCs w:val="20"/>
          <w:color w:val="auto"/>
        </w:rPr>
      </w:pPr>
    </w:p>
    <w:p>
      <w:pPr>
        <w:ind w:left="900" w:right="80" w:hanging="383"/>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$2.2 million in facility and laboratory costs, reflecting lower costs for laboratory supplies and materials related to IND-enabling activities; partially offset by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$1.0 million in employee-related costs reflecting higher stock-based compensation and salaries;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$0.5 million in outside services reflecting higher costs related to clinical trial activities.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9" w:name="page20"/>
    <w:bookmarkEnd w:id="19"/>
    <w:p>
      <w:pPr>
        <w:spacing w:after="0" w:line="8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process of conducting the necessary research to advance through the clinical stages and ultimately obtain regulatory approval is costly and time-consuming, and the successful development of our product candidates is highly uncertain. As a result, we cannot reasonably estimate or know the nature, timing or estimated costs of the efforts that will be necessary to complete the development of, and obtain regulatory approval for, or when and to what extent we will generate revenue from the commercialization and sale of any of our product candidates. However, we expect our research and development expenses to generally remain flat for the remainder of 2024</w:t>
      </w:r>
      <w:r>
        <w:rPr>
          <w:rFonts w:ascii="Times New Roman" w:cs="Times New Roman" w:eastAsia="Times New Roman" w:hAnsi="Times New Roman"/>
          <w:sz w:val="18"/>
          <w:szCs w:val="18"/>
          <w:color w:val="4472C4"/>
        </w:rPr>
        <w:t>.</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of personnel-related costs (including salaries, benefits and stock-based compensation for our employees in finance, human resources and other administrative functions), legal fees, professional fees incurred for accounting, audit and tax services, information technology and facility costs not otherwise included in research and development expenses. Legal fees primarily include those related to corporate and intellectual property-related matters.</w:t>
      </w:r>
    </w:p>
    <w:p>
      <w:pPr>
        <w:spacing w:after="0" w:line="72"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$8.7 million and $8.1 million for the three months ended March 31, 2024 and 2023, respectively. The year-over-year increase of $0.6 million, or 7%, was primarily due to an increase in stock-based compensation and professional fees.</w:t>
      </w:r>
    </w:p>
    <w:p>
      <w:pPr>
        <w:spacing w:after="0" w:line="5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expect our general and administrative expenses to generally remain flat for the remainder of 2024, as we continue to support our research and development activities and business development opportunities, and incur professional service fees. In addition, we will continue to incur legal, accounting, insurance and other expenses in operating our business as a public company, including costs associated with regulatory and compliance activities.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Interest income primarily consists of interest earned on our cash, cash equivalents and investment balances. The year-over-year decrease of $0.5 million was primarily due to lower cash, cash equivalents and investment balances.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Net loss for the three months ended March 31, 2024, was $32.2 million, compared to a net loss of $31.7 million for the three months ended March 31, 2023.</w:t>
      </w:r>
    </w:p>
    <w:p>
      <w:pPr>
        <w:spacing w:after="0" w:line="158" w:lineRule="exact"/>
        <w:rPr>
          <w:sz w:val="20"/>
          <w:szCs w:val="20"/>
          <w:color w:val="auto"/>
        </w:rPr>
      </w:pPr>
    </w:p>
    <w:p>
      <w:pPr>
        <w:jc w:val="center"/>
        <w:ind w:right="87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jc w:val="center"/>
        <w:ind w:right="870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Since our inception, we have not generated any revenue and we have incurred significant net losses and negative cash flows from operations. From our inception through March 31, 2024, we have funded our operations primarily from the sale and issuance of our equity securities. As of March 31, 2024, we had cash, cash equivalents and investments in marketable securities of $122.2 million and an accumulated deficit of $435.5 million.</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Follow-on Offering</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February 12, 2024, we completed an underwritten offering of 8,888,890 shares of its common stock at a price of $4.50 per share and, to an investor in lieu of common stock, pre-funded warrants to purchase 2,222,271 shares of its common stock at a price of $4.499 per pre-funded warrant under our registration statement on Form S-3 (File No. 333-266741). The pre-funded warrants can be exercised at any time after issuance for an exercise price of $0.001 per share, subject to certain ownership limitations. We received net proceeds of approximately $46.8 million, after deducting underwriting discounts and commissions of approximately $3.0 million and other offering expenses of approximately $0.2 million.</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“At-the-Market” Equity Offering</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On August 10, 2022, we entered into a sales agreement (the Sales Agreement) with Leerink Partners LLC (formerly SVB Securities LLC). Pursuant to the Sales Agreement, we may sell from time to time up to an aggregate of $75.0 million of our common stock through an “at-the-market” (ATM) offering defined in Rule 415 under the Securities Act. The $75.0 million of common stock that may be offered, issued and sold under the Sales Agreement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 w:name="page21"/>
    <w:bookmarkEnd w:id="20"/>
    <w:p>
      <w:pPr>
        <w:spacing w:after="0" w:line="86" w:lineRule="exact"/>
        <w:rPr>
          <w:sz w:val="20"/>
          <w:szCs w:val="20"/>
          <w:color w:val="auto"/>
        </w:rPr>
      </w:pPr>
    </w:p>
    <w:p>
      <w:pPr>
        <w:jc w:val="both"/>
        <w:ind w:right="520"/>
        <w:spacing w:after="0" w:line="282" w:lineRule="auto"/>
        <w:rPr>
          <w:sz w:val="20"/>
          <w:szCs w:val="20"/>
          <w:color w:val="auto"/>
        </w:rPr>
      </w:pPr>
      <w:r>
        <w:rPr>
          <w:rFonts w:ascii="Times New Roman" w:cs="Times New Roman" w:eastAsia="Times New Roman" w:hAnsi="Times New Roman"/>
          <w:sz w:val="18"/>
          <w:szCs w:val="18"/>
          <w:color w:val="auto"/>
        </w:rPr>
        <w:t>is included in the $300.0 million of securities that may be offered, issued and sold by us under our registration statement on Form S-3 (File No. 333-266741). As of March 31, 2024, we may issue and sell up to approximately $71.0 million in additional shares of our common stock under the ATM.</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We expect that we will continue to incur operating losses over the foreseeable future. Our operating expenses are expected to remain relatively flat for the next twelve months but may increase in the future, if and as we:</w:t>
      </w:r>
    </w:p>
    <w:p>
      <w:pPr>
        <w:spacing w:after="0" w:line="54"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our lead gene therapy product candidates, TN-201 and TN-401;</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scope of our existing clinical trials and transition into late-stage clinical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and marketing approvals of any of our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commercial-scale manufacturing capabilities;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information systems and personnel to support our future product development and commercialization efforts;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research programs and additional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preclinical studies and clinical trials for any additional product candidates we identify;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future product candidates into clinical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develop, expand, enforce, defend and protect our intellectual property portfolio;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operate as a public company.</w:t>
      </w:r>
    </w:p>
    <w:p>
      <w:pPr>
        <w:spacing w:after="0" w:line="117" w:lineRule="exact"/>
        <w:rPr>
          <w:sz w:val="20"/>
          <w:szCs w:val="20"/>
          <w:color w:val="auto"/>
        </w:rPr>
      </w:pPr>
    </w:p>
    <w:p>
      <w:pPr>
        <w:ind w:firstLine="509"/>
        <w:spacing w:after="0" w:line="312" w:lineRule="auto"/>
        <w:rPr>
          <w:sz w:val="20"/>
          <w:szCs w:val="20"/>
          <w:color w:val="auto"/>
        </w:rPr>
      </w:pPr>
      <w:r>
        <w:rPr>
          <w:rFonts w:ascii="Times New Roman" w:cs="Times New Roman" w:eastAsia="Times New Roman" w:hAnsi="Times New Roman"/>
          <w:sz w:val="17"/>
          <w:szCs w:val="17"/>
          <w:color w:val="auto"/>
        </w:rPr>
        <w:t>Based on our current operating plan, we believe that our existing cash, cash equivalents and investments in marketable securities will be sufficient to meet our working capital and capital expenditure needs through at least the next twelve months following the date of this Quarterly Report on Form 10-Q.</w:t>
      </w:r>
    </w:p>
    <w:p>
      <w:pPr>
        <w:spacing w:after="0" w:line="3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order to complete the development of our product candidates and commercialize our product candidates, if approved, we will require substantial additional funding. Until such time as we can generate significant revenue from sales of our product candidates, if ever, we expect to finance our operations through public or private equity offerings or debt financings or other capital sources, which may include strategic collaborations or other arrangements with third parties, or other sources of financing. We may not be able to raise additional capital on terms acceptable to us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including restricting our operations and limiting our ability to incur liens, issue additional debt, pay dividends, repurchase our common stock, make certain investments or engage in merger, consolidation, licensing or asset sale transactions. If we raise funds through strategic collaborations, partnerships and other similar arrangements with third parties, we may be required to grant rights to develop and market product candidates that we would otherwise prefer to develop and market ourselves. If we are unable to raise additional capital on acceptable terms when needed, our business, results of operations, and financial condition would be adversely affected.</w:t>
      </w:r>
    </w:p>
    <w:p>
      <w:pPr>
        <w:spacing w:after="0" w:line="82"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Our ability to raise additional funds may be adversely impacted by global economic conditions or disruptions to, and volatility in, the credit and financial markets in the United States and worldwide. If we fail to obtain necessary capital when needed on acceptable terms, or at all, it could force us to delay, limit, reduce or terminate our product development programs, future commercialization efforts or other operations. Because of the numerous risks and uncertainties associated with research, product development and commercialization of product candidates, we are unable to predict the timing or amount of our working capital requirements or when or if we will be able to achieve or maintain profitability.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 w:name="page22"/>
    <w:bookmarkEnd w:id="21"/>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periods presented:</w:t>
      </w:r>
    </w:p>
    <w:p>
      <w:pPr>
        <w:spacing w:after="0" w:line="124"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520" w:type="dxa"/>
        <w:tblCellMar>
          <w:top w:w="0" w:type="dxa"/>
          <w:left w:w="0" w:type="dxa"/>
          <w:bottom w:w="0" w:type="dxa"/>
          <w:right w:w="0" w:type="dxa"/>
        </w:tblCellMar>
      </w:tblPr>
      <w:tr>
        <w:trPr>
          <w:trHeight w:val="169"/>
        </w:trPr>
        <w:tc>
          <w:tcPr>
            <w:tcW w:w="628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6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(In</w:t>
            </w:r>
          </w:p>
        </w:tc>
        <w:tc>
          <w:tcPr>
            <w:tcW w:w="800" w:type="dxa"/>
            <w:vAlign w:val="bottom"/>
            <w:gridSpan w:val="2"/>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activities</w:t>
            </w:r>
          </w:p>
        </w:tc>
        <w:tc>
          <w:tcPr>
            <w:tcW w:w="1120" w:type="dxa"/>
            <w:vAlign w:val="bottom"/>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(28,660 )</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(30,290 )</w:t>
            </w:r>
          </w:p>
        </w:tc>
      </w:tr>
      <w:tr>
        <w:trPr>
          <w:trHeight w:val="247"/>
        </w:trPr>
        <w:tc>
          <w:tcPr>
            <w:tcW w:w="6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Investing activities</w:t>
            </w:r>
          </w:p>
        </w:tc>
        <w:tc>
          <w:tcPr>
            <w:tcW w:w="11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(4,489 )</w:t>
            </w:r>
          </w:p>
        </w:tc>
        <w:tc>
          <w:tcPr>
            <w:tcW w:w="4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8,061</w:t>
            </w:r>
          </w:p>
        </w:tc>
        <w:tc>
          <w:tcPr>
            <w:tcW w:w="100" w:type="dxa"/>
            <w:vAlign w:val="bottom"/>
            <w:shd w:val="clear" w:color="auto" w:fill="CFF0FC"/>
          </w:tcPr>
          <w:p>
            <w:pPr>
              <w:spacing w:after="0"/>
              <w:rPr>
                <w:sz w:val="21"/>
                <w:szCs w:val="21"/>
                <w:color w:val="auto"/>
              </w:rPr>
            </w:pPr>
          </w:p>
        </w:tc>
      </w:tr>
      <w:tr>
        <w:trPr>
          <w:trHeight w:val="239"/>
        </w:trPr>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Financing activities</w:t>
            </w:r>
          </w:p>
        </w:tc>
        <w:tc>
          <w:tcPr>
            <w:tcW w:w="1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46,771</w:t>
            </w: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(501 )</w:t>
            </w:r>
          </w:p>
        </w:tc>
      </w:tr>
      <w:tr>
        <w:trPr>
          <w:trHeight w:val="20"/>
        </w:trPr>
        <w:tc>
          <w:tcPr>
            <w:tcW w:w="6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6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1120" w:type="dxa"/>
            <w:vAlign w:val="bottom"/>
            <w:shd w:val="clear" w:color="auto" w:fill="CFF0FC"/>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13,622</w:t>
            </w:r>
          </w:p>
        </w:tc>
        <w:tc>
          <w:tcPr>
            <w:tcW w:w="320" w:type="dxa"/>
            <w:vAlign w:val="bottom"/>
            <w:shd w:val="clear" w:color="auto" w:fill="CFF0FC"/>
          </w:tcPr>
          <w:p>
            <w:pPr>
              <w:spacing w:after="0"/>
              <w:rPr>
                <w:sz w:val="22"/>
                <w:szCs w:val="22"/>
                <w:color w:val="auto"/>
              </w:rPr>
            </w:pPr>
          </w:p>
        </w:tc>
        <w:tc>
          <w:tcPr>
            <w:tcW w:w="480" w:type="dxa"/>
            <w:vAlign w:val="bottom"/>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(22,730 )</w:t>
            </w:r>
          </w:p>
        </w:tc>
      </w:tr>
      <w:tr>
        <w:trPr>
          <w:trHeight w:val="20"/>
        </w:trPr>
        <w:tc>
          <w:tcPr>
            <w:tcW w:w="628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-25400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-8255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-25400</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-8255</wp:posOffset>
            </wp:positionV>
            <wp:extent cx="603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2024 was $28.7 million, which consisted primarily of a net loss of $32.2 million and a net change in operating assets and liabilities of $3.6 million, partially offset by $6.9 million in non-cash charges. The change in net operating assets and liabilities was primarily due to a decrease in accounts payable and accrued expenses and other current liabilities of $3.1 million and a decrease in operating lease liabilities of $1.1 million, partially offset by a decrease of prepaid expenses and other current assets of $0.4 million. Cash flows from operations are generally impacted by the timing of payments to vendors and vendor payment terms. The non-cash charges primarily consisted of stock-based compensation of $4.2 million and depreciation and amortization of $2.2 million.</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2023 was $30.3 million, which consisted primarily of a net loss of $31.7 million and a net change in operating assets and liabilities of $4.4 million, partially offset by $5.9 million in non-cash charges. The change in net operating assets and liabilities was primarily due to a decrease in accounts payable and accrued expenses and other current liabilities of $4.0 million and a decrease in operating lease liabilities of $1.0 million. Cash flows from operations are generally impacted by the timing of payments to vendors and vendor payment terms. The non-cash charges primarily consisted of stock-based compensation of $3.5 million and depreciation and amortization of $2.1 million.</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2024 was $4.5 million, which consisted primarily of purchases of marketable securities of $23.6 million, partially offset by proceeds from maturities of marketable securities of $19.7 million.</w:t>
      </w:r>
    </w:p>
    <w:p>
      <w:pPr>
        <w:spacing w:after="0" w:line="5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for the three months ended March 31, 2023 was $8.1 million, which consisted of proceeds from maturities of marketable securities of $34.5 million, partially offset by purchases of marketable securities of $25.8 million.</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2024 was $46.8 million, which primarily consisted of net proceeds from follow-on offering of $46.8 million.</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cash used in financing activities for the three months ended March 31, 2023 consisted of payments of accrued offering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2024, there have been no material changes from the contractual obligations and commitments previously disclosed in our Annual Report on Form 10-K for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Since inception, we have not engaged in any off-balance sheet arrangements as defined in the rules and regulations of the SEC.</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 w:name="page23"/>
    <w:bookmarkEnd w:id="2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A summary of our critical accounting policies and estimates is presented in Part II, Item 7 of our Annual Report on Form 10-K for the year ended December 31, 2023. There were no material changes to our critical accounting policies and estimates during the three and three months ended March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See Note 2 to our unaudited interim condensed financial statements for more information about recent accounting pronouncements, the timing of their adoption, and our assessment, to the extent we have made one yet, of their potential impact on our financial condition of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We will remain an emerging growth company until the earliest to occur of: (i) the last day of the fiscal year in which we have more than $1.235 billion in annual revenue; (ii) the date we qualify as a “large accelerated filer,” with at least $700 million of equity securities held by non-affiliates; (iii) the date on which we have issued more than $1.0 billion in non-convertible debt securities during the prior three-year period; and (iv) December 31, 2026.</w:t>
      </w:r>
    </w:p>
    <w:p>
      <w:pPr>
        <w:spacing w:after="0" w:line="72"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the extended transition period to enable us to comply with new or revised accounting standards that have different effective dates for public and private companies until the earlier of the date on which we (i) are no longer an emerging growth company and (ii) affirmatively and irrevocably opt out of the extended transition period provided by the JOBS Act. As a result, our financial statements may not be comparable to companies that comply with new or revised accounting pronouncements as of public company effective dates.</w:t>
      </w:r>
    </w:p>
    <w:p>
      <w:pPr>
        <w:spacing w:after="0" w:line="7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company’s smaller reporting companies have reduced disclosure obligations regarding executive 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231F20"/>
        </w:rPr>
        <w:t>We are a smaller reporting company, as defined by Rule 12b-2 under the Securities and Exchange Act of 1934 and in Item 10(f)(1) of Regulation S-K, and are not required to provide the information under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and supervision of our Chief Executive Officer and our Chief Financial Officer, have evaluated our disclosure controls and procedures (as defined in Rules 13a-15(e) and 15d-15(e) under the Securities Exchange Act of 1934, as amended, or the Exchange Act) as of the end of the period covered by this Quarterly Report on Form 10-Q. Based on that evaluation, our Chief Executive Officer and Chief Financial Officer have concluded that, as of the end of the period covered by this Quarterly Report on Form 10-Q,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We believe that a control system, no matter</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3" w:name="page24"/>
    <w:bookmarkEnd w:id="23"/>
    <w:p>
      <w:pPr>
        <w:spacing w:after="0" w:line="8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Exchange Act Rules 13a-15(f) and 15d-15(f)) during the quarter ended March 31, 2024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Inherent Limitations on Effectiveness of Controls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 control system, no matter how well designed and operated, can provide only reasonable and not absolute assurance of achieving the desired control objectives. In reaching a reasonable level of assurance, management necessarily was required to apply its judgment in evaluating the benefits of possible controls and procedures relative to their costs.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various legal proceedings that arise in the ordinary course of our business. We are not currently a party to any litigation or legal proceedings that are likely to have a material adverse effect on our business. Regardless of outcome, litigation can have an adverse impact on us because of defense and settlement costs, diversion of management resources, and other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500" w:firstLine="509"/>
        <w:spacing w:after="0" w:line="258" w:lineRule="auto"/>
        <w:rPr>
          <w:sz w:val="20"/>
          <w:szCs w:val="20"/>
          <w:color w:val="auto"/>
        </w:rPr>
      </w:pPr>
      <w:r>
        <w:rPr>
          <w:rFonts w:ascii="Times New Roman" w:cs="Times New Roman" w:eastAsia="Times New Roman" w:hAnsi="Times New Roman"/>
          <w:sz w:val="18"/>
          <w:szCs w:val="18"/>
          <w:i w:val="1"/>
          <w:iCs w:val="1"/>
          <w:color w:val="231F20"/>
        </w:rPr>
        <w:t>Investing in our common stock involves a high degree of risk. You should carefully consider the risks described below, as well as the other information in this quarterly report and in our other public filings in evaluating our business.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 Factors Summary</w:t>
      </w:r>
    </w:p>
    <w:p>
      <w:pPr>
        <w:spacing w:after="0" w:line="119" w:lineRule="exact"/>
        <w:rPr>
          <w:sz w:val="20"/>
          <w:szCs w:val="20"/>
          <w:color w:val="auto"/>
        </w:rPr>
      </w:pPr>
    </w:p>
    <w:p>
      <w:pPr>
        <w:ind w:right="260" w:firstLine="494"/>
        <w:spacing w:after="0" w:line="284" w:lineRule="auto"/>
        <w:rPr>
          <w:sz w:val="20"/>
          <w:szCs w:val="20"/>
          <w:color w:val="auto"/>
        </w:rPr>
      </w:pPr>
      <w:r>
        <w:rPr>
          <w:rFonts w:ascii="Times New Roman" w:cs="Times New Roman" w:eastAsia="Times New Roman" w:hAnsi="Times New Roman"/>
          <w:sz w:val="18"/>
          <w:szCs w:val="18"/>
          <w:i w:val="1"/>
          <w:iCs w:val="1"/>
          <w:color w:val="auto"/>
        </w:rPr>
        <w:t>Our ability to execute on our business strategy is subject to a number of risks and uncertainties, including those outside of our control, that could cause our actual results to be harmed, including risks regarding the following:</w:t>
      </w:r>
    </w:p>
    <w:p>
      <w:pPr>
        <w:spacing w:after="0" w:line="52" w:lineRule="exact"/>
        <w:rPr>
          <w:sz w:val="20"/>
          <w:szCs w:val="20"/>
          <w:color w:val="auto"/>
        </w:rPr>
      </w:pPr>
    </w:p>
    <w:p>
      <w:pPr>
        <w:ind w:left="1020" w:right="320" w:hanging="503"/>
        <w:spacing w:after="0" w:line="282" w:lineRule="auto"/>
        <w:tabs>
          <w:tab w:leader="none" w:pos="10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are early in our development efforts, with a limited operating history, and have no products approved for commercial sale, which may make it difficult for you to evaluate our current business and likelihood of success and future viability.</w:t>
      </w:r>
    </w:p>
    <w:p>
      <w:pPr>
        <w:spacing w:after="0" w:line="53" w:lineRule="exact"/>
        <w:rPr>
          <w:rFonts w:ascii="Times New Roman" w:cs="Times New Roman" w:eastAsia="Times New Roman" w:hAnsi="Times New Roman"/>
          <w:sz w:val="18"/>
          <w:szCs w:val="18"/>
          <w:color w:val="231F20"/>
        </w:rPr>
      </w:pPr>
    </w:p>
    <w:p>
      <w:pPr>
        <w:ind w:left="1020" w:right="180" w:hanging="503"/>
        <w:spacing w:after="0" w:line="282" w:lineRule="auto"/>
        <w:tabs>
          <w:tab w:leader="none" w:pos="10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have not generated any product revenue to date, have incurred significant net losses since our inception, and expect to continue to incur significant net losses for the foreseeable future.</w:t>
      </w:r>
    </w:p>
    <w:p>
      <w:pPr>
        <w:spacing w:after="0" w:line="53" w:lineRule="exact"/>
        <w:rPr>
          <w:rFonts w:ascii="Times New Roman" w:cs="Times New Roman" w:eastAsia="Times New Roman" w:hAnsi="Times New Roman"/>
          <w:sz w:val="18"/>
          <w:szCs w:val="18"/>
          <w:color w:val="231F20"/>
        </w:rPr>
      </w:pPr>
    </w:p>
    <w:p>
      <w:pPr>
        <w:ind w:left="1020" w:right="420" w:hanging="503"/>
        <w:spacing w:after="0" w:line="282" w:lineRule="auto"/>
        <w:tabs>
          <w:tab w:leader="none" w:pos="10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generate revenue and achieve profitability depends significantly on our ability to achieve several objectives relating to the discovery, development and commercialization of our product candidates, if approved.</w:t>
      </w:r>
    </w:p>
    <w:p>
      <w:pPr>
        <w:spacing w:after="0" w:line="53" w:lineRule="exact"/>
        <w:rPr>
          <w:rFonts w:ascii="Times New Roman" w:cs="Times New Roman" w:eastAsia="Times New Roman" w:hAnsi="Times New Roman"/>
          <w:sz w:val="18"/>
          <w:szCs w:val="18"/>
          <w:color w:val="231F20"/>
        </w:rPr>
      </w:pPr>
    </w:p>
    <w:p>
      <w:pPr>
        <w:ind w:left="1020" w:right="140" w:hanging="503"/>
        <w:spacing w:after="0" w:line="261" w:lineRule="auto"/>
        <w:tabs>
          <w:tab w:leader="none" w:pos="10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require substantial additional capital to finance our operations, which if available, may cause dilution to our stockholders, restrict our operations or require us to relinquish rights to our technologies or product candidates. If we are unable to raise such capital when needed, or on acceptable terms, we may be forced to delay, reduce and/or eliminate one or more of our research and drug development programs or future commercialization efforts.</w:t>
      </w:r>
    </w:p>
    <w:p>
      <w:pPr>
        <w:spacing w:after="0" w:line="71" w:lineRule="exact"/>
        <w:rPr>
          <w:rFonts w:ascii="Times New Roman" w:cs="Times New Roman" w:eastAsia="Times New Roman" w:hAnsi="Times New Roman"/>
          <w:sz w:val="18"/>
          <w:szCs w:val="18"/>
          <w:color w:val="231F20"/>
        </w:rPr>
      </w:pPr>
    </w:p>
    <w:p>
      <w:pPr>
        <w:ind w:left="1020" w:right="240" w:hanging="503"/>
        <w:spacing w:after="0" w:line="266" w:lineRule="auto"/>
        <w:tabs>
          <w:tab w:leader="none" w:pos="10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spacing w:after="0" w:line="67" w:lineRule="exact"/>
        <w:rPr>
          <w:rFonts w:ascii="Times New Roman" w:cs="Times New Roman" w:eastAsia="Times New Roman" w:hAnsi="Times New Roman"/>
          <w:sz w:val="18"/>
          <w:szCs w:val="18"/>
          <w:color w:val="231F20"/>
        </w:rPr>
      </w:pPr>
    </w:p>
    <w:p>
      <w:pPr>
        <w:ind w:left="1020" w:hanging="503"/>
        <w:spacing w:after="0" w:line="266" w:lineRule="auto"/>
        <w:tabs>
          <w:tab w:leader="none" w:pos="10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67" w:lineRule="exact"/>
        <w:rPr>
          <w:rFonts w:ascii="Times New Roman" w:cs="Times New Roman" w:eastAsia="Times New Roman" w:hAnsi="Times New Roman"/>
          <w:sz w:val="18"/>
          <w:szCs w:val="18"/>
          <w:color w:val="231F20"/>
        </w:rPr>
      </w:pPr>
    </w:p>
    <w:p>
      <w:pPr>
        <w:ind w:left="1020" w:right="460" w:hanging="503"/>
        <w:spacing w:after="0" w:line="282" w:lineRule="auto"/>
        <w:tabs>
          <w:tab w:leader="none" w:pos="10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mechanisms of action of our product candidates are unproven, and we do not know whether we will be able to develop any drug of commercial value.</w:t>
      </w:r>
    </w:p>
    <w:p>
      <w:pPr>
        <w:spacing w:after="0" w:line="53" w:lineRule="exact"/>
        <w:rPr>
          <w:rFonts w:ascii="Times New Roman" w:cs="Times New Roman" w:eastAsia="Times New Roman" w:hAnsi="Times New Roman"/>
          <w:sz w:val="18"/>
          <w:szCs w:val="18"/>
          <w:color w:val="231F20"/>
        </w:rPr>
      </w:pPr>
    </w:p>
    <w:p>
      <w:pPr>
        <w:ind w:left="1020" w:right="120" w:hanging="503"/>
        <w:spacing w:after="0" w:line="261" w:lineRule="auto"/>
        <w:tabs>
          <w:tab w:leader="none" w:pos="10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Drug development involves a lengthy and expensive process with an uncertain outcome. The preclinical studies, clinical trials and post-marketing studies of our product candidates may not demonstrate safety and efficacy to the satisfaction of the FDA, European Medicines Agency (EMA) or other comparable foreign regulatory authorities or otherwise produce positive results and the results of preclinical studies and early clinical trials may not be predictive of future results. We may incur additional costs or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 w:name="page26"/>
    <w:bookmarkEnd w:id="25"/>
    <w:p>
      <w:pPr>
        <w:spacing w:after="0" w:line="8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231F20"/>
        </w:rPr>
        <w:t>experience delays in completing, or ultimately be unable to complete, the development and commercialization of our product candidates.</w:t>
      </w:r>
    </w:p>
    <w:p>
      <w:pPr>
        <w:spacing w:after="0" w:line="117" w:lineRule="exact"/>
        <w:rPr>
          <w:sz w:val="20"/>
          <w:szCs w:val="20"/>
          <w:color w:val="auto"/>
        </w:rPr>
      </w:pPr>
    </w:p>
    <w:p>
      <w:pPr>
        <w:ind w:left="1020" w:hanging="503"/>
        <w:spacing w:after="0" w:line="261" w:lineRule="auto"/>
        <w:tabs>
          <w:tab w:leader="none" w:pos="102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product candidates may cause serious adverse events, toxicities or other undesirable side effects when used alone or in combination with other approved products or investigational new drugs that may result in a safety profile that could delay or prevent regulatory approval, or market acceptance, or even if approval is received, require them to be taken off the market, include new safety warnings, contraindications or precautions, or otherwise limit their commercial potential or result in significant negative consequences.</w:t>
      </w:r>
    </w:p>
    <w:p>
      <w:pPr>
        <w:spacing w:after="0" w:line="71" w:lineRule="exact"/>
        <w:rPr>
          <w:rFonts w:ascii="Times New Roman" w:cs="Times New Roman" w:eastAsia="Times New Roman" w:hAnsi="Times New Roman"/>
          <w:sz w:val="18"/>
          <w:szCs w:val="18"/>
          <w:color w:val="231F20"/>
        </w:rPr>
      </w:pPr>
    </w:p>
    <w:p>
      <w:pPr>
        <w:jc w:val="both"/>
        <w:ind w:left="1020" w:right="40" w:hanging="503"/>
        <w:spacing w:after="0" w:line="261" w:lineRule="auto"/>
        <w:tabs>
          <w:tab w:leader="none" w:pos="102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spacing w:after="0" w:line="71" w:lineRule="exact"/>
        <w:rPr>
          <w:rFonts w:ascii="Times New Roman" w:cs="Times New Roman" w:eastAsia="Times New Roman" w:hAnsi="Times New Roman"/>
          <w:sz w:val="18"/>
          <w:szCs w:val="18"/>
          <w:color w:val="231F20"/>
        </w:rPr>
      </w:pPr>
    </w:p>
    <w:p>
      <w:pPr>
        <w:ind w:left="1020" w:right="140" w:hanging="503"/>
        <w:spacing w:after="0" w:line="282" w:lineRule="auto"/>
        <w:tabs>
          <w:tab w:leader="none" w:pos="102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Due to our limited manufacturing experience there can be no assurance that we will be able to successfully manufacture product candidates to support our clinical development and commercialization plans.</w:t>
      </w:r>
    </w:p>
    <w:p>
      <w:pPr>
        <w:spacing w:after="0" w:line="53" w:lineRule="exact"/>
        <w:rPr>
          <w:rFonts w:ascii="Times New Roman" w:cs="Times New Roman" w:eastAsia="Times New Roman" w:hAnsi="Times New Roman"/>
          <w:sz w:val="18"/>
          <w:szCs w:val="18"/>
          <w:color w:val="231F20"/>
        </w:rPr>
      </w:pPr>
    </w:p>
    <w:p>
      <w:pPr>
        <w:jc w:val="both"/>
        <w:ind w:left="1020" w:right="180" w:hanging="503"/>
        <w:spacing w:after="0" w:line="266" w:lineRule="auto"/>
        <w:tabs>
          <w:tab w:leader="none" w:pos="102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67" w:lineRule="exact"/>
        <w:rPr>
          <w:rFonts w:ascii="Times New Roman" w:cs="Times New Roman" w:eastAsia="Times New Roman" w:hAnsi="Times New Roman"/>
          <w:sz w:val="18"/>
          <w:szCs w:val="18"/>
          <w:color w:val="231F20"/>
        </w:rPr>
      </w:pPr>
    </w:p>
    <w:p>
      <w:pPr>
        <w:ind w:left="1020" w:hanging="503"/>
        <w:spacing w:after="0" w:line="266" w:lineRule="auto"/>
        <w:tabs>
          <w:tab w:leader="none" w:pos="102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spacing w:after="0" w:line="67" w:lineRule="exact"/>
        <w:rPr>
          <w:rFonts w:ascii="Times New Roman" w:cs="Times New Roman" w:eastAsia="Times New Roman" w:hAnsi="Times New Roman"/>
          <w:sz w:val="18"/>
          <w:szCs w:val="18"/>
          <w:color w:val="231F20"/>
        </w:rPr>
      </w:pPr>
    </w:p>
    <w:p>
      <w:pPr>
        <w:ind w:left="1020" w:right="500" w:hanging="503"/>
        <w:spacing w:after="0" w:line="282" w:lineRule="auto"/>
        <w:tabs>
          <w:tab w:leader="none" w:pos="102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commercial success depends significantly on our ability to operate without infringing, misappropriating or otherwise violating the patents and other intellectual property and proprietary rights of third parties.</w:t>
      </w:r>
    </w:p>
    <w:p>
      <w:pPr>
        <w:spacing w:after="0" w:line="53" w:lineRule="exact"/>
        <w:rPr>
          <w:rFonts w:ascii="Times New Roman" w:cs="Times New Roman" w:eastAsia="Times New Roman" w:hAnsi="Times New Roman"/>
          <w:sz w:val="18"/>
          <w:szCs w:val="18"/>
          <w:color w:val="231F20"/>
        </w:rPr>
      </w:pPr>
    </w:p>
    <w:p>
      <w:pPr>
        <w:jc w:val="both"/>
        <w:ind w:left="1020" w:right="80" w:hanging="503"/>
        <w:spacing w:after="0" w:line="266" w:lineRule="auto"/>
        <w:tabs>
          <w:tab w:leader="none" w:pos="102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rely on third parties to conduct our preclinical studies and our clinical trials, and plan to rely on third parties to conduct such future drug development activities. These third parties may not perform satisfactorily, including failing to meet completion deadlines, or to comply with applicable regulatory requirements, which may harm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Financial Position, Need for Additional Capital and Limited Operating History</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are early in our development efforts, with a limited operating history and have no products approved for commercial sale, which may make it difficult for you to evaluate our current business and likelihood of success and future viability.</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We have limited experience conducting clinical trials, have no products approved for commercial sale and have not generated any revenue. We are developing therapies that address the underlying drivers of heart disease, which is an unproven and highly uncertain undertaking and involves a substantial degree of risk. Since our inception, we have devoted substantially all of our focus and financial resources to identifying and developing product candidates, conducting preclinical studies and clinical trials, developing our internal capabilities, acquiring technology, organizing and recruiting management and technical staff, business planning, establishing our intellectual property portfolio, raising capital, and providing general and administrative support for these operations. We have not yet demonstrated our ability to successfully complete any late-stage clinical trials, obtain marketing approvals, manufacture a late stage clinical- or commercial-scale product or arrange for a third party to do so on our behalf, or conduct sales and marketing activities necessary for successful product commercialization. As a result, it may be more difficult for investors to accurately predict our likelihood of success and viability than it could be if we had a longer operating history.</w:t>
      </w:r>
    </w:p>
    <w:p>
      <w:pPr>
        <w:spacing w:after="0" w:line="80"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231F20"/>
        </w:rPr>
        <w:t>In addition, we may encounter unforeseen expenses, difficulties, complications, delays and other known and unknown factors and risks frequently experienced by early-stage biotechnology companies in rapidly evolving</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6" w:name="page27"/>
    <w:bookmarkEnd w:id="26"/>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fields. We also may need to transition from a company with a research and development focus to a company capable of supporting commercial activities. If we do not adequately address these risks and difficulties or successfully make such a transition, our business will suffer.</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have not generated any product revenue to date, have incurred significant net losses since our inception, and expect to continue to incur significant net losses for the foreseeable future.</w:t>
      </w:r>
    </w:p>
    <w:p>
      <w:pPr>
        <w:spacing w:after="0" w:line="5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231F20"/>
        </w:rPr>
        <w:t>We have incurred significant net losses since our inception, have not generated any product revenue to date and have financed our operations principally through issuances of our stock. As of March 31, 2024, we had an accumulated deficit of $435.5 million. Substantially all of our losses have resulted from expenses incurred in connection with our research and development programs, manufacturing activities and from general and administrative costs associated with our operations. Our product candidates will require substantial additional development time and resources before we will be able to apply for regulatory approvals and, if approved, begin generating revenue from product sales. As a result, we expect that it will be several years, if ever, before we receive approval to commercialize a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spacing w:after="0" w:line="84" w:lineRule="exact"/>
        <w:rPr>
          <w:sz w:val="20"/>
          <w:szCs w:val="20"/>
          <w:color w:val="auto"/>
        </w:rPr>
      </w:pPr>
    </w:p>
    <w:p>
      <w:pPr>
        <w:ind w:right="40" w:firstLine="509"/>
        <w:spacing w:after="0" w:line="274" w:lineRule="auto"/>
        <w:rPr>
          <w:sz w:val="20"/>
          <w:szCs w:val="20"/>
          <w:color w:val="auto"/>
        </w:rPr>
      </w:pPr>
      <w:r>
        <w:rPr>
          <w:rFonts w:ascii="Times New Roman" w:cs="Times New Roman" w:eastAsia="Times New Roman" w:hAnsi="Times New Roman"/>
          <w:sz w:val="17"/>
          <w:szCs w:val="17"/>
          <w:color w:val="231F20"/>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particularly since we expect our expenses to increase if and when our product candidates progress through late-stage clinical development, where costs may increase significantly.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spacing w:after="0" w:line="169"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ability to generate revenue and achieve profitability depends significantly on our ability to achieve several objectives relating to the discovery, development and commercialization of our product candidates, if approved.</w:t>
      </w:r>
    </w:p>
    <w:p>
      <w:pPr>
        <w:spacing w:after="0" w:line="5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231F20"/>
        </w:rPr>
        <w:t>Our business depends on the successful research, development, manufacturing, regulatory approval and commercialization of product candidates that we discover. Our ability to generate revenue and achieve profitability depends significantly on our ability, or any future collaborator’s ability, to achieve several objectives, including:</w:t>
      </w:r>
    </w:p>
    <w:p>
      <w:pPr>
        <w:spacing w:after="0" w:line="68" w:lineRule="exact"/>
        <w:rPr>
          <w:sz w:val="20"/>
          <w:szCs w:val="20"/>
          <w:color w:val="auto"/>
        </w:rPr>
      </w:pPr>
    </w:p>
    <w:p>
      <w:pPr>
        <w:ind w:left="1020" w:right="140" w:hanging="503"/>
        <w:spacing w:after="0" w:line="282" w:lineRule="auto"/>
        <w:tabs>
          <w:tab w:leader="none" w:pos="10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successful and timely completion of preclinical and clinical development of product candidates and programs, including, but not limited to, generating sufficient data to support the initiation or continuation of clinical trials;</w:t>
      </w:r>
    </w:p>
    <w:p>
      <w:pPr>
        <w:spacing w:after="0" w:line="53" w:lineRule="exact"/>
        <w:rPr>
          <w:rFonts w:ascii="Times New Roman" w:cs="Times New Roman" w:eastAsia="Times New Roman" w:hAnsi="Times New Roman"/>
          <w:sz w:val="18"/>
          <w:szCs w:val="18"/>
          <w:color w:val="231F20"/>
        </w:rPr>
      </w:pPr>
    </w:p>
    <w:p>
      <w:pPr>
        <w:ind w:left="1020" w:right="80" w:hanging="503"/>
        <w:spacing w:after="0" w:line="282" w:lineRule="auto"/>
        <w:tabs>
          <w:tab w:leader="none" w:pos="10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submission of INDs or other regulatory applications for our planned clinical trials, obtaining regulatory approval to commence clinical trials of our product candidates, and achieving favorable results from clinical trials;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establishing and maintaining relationships with CROs and clinical sites for the clinical development of our product candidates;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initiation and successful patient enrollment and completion of clinical trials on a timely basis;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acceptable frequency and severity of adverse events in the clinical trials;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efficacy and safety profiles that are satisfactory to the FDA or any comparable foreign regulatory authority for marketing approval;</w:t>
      </w:r>
    </w:p>
    <w:p>
      <w:pPr>
        <w:spacing w:after="0" w:line="117" w:lineRule="exact"/>
        <w:rPr>
          <w:rFonts w:ascii="Times New Roman" w:cs="Times New Roman" w:eastAsia="Times New Roman" w:hAnsi="Times New Roman"/>
          <w:sz w:val="18"/>
          <w:szCs w:val="18"/>
          <w:color w:val="231F20"/>
        </w:rPr>
      </w:pPr>
    </w:p>
    <w:p>
      <w:pPr>
        <w:ind w:left="1020" w:right="120" w:hanging="503"/>
        <w:spacing w:after="0" w:line="282" w:lineRule="auto"/>
        <w:tabs>
          <w:tab w:leader="none" w:pos="10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timely receipt of marketing approvals from applicable regulatory authorities for any product candidates for which we successfully complete clinical development;</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complying with any required post-marketing approval commitments to applicable regulatory authorities;</w:t>
      </w:r>
    </w:p>
    <w:p>
      <w:pPr>
        <w:spacing w:after="0" w:line="117" w:lineRule="exact"/>
        <w:rPr>
          <w:rFonts w:ascii="Times New Roman" w:cs="Times New Roman" w:eastAsia="Times New Roman" w:hAnsi="Times New Roman"/>
          <w:sz w:val="18"/>
          <w:szCs w:val="18"/>
          <w:color w:val="231F20"/>
        </w:rPr>
      </w:pPr>
    </w:p>
    <w:p>
      <w:pPr>
        <w:ind w:left="1020" w:right="40" w:hanging="503"/>
        <w:spacing w:after="0" w:line="282" w:lineRule="auto"/>
        <w:tabs>
          <w:tab w:leader="none" w:pos="10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operating a manufacturing facility and developing an efficient and scalable manufacturing process for our product candidates, and the timely manufacture of sufficient quantities of a product candidate for use in clinical trials and, if approved, commercialization;</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7" w:name="page28"/>
    <w:bookmarkEnd w:id="27"/>
    <w:p>
      <w:pPr>
        <w:spacing w:after="0" w:line="86" w:lineRule="exact"/>
        <w:rPr>
          <w:sz w:val="20"/>
          <w:szCs w:val="20"/>
          <w:color w:val="auto"/>
        </w:rPr>
      </w:pPr>
    </w:p>
    <w:p>
      <w:pPr>
        <w:ind w:left="1020" w:right="260" w:hanging="503"/>
        <w:spacing w:after="0" w:line="266"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67" w:lineRule="exact"/>
        <w:rPr>
          <w:rFonts w:ascii="Times New Roman" w:cs="Times New Roman" w:eastAsia="Times New Roman" w:hAnsi="Times New Roman"/>
          <w:sz w:val="18"/>
          <w:szCs w:val="18"/>
          <w:color w:val="231F20"/>
        </w:rPr>
      </w:pPr>
    </w:p>
    <w:p>
      <w:pPr>
        <w:ind w:left="1020" w:right="400" w:hanging="503"/>
        <w:spacing w:after="0" w:line="282"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successful commercial launch following any marketing approval, including the development of a commercial infrastructure, whether in-house or with one or more collaborators;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successful outputs from our capsid engineering and promotor and regulator elements efforts;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continued acceptable safety profile following any marketing approval of our product candidates;</w:t>
      </w:r>
    </w:p>
    <w:p>
      <w:pPr>
        <w:spacing w:after="0" w:line="117" w:lineRule="exact"/>
        <w:rPr>
          <w:rFonts w:ascii="Times New Roman" w:cs="Times New Roman" w:eastAsia="Times New Roman" w:hAnsi="Times New Roman"/>
          <w:sz w:val="18"/>
          <w:szCs w:val="18"/>
          <w:color w:val="231F20"/>
        </w:rPr>
      </w:pPr>
    </w:p>
    <w:p>
      <w:pPr>
        <w:ind w:left="1020" w:right="640" w:hanging="503"/>
        <w:spacing w:after="0" w:line="282"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actual market-size, ability to identify patients and the demographics of patients eligible for our product candidates, which may be different than expected;</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commercial acceptance of our product candidates by patients, the medical community and third-party payors;</w:t>
      </w:r>
    </w:p>
    <w:p>
      <w:pPr>
        <w:spacing w:after="0" w:line="117" w:lineRule="exact"/>
        <w:rPr>
          <w:rFonts w:ascii="Times New Roman" w:cs="Times New Roman" w:eastAsia="Times New Roman" w:hAnsi="Times New Roman"/>
          <w:sz w:val="18"/>
          <w:szCs w:val="18"/>
          <w:color w:val="231F20"/>
        </w:rPr>
      </w:pPr>
    </w:p>
    <w:p>
      <w:pPr>
        <w:ind w:left="1020" w:right="340" w:hanging="503"/>
        <w:spacing w:after="0" w:line="282"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distribute our products to certain segments of the patient population only accessible through restricted or closed distribution channels;</w:t>
      </w:r>
    </w:p>
    <w:p>
      <w:pPr>
        <w:spacing w:after="0" w:line="53" w:lineRule="exact"/>
        <w:rPr>
          <w:rFonts w:ascii="Times New Roman" w:cs="Times New Roman" w:eastAsia="Times New Roman" w:hAnsi="Times New Roman"/>
          <w:sz w:val="18"/>
          <w:szCs w:val="18"/>
          <w:color w:val="231F20"/>
        </w:rPr>
      </w:pPr>
    </w:p>
    <w:p>
      <w:pPr>
        <w:ind w:left="1020" w:right="60" w:hanging="503"/>
        <w:spacing w:after="0" w:line="282"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satisfying any required post-marketing approval commitments to applicable regulatory authorities, and maintaining consistent quality, purity, and potency across clinical supplies and commercial supplies for any approved products;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identifying, assessing and developing new product candidates, and our ability to expand into multiple indications;</w:t>
      </w:r>
    </w:p>
    <w:p>
      <w:pPr>
        <w:spacing w:after="0" w:line="117" w:lineRule="exact"/>
        <w:rPr>
          <w:rFonts w:ascii="Times New Roman" w:cs="Times New Roman" w:eastAsia="Times New Roman" w:hAnsi="Times New Roman"/>
          <w:sz w:val="18"/>
          <w:szCs w:val="18"/>
          <w:color w:val="231F20"/>
        </w:rPr>
      </w:pPr>
    </w:p>
    <w:p>
      <w:pPr>
        <w:ind w:left="1020" w:right="320" w:hanging="503"/>
        <w:spacing w:after="0" w:line="282"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obtaining, maintaining, and expanding patent and other intellectual property protection, trade secret protection and regulatory exclusivity, both in the U.S. and internationally;</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protecting and enforcing our rights in our intellectual property portfolio;</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defending against third-party infringement, misappropriation, or other claims, if any;</w:t>
      </w:r>
    </w:p>
    <w:p>
      <w:pPr>
        <w:spacing w:after="0" w:line="117" w:lineRule="exact"/>
        <w:rPr>
          <w:rFonts w:ascii="Times New Roman" w:cs="Times New Roman" w:eastAsia="Times New Roman" w:hAnsi="Times New Roman"/>
          <w:sz w:val="18"/>
          <w:szCs w:val="18"/>
          <w:color w:val="231F20"/>
        </w:rPr>
      </w:pPr>
    </w:p>
    <w:p>
      <w:pPr>
        <w:ind w:left="1020" w:right="800" w:hanging="503"/>
        <w:spacing w:after="0" w:line="282"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entering into, on favorable terms, any collaboration, licensing or other arrangements that may be necessary or desirable to develop, manufacture or commercialize our product candidates and to meet our obligations set forth under such arrangements;</w:t>
      </w:r>
    </w:p>
    <w:p>
      <w:pPr>
        <w:spacing w:after="0" w:line="53"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obtaining coverage and adequate reimbursement by third-party payors for our products and patients’ willingness to pay in the absence of such coverage and adequate reimbursement;</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obtaining additional funding to develop, manufacture and commercialize our product candidates;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addressing any competing therapies and technological and market developments;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managing costs, including any unforeseen costs, that we may incur as a result of nonclinical study or clinical trial delays;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attracting, hiring and retaining qualified and key personnel including clinical, scientific, management and administrative personnel.</w:t>
      </w:r>
    </w:p>
    <w:p>
      <w:pPr>
        <w:spacing w:after="0" w:line="117" w:lineRule="exact"/>
        <w:rPr>
          <w:sz w:val="20"/>
          <w:szCs w:val="20"/>
          <w:color w:val="auto"/>
        </w:rPr>
      </w:pPr>
    </w:p>
    <w:p>
      <w:pPr>
        <w:ind w:right="400" w:firstLine="509"/>
        <w:spacing w:after="0" w:line="261" w:lineRule="auto"/>
        <w:rPr>
          <w:sz w:val="20"/>
          <w:szCs w:val="20"/>
          <w:color w:val="auto"/>
        </w:rPr>
      </w:pPr>
      <w:r>
        <w:rPr>
          <w:rFonts w:ascii="Times New Roman" w:cs="Times New Roman" w:eastAsia="Times New Roman" w:hAnsi="Times New Roman"/>
          <w:sz w:val="18"/>
          <w:szCs w:val="18"/>
          <w:color w:val="231F20"/>
        </w:rPr>
        <w:t>We may never be successful in achieving our objectives and, even if we are, may never generate revenue that is significant or large enough to achieve profitability. If we do achieve profitability, we may not be able to sustain or increase profitability on a quarterly or annual basis. Our failure to become and remain profitable would decrease our value and could impair our ability to maintain or further our research and development efforts, raise additional necessary capital, grow our business and continue our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recent cost containment initiative, including our committed plan to reduce our workforce, may not result in the anticipated savings and could result in total costs and expenses that are greater than expected and could disrupt our business.</w:t>
      </w:r>
    </w:p>
    <w:p>
      <w:pPr>
        <w:spacing w:after="0" w:line="51" w:lineRule="exact"/>
        <w:rPr>
          <w:sz w:val="20"/>
          <w:szCs w:val="20"/>
          <w:color w:val="auto"/>
        </w:rPr>
      </w:pPr>
    </w:p>
    <w:p>
      <w:pPr>
        <w:jc w:val="both"/>
        <w:ind w:firstLine="554"/>
        <w:spacing w:after="0" w:line="266" w:lineRule="auto"/>
        <w:rPr>
          <w:sz w:val="20"/>
          <w:szCs w:val="20"/>
          <w:color w:val="auto"/>
        </w:rPr>
      </w:pPr>
      <w:r>
        <w:rPr>
          <w:rFonts w:ascii="Times New Roman" w:cs="Times New Roman" w:eastAsia="Times New Roman" w:hAnsi="Times New Roman"/>
          <w:sz w:val="18"/>
          <w:szCs w:val="18"/>
          <w:color w:val="auto"/>
        </w:rPr>
        <w:t>On May 14, 2024, in alignment with our focus on generating data from our clinical-stage gene therapy programs, we announced cost containment measures, including the Workforce Reduction. Personnel reductions were initiated across our entire organization that when completed will impact approximately 22% of our workforce. We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expect to incur approximately $1.3 million to $1.5 million of aggregate charges, primarily related to employee cash severance and continuing health benefits, which costs are expected to be substantially recognized during the second quarter of 2024.</w:t>
      </w:r>
    </w:p>
    <w:p>
      <w:pPr>
        <w:spacing w:after="0" w:line="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cost containment initiative, including the Workforce Reduction, may be disruptive to our operations. For example, the Workforce Reduction could yield unanticipated consequences, such as attrition beyond planned staff reductions, the loss of institutional knowledge and expertise, increased difficulties in our day-to-day operations, reduced employee morale and diversion of our management and employee attention from other business priorities. The Workforce Reduction could also harm our ability to attract and retain qualified personnel who are critical to our business, make it difficult for us to pursue new opportunities and initiatives and require us to hire qualified replacement personnel. We also may be required to take additional cost-saving measures in the future, including those involving personnel, and we may incur severance and other related costs.</w:t>
      </w:r>
    </w:p>
    <w:p>
      <w:pPr>
        <w:spacing w:after="0" w:line="7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If we experience excessive unanticipated inefficiencies or incremental costs in connection with the Workforce Reduction, we may be unable to meaningfully realize cost savings and we may incur expenses in excess of what we anticipate. If we are unable to realize the anticipated benefits from the Workforce Reduction and our other cost-saving measures, or if we experience significant adverse consequences from these measures, it could prevent us from meeting our strategic objectives and could adversely impact our results of operations and financial condition.</w:t>
      </w:r>
    </w:p>
    <w:p>
      <w:pPr>
        <w:spacing w:after="0" w:line="176"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7"/>
          <w:szCs w:val="17"/>
          <w:b w:val="1"/>
          <w:bCs w:val="1"/>
          <w:i w:val="1"/>
          <w:iCs w:val="1"/>
          <w:color w:val="231F20"/>
        </w:rPr>
        <w:t>We require substantial additional capital to finance our operations, which, if available, may cause dilution to our stockholders, restrict our operations or require us to relinquish rights to our technologies or product candidates. If we are unable to raise such capital when needed, or on acceptable terms, we may be forced to delay, reduce and/or eliminate one or more of our research and drug development programs or future commercialization efforts.</w:t>
      </w:r>
    </w:p>
    <w:p>
      <w:pPr>
        <w:spacing w:after="0" w:line="4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the near- and long-term in connection with our ongoing activities, particularly as we initiate and conduct clinical trials of, and seek marketing approval for, our product candidates.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EMA or other regulatory agencies to perform clinical trials or preclinical studies in addition to those that we currently anticipate. Other unanticipated costs may also arise. Because the design and outcome of our planned preclinical studies and clinical trials are highly uncertain, we cannot reasonably estimate the actual amount of resources and funding that will be necessary to successfully complete the development and commercialization of any product candidate we develop. We also expect to incur costs associated with operating as a public company. Accordingly, we will need to obtain substantial additional funding in order to continue our operations.</w:t>
      </w:r>
    </w:p>
    <w:p>
      <w:pPr>
        <w:spacing w:after="0" w:line="8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As of March 31, 2024, we had $122.2 million in cash, cash equivalents and investments in marketable securities.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product candidates. Our failure to raise capital as and when needed or on acceptable terms would have a negative impact on our financial condition and our ability to pursue our business strategy, and we may have to delay, reduce the scope of, suspend or eliminate one or more of our preclinical development programs, platforms, manufacturing activities, ongoing or planned clinical trials or future commercialization efforts.</w:t>
      </w:r>
    </w:p>
    <w:p>
      <w:pPr>
        <w:spacing w:after="0" w:line="7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231F20"/>
        </w:rPr>
        <w:t>To the extent that we raise additional capital through the sale of equity or convertible debt securities, your ownership interest will be diluted, and the terms may include liquidation or other preferences that adversely affect your rights as a stockholder. Debt financing and preferred equity financing, if available, may involve agreements that include covenants limiting or restricting our ability to take specific actions, such as incurring additional debt, maintaining certain leverage ratios, making acquisitions, engaging in acquisition, merger or collaboration transactions, selling or licensing our assets, making capital expenditures, redeeming our stock, making certain investments, declaring dividends or encumbering our assets to secure future indebtedness. Such restrictions could adversely impact our ability to conduct our operations and execute our business plan.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86"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231F20"/>
        </w:rPr>
        <w:t>If we raise additional funds through upfront payments or milestone payments pursuant to strategic collaborations, strategic alliances or marketing, distribution or licensing arrangements with third parties, we may have to relinquish valuable rights to our technologies or intellectual property, future revenue streams, research programs or product candidates or grant licenses on terms that may not be favorable to us. If we are unable to raise additional funds through equity or debt financings, we may be required to delay, limit, reduce or terminate our product development or future commercialization efforts or grant rights to develop and market product candidates that we would otherwise prefer to develop and market ourselves.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ability to utilize our net operating loss carryforwards and certain other tax attributes to offset future taxable income may be limited.</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231F20"/>
        </w:rPr>
        <w:t>Our net operating loss (NOL) carryforwards may be unavailable to offset future taxable income because of restrictions on their use under U.S. tax law. In addition, under Sections 382 and 383 of the Internal Revenue Code of 1986, as amended (Code), if a corporation undergoes an “ownership change” (generally defined as a cumulative change in the corporation’s ownership by “5-percent shareholders” that exceeds 50 percentage points over a rolling three-year period), the corporation’s ability to use its pre-change NOLs and certain other pre-change tax attributes to offset its post-change taxable income may be limited. Similar rules may apply under state tax laws. We have experienced such ownership changes in the past, and we may experience ownership changes in the future as a result of subsequent shifts in our stock ownership, some of which are outside our control. Consequently, our ability to use our NOLs and certain other tax attributes may be limited.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the Discovery, Development, Manufacturing and Commercialization of Our Product Candidates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spacing w:after="0" w:line="6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231F20"/>
        </w:rPr>
        <w:t>Before we are able to generate any revenue from product sales, each of our programs and product candidates will require additional preclinical and/or clinical development, expansion of manufacturing capabilities and expertise, regulatory approval, building a commercial organization or successfully outsourcing commercialization, substantial investment and significant marketing efforts. Consequently, because of the substantial operational and financial investment required to further develop and commercialize our product candidates, there is a high risk of failure and we may never succeed in developing marketable products.</w:t>
      </w:r>
    </w:p>
    <w:p>
      <w:pPr>
        <w:spacing w:after="0" w:line="75"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231F20"/>
        </w:rPr>
        <w:t>If we are unable to optimize our manufacturing processes to produce product candidates that meet applicable regulatory standards, do not successfully initiate and complete our clinical trials in a timely manner or fail to achieve favorable results from our trials, we may experience significant delays or be unable to advance our programs. We cannot be certain that our clinical trials will be initiated and completed on time, if at all, or whether our planned clinical strategy will be acceptable to the FDA or comparable foreign regulatory authorities. Furthermore, any changes to our development programs may cause our product candidates to perform differently and affect the results of planned clinical trials, which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8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231F20"/>
        </w:rPr>
        <w:t>There is a high failure rate for biopharmaceutical products proceeding through clinical trials. It is not uncommon for product candidates to exhibit unforeseen safety issues or inadequate efficacy when tested in humans despite promising results in preclinical animal models or earlier clinical studies. In addition, a number of companies in the pharmaceutical and biotechnology industries have suffered significant setbacks in later stage clinical trials even after achieving promising results in earlier stage clinical trials and we may experience the same. We may also encounter regulatory delays or rejections as a result of many factors, including varying interpretations of data or changes in regulatory policy during the period of product development.</w:t>
      </w:r>
    </w:p>
    <w:p>
      <w:pPr>
        <w:spacing w:after="0" w:line="75"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231F20"/>
        </w:rPr>
        <w:t>Because of the early stage of development of our programs, our ability to eventually generate significant revenues from our product candidates, which we do not expect will occur for several years, if ever, will depend on a number of factors, including those described in the Risk Factor entitled “</w:t>
      </w:r>
      <w:r>
        <w:rPr>
          <w:rFonts w:ascii="Times New Roman" w:cs="Times New Roman" w:eastAsia="Times New Roman" w:hAnsi="Times New Roman"/>
          <w:sz w:val="18"/>
          <w:szCs w:val="18"/>
          <w:i w:val="1"/>
          <w:iCs w:val="1"/>
          <w:color w:val="231F20"/>
        </w:rPr>
        <w:t>Our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ability to generate revenue and</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 w:name="page31"/>
    <w:bookmarkEnd w:id="30"/>
    <w:p>
      <w:pPr>
        <w:spacing w:after="0" w:line="84"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231F20"/>
        </w:rPr>
        <w:t>achieve profitability depends significantly on our ability to achieve several objectives relating to the discovery, development and commercialization of our product candidates, if approved</w:t>
      </w:r>
      <w:r>
        <w:rPr>
          <w:rFonts w:ascii="Times New Roman" w:cs="Times New Roman" w:eastAsia="Times New Roman" w:hAnsi="Times New Roman"/>
          <w:sz w:val="18"/>
          <w:szCs w:val="18"/>
          <w:color w:val="231F20"/>
        </w:rPr>
        <w:t>.”</w:t>
      </w:r>
    </w:p>
    <w:p>
      <w:pPr>
        <w:spacing w:after="0" w:line="5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231F20"/>
        </w:rPr>
        <w:t>We do not have control over many of these factors, including certain aspects of the manufacturing process, preclinical and clinical development, the regulatory review process and potential threats to our intellectual property rights. If we are not successful with respect to one or more of these factors, we could experience significant delays or an inability to successfully commercialize our product candidates, which would materially harm our business.</w:t>
      </w:r>
    </w:p>
    <w:p>
      <w:pPr>
        <w:spacing w:after="0" w:line="6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231F20"/>
        </w:rPr>
        <w:t>To become and remain profitable, we must develop, obtain approval for and eventually commercialize product candidates that generate significant revenue. We do not expect to receive approval of any product candidates for many years and may never succeed in these activities. Even if we obtain approval and begin commercializing one or more of our product candidates, we may never generate revenue that is significant enough to achieve profitability, as we will continue to incur substantial research and development, manufacturing and other expenditures to develop and market additional product candidates. Even if we successfully discover and advance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manufacture, commercialize or generate significant revenue from any product candidates.</w:t>
      </w:r>
    </w:p>
    <w:p>
      <w:pPr>
        <w:spacing w:after="0" w:line="185"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6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231F20"/>
        </w:rPr>
        <w:t>We intend to discover, develop, manufacture, and commercialize gene therapy product candidates for the heart. Our product candidates may use both known capsids, such as AAV9, as well as proprietary capsids developed in-house through our own capsid engineering efforts or licensed from third parties. Furthermore, our product candidates may also use novel heart-specific promoters and we may explore different routes-of-administration involving infusion- or injection-based catheters to support targeted delivery and efficient uptake of gene therapies for the heart. We are also establishing proprietary manufacturing processes for our product candidates. Our future success depends on the successful development of these novel therapeutic approaches.</w:t>
      </w:r>
    </w:p>
    <w:p>
      <w:pPr>
        <w:spacing w:after="0" w:line="75"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231F20"/>
        </w:rPr>
        <w:t>Within the broader genetic medicine field, very few therapeutic products, including those that utilize AAV-mediated gene transfer, have received marketing authorization from the FDA, EMA or comparable foreign regulatory authorities. No AAV-based gene therapies have yet been approved for the heart, much less therapies for the heart using novel capsids or promoters or delivery methods. It is therefore difficult to determine how long it will take, how much it will cost, or how likely it will be to obtain regulatory approvals for our product candidates in the U.S., EU or other jurisdictions.</w:t>
      </w:r>
    </w:p>
    <w:p>
      <w:pPr>
        <w:spacing w:after="0" w:line="7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231F20"/>
        </w:rPr>
        <w:t>The regulatory requirements that will govern any novel gene therapy product candidate we develop are not entirely clear, have changed over time and are subject to further change. Even with respect to more established products that fit into the categories of gene therapies or cell therapies, the regulatory landscape is still developing. Changes in the regulatory authorities’ data requirements and risk mitigation methods, including requirements resulting from safety concerns raised by regulatory authorities in clinical programs of unrelated companies in the gene therapy and cardiovascular fields in general, could have a material impact on our clinical development, increase our costs, and delay or preclude regulatory approval of our product candidates. Moreover, there is substantial overlap in those responsible for regulation of existing gene therapy products and cell therapy products. For example, in the U.S., the FDA has established the Office of Tissues and Advanced Therapies within its Center for Biologics Evaluation and Research (CBER) to consolidate the review of gene therapy and related products, and the Cellular, Tissue and Gene Therapies Advisory Committee to advise CBER on its review.</w:t>
      </w:r>
    </w:p>
    <w:p>
      <w:pPr>
        <w:spacing w:after="0" w:line="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Our product candidates will need to meet safety and efficacy standards applicable to any new biologic under the regulatory framework administered by the FDA. In addition to FDA oversight and oversight by IRBs, under guidelines promulgated by the National Institutes of Health (NIH), gene therapy clinical trials are also subject to review and oversight by an institutional biosafety committee (IBC), a local institutional committee that reviews and oversees research utilizing recombinant or synthetic nucleic acid molecules at that institution. The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clinical study sites receive NIH funding</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spacing w:after="0" w:line="8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231F20"/>
        </w:rPr>
        <w:t>and many companies and other institutions not otherwise subject to the NIH guidelines voluntarily follow them. Although the FDA decides whether individual gene therapy protocols may proceed, the review process and determinations of other reviewing bodies can impede or delay the initiation of a clinical trial, even if the FDA has reviewed the trial and approved its initiation.</w:t>
      </w:r>
    </w:p>
    <w:p>
      <w:pPr>
        <w:spacing w:after="0" w:line="6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231F20"/>
        </w:rPr>
        <w:t>The same applies in the European Union (EU). The EMA’s Committee for Advanced Therapies (CAT) is responsible for assessing the quality, safety, and efficacy of advanced-therapy medicinal products. Advanced-therapy medicinal products include gene therapy medicines, somatic-cell therapy medicines and tissue- engineered medicines. The role of the CAT is to prepare a draft opinion on an application for marketing authorization for a gene therapy medicinal candidate that is submitted to the EMA. In the EU, the development and evaluation of a gene therapy product must be considered in the context of the relevant EU guidelines. The EMA may issue new guidelines concerning the development and marketing authorization for gene therapy products and require that we comply with these new guidelines. As a result, the procedures and standards applied to gene therapy products and cell therapy products in the EU may be applied to any gene therapy product candidate we may develop, but that remains uncertain at this point. Furthermore, approvals by the EMA may not be indicative of what the FDA may require for approval.</w:t>
      </w:r>
    </w:p>
    <w:p>
      <w:pPr>
        <w:spacing w:after="0" w:line="84"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231F20"/>
        </w:rPr>
        <w:t>Delay or failure to obtain, or unexpected costs in obtaining, the regulatory approvals necessary to bring a potential gene therapy product to market could decrease our ability to generate sufficient product revenue and our business, financial condition, results of operations and prospects could be materially harmed.</w:t>
      </w:r>
    </w:p>
    <w:p>
      <w:pPr>
        <w:spacing w:after="0" w:line="68"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231F20"/>
        </w:rPr>
        <w:t>Adverse developments in preclinical studies or clinical trials conducted by others in the field of gene therapy and gene regulation products may cause the FDA, EMA, and other regulatory bodies to revise the requirements for the conduct of the clinical trials and approval of our product candidates or limit the use of products utilizing gene regulation technologies, either of which could harm our business. For example, the FDA has imposed clinical holds on various clinical trials of gene therapy product candidates being developed by other companies. In addition, the clinical trial requirements of the FDA,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 Further, as we are developing novel potential treatments for diseases in which, in some cases, there is little clinical experience with potential new endpoints and methodologies, there is heightened risk that the FDA, EMA or other regulatory bodies may not consider the clinical trial endpoints to provide clinically meaningful results, and the resulting clinical data and results may be more difficult to analyze. In addition, we may not be able to identify or develop appropriate animal disease models to enable or support planned clinical development. Any natural history studies that we may conduct or rely upon in our clinical development may not be accepted by the FDA, EMA or other regulatory authorities. Regulatory agencies administering existing or future regulations or legislation may not allow production and marketing of products utilizing gene regulation technology in a timely manner or under technically or commercially feasible conditions. In addition, regulatory action or private litigation could result in expenses, delays, or other impediments to our research programs or the commercialization of resulting products. Further, approvals by one regulatory agency may not be indicative of what other regulatory agencies may require for approval.</w:t>
      </w:r>
    </w:p>
    <w:p>
      <w:pPr>
        <w:spacing w:after="0" w:line="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The regulatory review committees and advisory groups described above and the new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our product candidates, or lead to significant post-approval limitations or restrictions. As we advance our research programs and develop our product candidates, we will be required to consult with these regulatory and advisory groups and to comply with applicable guidelines. If we fail to do so, we may be required to delay or discontinue development of our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product candidates in a timely manner, if at all.</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2" w:name="page33"/>
    <w:bookmarkEnd w:id="32"/>
    <w:p>
      <w:pPr>
        <w:spacing w:after="0" w:line="19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mechanisms of action of our product candidates are unproven, and we do not know whether we will be able to develop any drug of commercial value.</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231F20"/>
        </w:rPr>
        <w:t>We have discovered and are developing product candidates that have what we believe are novel mechanisms of action. Because no currently-approved drugs appear to operate via the same biochemical mechanisms as our compounds, we cannot be certain that our product candidates will result in commercially viable drugs that safely and effectively treat the indications for which we intend to develop them. The results we see for our compounds in preclinical models may not be replicated in subsequent preclinical studies or translate into similar results in humans in clinical trials, and results of early clinical trials in humans may not be predictive of the results of larger clinical trials or post-marketing studies that may later be conducted with our product candidates. As an example, patients may develop antibodies against the product candidates, or the product candidates may otherwise have a more limited duration of therapeutic effect than anticipated, resulting in decreased efficacy over time, which could delay approval and, if approved, limit the ultimate commercial value. Even if we are successful in developing and receiving regulatory approval for a product candidate for the treatment of a particular disease, we cannot be certain that it will be accepted by prescribers or be reimbursed by insurers or that we will also be able to develop and receive regulatory approval for that or other product candidates for the treatment of other diseases. If we are unable to successfully develop and commercialize our product candidates, our business will be materially harmed.</w:t>
      </w:r>
    </w:p>
    <w:p>
      <w:pPr>
        <w:spacing w:after="0" w:line="8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231F20"/>
        </w:rPr>
        <w:t>Moreover, in the event any of our competitors were to develop their own product candidates that have a similar mechanism of action to any of our product candidates, any efficacy or safety concerns identified during the development of such similar product candidates may have an adverse impact on the development of our product candidates. For example, if our competitors’ product candidate having a similar mechanism of action as any of our product candidates is shown in clinical trials to give rise to serious safety concerns or have poor efficacy when administered to the target patient population, the FDA or other regulatory bodies may subject our product candidates to increased scrutiny, leading to additional delays in development and potentially decreasing the chance of ultimate approval of our product candidates.</w:t>
      </w:r>
    </w:p>
    <w:p>
      <w:pPr>
        <w:spacing w:after="0" w:line="18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231F20"/>
        </w:rPr>
        <w:t>Drug development involves a lengthy and expensive process with an uncertain outcome. The preclinical studies, clinical trials and post-marketing studies of our product candidates may not demonstrate safety and efficacy to the satisfaction of the FDA,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Preclinical and </w:t>
      </w:r>
      <w:r>
        <w:rPr>
          <w:rFonts w:ascii="Times New Roman" w:cs="Times New Roman" w:eastAsia="Times New Roman" w:hAnsi="Times New Roman"/>
          <w:sz w:val="18"/>
          <w:szCs w:val="18"/>
          <w:color w:val="231F20"/>
        </w:rPr>
        <w:t>clinical testing is expensive, difficult to design and implement, can take many years to complete and its ultimate outcome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uncertain. We cannot guarantee that any of our preclinical studies or clinical trials will be initiated, conducted or completed on schedule or as planned, or at all. </w:t>
      </w:r>
      <w:r>
        <w:rPr>
          <w:rFonts w:ascii="Times New Roman" w:cs="Times New Roman" w:eastAsia="Times New Roman" w:hAnsi="Times New Roman"/>
          <w:sz w:val="18"/>
          <w:szCs w:val="18"/>
          <w:color w:val="000000"/>
        </w:rPr>
        <w:t>Failure can occur at any stage of testing.</w:t>
      </w:r>
      <w:r>
        <w:rPr>
          <w:rFonts w:ascii="Times New Roman" w:cs="Times New Roman" w:eastAsia="Times New Roman" w:hAnsi="Times New Roman"/>
          <w:sz w:val="18"/>
          <w:szCs w:val="18"/>
          <w:color w:val="231F20"/>
        </w:rPr>
        <w:t xml:space="preserve"> Such failure may result from a multitude of factors, including, among other things, flaws in study design, dose selection issues, placebo effects, patient enrollment criteria, novel assay design and failure to demonstrate favorable safety or efficacy traits, which could delay or prevent the submission of an IND or CTA, initiation of a clinical trial, receipt of marketing approval or our ability to commercialize our product candidates, or require us to suspended or terminate further development of our product candidates. Moreover, the outcome of preclinical studies and early-stage clinical trials may not be predictive of the success of later clinical trials. For example, our product candidates may fail to show the desired safety and efficacy in clinical development despite positive results in preclinical studies or having successfully advanced through initial clinical trials. As a result, we cannot assure you that any preclinical studies, clinical trials or post-marketing studies that we conduct will demonstrate consistent or adequate efficacy and safety to support marketing approval.</w:t>
      </w:r>
    </w:p>
    <w:p>
      <w:pPr>
        <w:spacing w:after="0" w:line="8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231F20"/>
        </w:rPr>
        <w:t>Further, FDA and other regulatory authorities may implement new policies and regulations on clinical trials. For example, the EU Clinical Trials Regulation (CTR), which repealed the EU Clinical Trials Directive, became applicable on January 31, 2022, and provided a three-year transition period. The CTR streamlined the processes for applying for authorization and supervision of clinical trials in the EU. Any clinical trial we initiate in the EU in the future will become subject to the provisions of the CTR. Compliance with the CTR requirements by us, our collaborators and third-party service providers, such as contract research organizations, may increase our clinical trial costs and impact the timeline of our development plans. If we are slow or unable to adapt to changes in clinical trial requirements or the adoption of new requirements or policies governing clinical trials, our development plans may be negatively impacted.</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3" w:name="page34"/>
    <w:bookmarkEnd w:id="33"/>
    <w:p>
      <w:pPr>
        <w:spacing w:after="0" w:line="8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This is particularly true for clinical trials in very rare diseases, such as with certain indications we are pursuing, where the very small patient population makes it difficult or impossible to conduct two traditional, adequate and well-controlled studies, and therefore the FDA or comparable foreign regulatory authorities are often permitted to exercise flexibility in approving therapies for such diseases.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we may be required to expend significant resources, which may not be available to us, to conduct additional trials in support of potential approval of our product candidates. Furthermore, the failure of any of our product candidates to demonstrate safety and efficacy in any clinical trial could negatively impact the perception of our other product candidates and/or cause the FDA or comparable regulatory authorities to require additional testing before approving any of our product candidates.</w:t>
      </w:r>
    </w:p>
    <w:p>
      <w:pPr>
        <w:spacing w:after="0" w:line="8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231F20"/>
        </w:rPr>
        <w:t>We may experience numerous unforeseen events during, or as a result of, preclinical studies, clinical trials or post-marketing studies that could delay or prevent receipt of marketing approval or our ability to commercialize our product candidates, including:</w:t>
      </w:r>
    </w:p>
    <w:p>
      <w:pPr>
        <w:spacing w:after="0" w:line="52"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inability to generate sufficient preclinical, toxicology, or other </w:t>
      </w:r>
      <w:r>
        <w:rPr>
          <w:rFonts w:ascii="Times New Roman" w:cs="Times New Roman" w:eastAsia="Times New Roman" w:hAnsi="Times New Roman"/>
          <w:sz w:val="18"/>
          <w:szCs w:val="18"/>
          <w:i w:val="1"/>
          <w:iCs w:val="1"/>
          <w:color w:val="231F20"/>
        </w:rPr>
        <w:t>in vivo</w:t>
      </w:r>
      <w:r>
        <w:rPr>
          <w:rFonts w:ascii="Times New Roman" w:cs="Times New Roman" w:eastAsia="Times New Roman" w:hAnsi="Times New Roman"/>
          <w:sz w:val="18"/>
          <w:szCs w:val="18"/>
          <w:color w:val="231F20"/>
        </w:rPr>
        <w:t xml:space="preserve"> or </w:t>
      </w:r>
      <w:r>
        <w:rPr>
          <w:rFonts w:ascii="Times New Roman" w:cs="Times New Roman" w:eastAsia="Times New Roman" w:hAnsi="Times New Roman"/>
          <w:sz w:val="18"/>
          <w:szCs w:val="18"/>
          <w:i w:val="1"/>
          <w:iCs w:val="1"/>
          <w:color w:val="231F20"/>
        </w:rPr>
        <w:t>in vitro</w:t>
      </w:r>
      <w:r>
        <w:rPr>
          <w:rFonts w:ascii="Times New Roman" w:cs="Times New Roman" w:eastAsia="Times New Roman" w:hAnsi="Times New Roman"/>
          <w:sz w:val="18"/>
          <w:szCs w:val="18"/>
          <w:color w:val="231F20"/>
        </w:rPr>
        <w:t xml:space="preserve"> data to support the initiation of clinical trials;</w:t>
      </w:r>
    </w:p>
    <w:p>
      <w:pPr>
        <w:spacing w:after="0" w:line="119"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in sufficiently developing, characterizing or controlling a manufacturing process suitable for clinical trials;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receipt of feedback from regulatory authorities that requires us to modify the design of our preclinical or clinical trials;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preclinical study or clinical trial observations or results that require us to modify the design of our clinical trials;</w:t>
      </w:r>
    </w:p>
    <w:p>
      <w:pPr>
        <w:spacing w:after="0" w:line="117" w:lineRule="exact"/>
        <w:rPr>
          <w:rFonts w:ascii="Times New Roman" w:cs="Times New Roman" w:eastAsia="Times New Roman" w:hAnsi="Times New Roman"/>
          <w:sz w:val="18"/>
          <w:szCs w:val="18"/>
          <w:color w:val="231F20"/>
        </w:rPr>
      </w:pPr>
    </w:p>
    <w:p>
      <w:pPr>
        <w:ind w:left="1020" w:right="60" w:hanging="503"/>
        <w:spacing w:after="0" w:line="282" w:lineRule="auto"/>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negative or inconclusive preclinical study or clinical trial results that may require us to conduct additional preclinical studies or clinical trials or abandon certain research and/or drug development programs;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extended IRB, IBC and/or EC review process, or inability to obtain approval from one or more of these committees;</w:t>
      </w:r>
    </w:p>
    <w:p>
      <w:pPr>
        <w:spacing w:after="0" w:line="117" w:lineRule="exact"/>
        <w:rPr>
          <w:rFonts w:ascii="Times New Roman" w:cs="Times New Roman" w:eastAsia="Times New Roman" w:hAnsi="Times New Roman"/>
          <w:sz w:val="18"/>
          <w:szCs w:val="18"/>
          <w:color w:val="231F20"/>
        </w:rPr>
      </w:pPr>
    </w:p>
    <w:p>
      <w:pPr>
        <w:ind w:left="1020" w:right="520" w:hanging="503"/>
        <w:spacing w:after="0" w:line="266" w:lineRule="auto"/>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number of patients required for clinical trials being larger than anticipated, enrollment in these clinical trials being slower than anticipated, participants dropping out of these clinical trials at a higher rate than anticipated, or more patients failing to meet eligibility criteria than anticipated;</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failure or delay in reaching an agreement with CROs and clinical trial sites;</w:t>
      </w:r>
    </w:p>
    <w:p>
      <w:pPr>
        <w:spacing w:after="0" w:line="117" w:lineRule="exact"/>
        <w:rPr>
          <w:rFonts w:ascii="Times New Roman" w:cs="Times New Roman" w:eastAsia="Times New Roman" w:hAnsi="Times New Roman"/>
          <w:sz w:val="18"/>
          <w:szCs w:val="18"/>
          <w:color w:val="231F20"/>
        </w:rPr>
      </w:pPr>
    </w:p>
    <w:p>
      <w:pPr>
        <w:ind w:left="1020" w:right="240" w:hanging="503"/>
        <w:spacing w:after="0" w:line="266" w:lineRule="auto"/>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the suspension or termination of our clinical trials, as a result of </w:t>
      </w:r>
      <w:r>
        <w:rPr>
          <w:rFonts w:ascii="Times New Roman" w:cs="Times New Roman" w:eastAsia="Times New Roman" w:hAnsi="Times New Roman"/>
          <w:sz w:val="18"/>
          <w:szCs w:val="18"/>
          <w:color w:val="000000"/>
        </w:rPr>
        <w:t>a clinical hold by regulatory authorities or a voluntary pause,</w:t>
      </w:r>
      <w:r>
        <w:rPr>
          <w:rFonts w:ascii="Times New Roman" w:cs="Times New Roman" w:eastAsia="Times New Roman" w:hAnsi="Times New Roman"/>
          <w:sz w:val="18"/>
          <w:szCs w:val="18"/>
          <w:color w:val="231F20"/>
        </w:rPr>
        <w:t xml:space="preserve"> for various reasons, including a finding that our product candidates have undesirable side effects or other unfavorable or unexpected characteristics or risks or non-compliance with regulatory requirements;</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to clinical trial protocol;</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clinical sites deviating from trial protocol or dropping out of a trial;</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of preclinical studies or clinical trials being greater than anticipated;</w:t>
      </w:r>
    </w:p>
    <w:p>
      <w:pPr>
        <w:spacing w:after="0" w:line="117" w:lineRule="exact"/>
        <w:rPr>
          <w:rFonts w:ascii="Times New Roman" w:cs="Times New Roman" w:eastAsia="Times New Roman" w:hAnsi="Times New Roman"/>
          <w:sz w:val="18"/>
          <w:szCs w:val="18"/>
          <w:color w:val="231F20"/>
        </w:rPr>
      </w:pPr>
    </w:p>
    <w:p>
      <w:pPr>
        <w:ind w:left="1020" w:right="680" w:hanging="503"/>
        <w:spacing w:after="0" w:line="282" w:lineRule="auto"/>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supply or quality of our product candidates or other materials necessary to conduct clinical trials of our product candidates being insufficient or inadequate or slower than anticipated;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4" w:name="page35"/>
    <w:bookmarkEnd w:id="34"/>
    <w:p>
      <w:pPr>
        <w:spacing w:after="0" w:line="86"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subjects experiencing serious, severe, unexpected or otherwise important drug-related or study-related adverse effects;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selection of clinical end points that require prolonged periods of clinical observation or analysis of the resulting data;</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inaccurate clinical data entry or reporting by clinical sites;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variability of efficacy assessments;</w:t>
      </w:r>
    </w:p>
    <w:p>
      <w:pPr>
        <w:spacing w:after="0" w:line="117" w:lineRule="exact"/>
        <w:rPr>
          <w:rFonts w:ascii="Times New Roman" w:cs="Times New Roman" w:eastAsia="Times New Roman" w:hAnsi="Times New Roman"/>
          <w:sz w:val="18"/>
          <w:szCs w:val="18"/>
          <w:color w:val="231F20"/>
        </w:rPr>
      </w:pPr>
    </w:p>
    <w:p>
      <w:pPr>
        <w:ind w:left="1020" w:right="180" w:hanging="503"/>
        <w:spacing w:after="0" w:line="266" w:lineRule="auto"/>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facility manufacturing our product candidates or any of their components being ordered by the FDA or comparable foreign regulatory authorities to temporarily or permanently shut down due to violations of cGMPs, regulations or other applicable requirements, or infections or cross-contaminations of product candidates in the manufacturing process;</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changes to our manufacturing process that may be necessary or desired;</w:t>
      </w:r>
    </w:p>
    <w:p>
      <w:pPr>
        <w:spacing w:after="0" w:line="117" w:lineRule="exact"/>
        <w:rPr>
          <w:rFonts w:ascii="Times New Roman" w:cs="Times New Roman" w:eastAsia="Times New Roman" w:hAnsi="Times New Roman"/>
          <w:sz w:val="18"/>
          <w:szCs w:val="18"/>
          <w:color w:val="231F20"/>
        </w:rPr>
      </w:pPr>
    </w:p>
    <w:p>
      <w:pPr>
        <w:ind w:left="1020" w:right="280" w:hanging="503"/>
        <w:spacing w:after="0" w:line="282" w:lineRule="auto"/>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third-party clinical investigators losing the licenses or permits necessary to perform our clinical trials, not performing our clinical trials on our anticipated schedule or consistent with the clinical trial protocol, Good Clinical Practices (GCP) or other regulatory requirements;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third-party contractors not performing data collection or analysis in a timely or accurate manner;</w:t>
      </w:r>
    </w:p>
    <w:p>
      <w:pPr>
        <w:spacing w:after="0" w:line="117" w:lineRule="exact"/>
        <w:rPr>
          <w:rFonts w:ascii="Times New Roman" w:cs="Times New Roman" w:eastAsia="Times New Roman" w:hAnsi="Times New Roman"/>
          <w:sz w:val="18"/>
          <w:szCs w:val="18"/>
          <w:color w:val="231F20"/>
        </w:rPr>
      </w:pPr>
    </w:p>
    <w:p>
      <w:pPr>
        <w:jc w:val="both"/>
        <w:ind w:left="1020" w:right="20" w:hanging="503"/>
        <w:spacing w:after="0" w:line="266" w:lineRule="auto"/>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regulators revising the requirements for approving our product candidates;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 unsuccessful post-marketing study or failure to complete such a study;</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absence in some countries of established groups with sufficient regulatory expertise for review of AAV gene therapy protocols; and</w:t>
      </w:r>
    </w:p>
    <w:p>
      <w:pPr>
        <w:spacing w:after="0" w:line="117" w:lineRule="exact"/>
        <w:rPr>
          <w:rFonts w:ascii="Times New Roman" w:cs="Times New Roman" w:eastAsia="Times New Roman" w:hAnsi="Times New Roman"/>
          <w:sz w:val="18"/>
          <w:szCs w:val="18"/>
          <w:color w:val="231F20"/>
        </w:rPr>
      </w:pPr>
    </w:p>
    <w:p>
      <w:pPr>
        <w:ind w:left="1020" w:right="140" w:hanging="503"/>
        <w:spacing w:after="0" w:line="282" w:lineRule="auto"/>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potential burden of complying with a variety of foreign laws, medical standards and regulatory requirements, including the regulation of pharmaceutical and biotechnology products and treatment.</w:t>
      </w:r>
    </w:p>
    <w:p>
      <w:pPr>
        <w:spacing w:after="0" w:line="5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231F20"/>
        </w:rPr>
        <w:t>To the extent we pursue any pediatric indications or expand any approved drug product labeling to include pediatric populations, we may face additional challenges associated with clinical testing in pediatric populations, which can increase our operational costs, delay regulatory approval and commercialization, or expose us to additional liability. For example, finding qualified clinical sites that have access to sufficient pediatric populations and that are interested in participating in our clinical trials may take more time than adult indications. There may be fewer eligible patients with the target genetic disorder or heart disease or condition applicable to our product candidate for our planned clinical trials. This may increase the time needed to enroll patients for our planned pediatric clinical trials, increase our clinical development timelines, delay approval for such pediatric indications, and increase our operational costs. We may also be required to modify the formulation or other aspects of the product candidate, as compared to the comparable product candidate intended for adult patient populations, make manufacturing changes, modify route of administration, and conduct additional clinical trials, such as bridging studies and additional safety studies before we can commence our clinical trials in pediatric populations. The FDA or other health authorities may require us to complete studies in adults prior to initiating testing in children. Any delays in our planned clinical development activities for pediatric patients could have an adverse effect on our business operations.</w:t>
      </w:r>
    </w:p>
    <w:p>
      <w:pPr>
        <w:spacing w:after="0" w:line="8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If we are required to conduct additional preclinical studies or clinical trials or other testing of our product candidates beyond those that we currently contemplate, if we are unable to successfully complete preclinical studies or clinical trials of our product candidates or other testing in a timely manner and if the results of these studies, trials or tests are not positive or are only modestly positive or if there are safety concerns, we may incur unplanned costs and be delayed in sub</w:t>
      </w:r>
      <w:r>
        <w:rPr>
          <w:rFonts w:ascii="Times New Roman" w:cs="Times New Roman" w:eastAsia="Times New Roman" w:hAnsi="Times New Roman"/>
          <w:sz w:val="18"/>
          <w:szCs w:val="18"/>
          <w:color w:val="000000"/>
        </w:rPr>
        <w:t>mitting an IND, initiating clinical trials or seek</w:t>
      </w:r>
      <w:r>
        <w:rPr>
          <w:rFonts w:ascii="Times New Roman" w:cs="Times New Roman" w:eastAsia="Times New Roman" w:hAnsi="Times New Roman"/>
          <w:sz w:val="18"/>
          <w:szCs w:val="18"/>
          <w:color w:val="231F20"/>
        </w:rPr>
        <w:t>ing and obtaining marketing approval. We may also decide to change the design or protocol of one or more of our planned clinical trials, which could result in increased costs and expenses and/or delays. Any delays in initiating or completing our preclinical studies or clinical trials will increase our costs, slow down our development and approval process and jeopardize our ability to</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8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231F20"/>
        </w:rPr>
        <w:t>commence product sales and generate revenues, including by shortening any period during which we may have the exclusive right to commercialize our product candidates and permitting our competitors to bring products to market before we do. If we receive approval, it is possible that we may receive limited or restrictive marketing approval, be subject to additional post-marketing testing requirements or have the drug removed from the market after obtaining marketing approval.</w:t>
      </w:r>
    </w:p>
    <w:p>
      <w:pPr>
        <w:spacing w:after="0" w:line="72"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231F20"/>
        </w:rPr>
        <w:t>Moreover, in the future,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 which may harm our business, financial condition and prospects significantly.</w:t>
      </w:r>
    </w:p>
    <w:p>
      <w:pPr>
        <w:spacing w:after="0" w:line="18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Our product candidates may cause serious adverse events, toxicities or other undesirable side effects when used alone or in combination with other approved products or investigational new drugs that may result in a safety profile that could delay or prevent regulatory approval or market acceptance, or even if approval is received, require them to be taken off the market, include new safety warnings, contraindications or precautions, or otherwise limit their commercial potential or result in significant negative consequences.</w:t>
      </w:r>
    </w:p>
    <w:p>
      <w:pPr>
        <w:spacing w:after="0" w:line="72"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7"/>
          <w:szCs w:val="17"/>
          <w:color w:val="auto"/>
        </w:rPr>
        <w:t>We are developing novel therapies for the treatment of heart disease. As a result, there is uncertainty as to the safety profile of product candidates we may develop. Patients in our clinical trials have suffered and may continue to suffer adverse events, including serious adverse events or other side effects, including those not observed in our preclinical studies or previous clinical trials. Patients treated with our product candidates may also be undergoing other therapies or procedures which can cause side effects or adverse events that are unrelated to our product candidates but may still impact the success of our clinical trials. The inclusion of critically ill patients in our clinical trials may result in deaths or other adverse medical events, either during the course of or after participating in such trials. These events may be due to one or more factors, including, without limitation, other therapies or medications that such patients may be using, the drug product formulation of our product candidates, complications arising from protocol regimens, the method of delivery of our product candidates or simply due to the gravity of such patients’ illnesses. In some cases, it may not be clear if an adverse event is due to the product candidate, another therapy, the underlying disease, or another cause, and causality may be incorrectly attributed to the product candidate</w:t>
      </w:r>
      <w:r>
        <w:rPr>
          <w:rFonts w:ascii="Times New Roman" w:cs="Times New Roman" w:eastAsia="Times New Roman" w:hAnsi="Times New Roman"/>
          <w:sz w:val="17"/>
          <w:szCs w:val="17"/>
          <w:color w:val="231F20"/>
        </w:rPr>
        <w:t>.</w:t>
      </w:r>
    </w:p>
    <w:p>
      <w:pPr>
        <w:spacing w:after="0" w:line="65" w:lineRule="exact"/>
        <w:rPr>
          <w:sz w:val="20"/>
          <w:szCs w:val="20"/>
          <w:color w:val="auto"/>
        </w:rPr>
      </w:pPr>
    </w:p>
    <w:p>
      <w:pPr>
        <w:ind w:right="20" w:firstLine="509"/>
        <w:spacing w:after="0" w:line="268" w:lineRule="auto"/>
        <w:rPr>
          <w:sz w:val="20"/>
          <w:szCs w:val="20"/>
          <w:color w:val="auto"/>
        </w:rPr>
      </w:pPr>
      <w:r>
        <w:rPr>
          <w:rFonts w:ascii="Times New Roman" w:cs="Times New Roman" w:eastAsia="Times New Roman" w:hAnsi="Times New Roman"/>
          <w:sz w:val="17"/>
          <w:szCs w:val="17"/>
          <w:color w:val="231F20"/>
        </w:rPr>
        <w:t>Serious adverse events or other side effects observed in any of our clinical trials, or similar trials by other sponsors, may result in difficulty recruiting patients to the clinical trials, cause patients to drop out of our trials, or require that we abandon the trials or our development efforts of that product candidate altogether. We, the FDA, EMA, other comparable regulatory authorities or an IRB may suspend clinical trials of a product candidate at any time for various reasons, including a belief that subjects in such trials are being exposed to unacceptable health risks or adverse side effects or that the expected benefit does not justify the risk. Some potential therapeutics developed in the biotechnology industry that initially showed therapeutic promise in early-stage trials have later been found to cause side effects that prevented their further development. There is no guarantee that our product candidates will not have side effects similar to those seen in other gene therapies or that we will be able to prevent such side effects from escalating to an unsafe level for our patients. Even if the side effects do not preclude the product candidate from obtaining or maintaining marketing approval, undesirable side effects may inhibit market acceptance due to its tolerability versus other therapies, result in marketing approval with restrictive label warnings or for limited patient populations, or result in potential product liability claims. Any of these developments could materially harm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No regulatory agency has made any determination that any of our product candidates or discovery programs is safe or effective for use by the general public for any indication. We cannot predict whether our product candidates will cause toxicities in humans that would preclude regulatory</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6" w:name="page37"/>
    <w:bookmarkEnd w:id="36"/>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approval, of if approved, lead to the revocation of regulatory approval based on preclinical studies or early-stage clinical trials.</w:t>
      </w:r>
    </w:p>
    <w:p>
      <w:pPr>
        <w:spacing w:after="0" w:line="22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outcome of preclinical studies and early clinical trials may not be predictive of the success of later clinical trials, and the results of our clinical trials may not satisfy the requirements of the FDA, EMA or other comparable foreign regulatory authorities.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We will be required to demonstrate with substantial evidence through well-controlled clinical trials that our product candidates are safe and effective for use in a diverse population before we can seek marketing approvals for their commercial sale. Success in preclinical studies and early-stage clinical trials does not mean that future clinical trials will be successful. For instance, we do not know whether any of our product candidates will perform in our current or future preclinical studies or future clinical trials as it has in prior preclinical studies or earlier clinical trials. Product candidates in clinical trials may fail to demonstrate sufficient safety and efficacy to the satisfaction of the FDA, EMA and other comparable foreign regulatory authorities despite having progressed through preclinical studies. Regulatory authorities may also limit the scope of later-stage trials until we have demonstrated satisfactory safety, which could delay regulatory approval, limit the size of the patient population to which we may market our product candidates, or prevent regulatory approval.</w:t>
      </w:r>
    </w:p>
    <w:p>
      <w:pPr>
        <w:spacing w:after="0" w:line="8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other therapies and may be using other approved products or investigational new drugs, which can cause side effects or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 and success in one trial does not ensure success in the next.</w:t>
      </w:r>
    </w:p>
    <w:p>
      <w:pPr>
        <w:spacing w:after="0" w:line="8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231F20"/>
        </w:rPr>
        <w:t>We do not know whether any clinical trials we may conduct will demonstrate consistent or adequate efficacy and safety sufficient to obtain approval to market any of our product candidates.</w:t>
      </w:r>
    </w:p>
    <w:p>
      <w:pPr>
        <w:spacing w:after="0" w:line="158"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experience delays or difficulties in the enrollment and/or maintenance of patients in clinical trials, our regulatory submissions or receipt of necessary marketing approvals could be delayed or prevented.</w:t>
      </w:r>
    </w:p>
    <w:p>
      <w:pPr>
        <w:spacing w:after="0" w:line="5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231F20"/>
        </w:rPr>
        <w:t>We may not be able to initiate or continue clinical trials for our product candidates if we are unable to locate and enroll a sufficient number of eligible patients to participate in these trials to such trial’s conclusion. Patient enrollment and retention are significant factors in the timing of clinical trials and our ability to enroll eligible patients may be limited or slower than we anticipate.</w:t>
      </w:r>
    </w:p>
    <w:p>
      <w:pPr>
        <w:spacing w:after="0" w:line="68"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231F20"/>
        </w:rPr>
        <w:t>We are developing product candidates for the treatment of heart disease, including for certain indications, such as rare genetic diseases, that have limited patient pools from which to draw for clinical trials. We also may encounter difficulties in identifying and enrolling patients with a stage of disease appropriate for our planned clinical trials and monitoring such subjects adequately during and after treatment. The process of finding and diagnosing patients may prove costly. Further, the treating physicians in our clinical trials may also use their medical discretion in advising patients enrolled in our clinical trials to withdraw from our studies to try alternative therapies. Patients also have the right to withdraw from our clinical trials for any reason. Additionally, the FDA, EMA or other comparable foreign regulatory authorities may require long-term follow-up assessments for a certain number of patients, which could delay marketing approval.</w:t>
      </w:r>
    </w:p>
    <w:p>
      <w:pPr>
        <w:spacing w:after="0" w:line="8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231F20"/>
        </w:rPr>
        <w:t>We expect patient enrollment to be affected because our competitors have ongoing clinical trials for programs that are under development for the same indications as our product candidates, and patients who would otherwise be eligible for our clinical trials could instead enroll in clinical trials of our competitors’ programs. Patient enrollment for our clinical trials may be affected by other factors, including:</w:t>
      </w:r>
    </w:p>
    <w:p>
      <w:pPr>
        <w:spacing w:after="0" w:line="68"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size and nature of the patient population;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perceived risks and benefits of novel, unproven approaches;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severity of the disease under investigation;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86"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availability and efficacy of approved drugs for the disease under investigation;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ongoing clinical trials evaluating other product candidates in the same disease under investigation;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patient eligibility criteria for the trial in question as defined in the protocol;</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perceived risks and benefits of the product candidate under study;</w:t>
      </w:r>
    </w:p>
    <w:p>
      <w:pPr>
        <w:spacing w:after="0" w:line="117" w:lineRule="exact"/>
        <w:rPr>
          <w:rFonts w:ascii="Times New Roman" w:cs="Times New Roman" w:eastAsia="Times New Roman" w:hAnsi="Times New Roman"/>
          <w:sz w:val="18"/>
          <w:szCs w:val="18"/>
          <w:color w:val="231F20"/>
        </w:rPr>
      </w:pPr>
    </w:p>
    <w:p>
      <w:pPr>
        <w:jc w:val="both"/>
        <w:ind w:left="1020" w:right="520" w:hanging="503"/>
        <w:spacing w:after="0" w:line="266" w:lineRule="auto"/>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clinicians’ and patients’ perceptions as to the potential advantages of the product candidate being studied in relation to other available therapies, including any new products that may be approved or other product candidates being investigated for the indications we are investigating;</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patient referral practices of physicians;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challenges associated with recruiting eligible patients;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ability to monitor patients adequately during and after treatment;</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activities of key opinion leaders (KOLs) and patient advocacy groups;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proximity and availability of clinical trial sites for prospective patients and the ability of patients to travel to these sites;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burden of the study protocol on patients, including conflicts with their work, family and personal activities; and</w:t>
      </w:r>
    </w:p>
    <w:p>
      <w:pPr>
        <w:spacing w:after="0" w:line="117" w:lineRule="exact"/>
        <w:rPr>
          <w:rFonts w:ascii="Times New Roman" w:cs="Times New Roman" w:eastAsia="Times New Roman" w:hAnsi="Times New Roman"/>
          <w:sz w:val="18"/>
          <w:szCs w:val="18"/>
          <w:color w:val="231F20"/>
        </w:rPr>
      </w:pPr>
    </w:p>
    <w:p>
      <w:pPr>
        <w:ind w:left="1020" w:right="220" w:hanging="503"/>
        <w:spacing w:after="0" w:line="282" w:lineRule="auto"/>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risk that patients enrolled in clinical trials will drop out of the trials before completion or, because they may have an advanced disease, will not survive the full terms of the clinical trials.</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176"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spacing w:after="0" w:line="7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231F20"/>
        </w:rPr>
        <w:t xml:space="preserve">Due to the significant resources required for the development of product candidates, in particular our product candidates in clinical trials, we must decide which programs, product candidates and indications to pursue and advance the amount of resources to allocate to each. For example, in connection with our cost containment measures, including </w:t>
      </w:r>
      <w:r>
        <w:rPr>
          <w:rFonts w:ascii="Times New Roman" w:cs="Times New Roman" w:eastAsia="Times New Roman" w:hAnsi="Times New Roman"/>
          <w:sz w:val="18"/>
          <w:szCs w:val="18"/>
          <w:color w:val="000000"/>
        </w:rPr>
        <w:t>the Workforce Reduction, we are prioritizing the ongoing clinical development of our lead gene therapy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programs. </w:t>
      </w:r>
      <w:r>
        <w:rPr>
          <w:rFonts w:ascii="Times New Roman" w:cs="Times New Roman" w:eastAsia="Times New Roman" w:hAnsi="Times New Roman"/>
          <w:sz w:val="18"/>
          <w:szCs w:val="18"/>
          <w:color w:val="231F20"/>
        </w:rPr>
        <w:t>Our decisions concerning the allocation of research, development, collaboration, management and financial resources toward particular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programs, product candidates or therapeutic areas may not lead to the development of any viable commercial product and may result in the diversion of resources away from better opportunities. Similarly, our potential decisions to delay, terminate or collaborate with third parties in respect of certain platforms, programs or product candidates may subsequently also prove to be less than optimal and could cause us to miss valuable opportunities. If we make incorrect determinations regarding the viability or market potential of any of our programs or product candidates or misread trends in the biotechnology industry, in particular in the field of cardiology, our business could be seriously harmed. As a result, we may fail to capitalize on viable commercial products or profitable market opportunities, be required to forego or delay pursuit of opportunities with other programs, product candidates or other diseases that may later prove to have greater commercial potential than those we choose to pursue, or relinquish valuable rights to our platforms or product candidates through collaboration, licensing or other royalty arrangements in cases in which it would have been advantageous for us to invest additional resources to retain sole development and commercialization rights.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8" w:name="page39"/>
    <w:bookmarkEnd w:id="38"/>
    <w:p>
      <w:pPr>
        <w:spacing w:after="0" w:line="19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face significant competition and if our competitors develop and market technologies or products more rapidly than we do or that are more effective, safer or less expensive than the products we develop, our commercial opportunities will be negatively impacted.</w:t>
      </w:r>
    </w:p>
    <w:p>
      <w:pPr>
        <w:spacing w:after="0" w:line="51" w:lineRule="exact"/>
        <w:rPr>
          <w:sz w:val="20"/>
          <w:szCs w:val="20"/>
          <w:color w:val="auto"/>
        </w:rPr>
      </w:pPr>
    </w:p>
    <w:p>
      <w:pPr>
        <w:ind w:firstLine="509"/>
        <w:spacing w:after="0" w:line="277" w:lineRule="auto"/>
        <w:rPr>
          <w:sz w:val="20"/>
          <w:szCs w:val="20"/>
          <w:color w:val="auto"/>
        </w:rPr>
      </w:pPr>
      <w:r>
        <w:rPr>
          <w:rFonts w:ascii="Times New Roman" w:cs="Times New Roman" w:eastAsia="Times New Roman" w:hAnsi="Times New Roman"/>
          <w:sz w:val="17"/>
          <w:szCs w:val="17"/>
          <w:color w:val="231F20"/>
        </w:rPr>
        <w:t>The biotechnology and biopharmaceutical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w:t>
      </w:r>
    </w:p>
    <w:p>
      <w:pPr>
        <w:spacing w:after="0" w:line="60"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231F20"/>
        </w:rPr>
        <w:t>We have competitors both in the U.S. and internationally, including major multinational pharmaceutical companies, established biotechnology companies, specialty pharmaceutical companies, emerging and start-up companies, universities and other research institutions. We face competition in recruiting personnel, establishing clinical trial sites, enrolling subjects for clinical trials and in identifying and in-licensing new product candidates.</w:t>
      </w:r>
    </w:p>
    <w:p>
      <w:pPr>
        <w:spacing w:after="0" w:line="6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We expect to face competition from existing products and products in development for each of our programs and anticipate substantial direct competition from a variety of competitors. 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our field before we do.</w:t>
      </w:r>
    </w:p>
    <w:p>
      <w:pPr>
        <w:spacing w:after="0" w:line="84"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231F20"/>
        </w:rPr>
        <w:t>Our commercial opportunity could be reduced or eliminated if our competitors develop and commercialize products that are safer, more effective, have fewer side effects, are more convenient, have a broader label, are marketed more effectively, are more widely reimbursed or are less expensive than any products that we may develop. Our competitors also may obtain marketing approval from the FDA, EMA or other comparable foreign regulatory authorities for their products more rapidly than we may obtain approval for ours, which could result in our competitors establishing a strong market position before we are able to enter the market. Due to the nature of gene therapy products, use of a competitor gene therapy product by a prospective patient may preclude use of our gene therapy product candidate at a later point in time.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spacing w:after="0" w:line="19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Interim, topline and preliminary data from our clinical trials that we announce or publish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231F20"/>
        </w:rPr>
        <w:t>From time to time, we may publicly disclose preliminary, interim or topline data from our clinical trials. These interim updates are based on a preliminary analysis of then-available data, and the results and related findings and conclusions are subject to change following availability of additional data and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spacing w:after="0" w:line="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231F20"/>
        </w:rPr>
        <w:t>Topline data also remain subject to audit and verification procedures that may result in the final data being materially different from the preliminary data we previously published. As a result, topline data should be viewed with caution until the final data is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Further, others, including regulatory agencies, may not accept or agree with our assumptions, estimates, calculations, conclusions or analyses, may do their own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preliminary or topline data that we report differ from late,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spacing w:after="0" w:line="18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Gene therapies are novel, complex and difficult to manufacture. We could experience production problems that result in delays in development or commercialization of our product candidates, limit the supply of our products, if approved, or otherwise seriously harm our business.</w:t>
      </w:r>
    </w:p>
    <w:p>
      <w:pPr>
        <w:spacing w:after="0" w:line="5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231F20"/>
        </w:rPr>
        <w:t>Our gene therapy product candidates require processing steps that are more complex than those required for most chemical and protein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need to employ multiple steps to control our manufacturing process to assure that the process works and the product candidate is made strictly and consistently in compliance with the process.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Problems with the manufacturing process, even minor deviations from the normal process, including during the manufacture of drug substance, drug product filling, labeling, packaging, storage and shipping and quality control and testing, could result in product defects, lot failures, product recalls, product liability claims or insufficient inventory. Additionally, we may encounter problems achieving adequate quantities and quality of clinical-grade materials that meet FDA, or other comparable applicable foreign regulatory authorities’ standards or specifications with consistent and acceptable production yields and costs.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Furthermore, should any of our manufacturing agreements with third parties be terminated for any reason, there are a limited number of manufacturers who would be suitable replacements, and it would take a significant amount of time to transition the manufacturing to a replacement. If we or our third-party manufacturers or suppliers are unable to produce sufficient quantities for preclinical studies 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Due to our limited manufacturing experience, there can be no assurance that we will be able to successfully manufacture product candidates to support our clinical development and commercialization plans.</w:t>
      </w:r>
    </w:p>
    <w:p>
      <w:pPr>
        <w:spacing w:after="0" w:line="5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have fully integrated and internalized AAV manufacturing capabilities to support our gene therapy product candidates</w:t>
      </w:r>
      <w:r>
        <w:rPr>
          <w:rFonts w:ascii="Times New Roman" w:cs="Times New Roman" w:eastAsia="Times New Roman" w:hAnsi="Times New Roman"/>
          <w:sz w:val="18"/>
          <w:szCs w:val="18"/>
          <w:color w:val="231F20"/>
        </w:rPr>
        <w:t>. However, to optimize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resources and to utilize extensive third-party experience in small molecule manufacturing, we intend to work with contract development and manufacturing organizations (CDMOs) for our small molecule programs.</w:t>
      </w:r>
    </w:p>
    <w:p>
      <w:pPr>
        <w:spacing w:after="0" w:line="68" w:lineRule="exact"/>
        <w:rPr>
          <w:sz w:val="20"/>
          <w:szCs w:val="20"/>
          <w:color w:val="auto"/>
        </w:rPr>
      </w:pPr>
    </w:p>
    <w:p>
      <w:pPr>
        <w:ind w:right="140" w:firstLine="509"/>
        <w:spacing w:after="0" w:line="289" w:lineRule="auto"/>
        <w:rPr>
          <w:sz w:val="20"/>
          <w:szCs w:val="20"/>
          <w:color w:val="auto"/>
        </w:rPr>
      </w:pPr>
      <w:r>
        <w:rPr>
          <w:rFonts w:ascii="Times New Roman" w:cs="Times New Roman" w:eastAsia="Times New Roman" w:hAnsi="Times New Roman"/>
          <w:sz w:val="17"/>
          <w:szCs w:val="17"/>
          <w:color w:val="231F20"/>
        </w:rPr>
        <w:t>Although some of our employees have experience in the manufacturing of biopharmaceutical products from prior employment at other companies, we as a company have limited experience in manufacturing. Furthermore, maintaining manufacturing operations requires significant resources, management time and capital expenditures, particularly in areas relating to operations, quality, regulatory, facilities and information technology.</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0" w:name="page41"/>
    <w:bookmarkEnd w:id="40"/>
    <w:p>
      <w:pPr>
        <w:spacing w:after="0" w:line="8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We cannot guarantee that our facility will be able to produce sufficient quantities of product candidates needed to support our preclinical studies and ongoing and planned clinical trials. We may face delays or increased costs in the production of clinical supply at our manufacturing facility. We also may encounter problems hiring and retaining the experienced scientific, quality control and manufacturing personnel needed to operate our manufacturing facility and processes. If we experience unanticipated employee shortage or turnover in any of these areas, we may not be able to effectively manage our ongoing manufacturing operations and we may not achieve the operating efficiencies that we anticipate from developing these capabilities, which may negatively affect our product development timelines or result in difficulties in maintaining compliance with applicable regulatory requirements.</w:t>
      </w:r>
    </w:p>
    <w:p>
      <w:pPr>
        <w:spacing w:after="0" w:line="7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231F20"/>
        </w:rPr>
        <w:t>Any delays in the ongoing development of our internal manufacturing capabilities may disrupt or delay the supply of our product candidates if we have not maintained a sufficient back-up supply of such product candidates.</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It may also hamper our ability to further process improvement, maintain quality control, limit our reliance on contract manufacturers and protect our trade secrets and other intellectual property, and could adversely impact the development or commercialization of our product candidates. Moreover, if we were required to change manufacturing facilities during the clinical development process, we may also be required to conduct additional studies, make notifications to regulatory authorities, make additional filings to regulatory authorities, and obtain regulatory authority approval for the new facilities, which approval may be delayed or never received.</w:t>
      </w:r>
    </w:p>
    <w:p>
      <w:pPr>
        <w:spacing w:after="0" w:line="17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manufacturing facilities will be subject to significant government regulations and approvals, which are often costly and could result in adverse consequences to our business if we fail to comply with the regulations or maintain the approvals.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We will need to comply with the FDA’s and applicable foreign regulatory authorities’ cGMP requirements for the production of product candidates for clinical trials and, if approved, commercial supply. We will be subject to inspections by the FDA and comparable agencies in other jurisdictions to confirm compliance with applicable regulatory requirements. These requirements include the qualification and validation of our manufacturing equipment and processes. Any failure to follow cGMP or other regulatory requirements or delay, interruption or other issues that arise in the manufacture of our product candidates as a result of a failure of our facilities or the facilities or operations of our third-party suppliers to comply with regulatory requirements or pass any regulatory authority inspection could significantly impair our ability to develop and commercialize our product candidates, including leading to significant delays in the availability of our product candidates for our clinical trials or the termination or hold on a clinical trial, or the delay or prevention of a filing or approval of marketing applications for our product candidates. Significant non-compliance could also result in the imposition of sanctions, including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If we are not able to maintain regulatory compliance, we may not be permitted to market our product candidates and/or may be subject to product recalls, seizures, injunctions, or criminal prosecution.</w:t>
      </w:r>
    </w:p>
    <w:p>
      <w:pPr>
        <w:spacing w:after="0" w:line="186"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not be able to successfully manufacture our product candidates in sufficient quality and quantity, which would delay or prevent us from developing our product candidates and commercializing resulting approved products, if any.</w:t>
      </w:r>
    </w:p>
    <w:p>
      <w:pPr>
        <w:spacing w:after="0" w:line="5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231F20"/>
        </w:rPr>
        <w:t>To date, our product candidates have been manufactured in quantities adequate for preclinical studies and our Phase 1 clinical trials for our lead product candidates. In order to conduct clinical trials for a product candidate and for commercialization of the resulting product if that product candidate is approved for sale, we will need to manufacture product candidates in larger quantities. We may not be able to successfully repeat or increase the manufacturing capacity for any of our product candidates in a timely or cost-effective manner or at all. Significant changes or scale-up of manufacturing may require additional validation studies, which are costly and which regulatory authorities must review and approve. In addition, quality issues may arise during those changes or scale-up activities.</w:t>
      </w:r>
    </w:p>
    <w:p>
      <w:pPr>
        <w:spacing w:after="0" w:line="7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231F20"/>
        </w:rPr>
        <w:t>As product candidates progress through preclinical studies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1" w:name="page42"/>
    <w:bookmarkEnd w:id="41"/>
    <w:p>
      <w:pPr>
        <w:spacing w:after="0" w:line="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231F20"/>
        </w:rPr>
        <w:t>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68" w:lineRule="exact"/>
        <w:rPr>
          <w:sz w:val="20"/>
          <w:szCs w:val="20"/>
          <w:color w:val="auto"/>
        </w:rPr>
      </w:pPr>
    </w:p>
    <w:p>
      <w:pPr>
        <w:jc w:val="both"/>
        <w:ind w:right="440" w:firstLine="509"/>
        <w:spacing w:after="0" w:line="266" w:lineRule="auto"/>
        <w:rPr>
          <w:sz w:val="20"/>
          <w:szCs w:val="20"/>
          <w:color w:val="auto"/>
        </w:rPr>
      </w:pPr>
      <w:r>
        <w:rPr>
          <w:rFonts w:ascii="Times New Roman" w:cs="Times New Roman" w:eastAsia="Times New Roman" w:hAnsi="Times New Roman"/>
          <w:sz w:val="18"/>
          <w:szCs w:val="18"/>
          <w:color w:val="231F20"/>
        </w:rPr>
        <w:t>If we are unable to successfully manufacture any of our product candidates in sufficient quality and quantity, the development of that product candidate and regulatory approval or commercial launch for any resulting products may be delayed or there may be a shortage in supply, which could significantly harm our business.</w:t>
      </w:r>
    </w:p>
    <w:p>
      <w:pPr>
        <w:spacing w:after="0" w:line="172"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product candidates may not achieve adequate market acceptance among physicians, patients, healthcare payors and others in the medical community necessary for commercial success.</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Even if our product candidates receive regulatory approval, they may not gain adequate market acceptance among physicians, patients, third-party payors and others in the medical community. If we are unable to demonstrate sufficient safety or efficacy to permit a broader use of our product candidates, we may not generate significant product revenue and we may not become profitable. The degree of market acceptance of any of our approved product candidates will depend on a number of factors, including:</w:t>
      </w:r>
    </w:p>
    <w:p>
      <w:pPr>
        <w:spacing w:after="0" w:line="72"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efficacy and safety profile as demonstrated in clinical trials compared to alternative treatments;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perceived safety and efficacy profile and ease of use for pediatric patient population if approved for a pediatric indication;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timing of market introduction of the product candidate as well as competitive products;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clinical indications for which a product candidate is approved;</w:t>
      </w:r>
    </w:p>
    <w:p>
      <w:pPr>
        <w:spacing w:after="0" w:line="117" w:lineRule="exact"/>
        <w:rPr>
          <w:rFonts w:ascii="Times New Roman" w:cs="Times New Roman" w:eastAsia="Times New Roman" w:hAnsi="Times New Roman"/>
          <w:sz w:val="18"/>
          <w:szCs w:val="18"/>
          <w:color w:val="231F20"/>
        </w:rPr>
      </w:pPr>
    </w:p>
    <w:p>
      <w:pPr>
        <w:jc w:val="both"/>
        <w:ind w:left="1020" w:right="100" w:hanging="503"/>
        <w:spacing w:after="0" w:line="312" w:lineRule="auto"/>
        <w:tabs>
          <w:tab w:leader="none" w:pos="1020" w:val="left"/>
        </w:tabs>
        <w:numPr>
          <w:ilvl w:val="0"/>
          <w:numId w:val="2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restrictions on the use of product candidates in the labeling approved by regulatory authorities, such as boxed warnings or contraindications in labeling, or a risk evaluation and mitigation strategy, if any, which may not be required of alternative treatments and competitor products;</w:t>
      </w:r>
    </w:p>
    <w:p>
      <w:pPr>
        <w:spacing w:after="0" w:line="31" w:lineRule="exact"/>
        <w:rPr>
          <w:rFonts w:ascii="Times New Roman" w:cs="Times New Roman" w:eastAsia="Times New Roman" w:hAnsi="Times New Roman"/>
          <w:sz w:val="17"/>
          <w:szCs w:val="17"/>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physicians, hospitals, treatment centers and patients considering our product candidates as a safe, pure and effective treatment;</w:t>
      </w:r>
    </w:p>
    <w:p>
      <w:pPr>
        <w:spacing w:after="0" w:line="117" w:lineRule="exact"/>
        <w:rPr>
          <w:rFonts w:ascii="Times New Roman" w:cs="Times New Roman" w:eastAsia="Times New Roman" w:hAnsi="Times New Roman"/>
          <w:sz w:val="18"/>
          <w:szCs w:val="18"/>
          <w:color w:val="231F20"/>
        </w:rPr>
      </w:pPr>
    </w:p>
    <w:p>
      <w:pPr>
        <w:ind w:left="1020" w:right="400" w:hanging="503"/>
        <w:spacing w:after="0" w:line="282" w:lineRule="auto"/>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perceived prevalence and severity of any side effects for our product candidates compared to the prevalence and severity of any side effects for conventional products and other gene therapies;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potential and perceived advantages of our product candidates over alternative treatments;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 of treatment in relation to alternative treatments;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relative convenience and ease of administration;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willingness of the target patient population or their caregivers to try new therapies and of physicians to prescribe these therapies;</w:t>
      </w:r>
    </w:p>
    <w:p>
      <w:pPr>
        <w:spacing w:after="0" w:line="117" w:lineRule="exact"/>
        <w:rPr>
          <w:rFonts w:ascii="Times New Roman" w:cs="Times New Roman" w:eastAsia="Times New Roman" w:hAnsi="Times New Roman"/>
          <w:sz w:val="18"/>
          <w:szCs w:val="18"/>
          <w:color w:val="231F20"/>
        </w:rPr>
      </w:pPr>
    </w:p>
    <w:p>
      <w:pPr>
        <w:ind w:left="1020" w:right="80" w:hanging="503"/>
        <w:spacing w:after="0" w:line="282" w:lineRule="auto"/>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size of the relevant pediatric patient population if approved for a pediatric indication, including challenges associated with diagnosing or identifying pediatric populations with the applicable target disease or condition;</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availability of coverage and adequate reimbursement by third-party payors, including government authorities;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patients’ willingness to pay for these therapies in the absence of such coverage and adequate reimbursement;</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effectiveness of sales and marketing efforts;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support from KOLs and patient advocacy groups;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unfavorable publicity relating to our product candidates;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approval of other new therapies for the same indications; and</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2" w:name="page43"/>
    <w:bookmarkEnd w:id="42"/>
    <w:p>
      <w:pPr>
        <w:spacing w:after="0" w:line="86" w:lineRule="exact"/>
        <w:rPr>
          <w:sz w:val="20"/>
          <w:szCs w:val="20"/>
          <w:color w:val="auto"/>
        </w:rPr>
      </w:pPr>
    </w:p>
    <w:p>
      <w:pPr>
        <w:ind w:left="1020" w:right="260" w:hanging="503"/>
        <w:spacing w:after="0" w:line="282" w:lineRule="auto"/>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acceptance and use of genetic testing required to diagnose the disease and identify patients who qualify for treatment with our product candidates.</w:t>
      </w:r>
    </w:p>
    <w:p>
      <w:pPr>
        <w:spacing w:after="0" w:line="54"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231F20"/>
        </w:rPr>
        <w:t>If any of our product candidates are approved but do not achieve an adequate level of acceptance by physicians, hospitals, healthcare payors and patients, we may not generate or derive sufficient revenue from that product candidate and our financial results could be negatively impacted.</w:t>
      </w:r>
    </w:p>
    <w:p>
      <w:pPr>
        <w:spacing w:after="0" w:line="15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Adverse public perception or regulatory scrutiny of gene therapy technology or precision medicine for the treatment of heart diseases may negatively impact the developmental progress or commercial success of product candidates that we develop.</w:t>
      </w:r>
    </w:p>
    <w:p>
      <w:pPr>
        <w:spacing w:after="0" w:line="5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231F20"/>
        </w:rPr>
        <w:t>Gene therapy and precision medicine remain novel technologies. The commercial success of our products, if successfully developed and approved, may be adversely affected by claims that gene therapy or precision medicine is unsafe, ineffective, unethical or immoral. This may lead to unfavorable public perception and the inability of any of our product candidates to gain the acceptance of the public or the medical community. Unfavorable public perceptions may also adversely impact our ability to enroll clinical trials for our product candidates. Moreover, success in commercializing any product candidates that receive regulatory approval will depend upon physicians prescribing, and their patients being willing to receive, treatments that involve the use of such product candidates in lieu of, or in addition to, existing treatments with which they are already familiar and for which greater clinical data may be available.</w:t>
      </w:r>
    </w:p>
    <w:p>
      <w:pPr>
        <w:spacing w:after="0" w:line="8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Publicity of any adverse events in, or unfavorable results of, preclinical studies or clinical trials for our product candidates, or with respect to the studies or trials of our competitors or of academic researchers utilizing similar technologies, even if not ultimately attributable to our technology or product candidates, could negatively influence public opinion. Negative public perception about the use of AAV technology in human therapeutics or precision medicine, whether related to our technology or our competitor’s technology, could result in increased governmental regulation, delays in the development and commercialization of product candidates or decreased demand for the resulting products, any of which may seriously harm our business. It could also negatively impact our ability to raise capital or enter into strategic agreements for the development of our product candidates.</w:t>
      </w:r>
    </w:p>
    <w:p>
      <w:pPr>
        <w:spacing w:after="0" w:line="18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231F20"/>
        </w:rPr>
        <w:t>The limited number of patients who have the diseases for which our product candidates are being developed may make it more difficult for us to enroll or complete clinical trials or may result in findings in our clinical trials that do not reach levels of statistical significance sufficient for marketing approval. Even if such product candidates achieve marketing approval, because such target patient populations are small and the addressable patient population may be even smaller, we must be able to successfully identify patients and capture a significant market share to achieve profitability and growth.</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Some of the indications for which we plan to evaluate our product candidates in clinical trials are rare genetic diseases. Accordingly, there are limited patient pools from which to draw for clinical trials. In addition to the rarity of these diseases, the eligibility criteria of our planned clinical trials will further limit the pool of available study participants as we will require that patients have specific characteristics that we can measure to assure their disease is either severe enough or not too advanced to include them in a trial. Moreover, the effort to identify patients with diseases we seek to treat is in early stages, and we cannot accurately predict the number of patients for whom treatment might be possible. We may not be able to initiate or continue clinical trials on a timely basis or at all for our product candidates if we are unable to locate and enroll a sufficient number of eligible patients to participate in the trials as required by applicable regulations or as needed to provide appropriate statistical power for a given trial. Similarly, because some of the conditions we intend to treat are rare in nature, we plan to design and conduct clinical trials utilizing a small number of patients in order to evaluate the safety and therapeutic activity of our product candidates. Conducting trials in smaller subject populations increases the risk that any safety or efficacy issues observed in only a few patients could prevent such trials from reaching statistical significance or otherwise meeting their specified endpoints, which could require us to conduct additional clinical trials, or delay or prevent our product candidates from receiving regulatory approval, which would seriously harm our business.</w:t>
      </w:r>
    </w:p>
    <w:p>
      <w:pPr>
        <w:spacing w:after="0" w:line="8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Additionally, the potentially addressable patient population for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are very small, we may never achieve profitability despite obtaining such significant market share.</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3" w:name="page44"/>
    <w:bookmarkEnd w:id="43"/>
    <w:p>
      <w:pPr>
        <w:spacing w:after="0" w:line="190"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Any product candidates we develop may become subject to unfavorable third-party coverage and reimbursement practices, as well as pricing regulations.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The indications we are initially pursuing for our gene therapy product candidates have small patient populations. For product candidates that are designed to treat smaller patient populations to be commercially viable, the reimbursement for such product candidates must be higher, on a relative basis, to account for the lack of volume. Accordingly, we will need to implement a coverage and reimbursement strategy for any approved product candidate that accounts for the smaller potential market size.</w:t>
      </w:r>
    </w:p>
    <w:p>
      <w:pPr>
        <w:spacing w:after="0" w:line="7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231F20"/>
        </w:rPr>
        <w:t>Sales of any of our product candidates that receive marketing approval will depend substantially, both in the U.S. and internationally, on the extent to which the costs of such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8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231F20"/>
        </w:rPr>
        <w:t xml:space="preserve">There is significant uncertainty related to third-party payor coverage and reimbursement of newly approved products. In the U.S., for example, principal decisions about reimbursement for new products are typically made by the </w:t>
      </w:r>
      <w:r>
        <w:rPr>
          <w:rFonts w:ascii="Times New Roman" w:cs="Times New Roman" w:eastAsia="Times New Roman" w:hAnsi="Times New Roman"/>
          <w:sz w:val="18"/>
          <w:szCs w:val="18"/>
          <w:color w:val="000000"/>
        </w:rPr>
        <w:t>Centers for Medicare &amp; Medicaid Services (</w:t>
      </w:r>
      <w:r>
        <w:rPr>
          <w:rFonts w:ascii="Times New Roman" w:cs="Times New Roman" w:eastAsia="Times New Roman" w:hAnsi="Times New Roman"/>
          <w:sz w:val="18"/>
          <w:szCs w:val="18"/>
          <w:color w:val="231F20"/>
        </w:rPr>
        <w:t>CMS), an agency within the U.S. Department of Health and Human Services.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or at the same level of reimbursement.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84"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231F20"/>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8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Outside the U.S.,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U.S., the reimbursement for our products may be reduced compared with the U.S. and may be insufficient to generate commercially reasonable revenue and profits.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8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231F20"/>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7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business entails a significant risk of product liability and if we are unable to obtain sufficient insurance coverage, such inability could have an adverse effect on our business and financial condition. If product liability lawsuits are brought against us, we may incur substantial liabilities and may be required to limit commercialization of our products.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Our business exposes us to significant product liability risks inherent in the development, testing, manufacturing and marketing of therapeutic treatments. We have limited product liability insurance. Any insurance we have or may obtain may not provide sufficient coverage against potential liabilities. As clinical trial and product liability insurance becomes increasingly expensive, we may be unable to obtain sufficient insurance at a reasonable cost to protect us against losses caused by product liability claims that could have an adverse effect on our business and financial condition. Also,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collaborators entitle us to indemnification against losses, such indemnification may not be available or adequate should any claim arise.</w:t>
      </w:r>
    </w:p>
    <w:p>
      <w:pPr>
        <w:spacing w:after="0" w:line="8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231F20"/>
        </w:rPr>
        <w:t>We may be sued if any of our product candidates cause or are perceived to cause injury or are found to be otherwise unsuitable during clinical testing, manufacturing, marketing, or sale post-approval. Any such product liability claims may include allegations of defects in manufacturing, defects in design, a failure to warn of dangers inherent in the product, negligence, strict liability, or a breach of warranties. Claims could also be asserted under state consumer protection laws. If we cannot successfully defend ourselves against product liability claims, we may incur substantial liabilities or be required to limit testing and commercialization of our products. Even a successful defense would require significant financial and management resources.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Regardless of the merits or eventual outcome, liability claims may result in:</w:t>
      </w:r>
    </w:p>
    <w:p>
      <w:pPr>
        <w:spacing w:after="0" w:line="117"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in the development of our product candidates;</w:t>
      </w:r>
    </w:p>
    <w:p>
      <w:pPr>
        <w:spacing w:after="0" w:line="117" w:lineRule="exact"/>
        <w:rPr>
          <w:rFonts w:ascii="Times New Roman" w:cs="Times New Roman" w:eastAsia="Times New Roman" w:hAnsi="Times New Roman"/>
          <w:sz w:val="18"/>
          <w:szCs w:val="18"/>
          <w:color w:val="231F20"/>
        </w:rPr>
      </w:pPr>
    </w:p>
    <w:p>
      <w:pPr>
        <w:ind w:left="1020" w:right="460" w:hanging="503"/>
        <w:spacing w:after="0" w:line="282" w:lineRule="auto"/>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FDA, EMA or other regulatory authority investigation of the safety and effectiveness of our products, our manufacturing processes and facilities or our marketing programs;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decreased or interrupted demand for our products;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injury to our reputation;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withdrawal of clinical trial participants and inability to continue clinical trials;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costs to defend the related litigation;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diversion of management’s time and our resources;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substantial monetary awards to trial participants or patients;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product recalls, withdrawals or labeling, marketing, or promotional restrictions;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loss of revenue;</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exhaustion of any available insurance and our capital resources;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inability to commercialize any products.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Regulatory Approval and Other Legal Compliance Matters</w:t>
      </w:r>
    </w:p>
    <w:p>
      <w:pPr>
        <w:spacing w:after="0" w:line="11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regulatory approval processes of the FDA, EMA and other comparable foreign regulatory authorities are lengthy, time consuming and inherently unpredictable. If we are ultimately unable to obtain regulatory approval</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5" w:name="page46"/>
    <w:bookmarkEnd w:id="45"/>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of our product candidates, we will be unable to generate product revenue and our business will be substantially harmed.</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Our product candidates are and will continue to be subject to extensive governmental regulations relating to, among other things, research, testing, development, manufacturing, safety, efficacy, approval, recordkeeping, reporting, labeling, storage, packaging, advertising and promotion, pricing, marketing, distribution and orphan exclusivity of drugs. Rigorous preclinical testing and clinical trials and an extensive regulatory approval process must be successfully completed in the U.S. and in many foreign jurisdictions before a new drug can be approved for marketing. Obtaining approval by the FDA, EMA and other comparable foreign regulatory authorities is costly, unpredictable, typically takes many years following the commencement of clinical trials and depends upon numerous factors, including the type, complexity and novelty of the product candidates involved and the availability of alternative therapies.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w:t>
      </w:r>
    </w:p>
    <w:p>
      <w:pPr>
        <w:spacing w:after="0" w:line="86"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231F20"/>
        </w:rPr>
        <w:t>We cannot provide assurance that any of the product candidates we develop will progress through required clinical testing and obtain the regulatory approvals necessary for us to begin selling them. Applications for our product candidates could be delayed or fail to receive regulatory approval for many reasons, including the following:</w:t>
      </w:r>
    </w:p>
    <w:p>
      <w:pPr>
        <w:spacing w:after="0" w:line="68" w:lineRule="exact"/>
        <w:rPr>
          <w:sz w:val="20"/>
          <w:szCs w:val="20"/>
          <w:color w:val="auto"/>
        </w:rPr>
      </w:pPr>
    </w:p>
    <w:p>
      <w:pPr>
        <w:ind w:left="1020" w:right="320" w:hanging="503"/>
        <w:spacing w:after="0" w:line="282" w:lineRule="auto"/>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FDA, EMA or other comparable foreign regulatory authorities may disagree with the design, implementation or results of our clinical trials;</w:t>
      </w:r>
    </w:p>
    <w:p>
      <w:pPr>
        <w:spacing w:after="0" w:line="53" w:lineRule="exact"/>
        <w:rPr>
          <w:rFonts w:ascii="Times New Roman" w:cs="Times New Roman" w:eastAsia="Times New Roman" w:hAnsi="Times New Roman"/>
          <w:sz w:val="18"/>
          <w:szCs w:val="18"/>
          <w:color w:val="231F20"/>
        </w:rPr>
      </w:pPr>
    </w:p>
    <w:p>
      <w:pPr>
        <w:ind w:left="1020" w:right="160" w:hanging="503"/>
        <w:spacing w:after="0" w:line="282" w:lineRule="auto"/>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FDA, EMA or other comparable foreign regulatory authorities may refuse to accept an application or decide not to accept data from our clinical trials conducted in locations outside of their jurisdiction;</w:t>
      </w:r>
    </w:p>
    <w:p>
      <w:pPr>
        <w:spacing w:after="0" w:line="53" w:lineRule="exact"/>
        <w:rPr>
          <w:rFonts w:ascii="Times New Roman" w:cs="Times New Roman" w:eastAsia="Times New Roman" w:hAnsi="Times New Roman"/>
          <w:sz w:val="18"/>
          <w:szCs w:val="18"/>
          <w:color w:val="231F20"/>
        </w:rPr>
      </w:pPr>
    </w:p>
    <w:p>
      <w:pPr>
        <w:ind w:left="1020" w:right="180" w:hanging="503"/>
        <w:spacing w:after="0" w:line="266" w:lineRule="auto"/>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FDA, EMA or other comparable foreign regulatory authorities may determine that our product candidates are not safe and effective, are only moderately effective or have undesirable or unintended side effects, toxicities or other characteristics that preclude our obtaining marketing approval or prevent or limit commercial use;</w:t>
      </w:r>
    </w:p>
    <w:p>
      <w:pPr>
        <w:spacing w:after="0" w:line="67" w:lineRule="exact"/>
        <w:rPr>
          <w:rFonts w:ascii="Times New Roman" w:cs="Times New Roman" w:eastAsia="Times New Roman" w:hAnsi="Times New Roman"/>
          <w:sz w:val="18"/>
          <w:szCs w:val="18"/>
          <w:color w:val="231F20"/>
        </w:rPr>
      </w:pPr>
    </w:p>
    <w:p>
      <w:pPr>
        <w:ind w:left="1020" w:right="200" w:hanging="503"/>
        <w:spacing w:after="0" w:line="282" w:lineRule="auto"/>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population studied in the clinical trial may not be sufficiently broad or representative to assure efficacy and safety in the full population for which we seek approval;</w:t>
      </w:r>
    </w:p>
    <w:p>
      <w:pPr>
        <w:spacing w:after="0" w:line="53" w:lineRule="exact"/>
        <w:rPr>
          <w:rFonts w:ascii="Times New Roman" w:cs="Times New Roman" w:eastAsia="Times New Roman" w:hAnsi="Times New Roman"/>
          <w:sz w:val="18"/>
          <w:szCs w:val="18"/>
          <w:color w:val="231F20"/>
        </w:rPr>
      </w:pPr>
    </w:p>
    <w:p>
      <w:pPr>
        <w:ind w:left="1020" w:right="320" w:hanging="503"/>
        <w:spacing w:after="0" w:line="282" w:lineRule="auto"/>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FDA, EMA or other comparable foreign regulatory authorities may disagree with our interpretation of data from preclinical studies or clinical trials;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FDA, EMA or other comparable foreign regulatory authorities may require that we conduct additional preclinical studies or clinical trials;</w:t>
      </w:r>
    </w:p>
    <w:p>
      <w:pPr>
        <w:spacing w:after="0" w:line="117" w:lineRule="exact"/>
        <w:rPr>
          <w:rFonts w:ascii="Times New Roman" w:cs="Times New Roman" w:eastAsia="Times New Roman" w:hAnsi="Times New Roman"/>
          <w:sz w:val="18"/>
          <w:szCs w:val="18"/>
          <w:color w:val="231F20"/>
        </w:rPr>
      </w:pPr>
    </w:p>
    <w:p>
      <w:pPr>
        <w:ind w:left="1020" w:right="380" w:hanging="503"/>
        <w:spacing w:after="0" w:line="282" w:lineRule="auto"/>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be unable to demonstrate to the FDA, EMA or other comparable foreign regulatory authorities that our product candidate’s risk-benefit ratio for its proposed indication is acceptable;</w:t>
      </w:r>
    </w:p>
    <w:p>
      <w:pPr>
        <w:spacing w:after="0" w:line="53" w:lineRule="exact"/>
        <w:rPr>
          <w:rFonts w:ascii="Times New Roman" w:cs="Times New Roman" w:eastAsia="Times New Roman" w:hAnsi="Times New Roman"/>
          <w:sz w:val="18"/>
          <w:szCs w:val="18"/>
          <w:color w:val="231F20"/>
        </w:rPr>
      </w:pPr>
    </w:p>
    <w:p>
      <w:pPr>
        <w:ind w:left="1020" w:right="440" w:hanging="503"/>
        <w:spacing w:after="0" w:line="282" w:lineRule="auto"/>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FDA, EMA or other comparable foreign regulatory authorities may fail to approve the manufacturing processes, test procedures and specifications or facilities of third-party manufacturers with which we contract for clinical and commercial supplies;</w:t>
      </w:r>
    </w:p>
    <w:p>
      <w:pPr>
        <w:spacing w:after="0" w:line="53" w:lineRule="exact"/>
        <w:rPr>
          <w:rFonts w:ascii="Times New Roman" w:cs="Times New Roman" w:eastAsia="Times New Roman" w:hAnsi="Times New Roman"/>
          <w:sz w:val="18"/>
          <w:szCs w:val="18"/>
          <w:color w:val="231F20"/>
        </w:rPr>
      </w:pPr>
    </w:p>
    <w:p>
      <w:pPr>
        <w:ind w:left="1020" w:right="1120" w:hanging="503"/>
        <w:spacing w:after="0" w:line="282" w:lineRule="auto"/>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FDA, EMA or other comparable foreign regulatory authorities may fail to approve companion diagnostic tests required for commercialization of our product candidates; and</w:t>
      </w:r>
    </w:p>
    <w:p>
      <w:pPr>
        <w:spacing w:after="0" w:line="53" w:lineRule="exact"/>
        <w:rPr>
          <w:rFonts w:ascii="Times New Roman" w:cs="Times New Roman" w:eastAsia="Times New Roman" w:hAnsi="Times New Roman"/>
          <w:sz w:val="18"/>
          <w:szCs w:val="18"/>
          <w:color w:val="231F20"/>
        </w:rPr>
      </w:pPr>
    </w:p>
    <w:p>
      <w:pPr>
        <w:ind w:left="1020" w:right="520" w:hanging="503"/>
        <w:spacing w:after="0" w:line="282" w:lineRule="auto"/>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approval policies or regulations of the FDA, EMA or other comparable foreign regulatory authorities may significantly change in a manner rendering our clinical data insufficient for approval.</w:t>
      </w:r>
    </w:p>
    <w:p>
      <w:pPr>
        <w:spacing w:after="0" w:line="54"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231F20"/>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Any delay or failure in seeking or obtaining required approvals would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8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231F20"/>
        </w:rPr>
        <w:t>have a material and adverse effect on our ability to generate revenue from any particular product candidates we are developing and for which we are seeking approval.</w:t>
      </w:r>
    </w:p>
    <w:p>
      <w:pPr>
        <w:spacing w:after="0" w:line="15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Obtaining and maintaining regulatory approval of our product candidates in one jurisdiction does not mean that we will be successful in obtaining regulatory approval of our product candidates in other jurisdictions.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Obtaining and maintaining regulatory approval of our product candidates in one jurisdiction does not guarantee that we will be able to obtain or maintain regulatory approval in any other jurisdiction. For example, even if the FDA or EMA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U.S., including additional preclinical studies or clinical trials as clinical trials conducted in one jurisdiction may not be accepted by regulatory authorities in other jurisdictions. In many jurisdictions outside the U.S., a product candidate must be approved for reimbursement before it can be approved for sale in that jurisdiction.</w:t>
      </w:r>
    </w:p>
    <w:p>
      <w:pPr>
        <w:spacing w:after="0" w:line="8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231F20"/>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spacing w:after="0" w:line="17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Even if our product candidates receive regulatory approval, such approval may be for a narrower indication than we seek, and our product candidates will be subject to significant post-marketing regulatory requirements and oversight.</w:t>
      </w:r>
    </w:p>
    <w:p>
      <w:pPr>
        <w:spacing w:after="0" w:line="5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231F20"/>
        </w:rPr>
        <w:t>Even if we eventually complete clinical testing and receive approval for our product candidates,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Furthermore, any regulatory approval to market a drug may be subject to significant limitations on the approved uses or indications for which we may market, promote and advertise the drug or the labeling or other restrictions. The regulatory authorities may require precautions or contra-indications with respect to conditions of use or they may grant approval subject to the performance of costly post-marketing clinical trials. In addition, the FDA has the authority to require a Risk Evaluation and Mitigation Strategy plan as part of approving an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Any of the foregoing scenarios could materially harm the commercial prospects for our product candidates and materially harm our business, financial condition, results of operations and prospects, and may significantly limit the size of the market for the drug and affect reimbursement by third-party payors.</w:t>
      </w:r>
    </w:p>
    <w:p>
      <w:pPr>
        <w:spacing w:after="0" w:line="8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231F20"/>
        </w:rPr>
        <w:t>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cGMP and GCP for any clinical trials that we conduct post-approval. Manufacturers of drug products and their facilities are also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including:</w:t>
      </w:r>
    </w:p>
    <w:p>
      <w:pPr>
        <w:spacing w:after="0" w:line="86"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in or the rejection of product approvals;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86"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restrictions on our ability to conduct clinical trials, including full or partial clinical holds on ongoing or planned trials;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restrictions on the products, manufacturers or manufacturing process;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warning or untitled letters;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civil and criminal penalties;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injunctions;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suspension or withdrawal of regulatory approvals;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product seizures, detentions or import bans;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voluntary or mandatory product recalls and publicity requirements;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total or partial suspension of production;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imposition of restrictions on operations, including costly new manufacturing requirements.</w:t>
      </w:r>
    </w:p>
    <w:p>
      <w:pPr>
        <w:spacing w:after="0" w:line="117"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231F20"/>
        </w:rPr>
        <w:t>The occurrence of any event or penalty described above may inhibit our ability to commercialize our product candidates, if approved, and generate revenue. Furthermore, non-compliance by us or any future collaborator with regulatory requirements, including safety monitoring and with requirements related to the development of products for the pediatric population can also result in significant financial penalties.</w:t>
      </w:r>
    </w:p>
    <w:p>
      <w:pPr>
        <w:spacing w:after="0" w:line="17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not be able to obtain orphan drug designation or obtain or maintain orphan drug exclusivity for our product candidates and, even if we do, that exclusivity may not prevent the FDA, EMA or other comparable foreign regulatory authorities, from approving competing products.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Regulatory authorities in some jurisdictions, including the U.S. and the EU,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 Similarly, in the EU, the EC, upon the recommendation of the EMA’s Committee for Orphan Medicinal Products, grants orphan drug designation to promote the development of drugs that are intended for the diagnosis, prevention or treatment of life-threatening or chronically debilitating conditions affecting not more than five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In the EU, orphan drug designation entitles a party to financial incentives such as reduction of fees or fee waivers and without incentives, it is unlikely that sales of the drug in Europe would be sufficient to justify the necessary investment in developing the drug. However, there can be no assurances that we will be able to obtain orphan designations for our product candidates.</w:t>
      </w:r>
    </w:p>
    <w:p>
      <w:pPr>
        <w:spacing w:after="0" w:line="84"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8"/>
          <w:szCs w:val="18"/>
          <w:color w:val="231F20"/>
        </w:rPr>
        <w:t xml:space="preserve">In the U.S.,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U.S. provides that the FDA may not approve any other applications, including a full NDA, to market the same drug for the same indication for seven years, except in limited circumstances. In view of the court decision in the </w:t>
      </w:r>
      <w:r>
        <w:rPr>
          <w:rFonts w:ascii="Times New Roman" w:cs="Times New Roman" w:eastAsia="Times New Roman" w:hAnsi="Times New Roman"/>
          <w:sz w:val="18"/>
          <w:szCs w:val="18"/>
          <w:i w:val="1"/>
          <w:iCs w:val="1"/>
          <w:color w:val="231F20"/>
        </w:rPr>
        <w:t>Catalyst Pharms., Inc. v. Becerra</w:t>
      </w:r>
      <w:r>
        <w:rPr>
          <w:rFonts w:ascii="Times New Roman" w:cs="Times New Roman" w:eastAsia="Times New Roman" w:hAnsi="Times New Roman"/>
          <w:sz w:val="18"/>
          <w:szCs w:val="18"/>
          <w:color w:val="231F20"/>
        </w:rPr>
        <w:t>, 14 F.4</w:t>
      </w:r>
      <w:r>
        <w:rPr>
          <w:rFonts w:ascii="Times New Roman" w:cs="Times New Roman" w:eastAsia="Times New Roman" w:hAnsi="Times New Roman"/>
          <w:sz w:val="24"/>
          <w:szCs w:val="24"/>
          <w:color w:val="231F20"/>
          <w:vertAlign w:val="superscript"/>
        </w:rPr>
        <w:t>th</w:t>
      </w:r>
      <w:r>
        <w:rPr>
          <w:rFonts w:ascii="Times New Roman" w:cs="Times New Roman" w:eastAsia="Times New Roman" w:hAnsi="Times New Roman"/>
          <w:sz w:val="18"/>
          <w:szCs w:val="18"/>
          <w:color w:val="231F20"/>
        </w:rPr>
        <w:t xml:space="preserve"> 1299 (11</w:t>
      </w:r>
      <w:r>
        <w:rPr>
          <w:rFonts w:ascii="Times New Roman" w:cs="Times New Roman" w:eastAsia="Times New Roman" w:hAnsi="Times New Roman"/>
          <w:sz w:val="24"/>
          <w:szCs w:val="24"/>
          <w:color w:val="231F20"/>
          <w:vertAlign w:val="superscript"/>
        </w:rPr>
        <w:t>th</w:t>
      </w:r>
      <w:r>
        <w:rPr>
          <w:rFonts w:ascii="Times New Roman" w:cs="Times New Roman" w:eastAsia="Times New Roman" w:hAnsi="Times New Roman"/>
          <w:sz w:val="18"/>
          <w:szCs w:val="18"/>
          <w:color w:val="231F20"/>
        </w:rPr>
        <w:t xml:space="preserve"> Cir. 2021) case, in a January 2023 notice, the FDA clarified that while the agency complies with the court’s order in </w:t>
      </w:r>
      <w:r>
        <w:rPr>
          <w:rFonts w:ascii="Times New Roman" w:cs="Times New Roman" w:eastAsia="Times New Roman" w:hAnsi="Times New Roman"/>
          <w:sz w:val="18"/>
          <w:szCs w:val="18"/>
          <w:i w:val="1"/>
          <w:iCs w:val="1"/>
          <w:color w:val="231F20"/>
        </w:rPr>
        <w:t>Catalyst</w:t>
      </w:r>
      <w:r>
        <w:rPr>
          <w:rFonts w:ascii="Times New Roman" w:cs="Times New Roman" w:eastAsia="Times New Roman" w:hAnsi="Times New Roman"/>
          <w:sz w:val="18"/>
          <w:szCs w:val="18"/>
          <w:color w:val="231F20"/>
        </w:rPr>
        <w:t xml:space="preserve">, the FDA intends to continue to apply its longstanding interpretation of the regulations to matters outside of the scope of the </w:t>
      </w:r>
      <w:r>
        <w:rPr>
          <w:rFonts w:ascii="Times New Roman" w:cs="Times New Roman" w:eastAsia="Times New Roman" w:hAnsi="Times New Roman"/>
          <w:sz w:val="18"/>
          <w:szCs w:val="18"/>
          <w:i w:val="1"/>
          <w:iCs w:val="1"/>
          <w:color w:val="231F20"/>
        </w:rPr>
        <w:t>Catalyst</w:t>
      </w:r>
      <w:r>
        <w:rPr>
          <w:rFonts w:ascii="Times New Roman" w:cs="Times New Roman" w:eastAsia="Times New Roman" w:hAnsi="Times New Roman"/>
          <w:sz w:val="18"/>
          <w:szCs w:val="18"/>
          <w:color w:val="231F20"/>
        </w:rPr>
        <w:t xml:space="preserve"> order – that is, the scope of the orphan-drug exclusivity is limited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 The applicable exclusivity period is ten years in Europe. The European exclusivity period can be reduced to six years if a drug no longer meets the criteria for orphan drug designation or if the drug is sufficiently profitable so that market exclusivity is no longer justified.</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8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231F20"/>
        </w:rPr>
        <w:t>Our lead product candidates from our gene therapy platform, TN-201 and TN-401, have each been granted orphan drug designation by the FDA and the EC, and we may seek orphan drug designation for other product candidates in the U.S., Europe and other jurisdictions. Even if we obtain orphan drug designation for a product candidate, we may not be able to obtain or maintain orphan drug exclusivity for that product candidate and may not realize the benefits of such designation. We may not be the first to obtain marketing approval of any product candidate for which we have obtained orphan drug designation for the orphan-designated indication, in which case we could be precluded from receiving marketing approval for our product candidate for the applicable exclusivity period. In addition, exclusive marketing rights in the U.S.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face difficulties from changes to current FDA and healthcare regulations and future legislation.</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231F20"/>
        </w:rPr>
        <w:t>Existing regulatory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7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31F20"/>
        </w:rPr>
        <w:t>We also cannot predict the likelihood, nature or extent of government regulation that may arise from future legislation or administrative or executive action, either in the U.S. or abroad. For example, certain policies of the current U.S. administration may impact our business and industry, which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current and future legislation, executive actions, and litigation, including the executive orders referenced below, will be implemented, and the extent to which they will impact our business, our clinical development, and the FDA’s and other agencies’ ability to exercise their regulatory authority, including FDA’s pre-approval inspection and timely review of any regulatory filings or applications we submit to the FDA. If these executive actions impose constraints on FDA’s ability to engage in oversight and implementation activities in the normal course or constraints on our business operations, including operations of our contractors, our business may be negatively impacted.</w:t>
      </w:r>
    </w:p>
    <w:p>
      <w:pPr>
        <w:spacing w:after="0" w:line="80"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231F20"/>
        </w:rPr>
        <w:t>For example, in March 2010, the Patient Protection and Affordable Care Act of 2010, as amended by the Health Care and Education Reconciliation Act of 2010 (collectively, the ACA), was passed, which substantially changed the way healthcare is financed by both the government and private insurers and continues to significantly impact the U.S. pharmaceutical industry. Since its enactment, there have been judicial and Congressional challenges to certain aspects of the ACA, some of which have been successful, that create considerable uncertainty for our business. Although the U.S. Supreme Court held in 2021 that Texas and other challengers had no legal standing to challenge the ACA, we cannot predict how future challenges will impact our business, or what other healthcare measures and regulations will ultimately be implemented at the federal or state level or the effect of any future legislation or regulation may have on our business.</w:t>
      </w:r>
    </w:p>
    <w:p>
      <w:pPr>
        <w:spacing w:after="0" w:line="81"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231F20"/>
        </w:rPr>
        <w:t>In addition, other legislative changes have been proposed and adopted in the U.S. since the ACA was enacted, including aggregate reductions to Medicare payments to providers, effective April 1, 2013, which, through subsequent amendments, will remain in effect through 2032 and increased the statute of limitations period for the government to recover overpayments to providers from three to five years. These and future laws may result in additional reductions in Medicare and other healthcare funding, which could have a material adverse effect on customers for our drugs, if approved, and accordingly, our financial operations.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spacing w:after="0" w:line="86"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231F20"/>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w:t>
      </w:r>
    </w:p>
    <w:p>
      <w:pPr>
        <w:spacing w:after="0" w:line="7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231F20"/>
        </w:rPr>
        <w:t>Under the American Rescue Plan Act of 2021, the statutory cap on Medicaid Drug Rebate Program rebates that manufacturers pay to state Medicaid programs was eliminated. Elimination of this cap may require pharmaceutical manufacturers to pay more in rebates than it receives on the sale of products, which could have a material impact on our business. In July 2021, the Biden administration released an executive order, “Promoting Competition in the American Economy,” with multiple provisions aimed at increasing competition for prescription drugs. In August 2022, Congress passed the Inflation Reduction Act of 2022 (the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stakeholders, including pharmaceutical companies and the Pharmaceutical Research and Manufacturers of America, have initiated lawsuits against the federal government asserting that the price negotiation provisions of the IRA are unconstitutional. The impact of these judicial challenges, legislative, executive, and administrative actions and any future healthcare measures and agency rules implemented by the government on us and the pharmaceutical industry as a whole is unclear. The implementation of cost containment measures, including the prescription drug provisions under the IRA, as well as other healthcare reforms may prevent us from being able to generate revenue, attain profitability, or commercialize our product candidates if approved.</w:t>
      </w:r>
    </w:p>
    <w:p>
      <w:pPr>
        <w:spacing w:after="0" w:line="8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231F20"/>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We are unable to predict the future course of federal or state healthcare legislation in the U.S. directed at broadening the availability of healthcare and containing or lowering the cost of healthcare. These and any further changes in the law or regulatory framework that reduce our revenue or increase our costs could also have a material and adverse effect on our business, financial condition and results of operations.</w:t>
      </w:r>
    </w:p>
    <w:p>
      <w:pPr>
        <w:spacing w:after="0" w:line="84"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231F20"/>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7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231F20"/>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79"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are subject to stringent laws, rules, regulations, policies, industry standards and contractual obligations regarding data privacy and security and may be subject to additional related laws and regulations in jurisdictions into which we expand. Many of these laws and regulations are subject to change and reinterpretation and could</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result in claims, changes to our business practices, monetary penalties, increased cost of operations or other harm to our business.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The regulatory framework for privacy and personal information security issues worldwide is rapidly evolving and is likely to remain uncertain for the foreseeable future. The U.S. federal and various state, local and foreign government bodies and agencies have adopted or are considering adopting laws, rules, regulations and standards limiting, or laws, rules, regulations and standards regarding, the collection, distribution, use, disclosure, storage, security and other processing of personal information.</w:t>
      </w:r>
    </w:p>
    <w:p>
      <w:pPr>
        <w:spacing w:after="0" w:line="72"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231F20"/>
        </w:rPr>
        <w:t xml:space="preserve">Outside of the U.S., relevant legal requirements continue to evolve. For example, the collection and use of health data and other personal data including personal data collected in clinical trials is governed in the EU by the </w:t>
      </w:r>
      <w:r>
        <w:rPr>
          <w:rFonts w:ascii="Times New Roman" w:cs="Times New Roman" w:eastAsia="Times New Roman" w:hAnsi="Times New Roman"/>
          <w:sz w:val="18"/>
          <w:szCs w:val="18"/>
          <w:color w:val="000000"/>
        </w:rPr>
        <w:t>General Data Protection Regulation (</w:t>
      </w:r>
      <w:r>
        <w:rPr>
          <w:rFonts w:ascii="Times New Roman" w:cs="Times New Roman" w:eastAsia="Times New Roman" w:hAnsi="Times New Roman"/>
          <w:sz w:val="18"/>
          <w:szCs w:val="18"/>
          <w:color w:val="231F20"/>
        </w:rPr>
        <w:t xml:space="preserve">GDPR), which imposes substantial obligations upon companies and new rights for individuals, by certain EU member state-level legislation. </w:t>
      </w:r>
      <w:r>
        <w:rPr>
          <w:rFonts w:ascii="Times New Roman" w:cs="Times New Roman" w:eastAsia="Times New Roman" w:hAnsi="Times New Roman"/>
          <w:sz w:val="18"/>
          <w:szCs w:val="18"/>
          <w:color w:val="000000"/>
        </w:rPr>
        <w:t>The GDPR also forms part of the law of England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and Wales, Scotland and Northern Ireland by virtue of section 3 of the European Union (Withdrawal) Act 2018 and as amended by the Data Protection, Privacy and Electronic Communications (Amendments etc.) (EU Exit) Regulations 2019 (SI 2019/419), known as UK GDPR. </w:t>
      </w:r>
      <w:r>
        <w:rPr>
          <w:rFonts w:ascii="Times New Roman" w:cs="Times New Roman" w:eastAsia="Times New Roman" w:hAnsi="Times New Roman"/>
          <w:sz w:val="18"/>
          <w:szCs w:val="18"/>
          <w:color w:val="231F20"/>
        </w:rPr>
        <w:t>Failure to comply with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GDPR or UK GDPR may result in fines up to €20,000,000 or 4% of the total worldwide annual turnover of the preceding financial year, whichever is higher, and other administrative penalties. The GDPR or UK GDPR have increased our responsibility and liability in relation to personal data that we may process, and we may be required to implement additional measures in an effort to comply with the GDPR and UK GDPR or with other laws, rules, regulations and standards in the European Economic Area (EEA), United Kingdom (UK) and Switzerland relating to privacy and data protection. This may be onerous and if our efforts to comply with GDPR and UK GDPR or other applicable laws, rules, regulations and standards are not successful, or are perceived to be unsuccessful, it could adversely affect our business. Further, restrictions on the transfer of personal data from the EEA, UK and Switzerland to the U.S., all of which could restrict our activities in those jurisdictions, limit our ability to provide our products and services in those jurisdictions, require us to modify our policies and practices, and to engage in additional contractual negotiations, or increase our costs and obligations and impose limitations upon our ability to efficiently transfer personal data from the EEA and Switzerland to the U.S. </w:t>
      </w:r>
      <w:r>
        <w:rPr>
          <w:rFonts w:ascii="Times New Roman" w:cs="Times New Roman" w:eastAsia="Times New Roman" w:hAnsi="Times New Roman"/>
          <w:sz w:val="18"/>
          <w:szCs w:val="18"/>
          <w:color w:val="000000"/>
        </w:rPr>
        <w:t>In Canada, the Personal Information Protection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and Electronic Documents Act (PIPEDA) and similar provincial laws impose obligations on companies with respect to processing personal information, including health-related information, regarding Canadian data subjects and provides individuals certain rights with respect to such information, including the right to access and challenge the accuracy of their personal information held by an organization. Failure to comply with PIPEDA, where applicable, could result in fines and penalties</w:t>
      </w:r>
      <w:r>
        <w:rPr>
          <w:rFonts w:ascii="Times New Roman" w:cs="Times New Roman" w:eastAsia="Times New Roman" w:hAnsi="Times New Roman"/>
          <w:sz w:val="18"/>
          <w:szCs w:val="18"/>
          <w:color w:val="231F20"/>
        </w:rPr>
        <w:t>.</w:t>
      </w:r>
    </w:p>
    <w:p>
      <w:pPr>
        <w:spacing w:after="0" w:line="8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231F20"/>
        </w:rPr>
        <w:t xml:space="preserve">In the U.S., a variety of data privacy, protection and security laws, rules, regulations and standards potentially may apply to our activities, such as state data breach notification laws, state personal data privacy laws (for example, the CCPA, state health information privacy laws, and federal and state consumer protection laws. The CCPA requires covered businesses that process personal information of California residents to disclose their data collection, use, sharing and retention practices, provides California residents with data privacy rights (including the ability to opt out of certain disclosures of personal information including for certain advertising purposes), imposes operational requirements for covered businesses, provides for significant civil penalties for violations as well as a private right of action for certain data breaches and statutory damages (that is expected to increase data breach class action litigation and result in significant exposure to costly legal judgments and settlements). Although there are limited exemptions for clinical trial data under the CCPA and certain other state laws, the CCPA and other new and evolving state laws could impact our business activities, depending on their interpretation. Numerous </w:t>
      </w:r>
      <w:r>
        <w:rPr>
          <w:rFonts w:ascii="Times New Roman" w:cs="Times New Roman" w:eastAsia="Times New Roman" w:hAnsi="Times New Roman"/>
          <w:sz w:val="18"/>
          <w:szCs w:val="18"/>
          <w:color w:val="000000"/>
        </w:rPr>
        <w:t>other states have enacted laws similar to the CCPA either in operation or slated to go into operation over the next three years, and other state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legislatures are considering and may adopt their own comprehensive data privacy and security laws, with potentially greater penalties and more rigorous compliance requirements</w:t>
      </w:r>
      <w:r>
        <w:rPr>
          <w:rFonts w:ascii="Times New Roman" w:cs="Times New Roman" w:eastAsia="Times New Roman" w:hAnsi="Times New Roman"/>
          <w:sz w:val="18"/>
          <w:szCs w:val="18"/>
          <w:color w:val="231F20"/>
        </w:rPr>
        <w:t>. Laws in all 50 states may require businesses to provide notice to individuals whose personal data has been disclosed as a result of</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a data breach. Finally, federal, state and foreign laws, rules, regulations and standards may apply generally to the privacy and security of information we maintain, and may differ from each other significantly, thus complicating compliance efforts and potentially requiring us to undertake additional measures to comply with them.</w:t>
      </w:r>
    </w:p>
    <w:p>
      <w:pPr>
        <w:spacing w:after="0" w:line="8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231F20"/>
        </w:rPr>
        <w:t>With the GDPR, PIPEDA, CCPA, and other laws, regulations and other obligations relating to privacy and data protection imposing new and relatively burdensome obligations, and with substantial uncertainty over the interpretation and application of these and other obligations, we may face challenges in addressing their requirements and making necessary changes to our policies and practices and may incur significant costs and expenses in an effort to do so.</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8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231F20"/>
        </w:rPr>
        <w:t>We make public statements about our use, collection, disclosure and other processing of personal data through our privacy policies, information provided on our website and press statements. Although we endeavor to comply with our public statements and documentation, we may at times fail to do so or be alleged to have failed to do so. Any failure or perceived failure by us or our vendors or service providers to comply with our applicable policies or notices relating to privacy or data protection, our contractual or other obligations to third parties, or any of our other legal obligations, laws, rules, regulations and standards relating to privacy or data protection, may result in governmental investigations or enforcement actions, litigation, claims and other proceedings, harm our reputation, and could result in significant liability.</w:t>
      </w:r>
    </w:p>
    <w:p>
      <w:pPr>
        <w:spacing w:after="0" w:line="18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231F20"/>
        </w:rPr>
        <w:t>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75"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color w:val="231F20"/>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as well as market, sell and distribute our products for which we obtain marketing approval. Restrictions under applicable federal and state healthcare laws and regulations may include the following:</w:t>
      </w:r>
    </w:p>
    <w:p>
      <w:pPr>
        <w:spacing w:after="0" w:line="75" w:lineRule="exact"/>
        <w:rPr>
          <w:sz w:val="20"/>
          <w:szCs w:val="20"/>
          <w:color w:val="auto"/>
        </w:rPr>
      </w:pPr>
    </w:p>
    <w:p>
      <w:pPr>
        <w:ind w:left="1020" w:hanging="503"/>
        <w:spacing w:after="0" w:line="261" w:lineRule="auto"/>
        <w:tabs>
          <w:tab w:leader="none" w:pos="102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71" w:lineRule="exact"/>
        <w:rPr>
          <w:rFonts w:ascii="Times New Roman" w:cs="Times New Roman" w:eastAsia="Times New Roman" w:hAnsi="Times New Roman"/>
          <w:sz w:val="18"/>
          <w:szCs w:val="18"/>
          <w:color w:val="231F20"/>
        </w:rPr>
      </w:pPr>
    </w:p>
    <w:p>
      <w:pPr>
        <w:ind w:left="1020" w:right="160" w:hanging="503"/>
        <w:spacing w:after="0" w:line="261" w:lineRule="auto"/>
        <w:tabs>
          <w:tab w:leader="none" w:pos="102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71" w:lineRule="exact"/>
        <w:rPr>
          <w:rFonts w:ascii="Times New Roman" w:cs="Times New Roman" w:eastAsia="Times New Roman" w:hAnsi="Times New Roman"/>
          <w:sz w:val="18"/>
          <w:szCs w:val="18"/>
          <w:color w:val="231F20"/>
        </w:rPr>
      </w:pPr>
    </w:p>
    <w:p>
      <w:pPr>
        <w:jc w:val="both"/>
        <w:ind w:left="1020" w:right="660" w:hanging="503"/>
        <w:spacing w:after="0" w:line="312" w:lineRule="auto"/>
        <w:tabs>
          <w:tab w:leader="none" w:pos="1020" w:val="left"/>
        </w:tabs>
        <w:numPr>
          <w:ilvl w:val="0"/>
          <w:numId w:val="2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federal Health Insurance Portability and Accountability Act of 1996 (HIPAA), which prohibits, among other things, executing or attempting to execute a scheme to defraud any healthcare benefit program or making false statements relating to healthcare matters;</w:t>
      </w:r>
    </w:p>
    <w:p>
      <w:pPr>
        <w:spacing w:after="0" w:line="31" w:lineRule="exact"/>
        <w:rPr>
          <w:rFonts w:ascii="Times New Roman" w:cs="Times New Roman" w:eastAsia="Times New Roman" w:hAnsi="Times New Roman"/>
          <w:sz w:val="17"/>
          <w:szCs w:val="17"/>
          <w:color w:val="231F20"/>
        </w:rPr>
      </w:pPr>
    </w:p>
    <w:p>
      <w:pPr>
        <w:ind w:left="1020" w:right="20" w:hanging="503"/>
        <w:spacing w:after="0" w:line="258" w:lineRule="auto"/>
        <w:tabs>
          <w:tab w:leader="none" w:pos="102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Civil Monetary Penalty Act of 1981 and implementing regulations, which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offered or transferred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75" w:lineRule="exact"/>
        <w:rPr>
          <w:rFonts w:ascii="Times New Roman" w:cs="Times New Roman" w:eastAsia="Times New Roman" w:hAnsi="Times New Roman"/>
          <w:sz w:val="18"/>
          <w:szCs w:val="18"/>
          <w:color w:val="231F20"/>
        </w:rPr>
      </w:pPr>
    </w:p>
    <w:p>
      <w:pPr>
        <w:ind w:left="1020" w:right="140" w:hanging="503"/>
        <w:spacing w:after="0" w:line="258" w:lineRule="auto"/>
        <w:tabs>
          <w:tab w:leader="none" w:pos="102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Health Insurance Portability and Accountability Act of 1996 (HIPAA), as amended by the Health Information Technology for Economic and Clinical Health Act and their implementing regulations, also imposes obligations, including mandatory contractual terms, on covered entities, which are health plans, healthcare clearinghouses, and certain health care providers, as those terms are defined by HIPAA, and their respective business associates and their subcontractors, with respect to safeguarding the privacy, security and transmission of individually identifiable health information;</w:t>
      </w:r>
    </w:p>
    <w:p>
      <w:pPr>
        <w:spacing w:after="0" w:line="75" w:lineRule="exact"/>
        <w:rPr>
          <w:rFonts w:ascii="Times New Roman" w:cs="Times New Roman" w:eastAsia="Times New Roman" w:hAnsi="Times New Roman"/>
          <w:sz w:val="18"/>
          <w:szCs w:val="18"/>
          <w:color w:val="231F20"/>
        </w:rPr>
      </w:pPr>
    </w:p>
    <w:p>
      <w:pPr>
        <w:ind w:left="1020" w:right="200" w:hanging="503"/>
        <w:spacing w:after="0" w:line="282" w:lineRule="auto"/>
        <w:tabs>
          <w:tab w:leader="none" w:pos="102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federal consumer protection and unfair competition laws, which broadly regulate marketplace activities and activities that potentially harm consumers;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 w:name="page53"/>
    <w:bookmarkEnd w:id="52"/>
    <w:p>
      <w:pPr>
        <w:spacing w:after="0" w:line="86" w:lineRule="exact"/>
        <w:rPr>
          <w:sz w:val="20"/>
          <w:szCs w:val="20"/>
          <w:color w:val="auto"/>
        </w:rPr>
      </w:pPr>
    </w:p>
    <w:p>
      <w:pPr>
        <w:ind w:left="1020" w:right="20" w:hanging="503"/>
        <w:spacing w:after="0" w:line="256" w:lineRule="auto"/>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doctors, dentists, optometrists, podiatrists and chiropractors), certain non-physician healthcare professionals (such as nurse practitioners and physician assistants, among others), and teaching hospitals as well as information regarding ownership and investment interests held by physicians and their immediate family members; and</w:t>
      </w:r>
    </w:p>
    <w:p>
      <w:pPr>
        <w:spacing w:after="0" w:line="79" w:lineRule="exact"/>
        <w:rPr>
          <w:rFonts w:ascii="Times New Roman" w:cs="Times New Roman" w:eastAsia="Times New Roman" w:hAnsi="Times New Roman"/>
          <w:sz w:val="18"/>
          <w:szCs w:val="18"/>
          <w:color w:val="231F20"/>
        </w:rPr>
      </w:pPr>
    </w:p>
    <w:p>
      <w:pPr>
        <w:ind w:left="1020" w:hanging="503"/>
        <w:spacing w:after="0" w:line="254" w:lineRule="auto"/>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analogous state and foreign laws and regulations, such as state anti-kickback and false claims laws,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state and local laws that require the registration of pharmaceutical sales and medical representatives; state laws that govern the privacy and security of health information in some circumstances, many of which differ from each other in significant ways and often are not preempted by HIPAA, thus complicating compliance efforts.</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Efforts to ensure that our current and future business arrangements with third parties will comply with applicable healthcare and data privacy and security laws and regulations will involve substantial ongoing costs and may require us to undertake or implement additional policies or measures. We may face claims and proceedings by private parties, and claims, investigations and other proceedings by governmental authorities, relating to allegations that our business practices do not comply with current or future statutes, regulations or case law involving applicable fraud and abuse or other healthcare laws and regulations, and it is possible that courts or governmental authorities may conclude that we have not complied with them, or that we may find it necessary or appropriate to settle any such claims or other proceedings. In connection with any such claims, proceedings, or settlements,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8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employees, independent contractors, consultants, commercial collaborators, principal investigators, CROs, CDMOs, suppliers and vendors may engage in misconduct or other improper activities, including non-compliance with regulatory standards and requirements.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We are exposed to the risk that our employees, independent contractors, consultants, commercial collaborators, principal investigators, CROs, CDMOs,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8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231F20"/>
        </w:rPr>
        <w:t>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17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fail to comply with environmental, health and safety laws and regulations, we could become subject to fines or penalties or incur costs that could have a material adverse effect on our business.</w:t>
      </w:r>
    </w:p>
    <w:p>
      <w:pPr>
        <w:spacing w:after="0" w:line="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72"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231F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72"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business activities are subject to the U.S. Foreign Corrupt Practices Act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6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231F20"/>
        </w:rPr>
        <w:t>Our business activities are subject to the U.S. Foreign Corrupt Practices Act of 1977, as amended (FCPA), the U.S. domestic bribery statute contained in 18 U.S.C. § 201, the U.S. Travel Act, and similar anti-bribery or anti-corruption laws, regulations or rules of other countries in which we operate. These laws generally prohibit companies and their employees and agents from offering or providing improper payments or benefits to recipients in the public or private sector. Our business is heavily regulated and therefore involves significant interaction with public officials, including officials of non-U.S. governments. Additionally, in many other countries, hospitals are owned and operated by the government, and doctors and other hospital employees would be considered foreign officials under the FCPA. Recently, the SEC and Department of Justice have increased their FCPA enforcement activities with respect to biotechnology and pharmaceutical companies.</w:t>
      </w:r>
    </w:p>
    <w:p>
      <w:pPr>
        <w:spacing w:after="0" w:line="8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231F20"/>
        </w:rPr>
        <w:t>We sometimes leverage third parties to assist with the conduct of our business abroad. As we increase our international business activities, our risks under these laws may increase. We, our employees and agents may have direct or indirect interactions with officials and employees of government agencies or state-owned or affiliated entities and may be held liable for the corrupt or other illegal activities of these employees and agents even if we do not explicitly authorize such activities.</w:t>
      </w:r>
    </w:p>
    <w:p>
      <w:pPr>
        <w:spacing w:after="0" w:line="72"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8"/>
          <w:szCs w:val="18"/>
          <w:color w:val="231F20"/>
        </w:rPr>
        <w:t>These laws also require that we make and keep books and records that accurately and fairly reflect the transactions of the corporation and to devise and maintain an adequate system of internal accounting controls and compliance procedures designed to prevent violations of anti-corruption laws. While we have policies and procedures to address compliance with such laws, we cannot assure you that all of our employees and agents will not take actions in violation of applicable law for which we may be ultimately held responsible.</w:t>
      </w:r>
    </w:p>
    <w:p>
      <w:pPr>
        <w:spacing w:after="0" w:line="72" w:lineRule="exact"/>
        <w:rPr>
          <w:sz w:val="20"/>
          <w:szCs w:val="20"/>
          <w:color w:val="auto"/>
        </w:rPr>
      </w:pPr>
    </w:p>
    <w:p>
      <w:pPr>
        <w:ind w:right="660" w:firstLine="509"/>
        <w:spacing w:after="0" w:line="266" w:lineRule="auto"/>
        <w:rPr>
          <w:sz w:val="20"/>
          <w:szCs w:val="20"/>
          <w:color w:val="auto"/>
        </w:rPr>
      </w:pPr>
      <w:r>
        <w:rPr>
          <w:rFonts w:ascii="Times New Roman" w:cs="Times New Roman" w:eastAsia="Times New Roman" w:hAnsi="Times New Roman"/>
          <w:sz w:val="18"/>
          <w:szCs w:val="18"/>
          <w:color w:val="231F20"/>
        </w:rPr>
        <w:t>Allegations or violations of these laws and regulations could result in whistleblower complaints, fines, severe civil or criminal sanctions, settlements, prosecution, enforcement actions, damages, adverse media coverage, investigations, loss of export privileges, disgorgement, and other remedial measures, suspension or debarment from</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8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231F20"/>
        </w:rPr>
        <w:t>government contracts and prohibitions on the conduct of our business including our ability to offer our products in one or more countries. Responding to any investigation or action will likely result in a materially significant diversion of management’s attention and resources and significant defense costs and other professional fees. As a general matter, investigations, enforcement actions and sanctions could damage our reputation, our brand, our international activities, our ability to attract and retain employees and our business, prospects, operating results and financial condition.</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w:t>
      </w:r>
    </w:p>
    <w:p>
      <w:pPr>
        <w:spacing w:after="0" w:line="79" w:lineRule="exact"/>
        <w:rPr>
          <w:sz w:val="20"/>
          <w:szCs w:val="20"/>
          <w:color w:val="auto"/>
        </w:rPr>
      </w:pPr>
    </w:p>
    <w:p>
      <w:pPr>
        <w:ind w:right="180" w:firstLine="509"/>
        <w:spacing w:after="0" w:line="253" w:lineRule="auto"/>
        <w:rPr>
          <w:sz w:val="20"/>
          <w:szCs w:val="20"/>
          <w:color w:val="auto"/>
        </w:rPr>
      </w:pPr>
      <w:r>
        <w:rPr>
          <w:rFonts w:ascii="Times New Roman" w:cs="Times New Roman" w:eastAsia="Times New Roman" w:hAnsi="Times New Roman"/>
          <w:sz w:val="18"/>
          <w:szCs w:val="18"/>
          <w:color w:val="auto"/>
        </w:rPr>
        <w:t>In particular, there is currently significant uncertainty about the future relationship between the United States and various other countries, most significantly China,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Changes in tax law could increase the tax burden on our orphan drug programs and adversely affect our business and financial condition.</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231F20"/>
        </w:rPr>
        <w:t>Changes in tax law, including to the orphan drug tax credit and other changes to U.S. and non-U.S. taxation, could increase our tax liability and adversely affect our operating results. For example, starting from January 1, 2022, the Tax Cuts and Jobs Act of 2017 requires taxpayers to capitalize domestic research and development costs in the year incurred and amortize such costs rather than deduct such costs in the year incurred. When and if we become profitable, these changes may cause us to pay federal income taxes earlier under the revised tax law than under the prior law and may increase our total federal tax liability attributable to orphan drug programs and other research and development. In addition, the Inflation Reduction Act of 2022 imposes a 1% excise tax on certain repurchases of stock made on or after January 1, 2023. These changes could increase our total federal tax liability when and if we become profitable.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Employee Matters, Managing Our Growth and Other Risks Related to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success is highly dependent on our ability to attract and retain highly skilled executive officers and employees.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231F20"/>
        </w:rPr>
        <w:t xml:space="preserve">We are highly dependent on the principal members of our management, our scientific founders and other scientific and clinical advisors and consultants, and our scientific and medical staff. </w:t>
      </w:r>
      <w:r>
        <w:rPr>
          <w:rFonts w:ascii="Times New Roman" w:cs="Times New Roman" w:eastAsia="Times New Roman" w:hAnsi="Times New Roman"/>
          <w:sz w:val="18"/>
          <w:szCs w:val="18"/>
          <w:color w:val="000000"/>
        </w:rPr>
        <w:t>The Workforce Reduction, and any future cost containment initiatives, could have an adverse impact 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our ability to retain and recruit qualified personnel. </w:t>
      </w:r>
      <w:r>
        <w:rPr>
          <w:rFonts w:ascii="Times New Roman" w:cs="Times New Roman" w:eastAsia="Times New Roman" w:hAnsi="Times New Roman"/>
          <w:sz w:val="18"/>
          <w:szCs w:val="18"/>
          <w:color w:val="231F20"/>
        </w:rPr>
        <w:t>If we do not succeed in attracting and retaining such personnel, particularly at the management level, it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could adversely affect our ability to execute our business plan and harm our operating results. In particular, the loss of one or more of our executive officers could be detrimental to us if we cannot recruit suitable replacements in a timely manner. We do not maintain “key person” insurance for any of our executives or other employees. We could in the future have difficulty attracting and retaining experienced personnel and may be required to expend significant financial resources in our employee recruitment and retention efforts.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8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spacing w:after="0" w:line="75"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231F20"/>
        </w:rPr>
        <w:t>Additionally, we rely on our scientific founders and other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founders or if they provide services to our competitors, our development and commercialization efforts will be impaired and our business will be significantly harmed.</w:t>
      </w:r>
    </w:p>
    <w:p>
      <w:pPr>
        <w:spacing w:after="0" w:line="185"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In order to successfully implement our long-term plans and strategies, we will need to grow the size of our organization, and we may experience difficulties in managing this growth.</w:t>
      </w:r>
    </w:p>
    <w:p>
      <w:pPr>
        <w:spacing w:after="0" w:line="51" w:lineRule="exact"/>
        <w:rPr>
          <w:sz w:val="20"/>
          <w:szCs w:val="20"/>
          <w:color w:val="auto"/>
        </w:rPr>
      </w:pPr>
    </w:p>
    <w:p>
      <w:pPr>
        <w:ind w:right="780" w:firstLine="509"/>
        <w:spacing w:after="0" w:line="282" w:lineRule="auto"/>
        <w:rPr>
          <w:sz w:val="20"/>
          <w:szCs w:val="20"/>
          <w:color w:val="auto"/>
        </w:rPr>
      </w:pPr>
      <w:r>
        <w:rPr>
          <w:rFonts w:ascii="Times New Roman" w:cs="Times New Roman" w:eastAsia="Times New Roman" w:hAnsi="Times New Roman"/>
          <w:sz w:val="18"/>
          <w:szCs w:val="18"/>
          <w:color w:val="231F20"/>
        </w:rPr>
        <w:t>In order to successfully implement our development and commercialization plans and strategies, we expect to need additional managerial, operational, sales, marketing, financial and other personnel in the future.</w:t>
      </w:r>
    </w:p>
    <w:p>
      <w:pPr>
        <w:spacing w:after="0" w:line="54"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231F20"/>
        </w:rPr>
        <w:t>Our future financial performance and our ability to successfully develop and, if approved,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6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31F20"/>
        </w:rPr>
        <w:t>We currently rely, and for the foreseeable future will continue to rely, in substantial part on certain independent organizations, advisors and consultants to provide certain services, including key aspects of our research and development, clinical development, manufacturing and operations.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preclinical studies and the initiation and conduct of our planned clinical trials may be extended, delayed or terminated, and we may not be able to obtain marketing approval of our product candidates or otherwise advance our programs and business. We cannot assure you that we will be able to manage our existing third-party service providers or find other competent outside contractors and consultants on economically reasonable terms, or at all.</w:t>
      </w:r>
    </w:p>
    <w:p>
      <w:pPr>
        <w:spacing w:after="0" w:line="84"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231F20"/>
        </w:rPr>
        <w:t>If, subject to the successful clinical development of our product candidates, we are not able to effectively expand our organization by hiring new employees and/or engaging additional third-party service providers, we may not be able to successfully implement the tasks necessary to develop and commercialize our product candidates and, accordingly, may not achieve our research, development and commercialization goals.</w:t>
      </w:r>
    </w:p>
    <w:p>
      <w:pPr>
        <w:spacing w:after="0" w:line="17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Our computer systems, or those of any of our CROs, manufacturers, contractors, consultants or other third parties or potential future collaborators, may fail or suffer security incidents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part of our business, we and our CROs, manufacturers, contractors (including sites performing our clinical trials), consultants and other third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collect, maintain and transmit sensitive data on our networks and systems, including our intellectual property and proprietary and confidential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color w:val="231F20"/>
        </w:rPr>
        <w:t>usiness information (such as research data and personal information). Despite the implementation of security measures in an effort to protect systems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store our information, given their size and complexity and the increasing amounts of information maintained on our internal information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systems, and those of our third-party CROs, manufacturers, contractors (including sites performing our clinical trials), consultants and other third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such systems are vulnerable to breakdown or other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231F20"/>
        </w:rPr>
        <w:t xml:space="preserve">damage or interruption from, among other things, inadvertent or intentional actions by our employees, contractors, consultants, business partners, and other third parties, cyber-attacks and other hacking attempts by malicious third parties, which may compromise our system infrastructure or lead to the loss, destruction, alteration, prevention of access to, disclosure, dissemination of, or damage or unauthorized access to, our data or other data that we process or maintain or that is processed or maintained on our behalf, or other assets. Although we have not observed material impacts of cyber-attacks on our operations and financial condition </w:t>
      </w:r>
      <w:r>
        <w:rPr>
          <w:rFonts w:ascii="Times New Roman" w:cs="Times New Roman" w:eastAsia="Times New Roman" w:hAnsi="Times New Roman"/>
          <w:sz w:val="18"/>
          <w:szCs w:val="18"/>
          <w:color w:val="000000"/>
        </w:rPr>
        <w:t>to date, we and our third-party service providers have frequently been the target of threats of this nature and we expect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these threats and attacks to continue.</w:t>
      </w:r>
    </w:p>
    <w:p>
      <w:pPr>
        <w:spacing w:after="0" w:line="7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231F20"/>
        </w:rPr>
        <w:t>Any data breach, disruption or security incident resulting in any loss, destruction, unavailability, alteration, disclosure, dissemination of, or damage or unauthorized access to, our data, or any other data that we process or maintain or that is processed or maintained on our behalf, or other assets, or for it to be believed or reported that any of the foregoing occurred, could cause us to incur significant liability, including consequential damages, financial harm and reputational damage and the development and commercialization of our product candidates could be delayed. The loss, corruption, or unavailability of clinical trial data for our product candidates also could result in delays in our marketing approval efforts and significantly increase our costs to recover or reproduce the data. We cannot ensure that our data protection efforts and our investment in information technology, or the efforts or investments of CROs, consultants or other third parties, will prevent breakdowns in our or their systems or have prevented, or will prevent, cybersecurity breaches or incidents, including those that cause loss, destruction, unavailability, alteration, dissemination of, or damage or unauthorized access to, our data, including personal data, assets and other data processed or maintained on our behalf. Any such breakdowns, breaches, or incidents, and any resulting impacts, could have a material adverse effect upon our reputation, business, operations or financial condition.</w:t>
      </w:r>
    </w:p>
    <w:p>
      <w:pPr>
        <w:spacing w:after="0" w:line="86" w:lineRule="exact"/>
        <w:rPr>
          <w:sz w:val="20"/>
          <w:szCs w:val="20"/>
          <w:color w:val="auto"/>
        </w:rPr>
      </w:pPr>
    </w:p>
    <w:p>
      <w:pPr>
        <w:jc w:val="both"/>
        <w:ind w:right="40" w:firstLine="509"/>
        <w:spacing w:after="0" w:line="257" w:lineRule="auto"/>
        <w:rPr>
          <w:sz w:val="20"/>
          <w:szCs w:val="20"/>
          <w:color w:val="auto"/>
        </w:rPr>
      </w:pPr>
      <w:r>
        <w:rPr>
          <w:rFonts w:ascii="Times New Roman" w:cs="Times New Roman" w:eastAsia="Times New Roman" w:hAnsi="Times New Roman"/>
          <w:sz w:val="18"/>
          <w:szCs w:val="18"/>
          <w:color w:val="231F20"/>
        </w:rPr>
        <w:t>We also rely on third parties to support the development and manufacture of our product candidates, and any data breaches or other security events relating to their computer systems could also have a material adverse effect on our business. Controls employed by our information technology department and our CROs, consultants and other third parties could prove inadequate, and our ability to monitor such third parties’ data security practices is limited.</w:t>
      </w:r>
    </w:p>
    <w:p>
      <w:pPr>
        <w:spacing w:after="0" w:line="1"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18"/>
          <w:szCs w:val="18"/>
          <w:color w:val="231F20"/>
        </w:rPr>
        <w:t>Due to applicable laws, rules, regulations and standards or contractual obligations, we may be held responsible for any information security failure or cyber-attack attributed to our third-party service providers as they relate to the information we share with them. We maintain limited cybersecurity insurance and therefore the successful assertion of one or more large claims against us in connection with a breach or other cybersecurity-related matter could adversely affect our business, financial condition, results of operations and prospects.</w:t>
      </w:r>
    </w:p>
    <w:p>
      <w:pPr>
        <w:spacing w:after="0" w:line="81"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7"/>
          <w:szCs w:val="17"/>
          <w:color w:val="231F20"/>
        </w:rPr>
        <w:t>Notifications and follow-up actions related to a data breach or other security incident could impact our reputation and cause us to incur significant costs, including significant legal expenses and remediation costs. We expect to incur significant costs in an effort to detect and prevent security incidents, and we may face increased costs and requirements to expend substantial resources in the event of an actual or perceived security incident. However, we cannot guarantee that we will be able to detect or prevent any such incidents, or that we can identify, remediate or otherwise address any such incidents in an effective or timely manner. Our efforts to improve security and protect data from compromise may also identify previously undiscovered instances of data breaches or other cybersecurity incidents. Any data breach, disruption or security incident resulting in any loss, destruction, or alteration of, damage, unauthorized access to or inappropriate or unauthorized disclosure of or dissemination of, our data, including personal data, or other information that is processed or maintained on our behalf, or if any of these is believed or reported to have occurred, we could be exposed to litigation and governmental investigations and inquiries, the further development and commercialization of our product candidates could be delayed, and we could be subject to significant fines or penalties for any noncompliance with certain state, federal and international privacy and security laws, rules, regulations and standards.</w:t>
      </w:r>
    </w:p>
    <w:p>
      <w:pPr>
        <w:spacing w:after="0" w:line="173"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operations are vulnerable to interruption by fire, earthquakes, power loss, telecommunications failure, terrorist activity, pandemics and other events beyond our control, which could harm our business.</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Our facilities are located in the San Francisco Bay Area. We have not undertaken a systematic analysis of the potential consequences to our business and financial results from a major earthquake, flood, blizzard, wildfire, power loss, terrorist activity, pandemics or other disasters and do not have a recovery plan for such disasters. In addition, we do not carry sufficient insurance to compensate us for actual losses from interruption of our business that may occur, and any losses or damages incurred by us could harm our business. Also, our CDMOs and suppliers’ facilities are located in multiple locations where other natural disasters or similar events which could severely</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7" w:name="page58"/>
    <w:bookmarkEnd w:id="57"/>
    <w:p>
      <w:pPr>
        <w:spacing w:after="0" w:line="8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231F20"/>
        </w:rPr>
        <w:t>disrupt our operations, could expose us to liability and could have a material adverse effect on our business. The occurrence of any of these business disruptions could seriously harm our operations and financial condition and increase our costs and expenses.</w:t>
      </w:r>
    </w:p>
    <w:p>
      <w:pPr>
        <w:spacing w:after="0" w:line="158"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A variety of risks associated with development and marketing our product candidates internationally, subject to regulatory approval in applicable jurisdictions, could materially adversely affect our business.</w:t>
      </w:r>
    </w:p>
    <w:p>
      <w:pPr>
        <w:spacing w:after="0" w:line="5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231F20"/>
        </w:rPr>
        <w:t>We may seek regulatory approval of our product candidates outside of the U.S. and/or work with contractors or partners in foreign jurisdictions, and we expect that we will be subject to additional risks and requirements related to our operations in foreign countries, including:</w:t>
      </w:r>
    </w:p>
    <w:p>
      <w:pPr>
        <w:spacing w:after="0" w:line="54"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differing regulatory requirements and reimbursement regimes;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unexpected changes in tariffs, trade barriers, price and exchange controls and other regulatory requirements;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foreign taxes, including withholding of payroll taxes;</w:t>
      </w:r>
    </w:p>
    <w:p>
      <w:pPr>
        <w:spacing w:after="0" w:line="117" w:lineRule="exact"/>
        <w:rPr>
          <w:rFonts w:ascii="Times New Roman" w:cs="Times New Roman" w:eastAsia="Times New Roman" w:hAnsi="Times New Roman"/>
          <w:sz w:val="18"/>
          <w:szCs w:val="18"/>
          <w:color w:val="231F20"/>
        </w:rPr>
      </w:pPr>
    </w:p>
    <w:p>
      <w:pPr>
        <w:ind w:left="1020" w:right="360" w:hanging="503"/>
        <w:spacing w:after="0" w:line="282" w:lineRule="auto"/>
        <w:tabs>
          <w:tab w:leader="none" w:pos="102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difficulties staffing and managing foreign operations;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workforce uncertainty in countries where labor unrest is more common than in the U.S.;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potential liability under the FCPA or comparable foreign regulations;</w:t>
      </w:r>
    </w:p>
    <w:p>
      <w:pPr>
        <w:spacing w:after="0" w:line="117" w:lineRule="exact"/>
        <w:rPr>
          <w:rFonts w:ascii="Times New Roman" w:cs="Times New Roman" w:eastAsia="Times New Roman" w:hAnsi="Times New Roman"/>
          <w:sz w:val="18"/>
          <w:szCs w:val="18"/>
          <w:color w:val="231F20"/>
        </w:rPr>
      </w:pPr>
    </w:p>
    <w:p>
      <w:pPr>
        <w:ind w:left="1020" w:right="240" w:hanging="503"/>
        <w:spacing w:after="0" w:line="282" w:lineRule="auto"/>
        <w:tabs>
          <w:tab w:leader="none" w:pos="102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challenges obtaining, maintaining, protecting, defending and enforcing our contractual and intellectual property rights, especially in those foreign countries that do not respect and protect intellectual property rights to the same extent as the U.S.;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231F20"/>
        </w:rPr>
      </w:pPr>
    </w:p>
    <w:p>
      <w:pPr>
        <w:ind w:left="1020" w:right="120" w:hanging="503"/>
        <w:spacing w:after="0" w:line="282" w:lineRule="auto"/>
        <w:tabs>
          <w:tab w:leader="none" w:pos="102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business interruptions resulting from geo-political actions, including war and terrorism, including effects of the Russia-Ukraine and Middle East conflicts.</w:t>
      </w:r>
    </w:p>
    <w:p>
      <w:pPr>
        <w:spacing w:after="0" w:line="54"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231F20"/>
        </w:rPr>
        <w:t>These and other risks associated with our international operations may materially adversely affect our ability to attain or maintain profitable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Intellectual Property</w:t>
      </w:r>
    </w:p>
    <w:p>
      <w:pPr>
        <w:spacing w:after="0" w:line="117"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spacing w:after="0" w:line="67" w:lineRule="exact"/>
        <w:rPr>
          <w:sz w:val="20"/>
          <w:szCs w:val="20"/>
          <w:color w:val="auto"/>
        </w:rPr>
      </w:pPr>
    </w:p>
    <w:p>
      <w:pPr>
        <w:ind w:right="20" w:firstLine="509"/>
        <w:spacing w:after="0" w:line="274" w:lineRule="auto"/>
        <w:rPr>
          <w:sz w:val="20"/>
          <w:szCs w:val="20"/>
          <w:color w:val="auto"/>
        </w:rPr>
      </w:pPr>
      <w:r>
        <w:rPr>
          <w:rFonts w:ascii="Times New Roman" w:cs="Times New Roman" w:eastAsia="Times New Roman" w:hAnsi="Times New Roman"/>
          <w:sz w:val="17"/>
          <w:szCs w:val="17"/>
          <w:color w:val="231F20"/>
        </w:rPr>
        <w:t>Our commercial success depends in large part on our ability to obtain, maintain, protect, defend and enforce patents, trade secrets and other intellectual property relating to our product candidates and platforms and to operate without infringing, misappropriating or otherwise violating the intellectual property of others. We rely on patent, copyright, trade secret and trademark laws in the U.S. and certain other countries to protect our technology, and we generally seek to protect our position by filing patent applications in the U.S. and abroad and by acquiring or in-licensing relevant issued patents or pending applications from third parties. However, these efforts may provide only limited protection. There can be no assurance that we or our licensors will obtain any additional issued patents or that any issued patents we or our licensors obtain will provide us with any competitive advantage.</w:t>
      </w:r>
    </w:p>
    <w:p>
      <w:pPr>
        <w:spacing w:after="0" w:line="65"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231F20"/>
        </w:rPr>
        <w:t>Pending patent applications cannot be enforced until issued, and then only to the extent the issued claims cover the product candidate or relevant technology. There can be no assurance that our patent applications or the</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8" w:name="page59"/>
    <w:bookmarkEnd w:id="58"/>
    <w:p>
      <w:pPr>
        <w:spacing w:after="0" w:line="86" w:lineRule="exact"/>
        <w:rPr>
          <w:sz w:val="20"/>
          <w:szCs w:val="20"/>
          <w:color w:val="auto"/>
        </w:rPr>
      </w:pPr>
    </w:p>
    <w:p>
      <w:pPr>
        <w:jc w:val="both"/>
        <w:ind w:right="400"/>
        <w:spacing w:after="0" w:line="282" w:lineRule="auto"/>
        <w:rPr>
          <w:sz w:val="20"/>
          <w:szCs w:val="20"/>
          <w:color w:val="auto"/>
        </w:rPr>
      </w:pPr>
      <w:r>
        <w:rPr>
          <w:rFonts w:ascii="Times New Roman" w:cs="Times New Roman" w:eastAsia="Times New Roman" w:hAnsi="Times New Roman"/>
          <w:sz w:val="18"/>
          <w:szCs w:val="18"/>
          <w:color w:val="231F20"/>
        </w:rPr>
        <w:t>patent applications of our licensors will result in additional patents being issued or that any such issued patents will afford sufficient protection against competitors with similar technology, nor can there be any assurance that the patents issued will not be designed around or invalidated by third parties.</w:t>
      </w:r>
    </w:p>
    <w:p>
      <w:pPr>
        <w:spacing w:after="0" w:line="5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231F20"/>
        </w:rPr>
        <w:t>Even issued patents may later be found invalid or unenforceable, or they may be modified, narrowed in scope, or revoked in proceedings instituted by third parties before various patent offices or in courts in the U.S. and abroad. The degree of future protection for our and our licensor’s intellectual property and proprietary rights is uncertain. Only limited protection may be available and may not adequately protect our rights or permit us to gain or keep any competitive advantage. These uncertainties and limitations in our ability to properly protect the intellectual property rights relating to our product candidates could have a material adverse effect on our financial condition and results of operations. Any failure to obtain or maintain patent protection with respect to our technology and product candidates would have a material adverse effect on our business, financial condition, results of operations and prospects.</w:t>
      </w:r>
    </w:p>
    <w:p>
      <w:pPr>
        <w:spacing w:after="0" w:line="8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231F20"/>
        </w:rPr>
        <w:t>The patent application process is subject to numerous risks and uncertainties, and there can be no assurance that we or any of our potential future licensors or collaborators will be successful in protecting our product candidates and platforms by obtaining and defending adequate patent coverage. These risks and uncertainties include the following:</w:t>
      </w:r>
    </w:p>
    <w:p>
      <w:pPr>
        <w:spacing w:after="0" w:line="68" w:lineRule="exact"/>
        <w:rPr>
          <w:sz w:val="20"/>
          <w:szCs w:val="20"/>
          <w:color w:val="auto"/>
        </w:rPr>
      </w:pPr>
    </w:p>
    <w:p>
      <w:pPr>
        <w:ind w:left="1020" w:right="20" w:hanging="503"/>
        <w:spacing w:after="0" w:line="266" w:lineRule="auto"/>
        <w:tabs>
          <w:tab w:leader="none" w:pos="102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the </w:t>
      </w:r>
      <w:r>
        <w:rPr>
          <w:rFonts w:ascii="Times New Roman" w:cs="Times New Roman" w:eastAsia="Times New Roman" w:hAnsi="Times New Roman"/>
          <w:sz w:val="18"/>
          <w:szCs w:val="18"/>
          <w:color w:val="000000"/>
        </w:rPr>
        <w:t>United States Patent and Trademark Office (</w:t>
      </w:r>
      <w:r>
        <w:rPr>
          <w:rFonts w:ascii="Times New Roman" w:cs="Times New Roman" w:eastAsia="Times New Roman" w:hAnsi="Times New Roman"/>
          <w:sz w:val="18"/>
          <w:szCs w:val="18"/>
          <w:color w:val="231F20"/>
        </w:rPr>
        <w:t>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patent applications may not result in any patents being issued;</w:t>
      </w:r>
    </w:p>
    <w:p>
      <w:pPr>
        <w:spacing w:after="0" w:line="117" w:lineRule="exact"/>
        <w:rPr>
          <w:rFonts w:ascii="Times New Roman" w:cs="Times New Roman" w:eastAsia="Times New Roman" w:hAnsi="Times New Roman"/>
          <w:sz w:val="18"/>
          <w:szCs w:val="18"/>
          <w:color w:val="231F20"/>
        </w:rPr>
      </w:pPr>
    </w:p>
    <w:p>
      <w:pPr>
        <w:ind w:left="1020" w:right="260" w:hanging="503"/>
        <w:spacing w:after="0" w:line="282" w:lineRule="auto"/>
        <w:tabs>
          <w:tab w:leader="none" w:pos="102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patents may be challenged, invalidated, modified, revoked, circumvented, found to be unenforceable, narrowed in scope or otherwise may not provide any competitive advantage;</w:t>
      </w:r>
    </w:p>
    <w:p>
      <w:pPr>
        <w:spacing w:after="0" w:line="53" w:lineRule="exact"/>
        <w:rPr>
          <w:rFonts w:ascii="Times New Roman" w:cs="Times New Roman" w:eastAsia="Times New Roman" w:hAnsi="Times New Roman"/>
          <w:sz w:val="18"/>
          <w:szCs w:val="18"/>
          <w:color w:val="231F20"/>
        </w:rPr>
      </w:pPr>
    </w:p>
    <w:p>
      <w:pPr>
        <w:jc w:val="both"/>
        <w:ind w:left="1020" w:right="280" w:hanging="503"/>
        <w:spacing w:after="0" w:line="266" w:lineRule="auto"/>
        <w:tabs>
          <w:tab w:leader="none" w:pos="102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67" w:lineRule="exact"/>
        <w:rPr>
          <w:rFonts w:ascii="Times New Roman" w:cs="Times New Roman" w:eastAsia="Times New Roman" w:hAnsi="Times New Roman"/>
          <w:sz w:val="18"/>
          <w:szCs w:val="18"/>
          <w:color w:val="231F20"/>
        </w:rPr>
      </w:pPr>
    </w:p>
    <w:p>
      <w:pPr>
        <w:ind w:left="1020" w:right="160" w:hanging="503"/>
        <w:spacing w:after="0" w:line="266" w:lineRule="auto"/>
        <w:tabs>
          <w:tab w:leader="none" w:pos="102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67" w:lineRule="exact"/>
        <w:rPr>
          <w:rFonts w:ascii="Times New Roman" w:cs="Times New Roman" w:eastAsia="Times New Roman" w:hAnsi="Times New Roman"/>
          <w:sz w:val="18"/>
          <w:szCs w:val="18"/>
          <w:color w:val="231F20"/>
        </w:rPr>
      </w:pPr>
    </w:p>
    <w:p>
      <w:pPr>
        <w:ind w:left="1020" w:right="300" w:hanging="503"/>
        <w:spacing w:after="0" w:line="266" w:lineRule="auto"/>
        <w:tabs>
          <w:tab w:leader="none" w:pos="102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countries other than the United States may have patent laws less favorable to patentees than those upheld by U.S. courts, allowing foreign competitors a better opportunity to create, develop and market competing product candidates and limiting the scope of our protection in countries outside the United States.</w:t>
      </w:r>
    </w:p>
    <w:p>
      <w:pPr>
        <w:spacing w:after="0" w:line="68"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231F20"/>
        </w:rPr>
        <w:t>The patent prosecution process is also expensive and time-consuming, and we and our licensors may not be able to file and prosecute all necessary or desirable patent applications at a reasonable cost or in a timely manner or in all jurisdictions where protection may be commercially advantageous.</w:t>
      </w:r>
    </w:p>
    <w:p>
      <w:pPr>
        <w:spacing w:after="0" w:line="5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231F20"/>
        </w:rPr>
        <w:t>We may be unable to obtain or maintain patent applications and patents due to the subject matter claimed in such patent applications and patents being in disclosures in the public domain. It is also possible that we or our licensors will fail to identify patentable aspects of our research and development output before it is too late to obtain patent protection. Furthermore, although we enter into non-disclosure and confidentiality agreements with parties who have access to confidential or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9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The patent position of biotechnology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and platforms or which effectively prevent others from commercializing competitive product candidates and technologies or otherwise provide any commercial advantage.</w:t>
      </w:r>
    </w:p>
    <w:p>
      <w:pPr>
        <w:spacing w:after="0" w:line="75"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231F20"/>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Our competitors or other third parties may avail themselves of safe harbor under the Drug Price Competition and Patent Term Restoration Act of 1984 (Hatch-Waxman Amendments) to conduct research and clinical trials and may be able to circumvent our patent rights by developing similar or alternative technologies or products in a non-infringing manner. Any patents that we may own or in-license may be challenged or circumvented by third parties or may be narrowed, rendered unenforceable, or invalidated as a result of challenges by third parties. Consequently, we do not know whether our product candidates will be protectable or remain protected by valid and enforceable patents.</w:t>
      </w:r>
    </w:p>
    <w:p>
      <w:pPr>
        <w:spacing w:after="0" w:line="8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While we believe our intellectual property allows us to pursue our current development programs, we may not be aware of all third-party intellectual property rights potentially relating to our technology and product candidates. We cannot be certain that we were the first to make the inventions claimed in any owned or any licensed patents or pending patent applications, or that we were the first to file for patent protection of such inventions. Publications of discoveries in the scientific literature often lag the actual discoveries, and patent applications in the U.S. and other jurisdictions are typically not published until 18 months after filing or, in some cases, not at all. If a third party can establish that we or our licensors were not the first to make or the first to file for patent protection of such inventions, our owned or licensed patent applications may not issue as patents and even if issued, may be challenged and invalidated.</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The issuance of a patent is not conclusive as to its inventorship, scope, validity or enforceability, and the inventorship, scope, validity or enforceability of our potential future patents or the patents of our licensors that may be challenged in the courts or patent offices in the U.S. and abroad. For example, we may be subject to a third-party pre-issuance submission of prior art, post-grant review or inter partes review at the USPTO, or other similar proceedings including, opposition, derivation, revocation or reexamination proceedings in the U.S. or abroad. A third party may also claim that our patents or licensed patent rights are invalid or unenforceable in a litigation. The outcome following legal assertions of invalidity and unenforceability is unpredictable. An adverse determination in any such submission, proceeding or litigation could reduce the scope of, or invalidate or render unenforceable, our potential future owned patents or licensed patent rights, allow third parties to commercialize our product candidates and compete directly with us, without payment to us. Such proceedings also may result in substantial cost and require significant time from our scientists, manufacturing staff and management, even if the eventual outcome is favorable to us. In addition, if the breadth or strength of protection provided by our potential future patents and patent applications or the patents and patent applications of our licensors is threatened, regardless of the outcome, it could dissuade companies from collaborating with us to license, develop or commercialize our product candidates.</w:t>
      </w:r>
    </w:p>
    <w:p>
      <w:pPr>
        <w:spacing w:after="0" w:line="18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commercial success depends significantly on our ability to operate without infringing, misappropriating or otherwise violating the patents and other intellectual property and proprietary rights of third parties.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Our research, development and commercialization activities may be subject to claims that we infringe, misappropriate or otherwise violate patents or other intellectual property rights of others. Additionally, other entities may have, develop or obtain patents that could impair our competitive position or limit our ability to make, use, sell, offer for sale or import our product candidates. There is a substantial amount of litigation, both within and outside the U.S., involving patent and other intellectual property rights in the biotechnology industry. Numerous third-party U.S. and foreign issued patents and pending patent applications exist in the fields in which we are developing product candidates. Third-party patents or patent applications may include claims to materials, formulations,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0" w:name="page61"/>
    <w:bookmarkEnd w:id="60"/>
    <w:p>
      <w:pPr>
        <w:spacing w:after="0" w:line="8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231F20"/>
        </w:rPr>
        <w:t>methods of manufacture or methods for treatment related to the use or manufacture of our product candidates. Given the vast number of patents in our field of technology, we cannot be certain or guarantee that we do not infringe existing patents or that we will not infringe patents that may be granted in the future.</w:t>
      </w:r>
    </w:p>
    <w:p>
      <w:pPr>
        <w:spacing w:after="0" w:line="6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231F20"/>
        </w:rPr>
        <w:t>For example, we are aware of third-party patent rights that could be construed to cover the use of our TN-201 product candidate. We believe that if these third-party patent rights were to be asserted against us, we would have valid defenses against such assertions, including that such patent rights are invalid and/or not infringed. However, if such third-party patent rights were asserted against us and found to be valid, enforceable and infringed, we could be liable for damages and be required to obtain a license to such patent rights prior to commercializing TN-201 both within and outside the U.S., and such license may not be available on commercially reasonable terms or at all. Additionally, we are aware of third-party patent rights related to the use of certain AAV vectors, which have been asserted against others, including in at least one instance against a company for pre-approval activities. If these patent rights were to be asserted against us, we believe we would have valid defenses against such assertions, including that such patent rights are invalid and/or not infringed. However, such defenses may not be successful and we could be liable for damages and need to secure a license to such patent rights, which may not be available on commercially reasonable terms or at all. In the event any of the foregoing were to occur, we may be prevented from further developing and commercializing any affected product candidates, including TN-201.</w:t>
      </w:r>
    </w:p>
    <w:p>
      <w:pPr>
        <w:spacing w:after="0" w:line="86"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231F20"/>
        </w:rPr>
        <w:t>As the biotechnology industry expands and more patents are issued, the risk increases that our product candidates may be subject to claims of infringement, misappropriation or other violation of the patent or other intellectual property rights of third parties.</w:t>
      </w:r>
    </w:p>
    <w:p>
      <w:pPr>
        <w:spacing w:after="0" w:line="5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Although no third party has asserted a claim of patent infringement against us as of the date of this periodic report, there can be no assurance that we will not be subject to claims of patent or other intellectual property infringement in the future. Furthermore, we may fail to identify relevant patents or patent applications or may identify pending patent applications of potential interest but incorrectly predict the likelihood that such patent applications may issue with claims of relevance to our technology. We may incorrectly conclude that a third-party patent is invalid, unenforceable or not infringed by our activities. Pending patent applications that have been published can, subject to certain limitations, be later amended in a manner that could cover our technology and product candidates. Because patent applications are maintained as confidential for a certain period of time, until the relevant application is published, we may be unaware of third-party patents that may be infringed by commercialization of any of our product candidates. Moreover, because patent applications can take many years to issue, there may be currently-pending patent applications that may later result in issued patents that our product candidates may infringe. Identification of third-party patent rights that may be relevant to our technology is difficult because patent searching is imperfect due to differences in terminology among patents, incomplete databases and ambiguity in the meaning of patent claims.</w:t>
      </w:r>
    </w:p>
    <w:p>
      <w:pPr>
        <w:spacing w:after="0" w:line="8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Third parties may assert patent infringement claims against us directed at any of our product candidates based on our existing patent applications or patents that may be granted in the future, regardless of their merit.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Defense of these claims would involve substantial litigation expense and would be a substantial diversion of management and employee resources from our business. Because of the inevitable uncertainty in intellectual property litigation, we could lose a patent infringement or other action asserted against us regardless of our perception of the merits of the case.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spacing w:after="0" w:line="8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231F20"/>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8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Patent and other types of intellectual property litigation can involve complex factual and legal questions, and their outcome is uncertain.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to commercialize any future products we may develop and any other future products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or find that our technology did not infringe any such claims. Further, even if we were successful in defending against any such claims, such claims could require us to divert substantial financial and management resources that we would otherwise be able to devote to our business</w:t>
      </w:r>
      <w:r>
        <w:rPr>
          <w:rFonts w:ascii="Times New Roman" w:cs="Times New Roman" w:eastAsia="Times New Roman" w:hAnsi="Times New Roman"/>
          <w:sz w:val="18"/>
          <w:szCs w:val="18"/>
          <w:color w:val="231F20"/>
        </w:rPr>
        <w:t>.</w:t>
      </w:r>
    </w:p>
    <w:p>
      <w:pPr>
        <w:spacing w:after="0" w:line="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31F20"/>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our product candidates.</w:t>
      </w:r>
    </w:p>
    <w:p>
      <w:pPr>
        <w:spacing w:after="0" w:line="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In addition, our agreements with some of our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not be successful in obtaining or maintaining necessary rights to our product candidates through acquisitions and in-licenses.</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231F20"/>
        </w:rPr>
        <w:t>Many pharmaceutical companies, biotechnology companies, and academic institutions may have patents and patent applications potentially relevant to our business. We may find it necessary or prudent to obtain licenses to such patents from such third-party intellectual property holders, for example, in order to avoid infringing these third-party patents. We may also require licenses from third parties for certain technologies for use with our product candidates.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expect that competition for the in-licensing or acquisition of third-party intellectual property rights that are attractive to us may increase in the future, which may mean fewer suitable opportunities for us as well as higher acquisition or licensing costs. We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2" w:name="page63"/>
    <w:bookmarkEnd w:id="62"/>
    <w:p>
      <w:pPr>
        <w:spacing w:after="0" w:line="190"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Changes in U.S. patent law, or laws in other countries, could diminish the value of patents in general, thereby impairing our ability to protect our product candidates.</w:t>
      </w:r>
    </w:p>
    <w:p>
      <w:pPr>
        <w:spacing w:after="0" w:line="5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231F20"/>
        </w:rPr>
        <w:t>Changes in either the patent laws or in the interpretations of patent laws in the U.S.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potential future patents or in third-party patents.</w:t>
      </w:r>
    </w:p>
    <w:p>
      <w:pPr>
        <w:spacing w:after="0" w:line="6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231F20"/>
        </w:rPr>
        <w:t>In addition, the U.S. Congress or other foreign legislative bodies may pass patent reform legislation that is unfavorable to us. Patent reform</w:t>
      </w:r>
    </w:p>
    <w:p>
      <w:pPr>
        <w:spacing w:after="0" w:line="2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color w:val="231F20"/>
        </w:rPr>
        <w:t>legislation could increase the uncertainties and costs surrounding the prosecution of patent applications and the enforcement or defense of issued patents.</w:t>
      </w:r>
    </w:p>
    <w:p>
      <w:pPr>
        <w:spacing w:after="0" w:line="110"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231F20"/>
        </w:rPr>
        <w:t>Furthermore, the U.S. Supreme Court and the U.S. Court of Appeals for the Federal Circuit have made, and will likely continue to make, changes in how patent laws in the U.S. are interpreted. The U.S. Supreme Court has ruled on several patent cases in recent years, either narrowing the scope of patent protection available in certain circumstances or weakening the rights of patent owners in certain situations. Similarly, foreign courts have made and will continue to make changes in how the patent laws in their respective jurisdictions are interpreted. We cannot predict future changes in the interpretation of patent laws or changes to patent laws that might be enacted into law by U.S. and foreign legislative bodies. The laws and regulations governing patents could change in unpredictable ways that would weaken our ability to obtain new patents or to enforce our existing patent and the patents we might obtain or license in the future.</w:t>
      </w:r>
    </w:p>
    <w:p>
      <w:pPr>
        <w:spacing w:after="0" w:line="185"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be subject to claims challenging the inventorship or ownership of our owned patent applications or in-licensed patent rights and other intellectual property.</w:t>
      </w:r>
    </w:p>
    <w:p>
      <w:pPr>
        <w:spacing w:after="0" w:line="51"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231F20"/>
        </w:rPr>
        <w:t>We or our licensors may be subject to claims that former employees or other third parties have an ownership interest in our owned patent applications or in-licensed patents, trade secrets or other intellectual property rights as an inventor or co-inventor. For example, we or our licensors may have inventorship disputes arise from conflicting obligations of employees, consultants or other third parties who are involved in developing our product candidates. Litigation may be necessary to defend against these and other claims challenging inventorship or ownership of our patent applications or our licensors’ owned or in-licensed patents, trade secrets or other intellectual property rights. If we or our licensors fail in defending any such claims, in addition to paying monetary damages, we may lose valuable intellectual property rights, such as exclusive ownership of, or right to use, intellectual property rights that are important to our product candidates. It may be necessary or we may desire to enter into a license to settle any such claim; however, there can be no assurance that we would be able to obtain a license on commercially reasonable terms, if at all. Such an outcome could have a material adverse effect on our business. Even if we are successful in defending against such claims, litigation could result in substantial costs and distraction to management and other employees, and any litigation or the threat of litigation may adversely impact our reputation or affect our ability to hire employees or contract with independent contractors.</w:t>
      </w:r>
    </w:p>
    <w:p>
      <w:pPr>
        <w:spacing w:after="0" w:line="8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In addition, while it is our policy to require our employees, consultants, advisors, contractors and other third parties who may be involved in the conception or development of intellectual property rights to execute agreements assigning such intellectual property rights to us, we or our licensors may be unsuccessful in executing such agreements with each party who, in fact, conceives or develops intellectual property rights that we regard as our own. The assignment of intellectual property rights may not be self-executing or sufficient in scope, or the assignment agreements may be breached, and we or our licensors may be forced to bring claims against third parties, or defend claims that they may bring against us, to determine the ownership of what we regard as our intellectual property rights. Furthermore, individuals executing agreements with us may have preexisting or competing obligations to a third party, such as an academic institution, and thus an agreement with us or our licensors may be ineffective in perfecting ownership of inventions developed by that individual. Such claims could have a material adverse effect on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Patent terms may be inadequate to protect our competitive position on our product candidates for an adequate amount of time.</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231F20"/>
        </w:rPr>
        <w:t>Patents have a limited lifespan. In the U.S.,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8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231F20"/>
        </w:rPr>
        <w:t>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If we do not obtain patent term extension for our product candidates, our business may be materially harmed.</w:t>
      </w:r>
    </w:p>
    <w:p>
      <w:pPr>
        <w:spacing w:after="0" w:line="121"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231F20"/>
        </w:rPr>
        <w:t>Depending upon the timing, duration and specifics of FDA marketing approval of our product candidates, one or more of our U.S. patents or those of our licensors may be eligible for limited patent term restoration under the Hatch-Waxman Amendments. Patent term extension may also be available in certain foreign countries upon regulatory approval of our product candidates.</w:t>
      </w:r>
    </w:p>
    <w:p>
      <w:pPr>
        <w:spacing w:after="0" w:line="6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231F20"/>
        </w:rPr>
        <w:t>We may not be granted any extensions for which we apply in the U.S. or any other jurisdiction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to the extent we wish to pursue patent term extension based on a patent that we in-license from a third party, we would need the cooperation of that third party. If we are unable to obtain patent term extension or restoration, or the foreign equivalent, or if the term of any such extension is less than we request, our competitors may obtain approval of competing products following our patent expiration, and our revenue could be reduced, possibly materially.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not be able to protect our intellectual property rights throughout the world.</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Filing, prosecuting and defending patents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even in jurisdictions where we do pursue patent protection. Consequently, we may not be able to prevent third parties from practicing our or our licensors’ inventions in all countries outside the U.S., even in jurisdictions where we or our licensors do pursue patent protection. Competitors may use our technologies in jurisdictions where we have not obtained patent protection to develop their own competing products and, further, may export otherwise infringing products to territories where we have patent protection, but enforcement is not as strong as that in the U.S.</w:t>
      </w:r>
    </w:p>
    <w:p>
      <w:pPr>
        <w:spacing w:after="0" w:line="8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231F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75"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7"/>
          <w:szCs w:val="17"/>
          <w:color w:val="231F20"/>
        </w:rPr>
        <w:t>European patent applications now have the option, upon grant of a patent, of becoming a Unitary Patent which will be subject to the jurisdiction of the Unified Patent Court (UPC). This is a significant change in European patent practice. As the UPC is a relatively new court system, there is limited precedent for the court, increasing the uncertainty of any litigation. As a single court system can invalidate a European patent, we, where applicable, have opted out of the UPC and as such, but for proceedings such as an opposition, each European patent would need to be challenged in each individual country.</w:t>
      </w:r>
    </w:p>
    <w:p>
      <w:pPr>
        <w:spacing w:after="0" w:line="5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Geo-political actions in the U.S.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Government actions may also prevent filing, prosecution and maintenance of issued patents in various jurisdictions. These actions could result in abandonment or lapse of our patents or patent applications, resulting in partial or complete loss of patent rights in such jurisdictions. If such an event were to occur, it could have a material adverse effect on our business. In addition, jurisdictions outside of the U.S. could also permit our patents to be exploited without consent or compensation. In such circumstances we would not be able to prevent third parties from practicing our inventions or from selling or importing products made using our inventions in and into such jurisdictions. Accordingly, our competitive position may be impaired, and our business, financial condition, results of operations and prospects may be adversely affected.</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4" w:name="page65"/>
    <w:bookmarkEnd w:id="64"/>
    <w:p>
      <w:pPr>
        <w:spacing w:after="0" w:line="190"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67"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231F20"/>
        </w:rPr>
        <w:t>Periodic maintenance fees, renewal fees, annuity fees and various other governmental fees on patents and/or patent applications will be due to the USPTO and various foreign patent offices outside of the U.S. at various points over the lifetime of our potential future patents and patent applications and those of our licensors. We rely on our outside patent annuity service to pay these fees when due. Additionally, the USPTO and various foreign patent offices require compliance with a number of procedural, documentary, fee payment and other similar provisions during the patent application process. We are also dependent on our licensors to take the necessary action to comply with these requirements with respect to our licensed intellectual property. An inadvertent lapse or non-compliance with such requirements can sometimes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 financial condition and results of operations.</w:t>
      </w:r>
    </w:p>
    <w:p>
      <w:pPr>
        <w:spacing w:after="0" w:line="18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We intend to use registered or unregistered trademarks or trade names to brand and market ourselves and our products, but we do not yet own a U.S. registered trademark for our corporate name, “Tenaya”. Once filed and registered, our potential future trademarks or trade names may be challenged, infringed, circumvented or declared generic or determined to be infringing on other marks. We may not be able to protect our rights to these potential future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As a means to enforce our potential future trademark rights and prevent infringement, we may be required to file trademark claims against third parties or initiate trademark opposition proceedings, which can be expensive and time-consuming. In addition, there could be potential trade name or trademark infringement claims brought by owners of other registered trademarks or trademarks that incorporate variations of our potential future registered or unregistered trademarks or trade names. Over the long term, if we are unable to establish name recognition based on our trademarks and trade names, then we may not be able to compete effectively, and our business may be adversely affected.</w:t>
      </w:r>
    </w:p>
    <w:p>
      <w:pPr>
        <w:spacing w:after="0" w:line="86"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231F20"/>
        </w:rPr>
        <w:t>Additionally, our potential future registered trademarks may not be maintained or enforced.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potential future trademark applications and registrations, and our potential future trademarks may not survive such proceedings. If we do not secure registrations for our potential future trademarks, we may encounter more difficulty in enforcing them against third parties than we otherwise would. Our efforts to enforce or protect our proprietary rights related to trademarks, domain names or other intellectual property may be ineffective and could result in substantial costs and diversion of resources and could adversely affect our financial condition or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If we are unable to protect the confidentiality of our trade secrets, our business and competitive position would be harmed.</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231F20"/>
        </w:rPr>
        <w:t>In addition to seeking patent protection on the intellectual property underlying our technology and product candidates, we also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who have access to such information, and confidential information and invention assignment agreements with employees, consultants, advisors and other third parties involved in the development of intellectual property, we cannot guarantee that we and our licensors have entered into such agreements with each party that may have had access to our trade secrets or proprietary information or that has been involved in the development of intellectual property. Additionally, we cannot provide any assurances that all such agreements have been duly executed, that these parties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8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231F20"/>
        </w:rPr>
        <w:t>will not breach such agreements and disclose our proprietary information, including our trade secrets, or that we would be able to obtain adequate remedies for such breaches should they occur. We may not be able to prevent the unauthorized disclosure or use of our trade secrets. Monitoring unauthorized uses and disclosures is difficult and we do not know whether the steps we have taken to protect our proprietary technologies will be effective. Enforcing a claim that a party illegally disclosed or misappropriated a trade secret is difficult, expensive and time-consuming, and the outcome is unpredictable. In addition, some courts inside and outside the U.S. are less willing or unwilling to protect trade secrets. Given that our proprietary position is based, in part, on our know-how and trade secrets and despite our efforts to protect our trade secrets, our competitors’ discovery of our proprietary technology, trade secrets or confidential information or other unauthorized use or disclosure of such information would impair our competitive position and may have a material adverse effect on our business, financial condition, results of operations and prospects.</w:t>
      </w:r>
    </w:p>
    <w:p>
      <w:pPr>
        <w:spacing w:after="0" w:line="8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231F20"/>
        </w:rPr>
        <w:t>Moreover, third parties may still derive similar information independently, and we would have no right to prevent them from using that information to compete with us. We expect know-how and information to be disseminated over time within the industry through independent development, publication of journal articles, and movement of personnel between companies and from academic to industry scientific positions. We seek to preserve the integrity and confidentiality of our data and trade secrets by maintaining physical security of our premises and physical and electronic security of our information technology systems, but such security measures may be breached, and we may not have adequate remedies for any such breach. If any of these events occurs or if we otherwise lose protection for our trade secrets, the value of this information may be greatly reduced, and our competitive position would be harmed.</w:t>
      </w:r>
    </w:p>
    <w:p>
      <w:pPr>
        <w:spacing w:after="0" w:line="185"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be subject to claims that we or our employees, consultants, advisors or contractors have wrongfully used or disclosed alleged confidential information or trade secrets.</w:t>
      </w:r>
    </w:p>
    <w:p>
      <w:pPr>
        <w:spacing w:after="0" w:line="5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231F20"/>
        </w:rPr>
        <w:t>As is common in the biotechnology and 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biotechnology and pharmaceutical companies including our competitors or potential competitors. We may become subject to claims that we, our employees or consultants inadvertently or otherwise used or disclosed trade secrets or confidential or other information proprietary of their former employers or their former or current clients.</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In addition, we have entered into and may in the future enter into non-disclosure and confidentiality agreements to protect the proprietary positions of third parties, such as collaborators, CROs, third-party manufacturers, consultants, potential partners and other third parties. We may become subject to litigation where a third party asserts that we or our employees or other third parties inadvertently or otherwise breached the agreements and used or disclosed trade secrets or other information proprietary to the third parties. Defense of any such claims, regardless of their merit, could involve substantial litigation expense and be a substantial diversion of resources from our business. We cannot predict whether we would prevail in any such claims.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including the loss of valuable intellectual property rights or personnel, all of which could adversely affect our business. Even if we are successful in defending against these claims, litigation could result in substantial costs and be a distraction to our management team and other employees.</w:t>
      </w:r>
    </w:p>
    <w:p>
      <w:pPr>
        <w:spacing w:after="0" w:line="190"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rights to develop and commercialize our technology and product candidates may be subject, in part, to us obtaining licenses from others and the terms and conditions of such licenses. If we fail to comply with our obligations in any agreement under which we license intellectual property rights from third parties, we could lose licensed rights that are important to our business.</w:t>
      </w:r>
    </w:p>
    <w:p>
      <w:pPr>
        <w:spacing w:after="0" w:line="6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231F20"/>
        </w:rPr>
        <w:t>We have entered into and may in the future enter into additional license agreements with third parties to advance our research or allow commercialization of product candidates. These licenses may not provide us with exclusive rights in all relevant fields of use and in all territories in which we may wish to develop or commercialize our technology and products.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8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In addition, we may not have the right to control the preparation, filing, prosecution, maintenance, enforcement, and defense of patents and patent applications covering the technology that we license. If our licensors fail to prosecute, maintain, enforce, and defend, or lose rights to such patents or patent applications, the rights we have licensed may be reduced or eliminated, and our right to develop and commercialize any product that is the subject of such licensed rights could be adversely affected. Even where we have the right to control patent prosecution of patents and patent applications we have licensed from third parties, we may still be adversely affected or prejudiced by actions or inactions taken by or on behalf of our licensors prior to the date upon which we assumed control over patent prosecution.</w:t>
      </w:r>
    </w:p>
    <w:p>
      <w:pPr>
        <w:spacing w:after="0" w:line="79"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231F20"/>
        </w:rPr>
        <w:t>Our licensors may have relied on third-party consultants or collaborators or on funds from third parties such that our licensors are not the sole and exclusive owners of the patents we in-licensed. If other third parties have ownership rights to our in-licensed patents, our rights to use the licensed intellectual property would not be exclusive and they may be able to license such patents to our competitors, permitting our competitors to market competing products and technology. This could have a material adverse effect on our competitive position, business, financial conditions, results of operations, and prospects.</w:t>
      </w:r>
    </w:p>
    <w:p>
      <w:pPr>
        <w:spacing w:after="0" w:line="75"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231F20"/>
        </w:rPr>
        <w:t>For example, the intellectual property we license from the University of Texas, Southwestern (UTSW) is subject to certain non-commercial rights reserved by UTSW.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Our current licenses impose, and our future licenses likely will impose, various diligence, royalty payment, milestone payment, insurance and other obligations on us. If we fail to comply with any of these or other obligations in our license agreements, we may be required to pay damages and the licensor may have the right to terminate the licenses. Termination by the licensor would cause us to lose valuable rights and could prevent us from developing and commercializing our product candidates and proprietary technologies. Our business would be seriously harmed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If any such event occurs, competitors or other third parties may gain the freedom to seek regulatory approval of, and to market, products identical to ours. Further, we may have to negotiate new or reinstated licenses with less favorable terms or we may not have sufficient intellectual property rights to operate our business. This could have a material adverse effect on our competitive position, business, financial condition, results of operations, and prospects.</w:t>
      </w:r>
    </w:p>
    <w:p>
      <w:pPr>
        <w:spacing w:after="0" w:line="80"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231F20"/>
        </w:rPr>
        <w:t>The agreements under which we license intellectual property or technology from third parties are complex, and certain provisions in such agreements may be susceptible to multiple interpretations. Disputes may arise between us and our current and future licensors. In spite of our efforts, our current and future licensors might conclude that we have materially breached our obligations under our license agreements and might therefore terminate such license agreements, thereby removing our ability to develop and commercialize products and technology covered by these license agreements.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or are insufficient to provide us the necessary rights to use the intellectual property rights, we may be unable to successfully develop and commercialize the affected product candidates, which could have a material adverse effect on our business, financial conditions, results of operations, and prospects.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8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231F20"/>
        </w:rPr>
        <w:t>Our licensors may also own or control intellectual property that has not been licensed to us and, as a result, we may be subject to claims, regardless of their merit, that we are infringing or otherwise violating our licensor’s rights. In addition, while we cannot currently determine the amount of royalty obligations we would be required to pay on the sales of future products, if any, the amounts may be significant. The amount of our future royalty obligations will depend on the technology and intellectual property we use in product candidates that we successfully develop and commercialize, if any. Therefore, even if we successfully develop and commercialize any product candidates, we may be unable to achieve or maintain profitability.</w:t>
      </w:r>
    </w:p>
    <w:p>
      <w:pPr>
        <w:spacing w:after="0" w:line="179"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6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31F20"/>
        </w:rPr>
        <w:t>We have in-licensed, and we may develop, acquire or in-license in the future, certain patents, patent applications or other intellectual property generated using U.S. government funding or grants. Pursuant to the Bayh-Dole Act of 1980, the U.S. government has certain rights in inventions developed with government funding. These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w:t>
      </w:r>
    </w:p>
    <w:p>
      <w:pPr>
        <w:spacing w:after="0" w:line="3" w:lineRule="exact"/>
        <w:rPr>
          <w:sz w:val="20"/>
          <w:szCs w:val="20"/>
          <w:color w:val="auto"/>
        </w:rPr>
      </w:pPr>
    </w:p>
    <w:p>
      <w:pPr>
        <w:ind w:right="20" w:firstLine="8"/>
        <w:spacing w:after="0" w:line="251" w:lineRule="auto"/>
        <w:tabs>
          <w:tab w:leader="none" w:pos="255"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government action is necessary to meet public health or safety needs; or (3) government action is necessary to meet requirements for public use under federal regulations (also referred to as march-in rights). If the U.S. government exercises its march-in rights in our current or future intellectual property rights generated using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any of these inventions or produced through the use of any of these inventions be manufactured substantially in the U.S. This preference for U.S. industry may limit our ability to contract with non-U.S. product manufacturers for products covered by such intellectual property, and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Any failure by us to comply with federal regulations regarding intellectual property rights that were developed through the use of U.S. government funding could have a material adverse effect on our business, financial condition, results of operations, and prospects.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Dependence on Third Parties</w:t>
      </w:r>
    </w:p>
    <w:p>
      <w:pPr>
        <w:spacing w:after="0" w:line="117"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rely on third parties to conduct our preclinical studies and our clinical trials, and plan to rely on third parties to conduct such future drug development activities. These third parties may not perform satisfactorily, including failing to meet completion deadlines, or to comply with applicable regulatory requirements, which may harm our business.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The third parties upon which we rely to conduct our preclinical studies and clinical trials have a significant role in the conduct of such drug development activities and the subsequent collection and analysis of data. These third parties are not our employees, and except for remedies available to us under our agreements with such third parties, we have limited ability to control the amount or timing of resources that any such third party devotes to our preclinical studies or our clinical trials. The third parties we rely on for these services may also have relationships with other entities, some of which may be our competitors, for whom they may also be conducting clinical trials or other drug development activities, which could affect their performance on our behalf. Some of these third parties may terminate their engagements with us at any time. We also expect to have to negotiate budgets and contracts with CROs and clinical trial sites and we may not be able to do so on favorable terms. If we need to enter into alternative arrangements with, or replace or add any third parties, it would involve a transition period, and may require substantial cost and extensive management time and focus. Any of these events may delay our drug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development activities, increase costs, and materially impact our ability to meet our desired clinical development timelines.</w:t>
      </w:r>
    </w:p>
    <w:p>
      <w:pPr>
        <w:spacing w:after="0" w:line="11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Our heavy reliance on these third parties for such drug development activities reduces our control over these activities. As a result, we have less direct control over the conduct, timing and completion of preclinical studies and clinical trials and the management of data developed through such drug development activities than if we were relying entirely upon our own staff. Nevertheless, we are responsible for ensuring that each of our preclinical studies and clinical trials is conducted in accordance with applicable protocol, legal and regulatory requirements and scientific standards, such as GCP and cGMP, and our reliance on third parties does not relieve us of these responsibilities. Regulatory authorities enforce these requirements through periodic inspections of trial sponsors, principal investigators and trial sites. If we or any of our CROs fail to comply with applicable requirements, such as GCP or cGMP, the clinical data generated in our clinical trials may be deemed unreliable and the FDA,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substantially comply with applicable regulations. Moreover, our business may be implicated if any of these third parties violates federal or state fraud and abuse or false claims laws and regulations or healthcare privacy and security laws.</w:t>
      </w:r>
    </w:p>
    <w:p>
      <w:pPr>
        <w:spacing w:after="0" w:line="84"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231F20"/>
        </w:rPr>
        <w:t>If these third parties do not successfully carry out their contractual duties, meet expected deadlines or conduct our clinical trials in accordance with regulatory requirements or our stated protocols, we will not be able, or may be delayed in, obtaining marketing approvals for our product candidates or otherwise successfully commercializing our product candidates.</w:t>
      </w:r>
    </w:p>
    <w:p>
      <w:pPr>
        <w:spacing w:after="0" w:line="17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rely on third parties to produce certain of our product candidates. This increases the risk that we will not have sufficient quality and quantities of product candidates or such quantities at an acceptable cost, which could delay, prevent or impair our business.</w:t>
      </w:r>
    </w:p>
    <w:p>
      <w:pPr>
        <w:spacing w:after="0" w:line="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We do not have long-term supply agreements, and we purchase our required drug product on a purchase order basis, which means that aside from any binding purchase orders we may have, our supplier could cease supplying to us or change the terms on which it is willing to continue supplying to us at any time. If we experience an unexpected loss of supply of our product candidates for any reason, whether as a result of manufacturing, supply or storage issues or otherwise, we could experience delays, disruptions, suspensions or terminations of, or be required to restart or repeat, any pending or ongoing preclinical studies or clinical trials. Furthermore, any decision by us to change a third-party manufacturer could result in delays in our manufacturing supply chain which could delay or otherwise impact development of our programs and result in increased costs.</w:t>
      </w:r>
    </w:p>
    <w:p>
      <w:pPr>
        <w:spacing w:after="0" w:line="79"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231F20"/>
        </w:rPr>
        <w:t>We may be unable to maintain or establish required agreements with third-party manufacturers on acceptable terms. Even if we are able to do so, reliance on third-party manufacturers entails additional risks, including:</w:t>
      </w:r>
    </w:p>
    <w:p>
      <w:pPr>
        <w:spacing w:after="0" w:line="54" w:lineRule="exact"/>
        <w:rPr>
          <w:sz w:val="20"/>
          <w:szCs w:val="20"/>
          <w:color w:val="auto"/>
        </w:rPr>
      </w:pPr>
    </w:p>
    <w:p>
      <w:pPr>
        <w:ind w:left="1020" w:right="320" w:hanging="503"/>
        <w:spacing w:after="0" w:line="266" w:lineRule="auto"/>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failure of the third party to manufacture our product candidates according to our schedule and specifications, or at all, including if our third-party contractors give greater priority to the supply of other products over our product candidates or otherwise do not satisfactorily perform according to the terms of the agreements between us and them;</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termination or nonrenewal of arrangements or agreements by our third-party contractors at a time that is costly or inconvenient for us;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breach by the third-party contractors of our agreements with them;</w:t>
      </w:r>
    </w:p>
    <w:p>
      <w:pPr>
        <w:spacing w:after="0" w:line="117" w:lineRule="exact"/>
        <w:rPr>
          <w:rFonts w:ascii="Times New Roman" w:cs="Times New Roman" w:eastAsia="Times New Roman" w:hAnsi="Times New Roman"/>
          <w:sz w:val="18"/>
          <w:szCs w:val="18"/>
          <w:color w:val="231F20"/>
        </w:rPr>
      </w:pPr>
    </w:p>
    <w:p>
      <w:pPr>
        <w:ind w:left="1020" w:right="620" w:hanging="503"/>
        <w:spacing w:after="0" w:line="282" w:lineRule="auto"/>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failure of third-party contractors to manufacture our product candidates according to our specifications or comply with applicable regulatory requirements, including cGMP;</w:t>
      </w:r>
    </w:p>
    <w:p>
      <w:pPr>
        <w:spacing w:after="0" w:line="53" w:lineRule="exact"/>
        <w:rPr>
          <w:rFonts w:ascii="Times New Roman" w:cs="Times New Roman" w:eastAsia="Times New Roman" w:hAnsi="Times New Roman"/>
          <w:sz w:val="18"/>
          <w:szCs w:val="18"/>
          <w:color w:val="231F20"/>
        </w:rPr>
      </w:pPr>
    </w:p>
    <w:p>
      <w:pPr>
        <w:ind w:left="1020" w:right="520" w:hanging="503"/>
        <w:spacing w:after="0" w:line="282" w:lineRule="auto"/>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mislabeling of clinical supplies, potentially resulting in the wrong dose amounts being supplied or active drug or placebo not being properly identified;</w:t>
      </w:r>
    </w:p>
    <w:p>
      <w:pPr>
        <w:spacing w:after="0" w:line="53" w:lineRule="exact"/>
        <w:rPr>
          <w:rFonts w:ascii="Times New Roman" w:cs="Times New Roman" w:eastAsia="Times New Roman" w:hAnsi="Times New Roman"/>
          <w:sz w:val="18"/>
          <w:szCs w:val="18"/>
          <w:color w:val="231F20"/>
        </w:rPr>
      </w:pPr>
    </w:p>
    <w:p>
      <w:pPr>
        <w:ind w:left="1020" w:right="60" w:hanging="503"/>
        <w:spacing w:after="0" w:line="282" w:lineRule="auto"/>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clinical supplies not being delivered to clinical sites on time, leading to clinical trial interruptions, or of drug supplies not being distributed to commercial vendors in a timely manner, resulting in lost sales; and</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infringement, misappropriation or other violation of our intellectual property or proprietary information.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8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We do not have complete control over all aspects of the manufacturing process of our CDMOs and are dependent on these CDMOs for compliance with cGMP regulations for manufacturing API, drug substance and finished drug products. We are in the process of developing our supply chain for each of our product candidates and intend to put in place framework agreements under which CDMOs will provide us with necessary quantities of API, drug substance and drug product based on our development needs. As we advance our product candidates through development, we will consider our lack of redundant supply for each of our product candidates to protect against any potential supply disruptions. However, we may be unsuccessful in putting in place such framework agreements or protecting against potential supply disruptions.</w:t>
      </w:r>
    </w:p>
    <w:p>
      <w:pPr>
        <w:spacing w:after="0" w:line="7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231F20"/>
        </w:rPr>
        <w:t>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7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231F20"/>
        </w:rPr>
        <w:t>We rely on third-party suppliers for the raw materials required for the production of our product candidates for all of our programs. Our dependence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performance failure on the part of our suppliers could delay the development and potential commercialization of our product candidates, including limiting supplies necessary for clinical trials and regulatory approvals, which would seriously harm our business.</w:t>
      </w:r>
    </w:p>
    <w:p>
      <w:pPr>
        <w:spacing w:after="0" w:line="81"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231F20"/>
        </w:rPr>
        <w:t>Our dependence upon others for the manufacture of our product candidates may adversely affect our future profit margins and our ability to commercialize any product candidates that receive marketing approval on a timely and competitive basis.</w:t>
      </w:r>
    </w:p>
    <w:p>
      <w:pPr>
        <w:spacing w:after="0" w:line="15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engage in future acquisitions or strategic partnerships, this may increase our capital requirements, dilute our stockholders, cause us to incur debt or assume contingent liabilities, and subject us to other risks.</w:t>
      </w:r>
    </w:p>
    <w:p>
      <w:pPr>
        <w:spacing w:after="0" w:line="5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231F20"/>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54"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increased operating expenses and cash requirements;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assumption of additional indebtedness or contingent liabilities;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issuance of our equity securities;</w:t>
      </w:r>
    </w:p>
    <w:p>
      <w:pPr>
        <w:spacing w:after="0" w:line="117" w:lineRule="exact"/>
        <w:rPr>
          <w:rFonts w:ascii="Times New Roman" w:cs="Times New Roman" w:eastAsia="Times New Roman" w:hAnsi="Times New Roman"/>
          <w:sz w:val="18"/>
          <w:szCs w:val="18"/>
          <w:color w:val="231F20"/>
        </w:rPr>
      </w:pPr>
    </w:p>
    <w:p>
      <w:pPr>
        <w:ind w:left="1020" w:right="160" w:hanging="503"/>
        <w:spacing w:after="0" w:line="282" w:lineRule="auto"/>
        <w:tabs>
          <w:tab w:leader="none" w:pos="102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assimilation of operations, intellectual property and products of an acquired company, including difficulties associated with integrating new personnel;</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diversion of our management’s attention from our existing programs and initiatives in pursuing such a strategic partnership or acquisition;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unauthorized use or disclosure of our confidential information accessed in connection with partnership activities;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loss of key personnel and uncertainties in our ability to maintain key business relationships;</w:t>
      </w:r>
    </w:p>
    <w:p>
      <w:pPr>
        <w:spacing w:after="0" w:line="117"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risks and uncertainties associated with the other party to such a transaction, including the prospects of that party and their existing products or product candidates and marketing approvals;</w:t>
      </w:r>
    </w:p>
    <w:p>
      <w:pPr>
        <w:spacing w:after="0" w:line="53" w:lineRule="exact"/>
        <w:rPr>
          <w:rFonts w:ascii="Times New Roman" w:cs="Times New Roman" w:eastAsia="Times New Roman" w:hAnsi="Times New Roman"/>
          <w:sz w:val="18"/>
          <w:szCs w:val="18"/>
          <w:color w:val="231F20"/>
        </w:rPr>
      </w:pPr>
    </w:p>
    <w:p>
      <w:pPr>
        <w:ind w:left="1020" w:right="60" w:hanging="503"/>
        <w:spacing w:after="0" w:line="282" w:lineRule="auto"/>
        <w:tabs>
          <w:tab w:leader="none" w:pos="102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inability to generate revenue from acquired technology and/or products sufficient to meet our objectives in undertaking the acquisition or even to offset the associated acquisition and maintenance costs; and</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inability to realize anticipated efficiencies and strategic benefits from such acquisitions or strategic partnerships.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86"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231F20"/>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spacing w:after="0" w:line="158"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may enter into collaborations with third parties for the development and commercialization of product candidates. If we are not able to establish those collaborations on commercially reasonable terms or those collaborations are not successful, we may not be able to capitalize on the market potential of these product candidates.</w:t>
      </w:r>
    </w:p>
    <w:p>
      <w:pPr>
        <w:spacing w:after="0" w:line="6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231F20"/>
        </w:rPr>
        <w:t>We strategically evaluate collaborations and partnerships with biopharmaceutical companies that may have more robust and complementary capabilities and resources to accelerate the development and maximize the availability and potential of our product candidates. The collaboration negotiation process is time-consuming and complex. If and when we seek to enter into collaborations, we may not be able to negotiate collaborations on a timely basis, on acceptable terms, or at all. Whether we reach a definitive agreement for a collaboration will depend, among other things, upon our assessment of the collaborator’s resources and expertise, the terms and conditions of the proposed collaboration and the proposed collaborator’s evaluation of a number of factors regarding our business, the applicable product candidate or technology subject to the collaboration negotiation and the related market potential.</w:t>
      </w:r>
    </w:p>
    <w:p>
      <w:pPr>
        <w:spacing w:after="0" w:line="8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231F20"/>
        </w:rPr>
        <w:t>If we are unable to reach a definitive agreement,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7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231F20"/>
        </w:rPr>
        <w:t>If we enter into any collaboration arrangements with any third parties,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would pose numerous risks to us, including the following:</w:t>
      </w:r>
    </w:p>
    <w:p>
      <w:pPr>
        <w:spacing w:after="0" w:line="72" w:lineRule="exact"/>
        <w:rPr>
          <w:sz w:val="20"/>
          <w:szCs w:val="20"/>
          <w:color w:val="auto"/>
        </w:rPr>
      </w:pPr>
    </w:p>
    <w:p>
      <w:pPr>
        <w:ind w:left="1020" w:right="560" w:hanging="503"/>
        <w:spacing w:after="0" w:line="282" w:lineRule="auto"/>
        <w:tabs>
          <w:tab w:leader="none" w:pos="10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have significant discretion in determining the efforts and resources that they will apply to, and the manner in which they perform their obligations under, these collaborations and may not perform their obligations as expected;</w:t>
      </w:r>
    </w:p>
    <w:p>
      <w:pPr>
        <w:spacing w:after="0" w:line="53" w:lineRule="exact"/>
        <w:rPr>
          <w:rFonts w:ascii="Times New Roman" w:cs="Times New Roman" w:eastAsia="Times New Roman" w:hAnsi="Times New Roman"/>
          <w:sz w:val="18"/>
          <w:szCs w:val="18"/>
          <w:color w:val="231F20"/>
        </w:rPr>
      </w:pPr>
    </w:p>
    <w:p>
      <w:pPr>
        <w:ind w:left="1020" w:right="140" w:hanging="503"/>
        <w:spacing w:after="0" w:line="282" w:lineRule="auto"/>
        <w:tabs>
          <w:tab w:leader="none" w:pos="10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relationship may require us to incur non-recurring and other charges, increase our near- and long-term expenditures, issue securities that dilute our existing stockholders, or disrupt our management and business;</w:t>
      </w:r>
    </w:p>
    <w:p>
      <w:pPr>
        <w:spacing w:after="0" w:line="53" w:lineRule="exact"/>
        <w:rPr>
          <w:rFonts w:ascii="Times New Roman" w:cs="Times New Roman" w:eastAsia="Times New Roman" w:hAnsi="Times New Roman"/>
          <w:sz w:val="18"/>
          <w:szCs w:val="18"/>
          <w:color w:val="231F20"/>
        </w:rPr>
      </w:pPr>
    </w:p>
    <w:p>
      <w:pPr>
        <w:ind w:left="1020" w:right="40" w:hanging="503"/>
        <w:spacing w:after="0" w:line="261" w:lineRule="auto"/>
        <w:tabs>
          <w:tab w:leader="none" w:pos="10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spacing w:after="0" w:line="71" w:lineRule="exact"/>
        <w:rPr>
          <w:rFonts w:ascii="Times New Roman" w:cs="Times New Roman" w:eastAsia="Times New Roman" w:hAnsi="Times New Roman"/>
          <w:sz w:val="18"/>
          <w:szCs w:val="18"/>
          <w:color w:val="231F20"/>
        </w:rPr>
      </w:pPr>
    </w:p>
    <w:p>
      <w:pPr>
        <w:ind w:left="1020" w:right="440" w:hanging="503"/>
        <w:spacing w:after="0" w:line="282" w:lineRule="auto"/>
        <w:tabs>
          <w:tab w:leader="none" w:pos="10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231F20"/>
        </w:rPr>
      </w:pPr>
    </w:p>
    <w:p>
      <w:pPr>
        <w:ind w:left="1020" w:hanging="503"/>
        <w:spacing w:after="0" w:line="266" w:lineRule="auto"/>
        <w:tabs>
          <w:tab w:leader="none" w:pos="10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231F20"/>
        </w:rPr>
      </w:pPr>
    </w:p>
    <w:p>
      <w:pPr>
        <w:ind w:left="1020" w:right="740" w:hanging="503"/>
        <w:spacing w:after="0" w:line="282" w:lineRule="auto"/>
        <w:tabs>
          <w:tab w:leader="none" w:pos="10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collaborator with marketing and distribution rights to multiple products may not commit sufficient resources to the marketing and distribution of our product relative to other products;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grant exclusive rights to our collaborators that would prevent us from collaborating with others;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1" w:name="page72"/>
    <w:bookmarkEnd w:id="71"/>
    <w:p>
      <w:pPr>
        <w:spacing w:after="0" w:line="86" w:lineRule="exact"/>
        <w:rPr>
          <w:sz w:val="20"/>
          <w:szCs w:val="20"/>
          <w:color w:val="auto"/>
        </w:rPr>
      </w:pPr>
    </w:p>
    <w:p>
      <w:pPr>
        <w:ind w:left="1020" w:right="60" w:hanging="503"/>
        <w:spacing w:after="0" w:line="261" w:lineRule="auto"/>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may not properly obtain, maintain, defend, protect or enforce our intellectual property rights or may use our proprietary information and intellectual property in such a way as to invite litigation or other intellectual property-related proceedings that could jeopardize or invalidate our proprietary information and intellectual property or expose us to potential litigation or other intellectual property related proceedings;</w:t>
      </w:r>
    </w:p>
    <w:p>
      <w:pPr>
        <w:spacing w:after="0" w:line="71" w:lineRule="exact"/>
        <w:rPr>
          <w:rFonts w:ascii="Times New Roman" w:cs="Times New Roman" w:eastAsia="Times New Roman" w:hAnsi="Times New Roman"/>
          <w:sz w:val="18"/>
          <w:szCs w:val="18"/>
          <w:color w:val="231F20"/>
        </w:rPr>
      </w:pPr>
    </w:p>
    <w:p>
      <w:pPr>
        <w:ind w:left="1020" w:right="40" w:hanging="503"/>
        <w:spacing w:after="0" w:line="282" w:lineRule="auto"/>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53" w:lineRule="exact"/>
        <w:rPr>
          <w:rFonts w:ascii="Times New Roman" w:cs="Times New Roman" w:eastAsia="Times New Roman" w:hAnsi="Times New Roman"/>
          <w:sz w:val="18"/>
          <w:szCs w:val="18"/>
          <w:color w:val="231F20"/>
        </w:rPr>
      </w:pPr>
    </w:p>
    <w:p>
      <w:pPr>
        <w:ind w:left="1020" w:right="980" w:hanging="503"/>
        <w:spacing w:after="0" w:line="282" w:lineRule="auto"/>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collaborations may be terminated and, if terminated, may result in a need for additional capital to pursue further development or commercialization of the applicable product candidates;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collaboration agreements may not lead to development or commercialization of product candidates in the most efficient manner or at all;</w:t>
      </w:r>
    </w:p>
    <w:p>
      <w:pPr>
        <w:spacing w:after="0" w:line="117" w:lineRule="exact"/>
        <w:rPr>
          <w:rFonts w:ascii="Times New Roman" w:cs="Times New Roman" w:eastAsia="Times New Roman" w:hAnsi="Times New Roman"/>
          <w:sz w:val="18"/>
          <w:szCs w:val="18"/>
          <w:color w:val="231F20"/>
        </w:rPr>
      </w:pPr>
    </w:p>
    <w:p>
      <w:pPr>
        <w:jc w:val="both"/>
        <w:ind w:left="1020" w:right="40" w:hanging="503"/>
        <w:spacing w:after="0" w:line="266" w:lineRule="auto"/>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our product candidates;</w:t>
      </w:r>
    </w:p>
    <w:p>
      <w:pPr>
        <w:spacing w:after="0" w:line="67"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53"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collaborator’s sales and marketing activities or other operations may not be in compliance with applicable laws resulting in civil or criminal proceedings.</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If an agreement with a collaborator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spacing w:after="0" w:line="18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51"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231F20"/>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w:t>
      </w:r>
    </w:p>
    <w:p>
      <w:pPr>
        <w:spacing w:after="0" w:line="68"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231F20"/>
        </w:rPr>
        <w:t>There are risks involved with both establishing our own commercial capabilities and entering into arrangements with third parties to perform these services. If the commercial launch of a product candidate for which we recruit a sales force and establish marketing and other commercialization capabilities is delayed or does not occur, we would have prematurely or unnecessarily incurred these commercialization expenses. This may be costly, and our investment would be lost if we cannot retain or reposition our commercialization personnel.</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 and our business would be seriously harmed.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2" w:name="page73"/>
    <w:bookmarkEnd w:id="72"/>
    <w:p>
      <w:pPr>
        <w:spacing w:after="0" w:line="190" w:lineRule="exact"/>
        <w:rPr>
          <w:sz w:val="20"/>
          <w:szCs w:val="20"/>
          <w:color w:val="auto"/>
        </w:rPr>
      </w:pPr>
    </w:p>
    <w:p>
      <w:pPr>
        <w:ind w:right="5100"/>
        <w:spacing w:after="0" w:line="378" w:lineRule="auto"/>
        <w:rPr>
          <w:sz w:val="20"/>
          <w:szCs w:val="20"/>
          <w:color w:val="auto"/>
        </w:rPr>
      </w:pPr>
      <w:r>
        <w:rPr>
          <w:rFonts w:ascii="Times New Roman" w:cs="Times New Roman" w:eastAsia="Times New Roman" w:hAnsi="Times New Roman"/>
          <w:sz w:val="18"/>
          <w:szCs w:val="18"/>
          <w:b w:val="1"/>
          <w:bCs w:val="1"/>
          <w:color w:val="231F20"/>
        </w:rPr>
        <w:t xml:space="preserve">Risks Related to the Securities Market and Ownership of Our Common Stock </w:t>
      </w:r>
      <w:r>
        <w:rPr>
          <w:rFonts w:ascii="Times New Roman" w:cs="Times New Roman" w:eastAsia="Times New Roman" w:hAnsi="Times New Roman"/>
          <w:sz w:val="18"/>
          <w:szCs w:val="18"/>
          <w:b w:val="1"/>
          <w:bCs w:val="1"/>
          <w:i w:val="1"/>
          <w:iCs w:val="1"/>
          <w:color w:val="231F20"/>
        </w:rPr>
        <w:t>The price of our stock is volatile, and you could lose all or part of your investment.</w:t>
      </w:r>
    </w:p>
    <w:p>
      <w:pPr>
        <w:ind w:right="220" w:firstLine="509"/>
        <w:spacing w:after="0" w:line="258" w:lineRule="auto"/>
        <w:rPr>
          <w:sz w:val="20"/>
          <w:szCs w:val="20"/>
          <w:color w:val="auto"/>
        </w:rPr>
      </w:pPr>
      <w:r>
        <w:rPr>
          <w:rFonts w:ascii="Times New Roman" w:cs="Times New Roman" w:eastAsia="Times New Roman" w:hAnsi="Times New Roman"/>
          <w:sz w:val="18"/>
          <w:szCs w:val="18"/>
          <w:color w:val="231F20"/>
        </w:rPr>
        <w:t>The trading price of our common stock is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addition to the factors discussed in this “Risk Factors” section and elsewhere in this periodic report, these factors include:</w:t>
      </w:r>
    </w:p>
    <w:p>
      <w:pPr>
        <w:spacing w:after="0" w:line="75"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timing of achievement of our research, clinical, regulatory and other milestones for our product candidates;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results of preclinical studies and clinical trials of our product candidates, those conducted by third parties or those of our competitors;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success of competitive products or announcements by potential competitors of their product development efforts;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regulatory actions with respect to our product candidates or those of our competitors;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actual or anticipated changes in our growth rate relative to our competitors;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regulatory or legal developments in the U.S. and other countries;</w:t>
      </w:r>
    </w:p>
    <w:p>
      <w:pPr>
        <w:spacing w:after="0" w:line="117" w:lineRule="exact"/>
        <w:rPr>
          <w:rFonts w:ascii="Times New Roman" w:cs="Times New Roman" w:eastAsia="Times New Roman" w:hAnsi="Times New Roman"/>
          <w:sz w:val="18"/>
          <w:szCs w:val="18"/>
          <w:color w:val="231F20"/>
        </w:rPr>
      </w:pPr>
    </w:p>
    <w:p>
      <w:pPr>
        <w:ind w:left="1020" w:right="420" w:hanging="503"/>
        <w:spacing w:after="0" w:line="282" w:lineRule="auto"/>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litigation, including developments or disputes concerning patent applications, issued patents or other intellectual property or proprietary rights;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recruitment or departure of key personnel;</w:t>
      </w:r>
    </w:p>
    <w:p>
      <w:pPr>
        <w:spacing w:after="0" w:line="117" w:lineRule="exact"/>
        <w:rPr>
          <w:rFonts w:ascii="Times New Roman" w:cs="Times New Roman" w:eastAsia="Times New Roman" w:hAnsi="Times New Roman"/>
          <w:sz w:val="18"/>
          <w:szCs w:val="18"/>
          <w:color w:val="231F20"/>
        </w:rPr>
      </w:pPr>
    </w:p>
    <w:p>
      <w:pPr>
        <w:ind w:left="1020" w:right="700" w:hanging="503"/>
        <w:spacing w:after="0" w:line="282" w:lineRule="auto"/>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announcements by us or our competitors of significant acquisitions, strategic collaborations, joint ventures, collaborations or capital commitments;</w:t>
      </w:r>
    </w:p>
    <w:p>
      <w:pPr>
        <w:spacing w:after="0" w:line="53" w:lineRule="exact"/>
        <w:rPr>
          <w:rFonts w:ascii="Times New Roman" w:cs="Times New Roman" w:eastAsia="Times New Roman" w:hAnsi="Times New Roman"/>
          <w:sz w:val="18"/>
          <w:szCs w:val="18"/>
          <w:color w:val="231F20"/>
        </w:rPr>
      </w:pPr>
    </w:p>
    <w:p>
      <w:pPr>
        <w:ind w:left="1020" w:right="260" w:hanging="503"/>
        <w:spacing w:after="0" w:line="282" w:lineRule="auto"/>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actual or anticipated changes in estimates as to financial results, development timelines or coverage and/or recommendations by securities analysts;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market conditions in the pharmaceutical and biotechnology sector;</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the structure of healthcare payment systems;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share price and volume fluctuations attributable to inconsistent trading volume levels of our shares;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announcement or expectation of additional financing efforts;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sales of our common stock by us, our insiders or our other stockholders;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expiration of market stand-off or lock-up agreements;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impact of any natural disasters or public health emergencies, such as the COVID-19 pandemic;</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fluctuations in interest rates and inflation rates;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general economic, political, industry and market conditions.</w:t>
      </w:r>
    </w:p>
    <w:p>
      <w:pPr>
        <w:spacing w:after="0" w:line="11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231F20"/>
        </w:rPr>
        <w:t>The realization of any of the above risks or any of a broad range of other risks, including those described in this “Risk Factors” section, could have a dramatic and adverse impact on the market price of our common stock.</w:t>
      </w:r>
    </w:p>
    <w:p>
      <w:pPr>
        <w:spacing w:after="0" w:line="15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operating results may fluctuate significantly, which makes our future operating results difficult to predict and could cause our operating results to fall below expectations or our guidance.</w:t>
      </w:r>
    </w:p>
    <w:p>
      <w:pPr>
        <w:spacing w:after="0" w:line="5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231F20"/>
        </w:rPr>
        <w:t>Our quarterly and annual operating results may fluctuate significantly in the future due to a variety of factors, many of which are outside of our control and may be difficult to predict. The cumulative effect of these factors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3" w:name="page74"/>
    <w:bookmarkEnd w:id="73"/>
    <w:p>
      <w:pPr>
        <w:spacing w:after="0" w:line="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231F20"/>
        </w:rPr>
        <w:t>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w:t>
      </w:r>
    </w:p>
    <w:p>
      <w:pPr>
        <w:spacing w:after="0" w:line="17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principal stockholders and management own a significant percentage of our stock and will be able to exert significant control over matters subject to stockholder approval.</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As of March 31, 2024, our executive officers, directors, holders of 5% or more of our capital stock and their respective affiliates beneficially owned approximately 63% of our common stock. These stockholders, acting together, may be able to control matters requiring stockholder approval. For example, they may be able to control elections of directors, amendments of our organizational documents or approval of any merger or other major corporate transactions. This concentration of ownership may delay, discourage or prevent a change of control, including unsolicited acquisition proposals or offers for our common stock that you may feel are in your best interest as a stockholder, entrench our management and board of directors or delay or prevent a merger, takeover or other business combination involving us that other stockholders may desire. The interests of this group of stockholders may not always coincide with your interests or the interests of other stockholders and they may act in a manner that advances their best interests and not necessarily those of other stockholders, and might affect the prevailing market price for our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Sales of a substantial number of shares of our common stock in the public market could cause our stock price to fall.</w:t>
      </w:r>
    </w:p>
    <w:p>
      <w:pPr>
        <w:spacing w:after="0" w:line="121"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231F20"/>
        </w:rPr>
        <w:t>Sales of a substantial number of shares of our common stock in the public market could occur at any time. For example, we filed a shelf registration statement on Form S-3 that became effective on August 17, 2022, which allows us to undertake various equity and debt offerings up to $300.0 million (the Shelf Registration), and as of March 31, 2024, we have sold 34,854,373 shares of our common stock and pre-funded warrants to purchase 8,458,964 shares of our common stock pursuant to the Shelf Registration</w:t>
      </w:r>
      <w:r>
        <w:rPr>
          <w:rFonts w:ascii="Times New Roman" w:cs="Times New Roman" w:eastAsia="Times New Roman" w:hAnsi="Times New Roman"/>
          <w:sz w:val="18"/>
          <w:szCs w:val="18"/>
          <w:color w:val="000000"/>
        </w:rPr>
        <w:t>.</w:t>
      </w:r>
    </w:p>
    <w:p>
      <w:pPr>
        <w:spacing w:after="0" w:line="7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231F20"/>
        </w:rPr>
        <w:t>Moreover, c</w:t>
      </w:r>
      <w:r>
        <w:rPr>
          <w:rFonts w:ascii="Times New Roman" w:cs="Times New Roman" w:eastAsia="Times New Roman" w:hAnsi="Times New Roman"/>
          <w:sz w:val="18"/>
          <w:szCs w:val="18"/>
          <w:color w:val="000000"/>
        </w:rPr>
        <w:t>ertain holders of our common stock have rights, subject to certain conditions, to require us to file registration statements covering their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If these shares are sold, or if it is perceived that they will be sold, in the public market, the trading price of our common stock could decline.</w:t>
      </w:r>
    </w:p>
    <w:p>
      <w:pPr>
        <w:spacing w:after="0" w:line="17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will incur costs as a result of operating as a public company, and our management will devote substantial time to related compliance initiatives. Additionally, if we fail to maintain proper and effective internal controls, our ability to produce accurate financial statements on a timely basis could be impaired.</w:t>
      </w:r>
    </w:p>
    <w:p>
      <w:pPr>
        <w:spacing w:after="0" w:line="67"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231F20"/>
        </w:rPr>
        <w:t>As a public company, we are subject to the reporting requirements of the Exchange Act, the Sarbanes-Oxley Act, the Dodd-Frank Wall Street Reform and Protection Act, as well as rules adopted, and to be adopted, by the SEC and the Nasdaq Stock Market LLC (Nasdaq). As a result of our initiatives to comply with such regulatory requirements, we incur significant legal, accounting and other expenses which may increase after we are no longer an “emerging growth company.” Moreover, our management and other personnel need to devote a substantial amount of time to these compliance initiatives.</w:t>
      </w:r>
    </w:p>
    <w:p>
      <w:pPr>
        <w:spacing w:after="0" w:line="75"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231F20"/>
        </w:rPr>
        <w:t>In particular, as a public company we are required to comply with SEC rules that implement Section 404 of the Sarbanes-Oxley Act. Under these rules, we are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unless we continue to qualify as a “smaller reporting company” at such time. To achieve compliance with Section 404 within the prescribed periods, we engage in a process to document and evaluate our internal control over financial reporting, which is both costly and challenging. In this regard, we will need to continue to dedicate internal resources, potentially continue to engage outside consultants and adopt a detailed work</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8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231F20"/>
        </w:rPr>
        <w:t>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6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231F20"/>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deadlines imposed by the Sarbanes-Oxley Act.</w:t>
      </w:r>
    </w:p>
    <w:p>
      <w:pPr>
        <w:spacing w:after="0" w:line="68"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231F20"/>
        </w:rPr>
        <w:t>Our internal control over financial reporting will not prevent or detect all errors and all fraud or prevent material weaknesses from being identified in such reporting.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7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231F20"/>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be subject to securities litigation, which is expensive and could divert management attention.</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The market price of our common stock may be volatile and, in the past, companies that have experienced volatility in the market price of their stock have been subject to securities class action litigation. This risk is especially relevant for us because biotechnology companies have experienced significant stock price volatility in recent years and we may be the target of this type of litigation in the future. Securities litigation against us could result in substantial costs and divert our management’s attention from other business concerns, which could seriously harm our business.</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Provisions in our certificate of incorporation and bylaws and Delaware law might discourage, delay or prevent a change in control of our company or changes in our management and, therefore, depress the market price of our common stock.</w:t>
      </w:r>
    </w:p>
    <w:p>
      <w:pPr>
        <w:spacing w:after="0" w:line="5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231F20"/>
        </w:rPr>
        <w:t>Our certificate of incorporation and bylaws contain provisions that could depress the market price of our common stock by acting to discourage, delay or prevent a change in control of our company or changes in our management that the stockholders of our company may deem advantageous.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These provisions, among other things:</w:t>
      </w:r>
    </w:p>
    <w:p>
      <w:pPr>
        <w:spacing w:after="0" w:line="75"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 a classified board of directors so that not all members of our board are elected at one time;</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permit only the board of directors to establish the number of directors and fill vacancies on the board;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provide that directors may only be removed “for cause”;</w:t>
      </w:r>
    </w:p>
    <w:p>
      <w:pPr>
        <w:spacing w:after="0" w:line="117" w:lineRule="exact"/>
        <w:rPr>
          <w:rFonts w:ascii="Times New Roman" w:cs="Times New Roman" w:eastAsia="Times New Roman" w:hAnsi="Times New Roman"/>
          <w:sz w:val="18"/>
          <w:szCs w:val="18"/>
          <w:color w:val="231F20"/>
        </w:rPr>
      </w:pPr>
    </w:p>
    <w:p>
      <w:pPr>
        <w:ind w:left="1020" w:right="380" w:hanging="503"/>
        <w:spacing w:after="0" w:line="282" w:lineRule="auto"/>
        <w:tabs>
          <w:tab w:leader="none" w:pos="102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authorize the issuance of “blank check” preferred stock that our board could use to implement a stockholder rights plan (also known as a poison pill);</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eliminate the ability of our stockholders to call special meetings of stockholders;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prohibit stockholder action by written consent, which requires all stockholder actions to be taken at a meeting of our stockholders;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prohibit cumulative voting;</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authorize our board of directors to amend the bylaws;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86" w:lineRule="exact"/>
        <w:rPr>
          <w:sz w:val="20"/>
          <w:szCs w:val="20"/>
          <w:color w:val="auto"/>
        </w:rPr>
      </w:pPr>
    </w:p>
    <w:p>
      <w:pPr>
        <w:ind w:left="1020" w:right="800" w:hanging="503"/>
        <w:spacing w:after="0" w:line="282" w:lineRule="auto"/>
        <w:tabs>
          <w:tab w:leader="none" w:pos="102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 advance notice requirements for nominations for election to our board or for proposing matters that can be acted upon by stockholders at annual stockholder meetings; and</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require a super-majority vote of stockholders to amend or repeal specified provisions of our certificate of incorporation and bylaws.</w:t>
      </w:r>
    </w:p>
    <w:p>
      <w:pPr>
        <w:spacing w:after="0" w:line="11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231F20"/>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or certain other conditions are met.</w:t>
      </w:r>
    </w:p>
    <w:p>
      <w:pPr>
        <w:spacing w:after="0" w:line="7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231F20"/>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7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bylaws provide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231F20"/>
        </w:rPr>
        <w:t>Our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75"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derivative action or proceeding brought on our behalf;</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action asserting a claim of breach of fiduciary duty;</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action asserting a claim against us arising under the DGCL, our certificate of incorporation or our bylaws;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action asserting a claim against us that is governed by the internal-affairs doctrine.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This provision would not apply to suits brought to enforce a duty or liability created by the Exchange Act or any other claim for which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federal courts have exclusive jurisdiction.</w:t>
      </w:r>
    </w:p>
    <w:p>
      <w:pPr>
        <w:spacing w:after="0" w:line="9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231F20"/>
        </w:rPr>
        <w:t>Our bylaws further provide that the federal district courts of the United States of America will be the exclusive forum for resolving any complaint asserting a cause of action arising under the Securities Act.</w:t>
      </w:r>
    </w:p>
    <w:p>
      <w:pPr>
        <w:spacing w:after="0" w:line="54"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231F20"/>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In addition, these exclusive-forum provisions may impose additional litigation costs for stockholders who determine to pursue any such lawsuits against us.</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bylaws to be inapplicable or unenforceable in an action, we may incur additional costs associated with resolving the dispute in other jurisdictions, which could seriously harm our business.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6" w:name="page77"/>
    <w:bookmarkEnd w:id="7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ind w:left="520" w:right="8220" w:hanging="512"/>
        <w:spacing w:after="0" w:line="412" w:lineRule="auto"/>
        <w:tabs>
          <w:tab w:leader="none" w:pos="52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Sales of Unregistered Securities </w:t>
      </w:r>
      <w:r>
        <w:rPr>
          <w:rFonts w:ascii="Times New Roman" w:cs="Times New Roman" w:eastAsia="Times New Roman" w:hAnsi="Times New Roman"/>
          <w:sz w:val="18"/>
          <w:szCs w:val="18"/>
          <w:color w:val="auto"/>
        </w:rPr>
        <w:t>None.</w:t>
      </w:r>
    </w:p>
    <w:p>
      <w:pPr>
        <w:spacing w:after="0" w:line="45"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Proceeds from Public Offering of Common Stock</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August 3, 2021, we completed our initial public offering (IPO) and issued an aggregate of 13,800,000 shares of our common stock (inclusive of 1,800,000 shares pursuant to the underwriters’ overallotment option) at a price of $15.00 per share. The gross proceeds from the offering for shares sold in our IPO was $207.0 million. We received net proceeds from the IPO of $188.5 million, after deducting underwriting discounts and commissions of approximately $14.5 million and offering expenses of approximately $4.0 million. None of the expenses associated with the IPO were paid to directors, officers, persons owning 10% or more of any class of equity securities, or to their associates. Morgan Stanley &amp; Co. LLC, Piper Sandler &amp; Co. and Cowen and Company, LLC acted as book-running managers for the IPO. Shares of our common stock began trading on the Nasdaq Global Select Market on July 30, 2021. The offer and sale of the shares were registered under the Securities Act on a registration statement on Form S-1 (Registration No. 333-257820), which was declared effective on July 29, 2021. There has been no material change in the planned use of proceeds from our IPO as described in the registration statement on Form S-1.</w:t>
      </w:r>
    </w:p>
    <w:p>
      <w:pPr>
        <w:spacing w:after="0" w:line="184" w:lineRule="exact"/>
        <w:rPr>
          <w:sz w:val="20"/>
          <w:szCs w:val="20"/>
          <w:color w:val="auto"/>
        </w:rPr>
      </w:pPr>
    </w:p>
    <w:p>
      <w:pPr>
        <w:ind w:left="520" w:right="7800" w:hanging="512"/>
        <w:spacing w:after="0" w:line="412" w:lineRule="auto"/>
        <w:tabs>
          <w:tab w:leader="none" w:pos="52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Issuer Purchases of Equity Securities </w:t>
      </w:r>
      <w:r>
        <w:rPr>
          <w:rFonts w:ascii="Times New Roman" w:cs="Times New Roman" w:eastAsia="Times New Roman" w:hAnsi="Times New Roman"/>
          <w:sz w:val="18"/>
          <w:szCs w:val="18"/>
          <w:color w:val="auto"/>
        </w:rPr>
        <w:t>None.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2024, no director or officer, as defined in Rule 16a-1(f), adopted or terminated a “Rule 10b5-1 trading arrangement” or a “non-Rule 10b5-1 trading arrangement,” each as defined in Regulation S-K Item 408.</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77" w:name="page78"/>
    <w:bookmarkEnd w:id="77"/>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40" w:type="dxa"/>
            <w:vAlign w:val="bottom"/>
            <w:gridSpan w:val="2"/>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6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15"/>
        </w:trPr>
        <w:tc>
          <w:tcPr>
            <w:tcW w:w="520" w:type="dxa"/>
            <w:vAlign w:val="bottom"/>
          </w:tcPr>
          <w:p>
            <w:pPr>
              <w:spacing w:after="0"/>
              <w:rPr>
                <w:sz w:val="24"/>
                <w:szCs w:val="24"/>
                <w:color w:val="auto"/>
              </w:rPr>
            </w:pPr>
          </w:p>
        </w:tc>
        <w:tc>
          <w:tcPr>
            <w:tcW w:w="18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6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13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Filing</w:t>
            </w:r>
          </w:p>
        </w:tc>
      </w:tr>
      <w:tr>
        <w:trPr>
          <w:trHeight w:val="245"/>
        </w:trPr>
        <w:tc>
          <w:tcPr>
            <w:tcW w:w="520" w:type="dxa"/>
            <w:vAlign w:val="bottom"/>
          </w:tcPr>
          <w:p>
            <w:pPr>
              <w:spacing w:after="0"/>
              <w:rPr>
                <w:sz w:val="21"/>
                <w:szCs w:val="21"/>
                <w:color w:val="auto"/>
              </w:rPr>
            </w:pPr>
          </w:p>
        </w:tc>
        <w:tc>
          <w:tcPr>
            <w:tcW w:w="18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8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84"/>
        </w:trPr>
        <w:tc>
          <w:tcPr>
            <w:tcW w:w="2340" w:type="dxa"/>
            <w:vAlign w:val="bottom"/>
            <w:gridSpan w:val="2"/>
          </w:tcPr>
          <w:p>
            <w:pPr>
              <w:jc w:val="right"/>
              <w:ind w:right="1490"/>
              <w:spacing w:after="0"/>
              <w:rPr>
                <w:sz w:val="20"/>
                <w:szCs w:val="20"/>
                <w:color w:val="auto"/>
              </w:rPr>
            </w:pPr>
            <w:r>
              <w:rPr>
                <w:rFonts w:ascii="Times New Roman" w:cs="Times New Roman" w:eastAsia="Times New Roman" w:hAnsi="Times New Roman"/>
                <w:sz w:val="18"/>
                <w:szCs w:val="18"/>
                <w:color w:val="auto"/>
              </w:rPr>
              <w:t>3.1</w:t>
            </w:r>
          </w:p>
        </w:tc>
        <w:tc>
          <w:tcPr>
            <w:tcW w:w="2520" w:type="dxa"/>
            <w:vAlign w:val="bottom"/>
            <w:gridSpan w:val="4"/>
          </w:tcPr>
          <w:p>
            <w:pPr>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Composite Amended and Restated</w:t>
              </w:r>
            </w:hyperlink>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7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001-40656</w:t>
            </w:r>
          </w:p>
        </w:tc>
        <w:tc>
          <w:tcPr>
            <w:tcW w:w="13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8-9-2023</w:t>
            </w:r>
          </w:p>
        </w:tc>
      </w:tr>
      <w:tr>
        <w:trPr>
          <w:trHeight w:val="20"/>
        </w:trPr>
        <w:tc>
          <w:tcPr>
            <w:tcW w:w="5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520" w:type="dxa"/>
            <w:vAlign w:val="bottom"/>
            <w:gridSpan w:val="4"/>
          </w:tcPr>
          <w:p>
            <w:pPr>
              <w:spacing w:after="0" w:line="19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Certificate of Incorporation of</w:t>
              </w:r>
            </w:hyperlink>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520" w:type="dxa"/>
            <w:vAlign w:val="bottom"/>
            <w:gridSpan w:val="4"/>
          </w:tcPr>
          <w:p>
            <w:pPr>
              <w:spacing w:after="0" w:line="19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Tenaya Therapeutics, Inc., as</w:t>
              </w:r>
            </w:hyperlink>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520" w:type="dxa"/>
            <w:vAlign w:val="bottom"/>
            <w:gridSpan w:val="4"/>
          </w:tcPr>
          <w:p>
            <w:pPr>
              <w:spacing w:after="0" w:line="19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amended</w:t>
              </w:r>
            </w:hyperlink>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182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740"/>
          </w:cols>
          <w:pgMar w:left="320" w:top="1440" w:right="839" w:bottom="1440" w:gutter="0" w:footer="0" w:header="0"/>
        </w:sectPr>
      </w:pPr>
    </w:p>
    <w:p>
      <w:pPr>
        <w:spacing w:after="0" w:line="52"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640" w:type="dxa"/>
            <w:vAlign w:val="bottom"/>
            <w:gridSpan w:val="10"/>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Amended and Restated Bylaws of</w:t>
              </w:r>
            </w:hyperlink>
          </w:p>
        </w:tc>
      </w:tr>
      <w:tr>
        <w:trPr>
          <w:trHeight w:val="20"/>
        </w:trPr>
        <w:tc>
          <w:tcPr>
            <w:tcW w:w="182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820" w:type="dxa"/>
            <w:vAlign w:val="bottom"/>
          </w:tcPr>
          <w:p>
            <w:pPr>
              <w:spacing w:after="0"/>
              <w:rPr>
                <w:sz w:val="17"/>
                <w:szCs w:val="17"/>
                <w:color w:val="auto"/>
              </w:rPr>
            </w:pPr>
          </w:p>
        </w:tc>
        <w:tc>
          <w:tcPr>
            <w:tcW w:w="2640" w:type="dxa"/>
            <w:vAlign w:val="bottom"/>
            <w:gridSpan w:val="10"/>
          </w:tcPr>
          <w:p>
            <w:pPr>
              <w:spacing w:after="0" w:line="19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Tenaya Therapeutics, Inc.</w:t>
              </w:r>
            </w:hyperlink>
          </w:p>
        </w:tc>
      </w:tr>
      <w:tr>
        <w:trPr>
          <w:trHeight w:val="20"/>
        </w:trPr>
        <w:tc>
          <w:tcPr>
            <w:tcW w:w="182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2640" w:type="dxa"/>
            <w:vAlign w:val="bottom"/>
            <w:gridSpan w:val="10"/>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Form of Pre-Funded Warrant</w:t>
              </w:r>
            </w:hyperlink>
          </w:p>
        </w:tc>
      </w:tr>
      <w:tr>
        <w:trPr>
          <w:trHeight w:val="20"/>
        </w:trPr>
        <w:tc>
          <w:tcPr>
            <w:tcW w:w="182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93"/>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6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w:t>
            </w:r>
          </w:p>
        </w:tc>
      </w:tr>
      <w:tr>
        <w:trPr>
          <w:trHeight w:val="20"/>
        </w:trPr>
        <w:tc>
          <w:tcPr>
            <w:tcW w:w="182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820" w:type="dxa"/>
            <w:vAlign w:val="bottom"/>
          </w:tcPr>
          <w:p>
            <w:pPr>
              <w:spacing w:after="0"/>
              <w:rPr>
                <w:sz w:val="17"/>
                <w:szCs w:val="17"/>
                <w:color w:val="auto"/>
              </w:rPr>
            </w:pPr>
          </w:p>
        </w:tc>
        <w:tc>
          <w:tcPr>
            <w:tcW w:w="26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Officer Pursuant to Rules 13a-14(a)</w:t>
            </w:r>
          </w:p>
        </w:tc>
      </w:tr>
      <w:tr>
        <w:trPr>
          <w:trHeight w:val="20"/>
        </w:trPr>
        <w:tc>
          <w:tcPr>
            <w:tcW w:w="182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820" w:type="dxa"/>
            <w:vAlign w:val="bottom"/>
          </w:tcPr>
          <w:p>
            <w:pPr>
              <w:spacing w:after="0"/>
              <w:rPr>
                <w:sz w:val="17"/>
                <w:szCs w:val="17"/>
                <w:color w:val="auto"/>
              </w:rPr>
            </w:pPr>
          </w:p>
        </w:tc>
        <w:tc>
          <w:tcPr>
            <w:tcW w:w="26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and 15d-14(a) under the Securities</w:t>
            </w:r>
          </w:p>
        </w:tc>
      </w:tr>
      <w:tr>
        <w:trPr>
          <w:trHeight w:val="20"/>
        </w:trPr>
        <w:tc>
          <w:tcPr>
            <w:tcW w:w="182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820" w:type="dxa"/>
            <w:vAlign w:val="bottom"/>
          </w:tcPr>
          <w:p>
            <w:pPr>
              <w:spacing w:after="0"/>
              <w:rPr>
                <w:sz w:val="17"/>
                <w:szCs w:val="17"/>
                <w:color w:val="auto"/>
              </w:rPr>
            </w:pPr>
          </w:p>
        </w:tc>
        <w:tc>
          <w:tcPr>
            <w:tcW w:w="26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Exchange Act of 1934, as Adopted</w:t>
            </w:r>
          </w:p>
        </w:tc>
      </w:tr>
      <w:tr>
        <w:trPr>
          <w:trHeight w:val="20"/>
        </w:trPr>
        <w:tc>
          <w:tcPr>
            <w:tcW w:w="182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820" w:type="dxa"/>
            <w:vAlign w:val="bottom"/>
          </w:tcPr>
          <w:p>
            <w:pPr>
              <w:spacing w:after="0"/>
              <w:rPr>
                <w:sz w:val="17"/>
                <w:szCs w:val="17"/>
                <w:color w:val="auto"/>
              </w:rPr>
            </w:pPr>
          </w:p>
        </w:tc>
        <w:tc>
          <w:tcPr>
            <w:tcW w:w="26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w:t>
            </w:r>
          </w:p>
        </w:tc>
      </w:tr>
      <w:tr>
        <w:trPr>
          <w:trHeight w:val="20"/>
        </w:trPr>
        <w:tc>
          <w:tcPr>
            <w:tcW w:w="182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820" w:type="dxa"/>
            <w:vAlign w:val="bottom"/>
          </w:tcPr>
          <w:p>
            <w:pPr>
              <w:spacing w:after="0"/>
              <w:rPr>
                <w:sz w:val="17"/>
                <w:szCs w:val="17"/>
                <w:color w:val="auto"/>
              </w:rPr>
            </w:pPr>
          </w:p>
        </w:tc>
        <w:tc>
          <w:tcPr>
            <w:tcW w:w="26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r>
      <w:tr>
        <w:trPr>
          <w:trHeight w:val="20"/>
        </w:trPr>
        <w:tc>
          <w:tcPr>
            <w:tcW w:w="182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18"/>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6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Financial</w:t>
            </w:r>
          </w:p>
        </w:tc>
      </w:tr>
      <w:tr>
        <w:trPr>
          <w:trHeight w:val="20"/>
        </w:trPr>
        <w:tc>
          <w:tcPr>
            <w:tcW w:w="182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820" w:type="dxa"/>
            <w:vAlign w:val="bottom"/>
          </w:tcPr>
          <w:p>
            <w:pPr>
              <w:spacing w:after="0"/>
              <w:rPr>
                <w:sz w:val="17"/>
                <w:szCs w:val="17"/>
                <w:color w:val="auto"/>
              </w:rPr>
            </w:pPr>
          </w:p>
        </w:tc>
        <w:tc>
          <w:tcPr>
            <w:tcW w:w="26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Officer Pursuant to Rules 13a-14(a)</w:t>
            </w:r>
          </w:p>
        </w:tc>
      </w:tr>
      <w:tr>
        <w:trPr>
          <w:trHeight w:val="20"/>
        </w:trPr>
        <w:tc>
          <w:tcPr>
            <w:tcW w:w="182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820" w:type="dxa"/>
            <w:vAlign w:val="bottom"/>
          </w:tcPr>
          <w:p>
            <w:pPr>
              <w:spacing w:after="0"/>
              <w:rPr>
                <w:sz w:val="17"/>
                <w:szCs w:val="17"/>
                <w:color w:val="auto"/>
              </w:rPr>
            </w:pPr>
          </w:p>
        </w:tc>
        <w:tc>
          <w:tcPr>
            <w:tcW w:w="26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and 15d-14(a) under the Securities</w:t>
            </w:r>
          </w:p>
        </w:tc>
      </w:tr>
      <w:tr>
        <w:trPr>
          <w:trHeight w:val="20"/>
        </w:trPr>
        <w:tc>
          <w:tcPr>
            <w:tcW w:w="182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820" w:type="dxa"/>
            <w:vAlign w:val="bottom"/>
          </w:tcPr>
          <w:p>
            <w:pPr>
              <w:spacing w:after="0"/>
              <w:rPr>
                <w:sz w:val="17"/>
                <w:szCs w:val="17"/>
                <w:color w:val="auto"/>
              </w:rPr>
            </w:pPr>
          </w:p>
        </w:tc>
        <w:tc>
          <w:tcPr>
            <w:tcW w:w="26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Exchange Act of 1934, as Adopted</w:t>
            </w:r>
          </w:p>
        </w:tc>
      </w:tr>
      <w:tr>
        <w:trPr>
          <w:trHeight w:val="20"/>
        </w:trPr>
        <w:tc>
          <w:tcPr>
            <w:tcW w:w="182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820" w:type="dxa"/>
            <w:vAlign w:val="bottom"/>
          </w:tcPr>
          <w:p>
            <w:pPr>
              <w:spacing w:after="0"/>
              <w:rPr>
                <w:sz w:val="17"/>
                <w:szCs w:val="17"/>
                <w:color w:val="auto"/>
              </w:rPr>
            </w:pPr>
          </w:p>
        </w:tc>
        <w:tc>
          <w:tcPr>
            <w:tcW w:w="26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w:t>
            </w:r>
          </w:p>
        </w:tc>
      </w:tr>
      <w:tr>
        <w:trPr>
          <w:trHeight w:val="20"/>
        </w:trPr>
        <w:tc>
          <w:tcPr>
            <w:tcW w:w="182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820" w:type="dxa"/>
            <w:vAlign w:val="bottom"/>
          </w:tcPr>
          <w:p>
            <w:pPr>
              <w:spacing w:after="0"/>
              <w:rPr>
                <w:sz w:val="17"/>
                <w:szCs w:val="17"/>
                <w:color w:val="auto"/>
              </w:rPr>
            </w:pPr>
          </w:p>
        </w:tc>
        <w:tc>
          <w:tcPr>
            <w:tcW w:w="26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r>
      <w:tr>
        <w:trPr>
          <w:trHeight w:val="20"/>
        </w:trPr>
        <w:tc>
          <w:tcPr>
            <w:tcW w:w="182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18"/>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6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w:t>
            </w:r>
          </w:p>
        </w:tc>
      </w:tr>
      <w:tr>
        <w:trPr>
          <w:trHeight w:val="20"/>
        </w:trPr>
        <w:tc>
          <w:tcPr>
            <w:tcW w:w="182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r>
      <w:tr>
        <w:trPr>
          <w:trHeight w:val="196"/>
        </w:trPr>
        <w:tc>
          <w:tcPr>
            <w:tcW w:w="1820" w:type="dxa"/>
            <w:vAlign w:val="bottom"/>
          </w:tcPr>
          <w:p>
            <w:pPr>
              <w:spacing w:after="0"/>
              <w:rPr>
                <w:sz w:val="17"/>
                <w:szCs w:val="17"/>
                <w:color w:val="auto"/>
              </w:rPr>
            </w:pPr>
          </w:p>
        </w:tc>
        <w:tc>
          <w:tcPr>
            <w:tcW w:w="26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Officer and Principal Financial</w:t>
            </w:r>
          </w:p>
        </w:tc>
      </w:tr>
      <w:tr>
        <w:trPr>
          <w:trHeight w:val="20"/>
        </w:trPr>
        <w:tc>
          <w:tcPr>
            <w:tcW w:w="182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820" w:type="dxa"/>
            <w:vAlign w:val="bottom"/>
          </w:tcPr>
          <w:p>
            <w:pPr>
              <w:spacing w:after="0"/>
              <w:rPr>
                <w:sz w:val="17"/>
                <w:szCs w:val="17"/>
                <w:color w:val="auto"/>
              </w:rPr>
            </w:pPr>
          </w:p>
        </w:tc>
        <w:tc>
          <w:tcPr>
            <w:tcW w:w="26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Officer Pursuant to 18 U.S.C.</w:t>
            </w:r>
          </w:p>
        </w:tc>
      </w:tr>
      <w:tr>
        <w:trPr>
          <w:trHeight w:val="20"/>
        </w:trPr>
        <w:tc>
          <w:tcPr>
            <w:tcW w:w="182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820" w:type="dxa"/>
            <w:vAlign w:val="bottom"/>
          </w:tcPr>
          <w:p>
            <w:pPr>
              <w:spacing w:after="0"/>
              <w:rPr>
                <w:sz w:val="17"/>
                <w:szCs w:val="17"/>
                <w:color w:val="auto"/>
              </w:rPr>
            </w:pPr>
          </w:p>
        </w:tc>
        <w:tc>
          <w:tcPr>
            <w:tcW w:w="26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Section 1350, as Adopted Pursuant</w:t>
            </w:r>
          </w:p>
        </w:tc>
      </w:tr>
      <w:tr>
        <w:trPr>
          <w:trHeight w:val="20"/>
        </w:trPr>
        <w:tc>
          <w:tcPr>
            <w:tcW w:w="182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820" w:type="dxa"/>
            <w:vAlign w:val="bottom"/>
          </w:tcPr>
          <w:p>
            <w:pPr>
              <w:spacing w:after="0"/>
              <w:rPr>
                <w:sz w:val="17"/>
                <w:szCs w:val="17"/>
                <w:color w:val="auto"/>
              </w:rPr>
            </w:pPr>
          </w:p>
        </w:tc>
        <w:tc>
          <w:tcPr>
            <w:tcW w:w="26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to Section 906 of the Sarbanes-</w:t>
            </w:r>
          </w:p>
        </w:tc>
      </w:tr>
      <w:tr>
        <w:trPr>
          <w:trHeight w:val="20"/>
        </w:trPr>
        <w:tc>
          <w:tcPr>
            <w:tcW w:w="182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r>
      <w:tr>
        <w:trPr>
          <w:trHeight w:val="196"/>
        </w:trPr>
        <w:tc>
          <w:tcPr>
            <w:tcW w:w="1820" w:type="dxa"/>
            <w:vAlign w:val="bottom"/>
          </w:tcPr>
          <w:p>
            <w:pPr>
              <w:spacing w:after="0"/>
              <w:rPr>
                <w:sz w:val="17"/>
                <w:szCs w:val="17"/>
                <w:color w:val="auto"/>
              </w:rPr>
            </w:pPr>
          </w:p>
        </w:tc>
        <w:tc>
          <w:tcPr>
            <w:tcW w:w="26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r>
      <w:tr>
        <w:trPr>
          <w:trHeight w:val="20"/>
        </w:trPr>
        <w:tc>
          <w:tcPr>
            <w:tcW w:w="182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1240" w:type="dxa"/>
            <w:vAlign w:val="bottom"/>
            <w:gridSpan w:val="9"/>
          </w:tcPr>
          <w:p>
            <w:pPr>
              <w:spacing w:after="0" w:line="20" w:lineRule="exact"/>
              <w:rPr>
                <w:sz w:val="1"/>
                <w:szCs w:val="1"/>
                <w:color w:val="auto"/>
              </w:rPr>
            </w:pPr>
          </w:p>
        </w:tc>
      </w:tr>
      <w:tr>
        <w:trPr>
          <w:trHeight w:val="34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6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820" w:type="dxa"/>
            <w:vAlign w:val="bottom"/>
          </w:tcPr>
          <w:p>
            <w:pPr>
              <w:spacing w:after="0"/>
              <w:rPr>
                <w:sz w:val="18"/>
                <w:szCs w:val="18"/>
                <w:color w:val="auto"/>
              </w:rPr>
            </w:pPr>
          </w:p>
        </w:tc>
        <w:tc>
          <w:tcPr>
            <w:tcW w:w="26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instance document does not</w:t>
            </w:r>
          </w:p>
        </w:tc>
      </w:tr>
      <w:tr>
        <w:trPr>
          <w:trHeight w:val="216"/>
        </w:trPr>
        <w:tc>
          <w:tcPr>
            <w:tcW w:w="1820" w:type="dxa"/>
            <w:vAlign w:val="bottom"/>
          </w:tcPr>
          <w:p>
            <w:pPr>
              <w:spacing w:after="0"/>
              <w:rPr>
                <w:sz w:val="18"/>
                <w:szCs w:val="18"/>
                <w:color w:val="auto"/>
              </w:rPr>
            </w:pPr>
          </w:p>
        </w:tc>
        <w:tc>
          <w:tcPr>
            <w:tcW w:w="264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8"/>
              </w:rPr>
              <w:t>appear in the Interactive Data File as</w:t>
            </w:r>
          </w:p>
        </w:tc>
      </w:tr>
      <w:tr>
        <w:trPr>
          <w:trHeight w:val="216"/>
        </w:trPr>
        <w:tc>
          <w:tcPr>
            <w:tcW w:w="1820" w:type="dxa"/>
            <w:vAlign w:val="bottom"/>
          </w:tcPr>
          <w:p>
            <w:pPr>
              <w:spacing w:after="0"/>
              <w:rPr>
                <w:sz w:val="18"/>
                <w:szCs w:val="18"/>
                <w:color w:val="auto"/>
              </w:rPr>
            </w:pPr>
          </w:p>
        </w:tc>
        <w:tc>
          <w:tcPr>
            <w:tcW w:w="26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its XBRL tags are embedded within</w:t>
            </w:r>
          </w:p>
        </w:tc>
      </w:tr>
      <w:tr>
        <w:trPr>
          <w:trHeight w:val="234"/>
        </w:trPr>
        <w:tc>
          <w:tcPr>
            <w:tcW w:w="1820" w:type="dxa"/>
            <w:vAlign w:val="bottom"/>
          </w:tcPr>
          <w:p>
            <w:pPr>
              <w:spacing w:after="0"/>
              <w:rPr>
                <w:sz w:val="20"/>
                <w:szCs w:val="20"/>
                <w:color w:val="auto"/>
              </w:rPr>
            </w:pPr>
          </w:p>
        </w:tc>
        <w:tc>
          <w:tcPr>
            <w:tcW w:w="26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319"/>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6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r>
      <w:tr>
        <w:trPr>
          <w:trHeight w:val="234"/>
        </w:trPr>
        <w:tc>
          <w:tcPr>
            <w:tcW w:w="1820" w:type="dxa"/>
            <w:vAlign w:val="bottom"/>
          </w:tcPr>
          <w:p>
            <w:pPr>
              <w:spacing w:after="0"/>
              <w:rPr>
                <w:sz w:val="20"/>
                <w:szCs w:val="20"/>
                <w:color w:val="auto"/>
              </w:rPr>
            </w:pPr>
          </w:p>
        </w:tc>
        <w:tc>
          <w:tcPr>
            <w:tcW w:w="26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Schema With</w:t>
            </w:r>
          </w:p>
        </w:tc>
      </w:tr>
    </w:tbl>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8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001-40656</w:t>
            </w: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3-21-2023</w:t>
            </w:r>
          </w:p>
        </w:tc>
      </w:tr>
      <w:tr>
        <w:trPr>
          <w:trHeight w:val="72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8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001-40656</w:t>
            </w: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4.1</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2-8-2024</w:t>
            </w:r>
          </w:p>
        </w:tc>
      </w:tr>
    </w:tbl>
    <w:p>
      <w:pPr>
        <w:spacing w:after="0" w:line="6349" w:lineRule="exact"/>
        <w:rPr>
          <w:sz w:val="20"/>
          <w:szCs w:val="20"/>
          <w:color w:val="auto"/>
        </w:rPr>
      </w:pPr>
    </w:p>
    <w:p>
      <w:pPr>
        <w:sectPr>
          <w:pgSz w:w="11900" w:h="16838" w:orient="portrait"/>
          <w:cols w:equalWidth="0" w:num="2">
            <w:col w:w="4980" w:space="500"/>
            <w:col w:w="5260"/>
          </w:cols>
          <w:pgMar w:left="320" w:top="1440" w:right="839" w:bottom="1440" w:gutter="0" w:footer="0" w:header="0"/>
          <w:type w:val="continuous"/>
        </w:sectPr>
      </w:pPr>
    </w:p>
    <w:p>
      <w:pPr>
        <w:spacing w:after="0" w:line="227"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440" w:right="839" w:bottom="1440" w:gutter="0" w:footer="0" w:header="0"/>
          <w:type w:val="continuous"/>
        </w:sectPr>
      </w:pPr>
    </w:p>
    <w:bookmarkStart w:id="78" w:name="page79"/>
    <w:bookmarkEnd w:id="78"/>
    <w:tbl>
      <w:tblPr>
        <w:tblLayout w:type="fixed"/>
        <w:tblInd w:w="52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3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Embedded Linkbase Documents.</w:t>
            </w:r>
          </w:p>
        </w:tc>
      </w:tr>
      <w:tr>
        <w:trPr>
          <w:trHeight w:val="333"/>
        </w:trPr>
        <w:tc>
          <w:tcPr>
            <w:tcW w:w="10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4"/>
              </w:rPr>
              <w:t>104*</w:t>
            </w:r>
          </w:p>
        </w:tc>
        <w:tc>
          <w:tcPr>
            <w:tcW w:w="3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Cover page formatted as Inline</w:t>
            </w:r>
          </w:p>
        </w:tc>
      </w:tr>
      <w:tr>
        <w:trPr>
          <w:trHeight w:val="234"/>
        </w:trPr>
        <w:tc>
          <w:tcPr>
            <w:tcW w:w="1080" w:type="dxa"/>
            <w:vAlign w:val="bottom"/>
          </w:tcPr>
          <w:p>
            <w:pPr>
              <w:spacing w:after="0"/>
              <w:rPr>
                <w:sz w:val="20"/>
                <w:szCs w:val="20"/>
                <w:color w:val="auto"/>
              </w:rPr>
            </w:pPr>
          </w:p>
        </w:tc>
        <w:tc>
          <w:tcPr>
            <w:tcW w:w="338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XBRL and contained in Exhibit 101.</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right="459" w:firstLine="8"/>
        <w:spacing w:after="0" w:line="253" w:lineRule="auto"/>
        <w:tabs>
          <w:tab w:leader="none" w:pos="1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7" w:right="1440"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68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Tenaya Therapeutics, Inc.</w:t>
            </w:r>
          </w:p>
        </w:tc>
      </w:tr>
      <w:tr>
        <w:trPr>
          <w:trHeight w:val="47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2024</w:t>
            </w:r>
          </w:p>
        </w:tc>
        <w:tc>
          <w:tcPr>
            <w:tcW w:w="24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Faraz Ali, M.B.A.</w:t>
            </w:r>
          </w:p>
        </w:tc>
      </w:tr>
      <w:tr>
        <w:trPr>
          <w:trHeight w:val="205"/>
        </w:trPr>
        <w:tc>
          <w:tcPr>
            <w:tcW w:w="35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2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rPr>
              <w:t>Faraz Ali, M.B.A.</w:t>
            </w:r>
          </w:p>
        </w:tc>
      </w:tr>
      <w:tr>
        <w:trPr>
          <w:trHeight w:val="216"/>
        </w:trPr>
        <w:tc>
          <w:tcPr>
            <w:tcW w:w="35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4"/>
        </w:trPr>
        <w:tc>
          <w:tcPr>
            <w:tcW w:w="35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w:t>
            </w:r>
          </w:p>
        </w:tc>
      </w:tr>
      <w:tr>
        <w:trPr>
          <w:trHeight w:val="47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2024</w:t>
            </w:r>
          </w:p>
        </w:tc>
        <w:tc>
          <w:tcPr>
            <w:tcW w:w="24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Leone D. Patterson, M.B.A.</w:t>
            </w:r>
          </w:p>
        </w:tc>
      </w:tr>
      <w:tr>
        <w:trPr>
          <w:trHeight w:val="205"/>
        </w:trPr>
        <w:tc>
          <w:tcPr>
            <w:tcW w:w="35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2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Leone D. Patterson, M.B.A.</w:t>
            </w:r>
          </w:p>
        </w:tc>
      </w:tr>
      <w:tr>
        <w:trPr>
          <w:trHeight w:val="234"/>
        </w:trPr>
        <w:tc>
          <w:tcPr>
            <w:tcW w:w="35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Financial and Business Officer</w:t>
            </w:r>
          </w:p>
        </w:tc>
      </w:tr>
    </w:tbl>
    <w:p>
      <w:pPr>
        <w:ind w:left="69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0" w:name="page81"/>
    <w:bookmarkEnd w:id="80"/>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Faraz Ali, M.B.A., certify that:</w:t>
      </w:r>
    </w:p>
    <w:p>
      <w:pPr>
        <w:spacing w:after="0" w:line="225" w:lineRule="exact"/>
        <w:rPr>
          <w:sz w:val="20"/>
          <w:szCs w:val="20"/>
          <w:color w:val="auto"/>
        </w:rPr>
      </w:pPr>
    </w:p>
    <w:p>
      <w:pPr>
        <w:ind w:left="380" w:hanging="372"/>
        <w:spacing w:after="0"/>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Tenaya Therapeutics, Inc.;</w:t>
      </w:r>
    </w:p>
    <w:p>
      <w:pPr>
        <w:spacing w:after="0" w:line="225"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80" w:right="380" w:hanging="372"/>
        <w:spacing w:after="0" w:line="266" w:lineRule="auto"/>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760" w:right="280" w:hanging="378"/>
        <w:spacing w:after="0" w:line="266" w:lineRule="auto"/>
        <w:tabs>
          <w:tab w:leader="none" w:pos="7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right="80" w:hanging="372"/>
        <w:spacing w:after="0" w:line="282" w:lineRule="auto"/>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14, 2024</w:t>
      </w:r>
    </w:p>
    <w:p>
      <w:pPr>
        <w:spacing w:after="0" w:line="26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TENAYA THERAPEUTICS, INC.</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780" w:type="dxa"/>
            <w:vAlign w:val="bottom"/>
          </w:tcPr>
          <w:p>
            <w:pPr>
              <w:ind w:left="608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Faraz Ali, M.B.A.</w:t>
            </w:r>
          </w:p>
        </w:tc>
      </w:tr>
      <w:tr>
        <w:trPr>
          <w:trHeight w:val="228"/>
        </w:trPr>
        <w:tc>
          <w:tcPr>
            <w:tcW w:w="6780" w:type="dxa"/>
            <w:vAlign w:val="bottom"/>
          </w:tcPr>
          <w:p>
            <w:pPr>
              <w:ind w:left="608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Faraz Ali, M.B.A.</w:t>
            </w:r>
          </w:p>
        </w:tc>
      </w:tr>
      <w:tr>
        <w:trPr>
          <w:trHeight w:val="218"/>
        </w:trPr>
        <w:tc>
          <w:tcPr>
            <w:tcW w:w="6780" w:type="dxa"/>
            <w:vAlign w:val="bottom"/>
          </w:tcPr>
          <w:p>
            <w:pPr>
              <w:ind w:left="608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Chief Executive Officer and Director </w:t>
            </w:r>
            <w:r>
              <w:rPr>
                <w:rFonts w:ascii="Times New Roman" w:cs="Times New Roman" w:eastAsia="Times New Roman" w:hAnsi="Times New Roman"/>
                <w:sz w:val="18"/>
                <w:szCs w:val="18"/>
                <w:i w:val="1"/>
                <w:iCs w:val="1"/>
                <w:color w:val="auto"/>
              </w:rPr>
              <w:t>(Principal Executive</w:t>
            </w:r>
          </w:p>
        </w:tc>
      </w:tr>
      <w:tr>
        <w:trPr>
          <w:trHeight w:val="236"/>
        </w:trPr>
        <w:tc>
          <w:tcPr>
            <w:tcW w:w="6780" w:type="dxa"/>
            <w:vAlign w:val="bottom"/>
          </w:tcPr>
          <w:p>
            <w:pPr>
              <w:spacing w:after="0"/>
              <w:rPr>
                <w:sz w:val="20"/>
                <w:szCs w:val="20"/>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Officer)</w:t>
            </w:r>
          </w:p>
        </w:tc>
      </w:tr>
      <w:tr>
        <w:trPr>
          <w:trHeight w:val="736"/>
        </w:trPr>
        <w:tc>
          <w:tcPr>
            <w:tcW w:w="678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81" w:name="page82"/>
    <w:bookmarkEnd w:id="81"/>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Leone D. Patterson, M.B.A., certify that:</w:t>
      </w:r>
    </w:p>
    <w:p>
      <w:pPr>
        <w:spacing w:after="0" w:line="225" w:lineRule="exact"/>
        <w:rPr>
          <w:sz w:val="20"/>
          <w:szCs w:val="20"/>
          <w:color w:val="auto"/>
        </w:rPr>
      </w:pPr>
    </w:p>
    <w:p>
      <w:pPr>
        <w:ind w:left="380" w:hanging="372"/>
        <w:spacing w:after="0"/>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Tenaya Therapeutics, Inc.;</w:t>
      </w:r>
    </w:p>
    <w:p>
      <w:pPr>
        <w:spacing w:after="0" w:line="225"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80" w:right="380" w:hanging="372"/>
        <w:spacing w:after="0" w:line="266" w:lineRule="auto"/>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760" w:right="280" w:hanging="378"/>
        <w:spacing w:after="0" w:line="266" w:lineRule="auto"/>
        <w:tabs>
          <w:tab w:leader="none" w:pos="7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right="80" w:hanging="372"/>
        <w:spacing w:after="0" w:line="282" w:lineRule="auto"/>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14, 2024</w:t>
      </w:r>
    </w:p>
    <w:p>
      <w:pPr>
        <w:spacing w:after="0" w:line="26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TENAYA THERAPEUTICS, INC.</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440" w:type="dxa"/>
            <w:vAlign w:val="bottom"/>
          </w:tcPr>
          <w:p>
            <w:pPr>
              <w:ind w:left="5740"/>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Leone D. Patterson, M.B.A.</w:t>
            </w:r>
          </w:p>
        </w:tc>
      </w:tr>
      <w:tr>
        <w:trPr>
          <w:trHeight w:val="228"/>
        </w:trPr>
        <w:tc>
          <w:tcPr>
            <w:tcW w:w="6440" w:type="dxa"/>
            <w:vAlign w:val="bottom"/>
          </w:tcPr>
          <w:p>
            <w:pPr>
              <w:ind w:left="5740"/>
              <w:spacing w:after="0"/>
              <w:rPr>
                <w:sz w:val="20"/>
                <w:szCs w:val="20"/>
                <w:color w:val="auto"/>
              </w:rPr>
            </w:pPr>
            <w:r>
              <w:rPr>
                <w:rFonts w:ascii="Times New Roman" w:cs="Times New Roman" w:eastAsia="Times New Roman" w:hAnsi="Times New Roman"/>
                <w:sz w:val="18"/>
                <w:szCs w:val="18"/>
                <w:color w:val="auto"/>
              </w:rPr>
              <w:t>Name:</w:t>
            </w: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Leone D. Patterson, M.B.A.</w:t>
            </w:r>
          </w:p>
        </w:tc>
      </w:tr>
      <w:tr>
        <w:trPr>
          <w:trHeight w:val="218"/>
        </w:trPr>
        <w:tc>
          <w:tcPr>
            <w:tcW w:w="6440" w:type="dxa"/>
            <w:vAlign w:val="bottom"/>
          </w:tcPr>
          <w:p>
            <w:pPr>
              <w:ind w:left="5740"/>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and Business Officer</w:t>
            </w:r>
          </w:p>
        </w:tc>
      </w:tr>
      <w:tr>
        <w:trPr>
          <w:trHeight w:val="236"/>
        </w:trPr>
        <w:tc>
          <w:tcPr>
            <w:tcW w:w="6440" w:type="dxa"/>
            <w:vAlign w:val="bottom"/>
          </w:tcPr>
          <w:p>
            <w:pPr>
              <w:spacing w:after="0"/>
              <w:rPr>
                <w:sz w:val="20"/>
                <w:szCs w:val="20"/>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r>
        <w:trPr>
          <w:trHeight w:val="736"/>
        </w:trPr>
        <w:tc>
          <w:tcPr>
            <w:tcW w:w="644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82" w:name="page83"/>
    <w:bookmarkEnd w:id="82"/>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CERTIFICATIONS OF PRINCIPAL EXECUTIVE OFFICER AND PRINCIPAL FINANCIAL OFFICER</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 Faraz Ali, M.B.A., certify, pursuant to 18 U.S.C. Section 1350 as adopted pursuant to Section 906 of the Sarbanes-Oxley Act of 2002, that, (1) the Quarterly Report on Form 10-Q of Tenaya Therapeutics, Inc. (the “Company”) for the quarterly period ended March 31, 2024, as filed with the Securities and Exchange Commission on the date hereof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224"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 Faraz Ali,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26035</wp:posOffset>
            </wp:positionV>
            <wp:extent cx="31375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9">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0"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Faraz Ali, M.B.A.</w:t>
      </w:r>
    </w:p>
    <w:p>
      <w:pPr>
        <w:spacing w:after="0" w:line="50"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18"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Date: May 14, 2024</w:t>
      </w:r>
    </w:p>
    <w:p>
      <w:pPr>
        <w:spacing w:after="0" w:line="2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 Leone D. Patterson, M.B.A., certify, pursuant to 18 U.S.C. Section 1350 as adopted pursuant to Section 906 of the Sarbanes-Oxley Act of 2002, that, (1) the Quarterly Report on Form 10-Q of Tenaya Therapeutics, Inc. (the “Company”) for the quarterly period ended March 31, 2024, as filed with the Securities and Exchange Commission on the date hereof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224"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 Leone D. Patterson,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26035</wp:posOffset>
            </wp:positionV>
            <wp:extent cx="313753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0">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30"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Leone D. Patterson, M.B.A.</w:t>
      </w:r>
    </w:p>
    <w:p>
      <w:pPr>
        <w:spacing w:after="0" w:line="50"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Chief Financial and Business Officer</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18"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Date: May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947420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83" w:name="page84"/>
    <w:bookmarkEnd w:id="8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1."/>
      <w:numFmt w:val="decimal"/>
      <w:start w:val="2"/>
    </w:lvl>
  </w:abstractNum>
  <w:abstractNum w:abstractNumId="6">
    <w:nsid w:val="189A769B"/>
    <w:multiLevelType w:val="hybridMultilevel"/>
    <w:lvl w:ilvl="0">
      <w:lvlJc w:val="left"/>
      <w:lvlText w:val="%1."/>
      <w:numFmt w:val="decimal"/>
      <w:start w:val="3"/>
    </w:lvl>
  </w:abstractNum>
  <w:abstractNum w:abstractNumId="7">
    <w:nsid w:val="54E49EB4"/>
    <w:multiLevelType w:val="hybridMultilevel"/>
    <w:lvl w:ilvl="0">
      <w:lvlJc w:val="left"/>
      <w:lvlText w:val="%1."/>
      <w:numFmt w:val="decimal"/>
      <w:start w:val="4"/>
    </w:lvl>
  </w:abstractNum>
  <w:abstractNum w:abstractNumId="8">
    <w:nsid w:val="71F32454"/>
    <w:multiLevelType w:val="hybridMultilevel"/>
    <w:lvl w:ilvl="0">
      <w:lvlJc w:val="left"/>
      <w:lvlText w:val="%1."/>
      <w:numFmt w:val="decimal"/>
      <w:start w:val="6"/>
    </w:lvl>
  </w:abstractNum>
  <w:abstractNum w:abstractNumId="9">
    <w:nsid w:val="2CA88611"/>
    <w:multiLevelType w:val="hybridMultilevel"/>
    <w:lvl w:ilvl="0">
      <w:lvlJc w:val="left"/>
      <w:lvlText w:val="%1."/>
      <w:numFmt w:val="decimal"/>
      <w:start w:val="7"/>
    </w:lvl>
  </w:abstractNum>
  <w:abstractNum w:abstractNumId="10">
    <w:nsid w:val="836C40E"/>
    <w:multiLevelType w:val="hybridMultilevel"/>
    <w:lvl w:ilvl="0">
      <w:lvlJc w:val="left"/>
      <w:lvlText w:val="%1."/>
      <w:numFmt w:val="decimal"/>
      <w:start w:val="8"/>
    </w:lvl>
  </w:abstractNum>
  <w:abstractNum w:abstractNumId="11">
    <w:nsid w:val="2901D82"/>
    <w:multiLevelType w:val="hybridMultilevel"/>
    <w:lvl w:ilvl="0">
      <w:lvlJc w:val="left"/>
      <w:lvlText w:val="%1."/>
      <w:numFmt w:val="decimal"/>
      <w:start w:val="9"/>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1)"/>
      <w:numFmt w:val="decimal"/>
      <w:start w:val="2"/>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1)"/>
      <w:numFmt w:val="lowerLetter"/>
      <w:start w:val="1"/>
    </w:lvl>
  </w:abstractNum>
  <w:abstractNum w:abstractNumId="42">
    <w:nsid w:val="2CD89A32"/>
    <w:multiLevelType w:val="hybridMultilevel"/>
    <w:lvl w:ilvl="0">
      <w:lvlJc w:val="left"/>
      <w:lvlText w:val="(%1)"/>
      <w:numFmt w:val="lowerLetter"/>
      <w:start w:val="3"/>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png"/><Relationship Id="rId221" Type="http://schemas.openxmlformats.org/officeDocument/2006/relationships/image" Target="media/image211.png"/><Relationship Id="rId209" Type="http://schemas.openxmlformats.org/officeDocument/2006/relationships/hyperlink" Target="https://www.sec.gov/Archives/edgar/data/1858848/000095017023040651/tnya-ex3_1.htm" TargetMode="External"/><Relationship Id="rId210" Type="http://schemas.openxmlformats.org/officeDocument/2006/relationships/hyperlink" Target="https://www.sec.gov/Archives/edgar/data/1858848/000095017023008934/tnya-ex3_1.htm" TargetMode="External"/><Relationship Id="rId211" Type="http://schemas.openxmlformats.org/officeDocument/2006/relationships/hyperlink" Target="https://www.sec.gov/Archives/edgar/data/1858848/000119312524027611/d761271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2024-05-14T15:43:30Z</dcterms:created>
  <dcterms:modified xsi:type="dcterms:W3CDTF">2024-05-14T15:43:30Z</dcterms:modified>
</cp:coreProperties>
</file>