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5068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68570"/>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Ali Faraz</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TENAYA THERAPEUTICS,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171 OYSTER POINT BLVD., 5TH FLOOR</w:t>
      </w:r>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7"/>
                <w:szCs w:val="17"/>
                <w:color w:val="0000FF"/>
              </w:rPr>
              <w:t>SOUTH SAN</w:t>
            </w:r>
          </w:p>
        </w:tc>
        <w:tc>
          <w:tcPr>
            <w:tcW w:w="940" w:type="dxa"/>
            <w:vAlign w:val="bottom"/>
            <w:vMerge w:val="restart"/>
          </w:tcPr>
          <w:p>
            <w:pPr>
              <w:ind w:left="120"/>
              <w:spacing w:after="0"/>
              <w:rPr>
                <w:sz w:val="20"/>
                <w:szCs w:val="20"/>
                <w:color w:val="auto"/>
              </w:rPr>
            </w:pPr>
            <w:r>
              <w:rPr>
                <w:rFonts w:ascii="Arial" w:cs="Arial" w:eastAsia="Arial" w:hAnsi="Arial"/>
                <w:sz w:val="17"/>
                <w:szCs w:val="17"/>
                <w:color w:val="0000FF"/>
              </w:rPr>
              <w:t>CA</w:t>
            </w:r>
          </w:p>
        </w:tc>
        <w:tc>
          <w:tcPr>
            <w:tcW w:w="1600" w:type="dxa"/>
            <w:vAlign w:val="bottom"/>
            <w:vMerge w:val="restart"/>
          </w:tcPr>
          <w:p>
            <w:pPr>
              <w:ind w:left="400"/>
              <w:spacing w:after="0"/>
              <w:rPr>
                <w:sz w:val="20"/>
                <w:szCs w:val="20"/>
                <w:color w:val="auto"/>
              </w:rPr>
            </w:pPr>
            <w:r>
              <w:rPr>
                <w:rFonts w:ascii="Arial" w:cs="Arial" w:eastAsia="Arial" w:hAnsi="Arial"/>
                <w:sz w:val="17"/>
                <w:szCs w:val="17"/>
                <w:color w:val="0000FF"/>
              </w:rPr>
              <w:t>94080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1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94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Tenaya Therapeutics,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TNYA</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6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060" w:type="dxa"/>
            <w:vAlign w:val="bottom"/>
            <w:tcBorders>
              <w:bottom w:val="single" w:sz="8" w:color="0000EE"/>
            </w:tcBorders>
          </w:tcPr>
          <w:p>
            <w:pPr>
              <w:spacing w:after="0"/>
              <w:rPr>
                <w:sz w:val="3"/>
                <w:szCs w:val="3"/>
                <w:color w:val="auto"/>
              </w:rPr>
            </w:pPr>
          </w:p>
        </w:tc>
        <w:tc>
          <w:tcPr>
            <w:tcW w:w="1560" w:type="dxa"/>
            <w:vAlign w:val="bottom"/>
          </w:tcPr>
          <w:p>
            <w:pPr>
              <w:spacing w:after="0"/>
              <w:rPr>
                <w:sz w:val="3"/>
                <w:szCs w:val="3"/>
                <w:color w:val="auto"/>
              </w:rPr>
            </w:pPr>
          </w:p>
        </w:tc>
        <w:tc>
          <w:tcPr>
            <w:tcW w:w="1860" w:type="dxa"/>
            <w:vAlign w:val="bottom"/>
            <w:gridSpan w:val="2"/>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tcPr>
          <w:p>
            <w:pPr>
              <w:spacing w:after="0"/>
              <w:rPr>
                <w:sz w:val="5"/>
                <w:szCs w:val="5"/>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8"/>
        </w:trPr>
        <w:tc>
          <w:tcPr>
            <w:tcW w:w="2260" w:type="dxa"/>
            <w:vAlign w:val="bottom"/>
            <w:gridSpan w:val="3"/>
            <w:vMerge w:val="restart"/>
          </w:tcPr>
          <w:p>
            <w:pPr>
              <w:ind w:left="80"/>
              <w:spacing w:after="0"/>
              <w:rPr>
                <w:sz w:val="20"/>
                <w:szCs w:val="20"/>
                <w:color w:val="auto"/>
              </w:rPr>
            </w:pPr>
            <w:r>
              <w:rPr>
                <w:rFonts w:ascii="Arial" w:cs="Arial" w:eastAsia="Arial" w:hAnsi="Arial"/>
                <w:sz w:val="17"/>
                <w:szCs w:val="17"/>
                <w:color w:val="0000FF"/>
              </w:rPr>
              <w:t>08/16/2023</w:t>
            </w:r>
          </w:p>
        </w:tc>
        <w:tc>
          <w:tcPr>
            <w:tcW w:w="15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2260" w:type="dxa"/>
            <w:vAlign w:val="bottom"/>
            <w:gridSpan w:val="3"/>
            <w:vMerge w:val="continue"/>
          </w:tcPr>
          <w:p>
            <w:pPr>
              <w:spacing w:after="0"/>
              <w:rPr>
                <w:sz w:val="11"/>
                <w:szCs w:val="11"/>
                <w:color w:val="auto"/>
              </w:rPr>
            </w:pPr>
          </w:p>
        </w:tc>
        <w:tc>
          <w:tcPr>
            <w:tcW w:w="1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0" w:type="dxa"/>
            <w:vAlign w:val="bottom"/>
            <w:gridSpan w:val="2"/>
            <w:vMerge w:val="restart"/>
          </w:tcPr>
          <w:p>
            <w:pPr>
              <w:ind w:left="320"/>
              <w:spacing w:after="0"/>
              <w:rPr>
                <w:sz w:val="20"/>
                <w:szCs w:val="20"/>
                <w:color w:val="auto"/>
              </w:rPr>
            </w:pPr>
            <w:r>
              <w:rPr>
                <w:rFonts w:ascii="Arial" w:cs="Arial" w:eastAsia="Arial" w:hAnsi="Arial"/>
                <w:sz w:val="17"/>
                <w:szCs w:val="17"/>
                <w:color w:val="0000FF"/>
              </w:rPr>
              <w:t>Chief Executive Officer</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060" w:type="dxa"/>
            <w:vAlign w:val="bottom"/>
            <w:tcBorders>
              <w:bottom w:val="single" w:sz="8" w:color="2C2C2C"/>
            </w:tcBorders>
          </w:tcPr>
          <w:p>
            <w:pPr>
              <w:spacing w:after="0"/>
              <w:rPr>
                <w:sz w:val="8"/>
                <w:szCs w:val="8"/>
                <w:color w:val="auto"/>
              </w:rPr>
            </w:pPr>
          </w:p>
        </w:tc>
        <w:tc>
          <w:tcPr>
            <w:tcW w:w="156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08/16/2023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5,563</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3.81</w:t>
            </w:r>
            <w:r>
              <w:rPr>
                <w:rFonts w:ascii="Arial" w:cs="Arial" w:eastAsia="Arial" w:hAnsi="Arial"/>
                <w:sz w:val="22"/>
                <w:szCs w:val="22"/>
                <w:color w:val="008000"/>
                <w:w w:val="95"/>
                <w:vertAlign w:val="superscript"/>
              </w:rPr>
              <w:t>(2)</w:t>
            </w: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119,437</w:t>
            </w:r>
            <w:r>
              <w:rPr>
                <w:rFonts w:ascii="Arial" w:cs="Arial" w:eastAsia="Arial" w:hAnsi="Arial"/>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sold to cover tax withholding obligations in connection with the vesting of restricted stock units awarded on February 15, 2023.</w:t>
      </w:r>
    </w:p>
    <w:p>
      <w:pPr>
        <w:spacing w:after="0" w:line="50" w:lineRule="exact"/>
        <w:rPr>
          <w:rFonts w:ascii="Arial" w:cs="Arial" w:eastAsia="Arial" w:hAnsi="Arial"/>
          <w:sz w:val="13"/>
          <w:szCs w:val="13"/>
          <w:color w:val="008000"/>
        </w:rPr>
      </w:pPr>
    </w:p>
    <w:p>
      <w:pPr>
        <w:ind w:left="40" w:right="22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the weighted average sales price. The shares were sold in multiple transactions at prices ranging from $3.76 to $3.87. Reporting Person undertakes to provide Tenaya Therapeutics, Inc., any security holder of Tenaya Therapeutics, Inc., or the staff of the Securities and Exchange Commission, upon request, full information regarding the number of shares sold at each separate price within the ranges set forth in this footnote.</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Includes 109,375 shares of Tenaya Therapeutics, Inc. common stock that will be issued to the Reporting Person upon vesting of restricted stock units.</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4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4"/>
              </w:rPr>
              <w:t>/s/ Jennifer Drimmer</w:t>
            </w:r>
          </w:p>
        </w:tc>
        <w:tc>
          <w:tcPr>
            <w:tcW w:w="620" w:type="dxa"/>
            <w:vAlign w:val="bottom"/>
            <w:gridSpan w:val="2"/>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08/18/2023</w:t>
            </w:r>
          </w:p>
        </w:tc>
        <w:tc>
          <w:tcPr>
            <w:tcW w:w="0" w:type="dxa"/>
            <w:vAlign w:val="bottom"/>
          </w:tcPr>
          <w:p>
            <w:pPr>
              <w:spacing w:after="0"/>
              <w:rPr>
                <w:sz w:val="1"/>
                <w:szCs w:val="1"/>
                <w:color w:val="auto"/>
              </w:rPr>
            </w:pPr>
          </w:p>
        </w:tc>
      </w:tr>
      <w:tr>
        <w:trPr>
          <w:trHeight w:val="87"/>
        </w:trPr>
        <w:tc>
          <w:tcPr>
            <w:tcW w:w="1940" w:type="dxa"/>
            <w:vAlign w:val="bottom"/>
            <w:gridSpan w:val="2"/>
            <w:vMerge w:val="restart"/>
          </w:tcPr>
          <w:p>
            <w:pPr>
              <w:spacing w:after="0" w:line="194" w:lineRule="exact"/>
              <w:rPr>
                <w:sz w:val="20"/>
                <w:szCs w:val="20"/>
                <w:color w:val="auto"/>
              </w:rPr>
            </w:pPr>
            <w:r>
              <w:rPr>
                <w:rFonts w:ascii="Arial" w:cs="Arial" w:eastAsia="Arial" w:hAnsi="Arial"/>
                <w:sz w:val="17"/>
                <w:szCs w:val="17"/>
                <w:color w:val="0000FF"/>
                <w:w w:val="95"/>
              </w:rPr>
              <w:t>Rokovich, Attorney-in-Fact</w:t>
            </w:r>
          </w:p>
        </w:tc>
        <w:tc>
          <w:tcPr>
            <w:tcW w:w="1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940" w:type="dxa"/>
            <w:vAlign w:val="bottom"/>
            <w:tcBorders>
              <w:bottom w:val="single" w:sz="8" w:color="auto"/>
            </w:tcBorders>
            <w:gridSpan w:val="2"/>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67937" TargetMode="External"/><Relationship Id="rId13" Type="http://schemas.openxmlformats.org/officeDocument/2006/relationships/hyperlink" Target="http://www.sec.gov/cgi-bin/browse-edgar?action=getcompany&amp;CIK=00018588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2023-08-18T17:40:24Z</dcterms:created>
  <dcterms:modified xsi:type="dcterms:W3CDTF">2023-08-18T17:40:24Z</dcterms:modified>
</cp:coreProperties>
</file>