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0001868494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3"/>
        <w:gridCol w:w="3702"/>
      </w:tblGrid>
      <w:tr>
        <w:trPr/>
        <w:tc>
          <w:tcPr>
            <w:tcW w:w="6503" w:type="dxa"/>
            <w:tcBorders/>
            <w:vAlign w:val="center"/>
          </w:tcPr>
          <w:p>
            <w:pPr>
              <w:pStyle w:val="TableContents"/>
              <w:bidi w:val="0"/>
              <w:spacing w:before="0" w:after="283"/>
              <w:jc w:val="left"/>
              <w:rPr/>
            </w:pPr>
            <w:r>
              <w:rPr/>
              <w:t>Name of Issuer</w:t>
            </w:r>
          </w:p>
        </w:tc>
        <w:tc>
          <w:tcPr>
            <w:tcW w:w="3702" w:type="dxa"/>
            <w:tcBorders/>
            <w:vAlign w:val="center"/>
          </w:tcPr>
          <w:p>
            <w:pPr>
              <w:pStyle w:val="TableContents"/>
              <w:bidi w:val="0"/>
              <w:spacing w:before="0" w:after="0"/>
              <w:jc w:val="left"/>
              <w:rPr/>
            </w:pPr>
            <w:r>
              <w:rPr/>
              <w:t>Tenaya Therapeutics, Inc.</w:t>
            </w:r>
          </w:p>
        </w:tc>
      </w:tr>
      <w:tr>
        <w:trPr/>
        <w:tc>
          <w:tcPr>
            <w:tcW w:w="6503" w:type="dxa"/>
            <w:tcBorders/>
            <w:vAlign w:val="center"/>
          </w:tcPr>
          <w:p>
            <w:pPr>
              <w:pStyle w:val="TableContents"/>
              <w:bidi w:val="0"/>
              <w:spacing w:before="0" w:after="283"/>
              <w:jc w:val="left"/>
              <w:rPr/>
            </w:pPr>
            <w:r>
              <w:rPr/>
              <w:t>SEC File Number</w:t>
            </w:r>
          </w:p>
        </w:tc>
        <w:tc>
          <w:tcPr>
            <w:tcW w:w="3702" w:type="dxa"/>
            <w:tcBorders/>
            <w:vAlign w:val="center"/>
          </w:tcPr>
          <w:p>
            <w:pPr>
              <w:pStyle w:val="TableContents"/>
              <w:bidi w:val="0"/>
              <w:spacing w:before="0" w:after="0"/>
              <w:jc w:val="left"/>
              <w:rPr/>
            </w:pPr>
            <w:r>
              <w:rPr/>
              <w:t>001-40656</w:t>
            </w:r>
          </w:p>
        </w:tc>
      </w:tr>
      <w:tr>
        <w:trPr/>
        <w:tc>
          <w:tcPr>
            <w:tcW w:w="6503" w:type="dxa"/>
            <w:tcBorders/>
            <w:vAlign w:val="center"/>
          </w:tcPr>
          <w:p>
            <w:pPr>
              <w:pStyle w:val="TableContents"/>
              <w:bidi w:val="0"/>
              <w:spacing w:before="0" w:after="283"/>
              <w:jc w:val="left"/>
              <w:rPr/>
            </w:pPr>
            <w:r>
              <w:rPr/>
              <w:t>Address of Issuer</w:t>
            </w:r>
          </w:p>
        </w:tc>
        <w:tc>
          <w:tcPr>
            <w:tcW w:w="3702" w:type="dxa"/>
            <w:tcBorders/>
            <w:vAlign w:val="center"/>
          </w:tcPr>
          <w:p>
            <w:pPr>
              <w:pStyle w:val="TableContents"/>
              <w:bidi w:val="0"/>
              <w:spacing w:before="0" w:after="0"/>
              <w:jc w:val="left"/>
              <w:rPr/>
            </w:pPr>
            <w:r>
              <w:rPr/>
              <w:t>171 Oyster Point Boulevard</w:t>
              <w:br/>
              <w:t>Suite 500</w:t>
              <w:br/>
              <w:t>South San Francisco</w:t>
              <w:br/>
              <w:t xml:space="preserve">CALIFORNIA </w:t>
              <w:br/>
              <w:t>94080</w:t>
            </w:r>
          </w:p>
        </w:tc>
      </w:tr>
      <w:tr>
        <w:trPr/>
        <w:tc>
          <w:tcPr>
            <w:tcW w:w="6503" w:type="dxa"/>
            <w:tcBorders/>
            <w:vAlign w:val="center"/>
          </w:tcPr>
          <w:p>
            <w:pPr>
              <w:pStyle w:val="TableContents"/>
              <w:bidi w:val="0"/>
              <w:spacing w:before="0" w:after="283"/>
              <w:jc w:val="left"/>
              <w:rPr/>
            </w:pPr>
            <w:r>
              <w:rPr/>
              <w:t>Phone</w:t>
            </w:r>
          </w:p>
        </w:tc>
        <w:tc>
          <w:tcPr>
            <w:tcW w:w="3702" w:type="dxa"/>
            <w:tcBorders/>
            <w:vAlign w:val="center"/>
          </w:tcPr>
          <w:p>
            <w:pPr>
              <w:pStyle w:val="TableContents"/>
              <w:bidi w:val="0"/>
              <w:spacing w:before="0" w:after="0"/>
              <w:jc w:val="left"/>
              <w:rPr/>
            </w:pPr>
            <w:r>
              <w:rPr/>
              <w:t>(650)-825-6990</w:t>
            </w:r>
          </w:p>
        </w:tc>
      </w:tr>
      <w:tr>
        <w:trPr/>
        <w:tc>
          <w:tcPr>
            <w:tcW w:w="6503" w:type="dxa"/>
            <w:tcBorders/>
            <w:vAlign w:val="center"/>
          </w:tcPr>
          <w:p>
            <w:pPr>
              <w:pStyle w:val="TableContents"/>
              <w:bidi w:val="0"/>
              <w:spacing w:before="0" w:after="283"/>
              <w:jc w:val="left"/>
              <w:rPr/>
            </w:pPr>
            <w:r>
              <w:rPr/>
              <w:t>Name of Person for Whose Account the Securities are To Be Sold</w:t>
            </w:r>
          </w:p>
        </w:tc>
        <w:tc>
          <w:tcPr>
            <w:tcW w:w="3702" w:type="dxa"/>
            <w:tcBorders/>
            <w:vAlign w:val="center"/>
          </w:tcPr>
          <w:p>
            <w:pPr>
              <w:pStyle w:val="TableContents"/>
              <w:bidi w:val="0"/>
              <w:spacing w:before="0" w:after="0"/>
              <w:jc w:val="left"/>
              <w:rPr/>
            </w:pPr>
            <w:r>
              <w:rPr/>
              <w:t>Whittemore Tingley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9"/>
        <w:gridCol w:w="1669"/>
        <w:gridCol w:w="1156"/>
        <w:gridCol w:w="1363"/>
        <w:gridCol w:w="1541"/>
        <w:gridCol w:w="1560"/>
        <w:gridCol w:w="1367"/>
      </w:tblGrid>
      <w:tr>
        <w:trPr/>
        <w:tc>
          <w:tcPr>
            <w:tcW w:w="1549" w:type="dxa"/>
            <w:tcBorders/>
            <w:vAlign w:val="center"/>
          </w:tcPr>
          <w:p>
            <w:pPr>
              <w:pStyle w:val="TableHeading"/>
              <w:suppressLineNumbers/>
              <w:bidi w:val="0"/>
              <w:spacing w:before="0" w:after="283"/>
              <w:jc w:val="center"/>
              <w:rPr/>
            </w:pPr>
            <w:r>
              <w:rPr/>
              <w:t>Title of the Class of Securities To Be Sold</w:t>
            </w:r>
          </w:p>
        </w:tc>
        <w:tc>
          <w:tcPr>
            <w:tcW w:w="1669" w:type="dxa"/>
            <w:tcBorders/>
            <w:vAlign w:val="center"/>
          </w:tcPr>
          <w:p>
            <w:pPr>
              <w:pStyle w:val="TableHeading"/>
              <w:suppressLineNumbers/>
              <w:bidi w:val="0"/>
              <w:spacing w:before="0" w:after="283"/>
              <w:jc w:val="center"/>
              <w:rPr/>
            </w:pPr>
            <w:r>
              <w:rPr/>
              <w:t>Name and Address of the Broker</w:t>
            </w:r>
          </w:p>
        </w:tc>
        <w:tc>
          <w:tcPr>
            <w:tcW w:w="1156" w:type="dxa"/>
            <w:tcBorders/>
            <w:vAlign w:val="center"/>
          </w:tcPr>
          <w:p>
            <w:pPr>
              <w:pStyle w:val="TableHeading"/>
              <w:suppressLineNumbers/>
              <w:bidi w:val="0"/>
              <w:spacing w:before="0" w:after="283"/>
              <w:jc w:val="center"/>
              <w:rPr/>
            </w:pPr>
            <w:r>
              <w:rPr/>
              <w:t>Number of Shares or Other Units To Be Sold</w:t>
            </w:r>
          </w:p>
        </w:tc>
        <w:tc>
          <w:tcPr>
            <w:tcW w:w="1363" w:type="dxa"/>
            <w:tcBorders/>
            <w:vAlign w:val="center"/>
          </w:tcPr>
          <w:p>
            <w:pPr>
              <w:pStyle w:val="TableHeading"/>
              <w:suppressLineNumbers/>
              <w:bidi w:val="0"/>
              <w:spacing w:before="0" w:after="283"/>
              <w:jc w:val="center"/>
              <w:rPr/>
            </w:pPr>
            <w:r>
              <w:rPr/>
              <w:t>Aggregate Market Value</w:t>
            </w:r>
          </w:p>
        </w:tc>
        <w:tc>
          <w:tcPr>
            <w:tcW w:w="1541"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67" w:type="dxa"/>
            <w:tcBorders/>
            <w:vAlign w:val="center"/>
          </w:tcPr>
          <w:p>
            <w:pPr>
              <w:pStyle w:val="TableHeading"/>
              <w:suppressLineNumbers/>
              <w:bidi w:val="0"/>
              <w:spacing w:before="0" w:after="283"/>
              <w:jc w:val="center"/>
              <w:rPr/>
            </w:pPr>
            <w:r>
              <w:rPr/>
              <w:t>Name the Securities Exchange</w:t>
            </w:r>
          </w:p>
        </w:tc>
      </w:tr>
      <w:tr>
        <w:trPr/>
        <w:tc>
          <w:tcPr>
            <w:tcW w:w="1549" w:type="dxa"/>
            <w:tcBorders/>
            <w:vAlign w:val="center"/>
          </w:tcPr>
          <w:p>
            <w:pPr>
              <w:pStyle w:val="TableContents"/>
              <w:bidi w:val="0"/>
              <w:spacing w:before="0" w:after="283"/>
              <w:jc w:val="left"/>
              <w:rPr/>
            </w:pPr>
            <w:r>
              <w:rPr/>
              <w:t>Common Stock</w:t>
            </w:r>
          </w:p>
        </w:tc>
        <w:tc>
          <w:tcPr>
            <w:tcW w:w="1669" w:type="dxa"/>
            <w:tcBorders/>
            <w:vAlign w:val="center"/>
          </w:tcPr>
          <w:p>
            <w:pPr>
              <w:pStyle w:val="TableContents"/>
              <w:bidi w:val="0"/>
              <w:spacing w:before="0" w:after="0"/>
              <w:jc w:val="left"/>
              <w:rPr/>
            </w:pPr>
            <w:r>
              <w:rPr/>
              <w:t>Morgan Stanley Smith Barney</w:t>
              <w:br/>
              <w:t>Operations Department</w:t>
              <w:br/>
              <w:t>2000 Westchester Ave</w:t>
              <w:br/>
              <w:t>Purchase   NY   10577-2530</w:t>
            </w:r>
          </w:p>
        </w:tc>
        <w:tc>
          <w:tcPr>
            <w:tcW w:w="1156" w:type="dxa"/>
            <w:tcBorders/>
            <w:vAlign w:val="center"/>
          </w:tcPr>
          <w:p>
            <w:pPr>
              <w:pStyle w:val="TableContents"/>
              <w:bidi w:val="0"/>
              <w:spacing w:before="0" w:after="283"/>
              <w:jc w:val="left"/>
              <w:rPr/>
            </w:pPr>
            <w:r>
              <w:rPr/>
              <w:t>7424</w:t>
            </w:r>
          </w:p>
        </w:tc>
        <w:tc>
          <w:tcPr>
            <w:tcW w:w="1363" w:type="dxa"/>
            <w:tcBorders/>
            <w:vAlign w:val="center"/>
          </w:tcPr>
          <w:p>
            <w:pPr>
              <w:pStyle w:val="TableContents"/>
              <w:bidi w:val="0"/>
              <w:spacing w:before="0" w:after="283"/>
              <w:jc w:val="left"/>
              <w:rPr/>
            </w:pPr>
            <w:r>
              <w:rPr/>
              <w:t>5269.56</w:t>
            </w:r>
          </w:p>
        </w:tc>
        <w:tc>
          <w:tcPr>
            <w:tcW w:w="1541" w:type="dxa"/>
            <w:tcBorders/>
            <w:vAlign w:val="center"/>
          </w:tcPr>
          <w:p>
            <w:pPr>
              <w:pStyle w:val="TableContents"/>
              <w:bidi w:val="0"/>
              <w:spacing w:before="0" w:after="283"/>
              <w:jc w:val="left"/>
              <w:rPr/>
            </w:pPr>
            <w:r>
              <w:rPr/>
              <w:t>224230012</w:t>
            </w:r>
          </w:p>
        </w:tc>
        <w:tc>
          <w:tcPr>
            <w:tcW w:w="1560" w:type="dxa"/>
            <w:tcBorders/>
            <w:vAlign w:val="center"/>
          </w:tcPr>
          <w:p>
            <w:pPr>
              <w:pStyle w:val="TableContents"/>
              <w:bidi w:val="0"/>
              <w:spacing w:before="0" w:after="283"/>
              <w:jc w:val="left"/>
              <w:rPr/>
            </w:pPr>
            <w:r>
              <w:rPr/>
              <w:t>08/17/2026</w:t>
            </w:r>
          </w:p>
        </w:tc>
        <w:tc>
          <w:tcPr>
            <w:tcW w:w="1367" w:type="dxa"/>
            <w:tcBorders/>
            <w:vAlign w:val="center"/>
          </w:tcPr>
          <w:p>
            <w:pPr>
              <w:pStyle w:val="TableContents"/>
              <w:bidi w:val="0"/>
              <w:spacing w:before="0" w:after="0"/>
              <w:jc w:val="left"/>
              <w:rPr/>
            </w:pPr>
            <w:r>
              <w:rPr/>
              <w:t>Nasdaq Capital Mkt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Restricted Stock Unit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19843</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55"/>
        <w:gridCol w:w="5950"/>
      </w:tblGrid>
      <w:tr>
        <w:trPr/>
        <w:tc>
          <w:tcPr>
            <w:tcW w:w="4255" w:type="dxa"/>
            <w:tcBorders/>
            <w:vAlign w:val="center"/>
          </w:tcPr>
          <w:p>
            <w:pPr>
              <w:pStyle w:val="TableContents"/>
              <w:bidi w:val="0"/>
              <w:spacing w:before="0" w:after="283"/>
              <w:jc w:val="left"/>
              <w:rPr/>
            </w:pPr>
            <w:r>
              <w:rPr/>
              <w:t>Remarks</w:t>
            </w:r>
          </w:p>
        </w:tc>
        <w:tc>
          <w:tcPr>
            <w:tcW w:w="5950" w:type="dxa"/>
            <w:tcBorders/>
            <w:vAlign w:val="center"/>
          </w:tcPr>
          <w:p>
            <w:pPr>
              <w:pStyle w:val="TableContents"/>
              <w:bidi w:val="0"/>
              <w:spacing w:before="0" w:after="283"/>
              <w:jc w:val="left"/>
              <w:rPr>
                <w:sz w:val="4"/>
                <w:szCs w:val="4"/>
              </w:rPr>
            </w:pPr>
            <w:r>
              <w:rPr>
                <w:sz w:val="4"/>
                <w:szCs w:val="4"/>
              </w:rPr>
            </w:r>
          </w:p>
        </w:tc>
      </w:tr>
      <w:tr>
        <w:trPr/>
        <w:tc>
          <w:tcPr>
            <w:tcW w:w="4255" w:type="dxa"/>
            <w:tcBorders/>
            <w:vAlign w:val="center"/>
          </w:tcPr>
          <w:p>
            <w:pPr>
              <w:pStyle w:val="TableContents"/>
              <w:bidi w:val="0"/>
              <w:spacing w:before="0" w:after="283"/>
              <w:jc w:val="left"/>
              <w:rPr/>
            </w:pPr>
            <w:r>
              <w:rPr/>
              <w:t>Date of Notice</w:t>
            </w:r>
          </w:p>
        </w:tc>
        <w:tc>
          <w:tcPr>
            <w:tcW w:w="5950"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55" w:type="dxa"/>
            <w:tcBorders/>
            <w:vAlign w:val="center"/>
          </w:tcPr>
          <w:p>
            <w:pPr>
              <w:pStyle w:val="TableContents"/>
              <w:bidi w:val="0"/>
              <w:spacing w:before="0" w:after="283"/>
              <w:jc w:val="left"/>
              <w:rPr/>
            </w:pPr>
            <w:r>
              <w:rPr/>
              <w:t>Signature</w:t>
            </w:r>
          </w:p>
        </w:tc>
        <w:tc>
          <w:tcPr>
            <w:tcW w:w="5950" w:type="dxa"/>
            <w:tcBorders/>
            <w:vAlign w:val="center"/>
          </w:tcPr>
          <w:p>
            <w:pPr>
              <w:pStyle w:val="TableContents"/>
              <w:bidi w:val="0"/>
              <w:spacing w:before="0" w:after="0"/>
              <w:jc w:val="left"/>
              <w:rPr/>
            </w:pPr>
            <w:r>
              <w:rPr/>
              <w:t>/s/ Whittemore Tingley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2953</Characters>
  <CharactersWithSpaces>3478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