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jc w:val="center"/>
        <w:ind w:left="3620" w:right="680" w:hanging="3612"/>
        <w:spacing w:after="0" w:line="303" w:lineRule="auto"/>
        <w:tabs>
          <w:tab w:leader="none" w:pos="458"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81" w:lineRule="exact"/>
        <w:rPr>
          <w:sz w:val="24"/>
          <w:szCs w:val="24"/>
          <w:color w:val="auto"/>
        </w:rPr>
      </w:pPr>
    </w:p>
    <w:p>
      <w:pPr>
        <w:jc w:val="center"/>
        <w:ind w:left="3340" w:right="700" w:hanging="3332"/>
        <w:spacing w:after="0" w:line="316" w:lineRule="auto"/>
        <w:tabs>
          <w:tab w:leader="none" w:pos="461"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171 Oyster Point Boulevard, Suite 500</w:t>
      </w:r>
    </w:p>
    <w:p>
      <w:pPr>
        <w:spacing w:after="0" w:line="2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21" w:lineRule="exact"/>
        <w:rPr>
          <w:sz w:val="24"/>
          <w:szCs w:val="24"/>
          <w:color w:val="auto"/>
        </w:rPr>
      </w:pPr>
    </w:p>
    <w:p>
      <w:pPr>
        <w:sectPr>
          <w:pgSz w:w="11900" w:h="16838" w:orient="portrait"/>
          <w:cols w:equalWidth="0" w:num="2">
            <w:col w:w="7620" w:space="320"/>
            <w:col w:w="3300"/>
          </w:cols>
          <w:pgMar w:left="320" w:top="11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825-6990</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1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2025, the registrant had 162,666,931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spacing w:after="0"/>
              <w:rPr>
                <w:sz w:val="24"/>
                <w:szCs w:val="24"/>
                <w:color w:val="auto"/>
              </w:rPr>
            </w:pPr>
          </w:p>
        </w:tc>
        <w:tc>
          <w:tcPr>
            <w:tcW w:w="32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3180" w:type="dxa"/>
            <w:vAlign w:val="bottom"/>
            <w:gridSpan w:val="5"/>
            <w:vMerge w:val="restart"/>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0" w:type="dxa"/>
            <w:vAlign w:val="bottom"/>
            <w:tcBorders>
              <w:bottom w:val="single" w:sz="8" w:color="0000FF"/>
            </w:tcBorders>
            <w:gridSpan w:val="7"/>
            <w:vMerge w:val="continue"/>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1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 as of March 31, 2025 and December 31,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months ended March 31,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 for the three months ended March 31,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gridSpan w:val="12"/>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3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880" w:type="dxa"/>
            <w:vAlign w:val="bottom"/>
            <w:tcBorders>
              <w:top w:val="single" w:sz="8" w:color="0000FF"/>
            </w:tcBorders>
            <w:gridSpan w:val="5"/>
          </w:tcPr>
          <w:p>
            <w:pPr>
              <w:spacing w:after="0"/>
              <w:rPr>
                <w:sz w:val="17"/>
                <w:szCs w:val="17"/>
                <w:color w:val="auto"/>
              </w:rPr>
            </w:pPr>
          </w:p>
        </w:tc>
        <w:tc>
          <w:tcPr>
            <w:tcW w:w="334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2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17"/>
                <w:szCs w:val="17"/>
                <w:color w:val="auto"/>
              </w:rPr>
            </w:pPr>
          </w:p>
        </w:tc>
        <w:tc>
          <w:tcPr>
            <w:tcW w:w="520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17"/>
                <w:szCs w:val="17"/>
                <w:color w:val="auto"/>
              </w:rPr>
            </w:pPr>
          </w:p>
        </w:tc>
        <w:tc>
          <w:tcPr>
            <w:tcW w:w="824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863"/>
        </w:trPr>
        <w:tc>
          <w:tcPr>
            <w:tcW w:w="10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This Quarterly Report on Form 10-Q, or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900" w:right="80" w:hanging="383"/>
        <w:spacing w:after="0" w:line="261"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900" w:right="6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900" w:right="24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143,952</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660,665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(541,275)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(514,411)</w:t>
            </w: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20" w:type="dxa"/>
            <w:vAlign w:val="bottom"/>
            <w:tcBorders>
              <w:top w:val="single" w:sz="8" w:color="CFF0FC"/>
            </w:tcBorders>
          </w:tcPr>
          <w:p>
            <w:pPr>
              <w:spacing w:after="0"/>
              <w:rPr>
                <w:sz w:val="18"/>
                <w:szCs w:val="18"/>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143,952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-3119755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-3119755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-2562860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-2562860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(27,538)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(33,762)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(32,228)</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(32,228)</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(26,902)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(32,242)</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109,869,278</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80,982,326</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-1207770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-351155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00" w:type="dxa"/>
            <w:vAlign w:val="bottom"/>
            <w:gridSpan w:val="3"/>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86,542,340</w:t>
            </w:r>
          </w:p>
        </w:tc>
        <w:tc>
          <w:tcPr>
            <w:tcW w:w="102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(514,411)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warrants in follow-</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 offering, net of issuance costs of $3,699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295,191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connection with at-the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market sales, net of issuance costs of $280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822,566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(26,864)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(26,864)</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162,660,097</w:t>
            </w:r>
          </w:p>
        </w:tc>
        <w:tc>
          <w:tcPr>
            <w:tcW w:w="220" w:type="dxa"/>
            <w:vAlign w:val="bottom"/>
          </w:tcPr>
          <w:p>
            <w:pPr>
              <w:spacing w:after="0"/>
              <w:rPr>
                <w:sz w:val="17"/>
                <w:szCs w:val="17"/>
                <w:color w:val="auto"/>
              </w:rPr>
            </w:pP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(541,275)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100" w:type="dxa"/>
            <w:vAlign w:val="bottom"/>
            <w:gridSpan w:val="3"/>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68,330,342</w:t>
            </w:r>
          </w:p>
        </w:tc>
        <w:tc>
          <w:tcPr>
            <w:tcW w:w="1020" w:type="dxa"/>
            <w:vAlign w:val="bottom"/>
            <w:gridSpan w:val="2"/>
            <w:shd w:val="clear" w:color="auto" w:fill="CFF0FC"/>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542,805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(403,282)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pre-funded warrants,</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issuance costs of $3,236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8,888,890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246,708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pre-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funded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1,051,594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(32,228)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(32,228)</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78,517,534</w:t>
            </w:r>
          </w:p>
        </w:tc>
        <w:tc>
          <w:tcPr>
            <w:tcW w:w="220" w:type="dxa"/>
            <w:vAlign w:val="bottom"/>
          </w:tcPr>
          <w:p>
            <w:pPr>
              <w:spacing w:after="0"/>
              <w:rPr>
                <w:sz w:val="17"/>
                <w:szCs w:val="17"/>
                <w:color w:val="auto"/>
              </w:rPr>
            </w:pP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(435,510)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-2134235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-2134235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-2134235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-2134235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-2134235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-2134235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-162560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-162560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(26,864)</w:t>
            </w: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(32,228)</w:t>
            </w: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2,661</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9"/>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(1,903)</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(4,350)</w:t>
            </w:r>
          </w:p>
        </w:tc>
        <w:tc>
          <w:tcPr>
            <w:tcW w:w="0" w:type="dxa"/>
            <w:vAlign w:val="bottom"/>
          </w:tcPr>
          <w:p>
            <w:pPr>
              <w:spacing w:after="0"/>
              <w:rPr>
                <w:sz w:val="1"/>
                <w:szCs w:val="1"/>
                <w:color w:val="auto"/>
              </w:rPr>
            </w:pPr>
          </w:p>
        </w:tc>
      </w:tr>
      <w:tr>
        <w:trPr>
          <w:trHeight w:val="148"/>
        </w:trPr>
        <w:tc>
          <w:tcPr>
            <w:tcW w:w="7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42"/>
        </w:trPr>
        <w:tc>
          <w:tcPr>
            <w:tcW w:w="7460" w:type="dxa"/>
            <w:vAlign w:val="bottom"/>
            <w:tcBorders>
              <w:top w:val="single" w:sz="8" w:color="CFF0FC"/>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(23,112)</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(28,660)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48"/>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(23,643)</w:t>
            </w: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11,727</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22,302</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(4,489)</w:t>
            </w:r>
          </w:p>
        </w:tc>
        <w:tc>
          <w:tcPr>
            <w:tcW w:w="0" w:type="dxa"/>
            <w:vAlign w:val="bottom"/>
          </w:tcPr>
          <w:p>
            <w:pPr>
              <w:spacing w:after="0"/>
              <w:rPr>
                <w:sz w:val="1"/>
                <w:szCs w:val="1"/>
                <w:color w:val="auto"/>
              </w:rPr>
            </w:pPr>
          </w:p>
        </w:tc>
      </w:tr>
      <w:tr>
        <w:trPr>
          <w:trHeight w:val="142"/>
        </w:trPr>
        <w:tc>
          <w:tcPr>
            <w:tcW w:w="7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pre-funded warrants, and warrants in follow-on offering, net of issuance costs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49,345</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914</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74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50,259</w:t>
            </w:r>
          </w:p>
        </w:tc>
        <w:tc>
          <w:tcPr>
            <w:tcW w:w="28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49,449</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24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54,191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59,985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22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4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53,772</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59,303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2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124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54,191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59,985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2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24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4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Offering costs related to follow-on offering and at-the market-sales included in accounts payable and accrued expenses and</w:t>
            </w:r>
          </w:p>
        </w:tc>
        <w:tc>
          <w:tcPr>
            <w:tcW w:w="1240" w:type="dxa"/>
            <w:vAlign w:val="bottom"/>
            <w:gridSpan w:val="2"/>
            <w:vMerge w:val="restart"/>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80" w:type="dxa"/>
            <w:vAlign w:val="bottom"/>
          </w:tcPr>
          <w:p>
            <w:pPr>
              <w:spacing w:after="0"/>
              <w:rPr>
                <w:sz w:val="10"/>
                <w:szCs w:val="10"/>
                <w:color w:val="auto"/>
              </w:rPr>
            </w:pPr>
          </w:p>
        </w:tc>
        <w:tc>
          <w:tcPr>
            <w:tcW w:w="1020" w:type="dxa"/>
            <w:vAlign w:val="bottom"/>
            <w:vMerge w:val="restart"/>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exercise of stock options</w:t>
            </w:r>
          </w:p>
        </w:tc>
        <w:tc>
          <w:tcPr>
            <w:tcW w:w="124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-2583815</wp:posOffset>
            </wp:positionV>
            <wp:extent cx="939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-2583815</wp:posOffset>
            </wp:positionV>
            <wp:extent cx="1028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-1893570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-1323340</wp:posOffset>
            </wp:positionV>
            <wp:extent cx="93980" cy="136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-1323340</wp:posOffset>
            </wp:positionV>
            <wp:extent cx="102870" cy="136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-908050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-890905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-496570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-479425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March 31, 2025, the Company had an accumulated deficit of $541.3 million. The Company incurred a net loss of $26.9 million and $32.2 million during the three months ended March 31, 2025 and 2024, respectively. The Company had $88.2 million of cash, cash equivalents and investments in marketable securities as of March 31, 2025.</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March 5, 2025, the Company completed an underwritten offering of its common stock and accompanying warrants. The Company received net proceeds of approximately $48.8 million, after deducting underwriting discounts and commissions of approximately $3.2 million and other offering expenses of approximately $0.5 million.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details.</w:t>
      </w:r>
    </w:p>
    <w:p>
      <w:pPr>
        <w:spacing w:after="0" w:line="6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August 6, 2024, the Company entered into a Loan Agreement with Silicon Valley Bank (SVB), a division of First-Citizens Bank &amp; Trust Company (the Loan Agreement). As of the filing date of this periodic report, under the Loan Agreement, the Company has the right to draw down $22.5 million at its discretion, up to an additional $2.5 million upon the satisfaction of certain milestones and up to an additional $20.0 million that may be available at SVB's discretion, subject to specified conditions.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for further details.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Management recognizes the need to raise additional capital to fully implement its business plan. The Company may seek to raise capital through equity financings, debt financings, license agreements, collaborative agreements or other sources of financing. In March 2025, the Company announced cost containment measures, including a committed plan to reduce its workforce (the 2025 Workforce Reduction), in alignment with its focus on generating data from the ongoing clinical trials of TN-201 and TN-401. See Note 11, </w:t>
      </w:r>
      <w:r>
        <w:rPr>
          <w:rFonts w:ascii="Times New Roman" w:cs="Times New Roman" w:eastAsia="Times New Roman" w:hAnsi="Times New Roman"/>
          <w:sz w:val="18"/>
          <w:szCs w:val="18"/>
          <w:i w:val="1"/>
          <w:iCs w:val="1"/>
          <w:color w:val="auto"/>
        </w:rPr>
        <w:t>Workforce Reduction</w:t>
      </w:r>
      <w:r>
        <w:rPr>
          <w:rFonts w:ascii="Times New Roman" w:cs="Times New Roman" w:eastAsia="Times New Roman" w:hAnsi="Times New Roman"/>
          <w:sz w:val="18"/>
          <w:szCs w:val="18"/>
          <w:color w:val="auto"/>
        </w:rPr>
        <w:t>, for further details. Management believes that savings from these measures, combined with existing cash, cash equivalents and short-term investments as of March 31, 2025, along with the $22.5 million of funds available under its Loan Agreement with SVB, will be sufficient to fund the Company’s operations for at least the next twelve months following the date these condensed financial statements are filed with the Securities and Exchange Commission (SEC).</w:t>
      </w:r>
    </w:p>
    <w:p>
      <w:pPr>
        <w:spacing w:after="0" w:line="185" w:lineRule="exact"/>
        <w:rPr>
          <w:sz w:val="20"/>
          <w:szCs w:val="20"/>
          <w:color w:val="auto"/>
        </w:rPr>
      </w:pPr>
    </w:p>
    <w:p>
      <w:pPr>
        <w:ind w:left="520" w:right="7460" w:hanging="512"/>
        <w:spacing w:after="0" w:line="378" w:lineRule="auto"/>
        <w:tabs>
          <w:tab w:leader="none" w:pos="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interim condensed balance sheet as of March 31, 2025, the interim condensed statements of operations and comprehensive loss, stockholders’ equity and cash flows for the three months ended March 31, 2025 and 2024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three months ended March 31, 2025, are not necessarily indicative of the results to be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expected for the full year or for any other future annual or interim period. The condensed balance sheet as of December 31, 2024, included herein was derived from the audited financial statements as of that date. These condensed financial statements should be read in conjunction with the Company’s audited financial statements and the related notes thereto for the year ended December 31, 2024, included in the Company’s Annual Report on Form 10-K, filed with the SEC on March 10,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revisions to the Company’s significant accounting policies described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the financial statements included in the Company’s Annual Report on Form 10-K for the year ended December 31, 2024.</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2025, the Company announced it was awarded an $8 million grant from the California Institute for Regenerative Medicine (CIRM) to support the clinical trial of TN-401. The award is payable to the Company upon achievement of certain clinical milestones.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In April 2025, the Company received $0.6 million from CIRM in connection with the grant. The Company will account for the grant under Accounting Standards Codification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and will record the funds against the research and development expenses as it receives them.</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220): Reporting Comprehensive Income - Expense Disaggregation Disclosures,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public companies to disclose, in interim and 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74"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annual periods beginning after December 15, 2024. The Company is evaluating the impact of this standard on its financial statements and related disclosures.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Balance Sheet Components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4"/>
          </w:tcPr>
          <w:p>
            <w:pPr>
              <w:jc w:val="center"/>
              <w:ind w:right="85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r>
      <w:tr>
        <w:trPr>
          <w:trHeight w:val="20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68,311</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(32,290)</w:t>
            </w:r>
          </w:p>
        </w:tc>
      </w:tr>
      <w:tr>
        <w:trPr>
          <w:trHeight w:val="20"/>
        </w:trPr>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and 2024 was $2.7 million and $2.2 million,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4"/>
          </w:tcPr>
          <w:p>
            <w:pPr>
              <w:jc w:val="center"/>
              <w:ind w:right="855"/>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36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36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9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center"/>
              <w:ind w:right="8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r>
      <w:tr>
        <w:trPr>
          <w:trHeight w:val="230"/>
        </w:trPr>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8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ind w:left="520" w:right="8200" w:hanging="512"/>
        <w:spacing w:after="0" w:line="378" w:lineRule="auto"/>
        <w:tabs>
          <w:tab w:leader="none" w:pos="3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Facility Leases</w:t>
      </w: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 w:name="page12"/>
    <w:bookmarkEnd w:id="11"/>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three months ended March 31, 2025 was as follows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center"/>
              <w:ind w:right="699"/>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340" w:type="dxa"/>
            <w:vAlign w:val="bottom"/>
            <w:gridSpan w:val="2"/>
            <w:shd w:val="clear" w:color="auto" w:fill="CFF0FC"/>
          </w:tcPr>
          <w:p>
            <w:pPr>
              <w:jc w:val="center"/>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FF0FC"/>
            </w:tcBorders>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center"/>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340" w:type="dxa"/>
            <w:vAlign w:val="bottom"/>
            <w:gridSpan w:val="2"/>
            <w:shd w:val="clear" w:color="auto" w:fill="CFF0FC"/>
          </w:tcPr>
          <w:p>
            <w:pPr>
              <w:jc w:val="center"/>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-299085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-281940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-445135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-299085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 average remaining lease term of 4.6 years and a weighted average discount rate of 9.0%. As of December 31, 2024, the Company’s operating leases had a weighted average remaining lease term of 4.8 years and a weighted average discount rate of 8.9%. Future minimum lease payments under the Company’s operating leases as of March 31, 2025 were as follows:</w:t>
      </w:r>
    </w:p>
    <w:p>
      <w:pPr>
        <w:spacing w:after="0" w:line="6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(nine months remaining)</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60" w:type="dxa"/>
            <w:vAlign w:val="bottom"/>
          </w:tcPr>
          <w:p>
            <w:pPr>
              <w:spacing w:after="0"/>
              <w:rPr>
                <w:sz w:val="18"/>
                <w:szCs w:val="18"/>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Imputed 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(3,077)</w:t>
            </w:r>
          </w:p>
        </w:tc>
      </w:tr>
      <w:tr>
        <w:trPr>
          <w:trHeight w:val="20"/>
        </w:trPr>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6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March 31, 2025 and December 31, 2024.</w:t>
      </w:r>
    </w:p>
    <w:p>
      <w:pPr>
        <w:spacing w:after="0" w:line="7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March 31, 2025 and December 31, 2024, the Company did not have any material indemnification claims that were probable or reasonably possible and, consequently, has not recorded any related liabilities.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190"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as of March 31, 2025, are 1,188,000.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(the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number of shares reserved and available for grant under the 2021 Plan as of March 31, 2025 is 2,149,004.</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Repricing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Compensation Committee of the Company's Board approved a repricing of certain outstanding vested and unvested stock option awards under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must remain a Service Provider (as such term is defined in the 2016 Plan or 2021 Plan) through the period (the Retention Period) that begins on the Repricing Effective Date through the earlier of July 24, 2025 or a change in control (the earlier of such dates, the Retention Date) and not exercise any of their repriced stock options prior to the Retention Date. Option holders who exercise their repriced stock options prior to the Retention Date must pay the original exercise price per share of such repriced options. No other changes were made to the terms and conditions of the eligible stock option awards. The stock option repricing impacted 4.1 million stock option awards and affected 89 employees and service providers.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repricing resulted in a total incremental stock-based compensation expense of $1.3 million, which was calculated using the Black-Scholes option pricing model, of which $1.0 million is associated with vested repriced options as of the Retention Date and will be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three months ended March 31, 2025, the Company recognized $0.4 million of incremental stock-based compensation expense.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8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9,253,976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2,280,125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(388,568)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11,145,533</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-25400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520" w:right="720"/>
        <w:spacing w:after="0" w:line="261" w:lineRule="auto"/>
        <w:rPr>
          <w:sz w:val="20"/>
          <w:szCs w:val="20"/>
          <w:color w:val="auto"/>
        </w:rPr>
      </w:pPr>
      <w:r>
        <w:rPr>
          <w:rFonts w:ascii="Times New Roman" w:cs="Times New Roman" w:eastAsia="Times New Roman" w:hAnsi="Times New Roman"/>
          <w:sz w:val="14"/>
          <w:szCs w:val="14"/>
          <w:color w:val="auto"/>
        </w:rPr>
        <w:t>Since the reporting period covered by the table above is before the aforementioned Retention Date and any employees who exercised their repriced stock options during the reporting period would have to pay the original exercise price, the weighted average exercise price in the table above does not include the effect of repricing.</w:t>
      </w:r>
    </w:p>
    <w:p>
      <w:pPr>
        <w:spacing w:after="0" w:line="16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47"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6.0-6.1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4.3%-4.5%</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3.9% – 4.3%</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8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1,354,178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1,466,353</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(295,191)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(253,827)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2025</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2,271,513</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Under the Company's 2021 Employee Stock Purchase Plan (the ESPP), the Company initially reserved 800,000 shares for future issuance. The number of shares of common stock available for issuance under the ESPP</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 w:name="page15"/>
    <w:bookmarkEnd w:id="14"/>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March 31, 2025, 2,465,077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For the three months ended March 31, 2025 and 2024, the stock-based compensation expense for ESPP was not material.</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9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r>
      <w:tr>
        <w:trPr>
          <w:trHeight w:val="229"/>
        </w:trPr>
        <w:tc>
          <w:tcPr>
            <w:tcW w:w="6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SVB. </w:t>
      </w:r>
      <w:r>
        <w:rPr>
          <w:rFonts w:ascii="Times New Roman" w:cs="Times New Roman" w:eastAsia="Times New Roman" w:hAnsi="Times New Roman"/>
          <w:sz w:val="18"/>
          <w:szCs w:val="18"/>
          <w:color w:val="000000"/>
        </w:rPr>
        <w:t>Pursuant to the terms of the Loan Agreement, term loans in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aggregate principal amount of up to $45.0 million may be made under multiple tranches. The tranches can be drawn as follows: the first tranche of up to $15.0 million became available on the closing date and is available for draw down through June 30, 2025; the second tranche of $5.0 million and the third tranche of $2.5 million became available in October 2024 and December 2024, respectively, upon the achievement of certain clinical milestones and are available for draw down through December 31, 2025; the fourth tranche of $2.5 million is subject to the achievement of a clinical milestone or satisfaction of certain capitalization requirements, and if achieved, would be available for draw down through December 31, 2025; and the final tranche of $20.0 million would be available for draw down through July 31, 2026, on such terms as may be agreed by the parties and subject to approval by SVB's credit committee and subject to SVB's discretion. With the exception of the final tranche, and subject to achievement of the applicable milestones and other requirements with respect to each tranche, draw downs are at the Company's election. As of March 31, 2025, the Company has not drawn any funds under the Loan Agreement.</w:t>
      </w:r>
    </w:p>
    <w:p>
      <w:pPr>
        <w:spacing w:after="0" w:line="8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on January 1, 2026, subject to extension to July 1, 2026, upon the satisfaction of certain milestones.</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ind w:left="520" w:right="9240" w:hanging="512"/>
        <w:spacing w:after="0" w:line="400" w:lineRule="auto"/>
        <w:tabs>
          <w:tab w:leader="none" w:pos="385"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Lender Warrant</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our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xml:space="preserve">%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Lender Warrant will become exercisable for up to an additional 98,199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12529"/>
        </w:rPr>
        <w:t xml:space="preserve">pro-rated based on amounts actually advanced for the various tranches under the Loan Agreement (the Remaining Lender Warrant). </w:t>
      </w:r>
      <w:r>
        <w:rPr>
          <w:rFonts w:ascii="Times New Roman" w:cs="Times New Roman" w:eastAsia="Times New Roman" w:hAnsi="Times New Roman"/>
          <w:sz w:val="18"/>
          <w:szCs w:val="18"/>
          <w:color w:val="000000"/>
        </w:rPr>
        <w:t>The Remaining Lender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Warrant under the Loan Agreement is considered an outstanding instrument upon closing of the Loan Agreement for accounting purposes. In accordance with Accounting Standards Codification (ASC) 815-40, </w:t>
      </w:r>
      <w:r>
        <w:rPr>
          <w:rFonts w:ascii="Times New Roman" w:cs="Times New Roman" w:eastAsia="Times New Roman" w:hAnsi="Times New Roman"/>
          <w:sz w:val="18"/>
          <w:szCs w:val="18"/>
          <w:i w:val="1"/>
          <w:iCs w:val="1"/>
          <w:color w:val="000000"/>
        </w:rPr>
        <w:t>Derivatives and Hedging - Contracts in Entity's Own Equity</w:t>
      </w:r>
      <w:r>
        <w:rPr>
          <w:rFonts w:ascii="Times New Roman" w:cs="Times New Roman" w:eastAsia="Times New Roman" w:hAnsi="Times New Roman"/>
          <w:sz w:val="18"/>
          <w:szCs w:val="18"/>
          <w:color w:val="000000"/>
        </w:rPr>
        <w:t>, the Remaining Lender Warrant is recognized at its fair value as a warrant liability given the variable settlement amount of the warrant shares and included in other non-current liabilities within the condensed balance sheets. The Lender Warrant expires on August 6, 2034.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our common stock under the ATM offering for net proceeds of $0.9 million, after deducting commissions and offering costs of $0.3 million. As of March 31,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spacing w:after="0" w:line="77"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analyzed the Series A and Series B Warrants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 Own Equity</w:t>
      </w:r>
      <w:r>
        <w:rPr>
          <w:rFonts w:ascii="Times New Roman" w:cs="Times New Roman" w:eastAsia="Times New Roman" w:hAnsi="Times New Roman"/>
          <w:sz w:val="18"/>
          <w:szCs w:val="18"/>
          <w:color w:val="auto"/>
        </w:rPr>
        <w:t>, and concluded that the Series A and Series B Warrants are not liabilities, are indexed to its own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all other conditions for equity classification. Accordingly, the Company has classified the Series A and Series B Warrants as permanent equity.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total shares of common stock reserved for issuance, on an as-if converted basis, are as follows:</w:t>
      </w:r>
    </w:p>
    <w:p>
      <w:pPr>
        <w:spacing w:after="0" w:line="11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641223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stock options and awards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Lender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Outstanding Series A and Series B Warrants</w:t>
      </w:r>
    </w:p>
    <w:p>
      <w:pPr>
        <w:spacing w:after="0" w:line="9" w:lineRule="exact"/>
        <w:rPr>
          <w:sz w:val="20"/>
          <w:szCs w:val="20"/>
          <w:color w:val="auto"/>
        </w:rPr>
      </w:pPr>
    </w:p>
    <w:p>
      <w:pPr>
        <w:ind w:left="580" w:right="2140"/>
        <w:spacing w:after="0" w:line="250" w:lineRule="auto"/>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-135890</wp:posOffset>
            </wp:positionV>
            <wp:extent cx="641223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40" w:right="2360" w:hanging="73"/>
        <w:spacing w:after="0" w:line="276" w:lineRule="auto"/>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-156210</wp:posOffset>
            </wp:positionV>
            <wp:extent cx="641223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40"/>
        <w:spacing w:after="0"/>
        <w:rPr>
          <w:sz w:val="20"/>
          <w:szCs w:val="20"/>
          <w:color w:val="auto"/>
        </w:rPr>
      </w:pPr>
      <w:r>
        <w:rPr>
          <w:rFonts w:ascii="Times New Roman" w:cs="Times New Roman" w:eastAsia="Times New Roman" w:hAnsi="Times New Roman"/>
          <w:sz w:val="18"/>
          <w:szCs w:val="18"/>
          <w:color w:val="auto"/>
        </w:rPr>
        <w:t>13,417,046</w:t>
      </w:r>
    </w:p>
    <w:p>
      <w:pPr>
        <w:spacing w:after="0" w:line="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171,848</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112,500,000</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1,188,000</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2,149,004</w:t>
      </w:r>
    </w:p>
    <w:p>
      <w:pPr>
        <w:spacing w:after="0" w:line="9"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2,465,077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5715</wp:posOffset>
            </wp:positionV>
            <wp:extent cx="11055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131,890,975</w:t>
      </w:r>
    </w:p>
    <w:p>
      <w:pPr>
        <w:spacing w:after="0" w:line="253" w:lineRule="exact"/>
        <w:rPr>
          <w:sz w:val="20"/>
          <w:szCs w:val="20"/>
          <w:color w:val="auto"/>
        </w:rPr>
      </w:pPr>
    </w:p>
    <w:p>
      <w:pPr>
        <w:sectPr>
          <w:pgSz w:w="11900" w:h="16838" w:orient="portrait"/>
          <w:cols w:equalWidth="0" w:num="2">
            <w:col w:w="8960" w:space="720"/>
            <w:col w:w="1540"/>
          </w:cols>
          <w:pgMar w:left="320" w:top="1440" w:right="35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 w:name="page17"/>
    <w:bookmarkEnd w:id="16"/>
    <w:p>
      <w:pPr>
        <w:spacing w:after="0" w:line="190"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tcPr>
          <w:p>
            <w:pPr>
              <w:spacing w:after="0"/>
              <w:rPr>
                <w:sz w:val="24"/>
                <w:szCs w:val="24"/>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9"/>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-1704975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-1688465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-1704975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-1688465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-1704975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-1688465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-1688465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fair value of available-for-sale marketable securities was $34.4 million, all of which had remaining maturities of less than one year.</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liability measured at fair value on a recurring basis consists of the Remaining Lender Warrant issued in connection with the Loan Agreement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The fair value of the warrant liability was determined based on significant inputs not observable in the market, which represents a Level 3 measurement within the fair value hierarchy. The Company utilized the Black-Scholes option valuation model to fair value the warrant liability. The fair value is estimated using the Black-Scholes option-pricing model and adjusted for the likelihood of draw downs. The expected term is based on the remaining contractual term of the warrant.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measurement for time periods approximately equal to the expected term of the Lender Warrant. The Company uses an expected dividend yield of zero based on the fact that the Company has never paid cash dividends and does not expect to pay cash dividends in the foreseeable future. The warrant liability is subject to re-measurement at each balance sheet date, and any change in fair value is recognized as a gain or loss in our statement of operations and comprehensive loss. During the three months ended March 31, 2025, the fair value of the warrant liability and its change were not material.</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did not record any income tax expense or benefit. The Company has recorded a full valuation allowance against its U.S. federal and state deferred tax assets as the Company believes it is more likely than not that the benefit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Layout w:type="fixed"/>
        <w:tblInd w:w="74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540" w:type="dxa"/>
            <w:vAlign w:val="bottom"/>
          </w:tcPr>
          <w:p>
            <w:pPr>
              <w:jc w:val="right"/>
              <w:ind w:right="376"/>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66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5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13,417,046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12,519,772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2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Series A and B Warrants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112,500,000</w:t>
            </w:r>
          </w:p>
        </w:tc>
        <w:tc>
          <w:tcPr>
            <w:tcW w:w="2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126,088,894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12,519,772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12529"/>
        </w:rPr>
        <w:t>In March 2025, the Company announced cost containment measures, including a committed plan to reduce its workforce (the 2025 Workforce Reduction), in alignment with the Company's focus on generating data from the ongoing MyPEAK</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and RIDGE</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clinical trials of TN-201 and TN-401, respectively. In connection with the 2025 Workforce Reduction, the Company estimated that it would incur approximately $1.6 million to $2.7 million of aggregate charges, primarily related to employee cash severance and continuing health benefits. During the three months ended March 31, 2025, the Company recognized $1.0 million of the total estimated charges. The Company expects to recognize substantially all of the remaining charges by the end of the third quarter of 2025.</w:t>
      </w:r>
    </w:p>
    <w:p>
      <w:pPr>
        <w:spacing w:after="0" w:line="9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12529"/>
        </w:rPr>
        <w:t>On May 14, 2024, the Company announced cost containment measures, including a committed plan to reduce its workforce (the 2024 Workforce Reduction) by approximately 22%. The cost containment measures align with the Company's focus on generating data from its clinical-stage gene therapy programs. The 2024 Workforce Reduction was completed as of September 30, 2024. During the year ended December 31, 2024, the Company recognized $1.4 million of aggregate charges, primarily related to employee cash severance and continuing health insurance benefits.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statement of operations includes research and development expenses, general and administrative costs,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operating expenses by function and includes a reconciliation to net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7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Clinical</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12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(27,538)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(33,762)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(32,228)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(26,864)</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(32,228)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-1156970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-599440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April 15, 2025, the Company received a letter from the Listing Qualifications Staff (the Staff) of The Nasdaq Stock Market LLC (Nasdaq) indicating that, based upon the closing bid price of shares of the Company’s common stock for the 30 consecutive business day period between March 3, 2025, through April 12, 2025, the Company did not meet the minimum bid price of $1.00 per share required for continued listing on the Nasdaq Global Select Market pursuant to Nasdaq Listing Rule 5450(a)(1). The letter also indicated that the Company will be provided with a compliance period of 180 calendar days, or until October 13, 2025 (the “Compliance Period”), in which to regain compliance pursuant to Nasdaq Listing Rule 5810(c)(3)(A).</w:t>
      </w:r>
    </w:p>
    <w:p>
      <w:pPr>
        <w:spacing w:after="0" w:line="1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letter has no immediate impact on the listing of the Company’s common stock, which will continue to be listed and traded on Nasdaq, subject to the Company’s compliance with the other listing requirements of Nasdaq.</w:t>
      </w:r>
    </w:p>
    <w:p>
      <w:pPr>
        <w:spacing w:after="0" w:line="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shares of common stock during the Compliance Period and may, if appropriate, evaluate available options to resolve the deficiency and regain compliance with the minimum bid price requirement. While the Company is exercising diligent efforts to maintain the listing of its common stock on the Nasdaq Global Select Market, there can be no assurance that the Company will be able to regain or maintain compliance with the minimum bid price requirement or any other Nasdaq listing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2024, included in our Annual Report on Form 10-K filed with the Securities and Exchange Commission on March 10, 2025, or Annual Report.</w:t>
      </w:r>
    </w:p>
    <w:p>
      <w:pPr>
        <w:spacing w:after="0" w:line="1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70"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Our lead investigational product candidates are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and TN-301, a small molecule for heart failure with preserved ejection fraction (HFpEF).</w:t>
      </w:r>
    </w:p>
    <w:p>
      <w:pPr>
        <w:spacing w:after="0" w:line="67"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In March 2025, we announced cost containment measures, including a committed plan to reduce our workforce (the 2025 Workforce Reduction), in alignment with our focus on generating data from the ongoing 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and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clinical trials of TN-201 and TN-401, respectively. Savings from these measures, combined with proceeds from our follow-on offering completed in March 2025 and cash, cash equivalents and short-term investments, are expected to extend our cash runway past key data junctures for each program and into the second half of 2026.</w:t>
      </w:r>
    </w:p>
    <w:p>
      <w:pPr>
        <w:spacing w:after="0" w:line="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MyPEAK-1 is our Phase 1b/2 multi-center, open-label clinical trial, designed to assess the safety, tolerability and efficacy of a one-time intravenous infusion of TN-201. We have completed Cohort 1 dosing at the 3E13 vg/kg dose with no unexpected events or toxicities associated with TN-201 observed. Following review of safety data from the first three MyPEAK-1 patients by an independent data safety monitoring board (DSMB), the DSMB endorsed our plan to escalate to the 6E13 vg/kg dose, per protocol and broaden eligibility criteria. In December, we dosed the first patient in the sentinel phase of Cohort 2 at the 6E13 vg/kg dose and we remain on track to complete Cohort 2 enrollment in the first half of 2025. We plan to present initial Cohort 2 data, along with an update on Cohort 1 patients, in the second half of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 w:name="page21"/>
    <w:bookmarkEnd w:id="20"/>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2024, we announced early but encouraging initial interim safety and biopsy data from Cohort 1 of MyPEAK-1, and in March 2025, we presented data from Cohort 1 in a Late-Breaker presentation at the 2025 American College of Cardiology Scientific (ACC) Sessions. Interim data presented at ACC included results from serial biopsies taken at two time points for all three patients and assessments of the first two patients at Week 52 and Patient 3 at Week 26. TN-201 has been generally well tolerated at the 3E13 vg/kg dose, and treatment-emergent adverse events (AEs) were primarily mild, manageable and/or reversible. Biopsy data indicated robust transduction as evidenced by the sustained presence of TN-201 DNA in the heart (0.8 to 1.4 vg/dg) at post-dose and week 52 for Patients 1 and 2 and baseline to Week 26 for Patient 3. TN-201 RNA expression was present at post-dose biopsies conducted in the first two patients at Week 8 and increased as much as 13-fold from Week 8 to Week 52 post-dose. MyBP-C protein levels increased from 56 to 59% and from 62 to 64% of normal between Week 8 and Week 52 for Patients 1 and 2, respectively. This increase, combined with the increase observed in TN-201 mRNA expression, suggests that TN-201 gene therapy is successfully being transcribed and expressed after reaching target cells.</w:t>
      </w:r>
    </w:p>
    <w:p>
      <w:pPr>
        <w:spacing w:after="0" w:line="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Promising early signals of TN-201’s clinical impact suggesting clinical improvement or stability were observed across multiple parameters measured. Cardiac troponin, a biomarker of myocardial injury, was elevated in Cohort 1 patients at baseline and decreased by more than 60% in two patients, whose levels are now normal or near normal. NT-proBNP, a biomarker of cardiac strain, increased and remained elevated while patients were on immunosuppression, but returned to baseline as immunosuppressive drugs were discontinued. Two of three patients experienced improvements in one or more measures of hypertrophy, or enlargement of the heart, while other assessments remained stable. All Cohort 1 patients with objectively severe disease at baseline and mild-to moderate heart failure symptoms that interfered in activities of daily living experienced improvements in New York Heart Association classification and achieved Class 1, indicating no limitations to physical activities due to symptoms of heart failure.</w:t>
      </w:r>
    </w:p>
    <w:p>
      <w:pPr>
        <w:spacing w:after="0" w:line="8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in the second half of 2025.</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(FDA) has granted TN-201 Fast Track, Orphan Drug and Rare Pediatric Drug Designations. TN-201 has also received orphan medicinal product designation from the European Commission.</w:t>
      </w:r>
    </w:p>
    <w:p>
      <w:pPr>
        <w:spacing w:after="0" w:line="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7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dosed the initial patient in RIDGE-1, our Phase 1b multi-center, open-label clinical trial, designed to assess the safety, tolerability and efficacy of a one-time intravenous infusion of TN-401 in November 2024. We have activated multiple clinical trial sites at leading cardiology centers in the U.S. with ARVC expertise and intend to expand enrollment of RIDGE-1 to the United Kingdom. We expect to complete enrollment of the first cohort of patients at the 3E13 vg/kg dose in the first half of 2025. An independent safety review will then inform plans for dose escalation to 6E13 vg/kg and/or enrollment of additional patients in the first cohort. Initial clinical data from the first cohort of patients is expected in the second half of 2025. In February 2025, we were awarded a Clinical Grant (Clin2) of $8.0 million from the California Institute for Regenerative Medicine (CIRM), a state of California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Agency that funds regenerative medicine, stem cell, and gene therapy research. Proceeds from the grant will help fund clinical trial costs for our ongoing Phase 1b RIDGE-1 clinical trial of TN-401 gene therapy.</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PKP2 gene mutations. Interim data from RIDGE, believed to be the largest natural history study of adults with PKP2-associated ARVC was presented at Heart Rhythm Society’s annual Heart Rhythm meeting in April 2025. Adults with PKP2-associated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PKP2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our ongoing Phase 1b RIDGE-1 clinical trial of TN-401 gene therapy based on low levels of antibodies to AAV9.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TN-301 is our small molecule inhibitor of histone deacetylase-6 (HDAC6), initially being developed for the potential treatment of HFpEF. HDAC6 is a cytoplasmic enzyme known to regulate diverse cellular processes. TN-301’s multi-modal mechanism addresses diverse pathological processes and has shown direct and systemic benefits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in which inflammation, fibrosis and metabolic dysregulation may be implicated, and based on TN-301’s multi-modal mechanism of action, TN-301 may have future potential in a number of related cardiometabolic conditions. We believe late-stage clinical development of TN-301 is best suited for development by or with a well-resourced partner</w:t>
      </w:r>
      <w:r>
        <w:rPr>
          <w:rFonts w:ascii="Times New Roman" w:cs="Times New Roman" w:eastAsia="Times New Roman" w:hAnsi="Times New Roman"/>
          <w:sz w:val="18"/>
          <w:szCs w:val="18"/>
          <w:color w:val="333333"/>
        </w:rPr>
        <w:t>.</w:t>
      </w:r>
    </w:p>
    <w:p>
      <w:pPr>
        <w:spacing w:after="0" w:line="8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 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7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the production of our lead gene therapy candidates, we maintained complete ownership of process development, analytical development, and quality control and have already produced all necessary clinical trial material needed for our ongoing clinical trials at our Good Manufacturing Practice (cGMP)-certified Genetic Medicines Manufacturing Center in Union City, California.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21,076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25,055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8,707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(27,538)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(33,762)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6,224</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(817)</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(32,228)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-1019175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-1019175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-1019175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3"/>
        </w:trPr>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5,947</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7,798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(1,851)</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5,919</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3,763</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r>
      <w:tr>
        <w:trPr>
          <w:trHeight w:val="20"/>
        </w:trPr>
        <w:tc>
          <w:tcPr>
            <w:tcW w:w="4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21,076</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25,055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(3,979)</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$21.1 million and $25.1 million for the three months ended March 31, 2025 and 2024, respectively. The year-over-year decrease of $4.0 million, or 16%, was primarily due to:</w:t>
      </w:r>
    </w:p>
    <w:p>
      <w:pPr>
        <w:spacing w:after="0" w:line="54" w:lineRule="exact"/>
        <w:rPr>
          <w:sz w:val="20"/>
          <w:szCs w:val="20"/>
          <w:color w:val="auto"/>
        </w:rPr>
      </w:pPr>
    </w:p>
    <w:p>
      <w:pPr>
        <w:ind w:left="900" w:right="8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$1.9 million in clinical trial related costs primarily driven by a decrease in clinical support costs, including clinical supply chain services and regulatory consulting fees.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manufacturing costs reflecting lower employee-related costs driven by our workforce reduction initiated in May 2024 (the 2024 Workforce Reduction), lower costs of supplies and materials and lower facility management fees; and</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$0.7 million in other research and development costs reflecting lower employee-related costs driven by the 2024 Workforce Reduction.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3" w:name="page24"/>
    <w:bookmarkEnd w:id="23"/>
    <w:p>
      <w:pPr>
        <w:spacing w:after="0" w:line="86"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w:t>
      </w:r>
    </w:p>
    <w:p>
      <w:pPr>
        <w:spacing w:after="0" w:line="72"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$6.5 million and $8.7 million for the three months ended March 31, 2025 and 2024, respectively. The year-over-year decrease of $2.2 million, or 26%, was primarily due to decreases in employee-related costs driven by the 2024 Workforce Reduction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The interest income was $0.6 million and $1.5 million for the three months ended March 31, 2025 and 2024, respectively. The year-over-year decrease of $0.8 million was primarily due to lower cash, cash equivalents and investment balances.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March 31, 2025, was $26.9 million, compared to a net loss of $32.2 million for the three months ended March 31, 2024.</w:t>
      </w:r>
    </w:p>
    <w:p>
      <w:pPr>
        <w:spacing w:after="0" w:line="158"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March 31, 2025, we have funded our operations primarily from the sale and issuance of our equity securities. As of March 31, 2025, we had cash, cash equivalents and investments in marketable securities of $88.2 million and an accumulated deficit of $541.3 million.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February 2025, we announced we were awarded an $8 million grant from the CIRM to support RIDGE-1. The award is payable to us upon achievement of certain clinical milestones.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 co-fund the research project with CIRM and the amount of our co-funding requirement is predetermined as a part of the award. In April 2025, the Company received $0.6 million from CIRM in connection with the grant.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On August 6, 2024, we entered into a </w:t>
      </w:r>
      <w:r>
        <w:rPr>
          <w:rFonts w:ascii="Times New Roman" w:cs="Times New Roman" w:eastAsia="Times New Roman" w:hAnsi="Times New Roman"/>
          <w:sz w:val="18"/>
          <w:szCs w:val="18"/>
          <w:color w:val="000000"/>
        </w:rPr>
        <w:t>Loan Agreement with Silicon Valley Bank (SVB)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March 31, 2025, u</w:t>
      </w:r>
      <w:r>
        <w:rPr>
          <w:rFonts w:ascii="Times New Roman" w:cs="Times New Roman" w:eastAsia="Times New Roman" w:hAnsi="Times New Roman"/>
          <w:sz w:val="18"/>
          <w:szCs w:val="18"/>
          <w:color w:val="212529"/>
        </w:rPr>
        <w:t xml:space="preserve">nder the Loan Agreement, we have the right to draw down $22.5 million at our discretion, up to an additional $2.5 million upon the satisfaction of a clinical milestone or </w:t>
      </w:r>
      <w:r>
        <w:rPr>
          <w:rFonts w:ascii="Times New Roman" w:cs="Times New Roman" w:eastAsia="Times New Roman" w:hAnsi="Times New Roman"/>
          <w:sz w:val="18"/>
          <w:szCs w:val="18"/>
          <w:color w:val="000000"/>
        </w:rPr>
        <w:t>the receipt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specified proceeds from equity financings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other qualified funding, </w:t>
      </w:r>
      <w:r>
        <w:rPr>
          <w:rFonts w:ascii="Times New Roman" w:cs="Times New Roman" w:eastAsia="Times New Roman" w:hAnsi="Times New Roman"/>
          <w:sz w:val="18"/>
          <w:szCs w:val="18"/>
          <w:color w:val="212529"/>
        </w:rPr>
        <w:t>and up to an additional $20.0 million that may be available at SVB’s discretion, subject to specified conditions.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will be immediately exercisable and will expire five years from the date of issuance (a Series A Warrant) and a warrant to purchase one-half of a share of our common stock at an exercise price of $0.70 per share, which will be immediately exercisable and expire on June 30, 2026 (a Series B Warrant), under our registration statement on Form S-3 (File No. 333-266741). We received net proceeds of approximately $48.8 million, after deducting underwriting discounts and commissions of approximately $3.2 million and other offering expenses of approximately $0.5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we sold 822,566 shares of our common stock under the ATM offering for net proceeds of $0.9 million, after deducting commissions and offering costs of $0.3 million. As of March 31,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may increase in the future,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investments in marketable securities, along with the $22.5 million of funds available under our Loan Agreement with SVB, will be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sufficient to meet our working capital and capital expenditure needs through at least the next twelve months following the date of this Quarterly Report on Form 10-Q.</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1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2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(23,112)</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(28,660)</w:t>
            </w:r>
          </w:p>
        </w:tc>
      </w:tr>
      <w:tr>
        <w:trPr>
          <w:trHeight w:val="216"/>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100" w:type="dxa"/>
            <w:vAlign w:val="bottom"/>
          </w:tcPr>
          <w:p>
            <w:pPr>
              <w:spacing w:after="0"/>
              <w:rPr>
                <w:sz w:val="18"/>
                <w:szCs w:val="18"/>
                <w:color w:val="auto"/>
              </w:rPr>
            </w:pPr>
          </w:p>
        </w:tc>
      </w:tr>
      <w:tr>
        <w:trPr>
          <w:trHeight w:val="230"/>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49,449</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$23.1 million, which consisted primarily of a net loss of $26.9 million and a net change in operating assets and liabilities of $3.4 million, partially offset by $6.9 million in non-cash charges. The change in net operating assets and liabilities was primarily due to a decrease in accounts payable and accrued expenses and other current liabilities of $2.3 million and a decrease in operating lease liabilities of $0.7 million, an increase of prepaid expenses and other current assets of $0.5 million. Cash flows from operations are generally impacted by the timing of payments to vendors and vendor payment terms. The non-cash charges primarily consisted of stock-based compensation of $3.7 million and depreciation and amortization of $2.7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$28.7 million, which consisted primarily of a net loss of $26.9 million and a net change in operating assets and liabilities of $3.6 million, partially offset by $6.9 million in non-cash charges. The change in net operating assets and liabilities was primarily due to a decrease in accounts payable and accrued expenses and other current liabilities of $3.1 million and a decrease in operating lease liabilities of $1.1 million, partially offset by a decrease of prepaid expenses and other current assets of $0.4 million. Cash flows from operations are generally impacted by the timing of payments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vendors and vendor payment terms. The non-cash charges primarily consisted of stock-based compensation of $4.2 million and depreciation and amortization of $2.2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$22.2 million, which consisted primarily of proceeds from maturities of marketable securities of $11.7 million and sales of marketable securities of $11.0 million.</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$4.5 million, which consisted primarily of purchases of marketable securities of $23.6 million, partially offset by proceeds from maturities of marketable securities of $19.7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$50.3 million, which primarily consisted of net proceeds from our March 2025 follow-on offering of $49.3 million.</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$46.8 million, which primarily consisted of net proceeds from the follow-on offering of $46.8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contractual obligations and commitments previously disclosed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2024. There were no material changes to our critical accounting policies and estimates during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also serving as our interim Principal Financial Officer, has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interim Principal Financial Officer has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March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loan agreement with Silicon Valley Bank (SVB), </w:t>
      </w:r>
      <w:r>
        <w:rPr>
          <w:rFonts w:ascii="Times New Roman" w:cs="Times New Roman" w:eastAsia="Times New Roman" w:hAnsi="Times New Roman"/>
          <w:sz w:val="18"/>
          <w:szCs w:val="18"/>
          <w:color w:val="000000"/>
        </w:rPr>
        <w:t>a division of First-Citizens Bank &amp; Trust Company (the Loan Agreement),</w:t>
      </w:r>
      <w:r>
        <w:rPr>
          <w:rFonts w:ascii="Times New Roman" w:cs="Times New Roman" w:eastAsia="Times New Roman" w:hAnsi="Times New Roman"/>
          <w:sz w:val="18"/>
          <w:szCs w:val="18"/>
          <w:color w:val="231F20"/>
        </w:rPr>
        <w:t xml:space="preserve"> requires us to comply with specified operating covenants and places restrictions on our operating and financial flexibility.</w:t>
      </w:r>
    </w:p>
    <w:p>
      <w:pPr>
        <w:spacing w:after="0" w:line="53" w:lineRule="exact"/>
        <w:rPr>
          <w:rFonts w:ascii="Times New Roman" w:cs="Times New Roman" w:eastAsia="Times New Roman" w:hAnsi="Times New Roman"/>
          <w:sz w:val="18"/>
          <w:szCs w:val="18"/>
          <w:color w:val="231F20"/>
        </w:rPr>
      </w:pPr>
    </w:p>
    <w:p>
      <w:pPr>
        <w:jc w:val="both"/>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86" w:lineRule="exact"/>
        <w:rPr>
          <w:sz w:val="20"/>
          <w:szCs w:val="20"/>
          <w:color w:val="auto"/>
        </w:rPr>
      </w:pPr>
    </w:p>
    <w:p>
      <w:pPr>
        <w:ind w:left="1020" w:right="120"/>
        <w:spacing w:after="0" w:line="261" w:lineRule="auto"/>
        <w:rPr>
          <w:sz w:val="20"/>
          <w:szCs w:val="20"/>
          <w:color w:val="auto"/>
        </w:rPr>
      </w:pPr>
      <w:r>
        <w:rPr>
          <w:rFonts w:ascii="Times New Roman" w:cs="Times New Roman" w:eastAsia="Times New Roman" w:hAnsi="Times New Roman"/>
          <w:sz w:val="18"/>
          <w:szCs w:val="18"/>
          <w:color w:val="231F20"/>
        </w:rPr>
        <w:t>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2" w:lineRule="exact"/>
        <w:rPr>
          <w:sz w:val="20"/>
          <w:szCs w:val="20"/>
          <w:color w:val="auto"/>
        </w:rPr>
      </w:pPr>
    </w:p>
    <w:p>
      <w:pPr>
        <w:ind w:left="1020" w:right="2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1" w:lineRule="exact"/>
        <w:rPr>
          <w:rFonts w:ascii="Times New Roman" w:cs="Times New Roman" w:eastAsia="Times New Roman" w:hAnsi="Times New Roman"/>
          <w:sz w:val="18"/>
          <w:szCs w:val="18"/>
          <w:color w:val="231F20"/>
        </w:rPr>
      </w:pPr>
    </w:p>
    <w:p>
      <w:pPr>
        <w:jc w:val="both"/>
        <w:ind w:left="1020" w:right="6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10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would be if we had a longer operating history.</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March 31, 2025, we had an accumulated deficit of $541.3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left="1020" w:right="16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promoter and regulatory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containment initiative, including our committed plan to reduce our workforce, may not result in the anticipated savings and could result in total costs and expenses that are greater than expected and could disrupt our business.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March 27, 2025, in alignment with our focus on generating data from the ongoing MyPEAK-1 and RIDGE-1 clinical trials of TN-201 and TN-401, respectively, we announced cost containment measures, including the 2025 Workforce Reduction. We expect to incur approximately $1.6 to $2.7 million of aggregate charges, primarily related to employee cash severance and continuing health benefits. During the three months ended March 31, 2025, we recognized $1.0 million of the total estimated charges. We expect to recognize substantially all of the remaining charges by the end of the third quarter of 2025.</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cost containment initiative, including the 2025 Workforce Reduction, may be disruptive to our operations. For example, the 2025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2025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experience excessive unanticipated inefficiencies or incremental costs in connection with the 2025 Workforce Reduction, we may be unable to meaningfully realize cost savings and we may incur expenses in excess of what we anticipate. If we are unable to realize the anticipated benefits from the 2025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spacing w:after="0" w:line="17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of March 31, 2025, we had $88.2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including those in our Loan Agreement, could adversely impact our ability to conduct our operations and execute our business plan.</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filing date of this periodic report, under our Loan Agreement, we have the right to draw down $22.5 million at our discretion, up to an additional $2.5 million, subject to specified conditions, and up to an additional $20.0 million may be made available to us at the lender’s sole discretion. Our ability to draw down an additional tranche commitment of $2.5 million is subject to our achievement, as determined by SVB in its discretion, of a clinical milestone or the receipt of specified proceeds from equity financings and other qualified funding.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8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enacted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regulatory approval for that or other product candidates for the treatment of other diseases. If we are unable to successfully develop and commercialize our product candidates, our business will be materially harmed.</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4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including a finding that our product candidates have undesirable side effects or other unfavorable or unexpected characteristics or risks or non-compliance with regulatory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and/or duration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CROs and other 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foreign regulatory authority, as the case may be, and may ultimately lead to the denial of marketing approval of one or more of our product candidates, which may harm our business, financial condition and prospects significantly.</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8"/>
          <w:szCs w:val="18"/>
          <w:color w:val="231F20"/>
        </w:rPr>
        <w:t>.</w:t>
      </w:r>
    </w:p>
    <w:p>
      <w:pPr>
        <w:spacing w:after="0" w:line="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also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has been and may continue to be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6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 perception about the use of genetic medicines in human therapeutics or precision medicine;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resources at clinical trial sites, including support for clinical trial enrollment and the availability of hospital beds;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the rate of patient enrollment required by the clinical trial protocol, including those that may be requested by health authorities.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w:t>
      </w:r>
      <w:r>
        <w:rPr>
          <w:rFonts w:ascii="Times New Roman" w:cs="Times New Roman" w:eastAsia="Times New Roman" w:hAnsi="Times New Roman"/>
          <w:sz w:val="18"/>
          <w:szCs w:val="18"/>
          <w:color w:val="000000"/>
        </w:rPr>
        <w:t>For example, in connection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our cost containment measures, including the Workforce Reduction, we are prioritizing generating data from the ongoing MyPEAK-1 and RIDGE-1 clinical trials of TN-201 and TN-401, respectively. </w:t>
      </w:r>
      <w:r>
        <w:rPr>
          <w:rFonts w:ascii="Times New Roman" w:cs="Times New Roman" w:eastAsia="Times New Roman" w:hAnsi="Times New Roman"/>
          <w:sz w:val="18"/>
          <w:szCs w:val="18"/>
          <w:color w:val="231F20"/>
        </w:rPr>
        <w:t>Our decisions concerning the allocation of research, development, collaboration, management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number of products are currently under development, and may become commercially available in the future, for the treatment of conditions for which we may attempt to develop product candidates.</w:t>
      </w:r>
    </w:p>
    <w:p>
      <w:pPr>
        <w:spacing w:after="0" w:line="5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studies,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Further, additional disclosure of initial and/or interim data by us or by our competitors in the future could result in volatility in the price of our common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resources and to utilize extensive third-party experience in small molecule manufacturing, we intend to work with CDMOs for our small molecule programs.</w:t>
      </w:r>
    </w:p>
    <w:p>
      <w:pPr>
        <w:spacing w:after="0" w:line="6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later-stage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While the manufacturing process alone is complex, quality issues may also arise during drug product filling, labeling, packaging, storage, shipping and ongoing quality control and testing activities.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8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public perception about the use of genetic medicines, whether related to our technology or our competitor’s technology;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231F20"/>
        </w:rPr>
        <w:t>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may be sued if any of our product candidates or any medications, procedures or activities associated with our clinical trial protocols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raise capital or enter into strategic agreements for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8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6" w:lineRule="exact"/>
        <w:rPr>
          <w:sz w:val="20"/>
          <w:szCs w:val="20"/>
          <w:color w:val="auto"/>
        </w:rPr>
      </w:pPr>
    </w:p>
    <w:p>
      <w:pPr>
        <w:ind w:left="1020" w:right="3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 new drug application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8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began to sunset on December 20, 2024. The FDA may now only award a voucher for an approved rare pediatric disease product application if the sponsor has rare pediatric disease designation for a drug and that designation was granted before December 20, 2024. 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 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cs="Times New Roman" w:eastAsia="Times New Roman" w:hAnsi="Times New Roman"/>
          <w:sz w:val="18"/>
          <w:szCs w:val="18"/>
          <w:color w:val="231F20"/>
        </w:rPr>
        <w:t>there can be no assurances that we will be able to obtain orphan drug designation for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other product candidates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 under the current U.S. presidential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pharmaceutical industry in the U.S. has also been significantly impacted by other major legislative initiatives. For example, in March 2010,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including those directed at pricing and reimbursement, will ultimately be implemented at the federal or state level or the effect of any future legislation or regulation may have on our business.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as well as future judicial challenges in view of the Supreme Court’s overturn of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legislative, executive, and administrative actions and any future healthcare measures and agency rules implemented by the current U.S. presidential administration on us and the pharmaceutical industry as a whole is unclear. Further, changes to the leadership of federal agencies under the current U.S. presidential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result in claims, changes to our business practices, monetary penalties, increased cost of operations or other harm to our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w:t>
      </w:r>
      <w:r>
        <w:rPr>
          <w:rFonts w:ascii="Times New Roman" w:cs="Times New Roman" w:eastAsia="Times New Roman" w:hAnsi="Times New Roman"/>
          <w:sz w:val="18"/>
          <w:szCs w:val="18"/>
          <w:color w:val="000000"/>
        </w:rPr>
        <w:t>(£17.5 million in the UK)</w:t>
      </w:r>
      <w:r>
        <w:rPr>
          <w:rFonts w:ascii="Times New Roman" w:cs="Times New Roman" w:eastAsia="Times New Roman" w:hAnsi="Times New Roman"/>
          <w:sz w:val="18"/>
          <w:szCs w:val="18"/>
          <w:color w:val="231F20"/>
        </w:rPr>
        <w:t xml:space="preserve">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cs="Times New Roman" w:eastAsia="Times New Roman" w:hAnsi="Times New Roman"/>
          <w:sz w:val="18"/>
          <w:szCs w:val="18"/>
          <w:color w:val="000000"/>
        </w:rPr>
        <w:t>In Canada, the Personal Information Protection and Electronic Documents Act (PIPEDA)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relating to privacy and data security that either are in operation or slated to go into operation over the next several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 In many cases, these laws are comprehensive privacy laws similar to the CCPA, with potentially greater penalties and more rigorous compliance requirements</w:t>
      </w:r>
      <w:r>
        <w:rPr>
          <w:rFonts w:ascii="Times New Roman" w:cs="Times New Roman" w:eastAsia="Times New Roman" w:hAnsi="Times New Roman"/>
          <w:sz w:val="18"/>
          <w:szCs w:val="18"/>
          <w:color w:val="231F20"/>
        </w:rPr>
        <w:t>. States also are enacting laws addressing specific subject matter, such as Washington’s My Health, My Data Act, which includes a private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right of action.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1"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231F20"/>
        </w:rPr>
      </w:pPr>
    </w:p>
    <w:p>
      <w:pPr>
        <w:ind w:left="1020" w:right="64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8"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100" w:hanging="503"/>
        <w:spacing w:after="0" w:line="261"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86" w:lineRule="exact"/>
        <w:rPr>
          <w:sz w:val="20"/>
          <w:szCs w:val="20"/>
          <w:color w:val="auto"/>
        </w:rPr>
      </w:pPr>
    </w:p>
    <w:p>
      <w:pPr>
        <w:ind w:left="1020" w:right="20" w:hanging="503"/>
        <w:spacing w:after="0" w:line="256"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made and continues to make significant additional changes in U.S. trade policy and may continue to take future actions that could introduce additional restrictions and negatively impact our business.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tariffs on imports, other trade restrictions, or a global trade war could increase our costs and materially and adversely affect our business operations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negatively affected by tariffs, trade restrictions, and other governmental protectionist measures, any of which can be imposed suddenly and unpredictably. For example, there is currently significant uncertainty about the future relationship between the United States and various other countries with respect to trade policies, treaties, trade regulations, and tariffs, and such uncertainty could continue under the current U.S. presidential administration. Recently, the administration has stated its intent to modify U.S. trade policy and, in some cases, to renegotiate, or potentially terminate, certain existing bilateral or multilateral trade agreements. It has also imposed or announced tariffs on certain imports, including a baseline tariff of 10% on virtually all imports and higher tariffs on imports from China. The administration also announced and subsequently paused higher tariffs on additional countries, including countries in the European Union, pending the outcome of trade negotiations. The U.S. Commerce Department has also announced an investigation into potential tariffs on pharmaceuticals, pharmaceutical ingredients, and derivative products, as well as semiconductors and other electronics. These tariffs could affect inputs to our products, as well as equipment, materials, or components that we import into the United States from our suppliers, which could significantly impact the cost of these items. Retaliatory tariffs could also negatively affect our ability to export and sell our potential products into those countries. If these tariffs continue, if additional tariffs are placed, or if any related countermeasures are taken by the United States or other countries, our business, financial condition, and results of operations may be materially harmed.</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We may not be able to forecast such impacts accurately. The ultimate impact of any tariffs or trade restrictions will depend on various factors, including the timing of implementation and the duration, amount, scope, and nature of the tariffs and trade restrictions. If we are not successful in offsetting the impact of any such tariffs or trade restrictions, our operating results may be adversely affected.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tariffs are subject to a number of uncertainties as they are implemented, including future adjustments and changes. The ultimate reaction of other countries and the impact of these tariffs or other actions on the United States, the global economy, and our business, financial condition, and results of operations, cannot be predicted at this time, nor can we predict the impact of any other developments with respect to global trade. Further, the imposition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 tariffs by the United States could result in the adoption of additional tariffs by other countries, as well as export controls and further retaliatory actions by any affected country. Any resulting trade war could negatively affect the global market for pharmaceuticals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potential customers, and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are highly dependent on the principal members of our management, our scientific founders and other scientific and clinical advisors and consultants, and our scientific and medical staff. The Workforce Reduction, and any future cost containment initiatives, could have an adverse impact on our ability to retain and recruit qualified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 damage or interruption from, among other things, inadvertent or intentional actions by our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contractors, consultants, business partners, and other third parties and cyber-attacks and other hacking attempts by malicious third parties,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disrupt or compromise our system infrastructure or lead to the loss, destruction, alteration, prevention of access to, disclosure, dissemination of, or damage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or unauthorized access to, our data or other data that we process or maintain or that is processed or maintained on our behalf, or other assets. Although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frequently been the target of threats of this nature and we expect these threats and attacks to continue.</w:t>
      </w:r>
    </w:p>
    <w:p>
      <w:pPr>
        <w:spacing w:after="0" w:line="9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cs="Times New Roman" w:eastAsia="Times New Roman" w:hAnsi="Times New Roman"/>
          <w:sz w:val="18"/>
          <w:szCs w:val="18"/>
          <w:color w:val="000000"/>
        </w:rPr>
        <w:t>Additionally, recent reforms and changes at government agencies of the United States and those of non-U.S. jurisdictions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could increase the uncertainties, timing and costs surrounding the prosecution or maintenance of our patent applications, and the maintenance, enforcement, or defense of our issued patents. </w:t>
      </w:r>
      <w:r>
        <w:rPr>
          <w:rFonts w:ascii="Times New Roman" w:cs="Times New Roman" w:eastAsia="Times New Roman" w:hAnsi="Times New Roman"/>
          <w:sz w:val="18"/>
          <w:szCs w:val="18"/>
          <w:color w:val="231F20"/>
        </w:rPr>
        <w:t>We rely on patent, copyright, trade secret and trademark laws in the U.S. and certain other countries to protect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cs="Times New Roman" w:eastAsia="Times New Roman" w:hAnsi="Times New Roman"/>
          <w:sz w:val="18"/>
          <w:szCs w:val="18"/>
          <w:color w:val="000000"/>
        </w:rPr>
        <w:t>For example, the U.S. Supreme Court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cs="Times New Roman" w:eastAsia="Times New Roman" w:hAnsi="Times New Roman"/>
          <w:sz w:val="18"/>
          <w:szCs w:val="18"/>
          <w:color w:val="231F20"/>
        </w:rPr>
        <w:t>Similarly, foreign courts have made and will continue to make changes in how the patent laws in their respective jurisdictions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interpreted. We cannot predict future changes in the interpretation of patent laws or changes to patent laws that might be enacted into law by U.S. and foreign legislative bodies. </w:t>
      </w:r>
      <w:r>
        <w:rPr>
          <w:rFonts w:ascii="Times New Roman" w:cs="Times New Roman" w:eastAsia="Times New Roman" w:hAnsi="Times New Roman"/>
          <w:sz w:val="18"/>
          <w:szCs w:val="18"/>
          <w:color w:val="000000"/>
        </w:rPr>
        <w:t>For example, the IRA passed by Congress authorizes the Secretary of the Department of HHS to negotiate prices directly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w:t>
      </w:r>
      <w:r>
        <w:rPr>
          <w:rFonts w:ascii="Times New Roman" w:cs="Times New Roman" w:eastAsia="Times New Roman" w:hAnsi="Times New Roman"/>
          <w:sz w:val="18"/>
          <w:szCs w:val="18"/>
          <w:color w:val="231F20"/>
        </w:rPr>
        <w:t>The laws and regulations governing patents could change in unpredictable ways that would weaken our ability to obtain new patents or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enforce our existing patent and the patents we might obtain or license in the future.</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patents, patent applications or in-licensed patent rights and other intellectual property.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right="20" w:firstLine="8"/>
        <w:spacing w:after="0" w:line="251" w:lineRule="auto"/>
        <w:tabs>
          <w:tab w:leader="none" w:pos="2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activities, increase costs, and materially impact our ability to meet our desired clinical development timelines.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2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86" w:lineRule="exact"/>
        <w:rPr>
          <w:sz w:val="20"/>
          <w:szCs w:val="20"/>
          <w:color w:val="auto"/>
        </w:rPr>
      </w:pPr>
    </w:p>
    <w:p>
      <w:pPr>
        <w:ind w:left="1020" w:right="80" w:hanging="503"/>
        <w:spacing w:after="0" w:line="261"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100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6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0" w:lineRule="exact"/>
        <w:rPr>
          <w:sz w:val="20"/>
          <w:szCs w:val="20"/>
          <w:color w:val="auto"/>
        </w:rPr>
      </w:pPr>
    </w:p>
    <w:p>
      <w:pPr>
        <w:ind w:right="5100"/>
        <w:spacing w:after="0" w:line="377"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spacing w:after="0" w:line="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continued listing standards of the Nasdaq Global Select Market require, among other things, that the minimum price of a listed company’s stock be at or above $1.00. On April 15, 2025, we received a letter from the Staff of Nasdaq indicating that, based upon the closing bid price of shares of our common stock for the 30 consecutive business day period between March 3, 2025, through April 12, 2025,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we do not regain compliance by the end of the Compliance Period, we may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spacing w:after="0" w:line="8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If we fail to regain compliance,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of March 31, 2025, our executive officers, directors, holders of 5% or more of our capital stock and their respective affiliates beneficially owned approximately 31%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0" w:name="page81"/>
    <w:bookmarkEnd w:id="8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2022 Shelf Registration), and as of December 31, 2024, we have sold 34,854,373 shares of our common stock and pre-funded warrants to purchase 8,458,964 shares of our common stock pursuant to the 2022 Shelf Registration</w:t>
      </w:r>
      <w:r>
        <w:rPr>
          <w:rFonts w:ascii="Times New Roman" w:cs="Times New Roman" w:eastAsia="Times New Roman" w:hAnsi="Times New Roman"/>
          <w:sz w:val="18"/>
          <w:szCs w:val="18"/>
          <w:color w:val="000000"/>
        </w:rPr>
        <w:t>. In January 2025, we sold 822,566 shares of our common stock under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"at-the-market" (ATM) offering. Pursuant to the Sales Agreement On March 5, 2025, we completed an underwritten public offering of 75,000,000 units, with each unit consisting of one share of our common stock, a warrant to purchase one share of common stock, and a warrant to purchase one-half share of common stock, pursuant to the 2022 Shelf Registration. In addition, on March 21, 2025, we filed a new shelf registration statement on Form S-3 that became effective on March 31, 2025</w:t>
      </w:r>
      <w:r>
        <w:rPr>
          <w:rFonts w:ascii="Times New Roman" w:cs="Times New Roman" w:eastAsia="Times New Roman" w:hAnsi="Times New Roman"/>
          <w:sz w:val="18"/>
          <w:szCs w:val="18"/>
          <w:color w:val="231F20"/>
        </w:rPr>
        <w:t>, which will allow us to undertake various equity and debt offerings up to $300.0 million (including approximately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$23.7 million of unsold securities under the 2022 Shelf Registration)</w:t>
      </w:r>
      <w:r>
        <w:rPr>
          <w:rFonts w:ascii="Times New Roman" w:cs="Times New Roman" w:eastAsia="Times New Roman" w:hAnsi="Times New Roman"/>
          <w:sz w:val="18"/>
          <w:szCs w:val="18"/>
          <w:color w:val="000000"/>
        </w:rPr>
        <w:t>.</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Moreover, c</w:t>
      </w:r>
      <w:r>
        <w:rPr>
          <w:rFonts w:ascii="Times New Roman" w:cs="Times New Roman" w:eastAsia="Times New Roman" w:hAnsi="Times New Roman"/>
          <w:sz w:val="18"/>
          <w:szCs w:val="18"/>
          <w:color w:val="000000"/>
        </w:rPr>
        <w:t>ertain holders of our common stock have rights, subject to certain conditions, to require us to file registration statements covering their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117" w:lineRule="exact"/>
        <w:rPr>
          <w:rFonts w:ascii="Times New Roman" w:cs="Times New Roman" w:eastAsia="Times New Roman" w:hAnsi="Times New Roman"/>
          <w:sz w:val="18"/>
          <w:szCs w:val="18"/>
          <w:color w:val="231F20"/>
        </w:rPr>
      </w:pPr>
    </w:p>
    <w:p>
      <w:pPr>
        <w:ind w:left="1020" w:right="8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which could limit our stockholders’ ability to obtain a favorable judicial forum for disputes with us or our directors, officers or employees.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no sales of unregistered equity securities during the period covered by this report that were not previously reported in a Quarterly Report on Form 10-Q or a Current Report on Form 8-K.</w:t>
      </w:r>
    </w:p>
    <w:p>
      <w:pPr>
        <w:spacing w:after="0" w:line="158" w:lineRule="exact"/>
        <w:rPr>
          <w:sz w:val="20"/>
          <w:szCs w:val="20"/>
          <w:color w:val="auto"/>
        </w:rPr>
      </w:pPr>
    </w:p>
    <w:p>
      <w:pPr>
        <w:ind w:left="520" w:right="6380" w:hanging="512"/>
        <w:spacing w:after="0" w:line="412" w:lineRule="auto"/>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7840" w:hanging="512"/>
        <w:spacing w:after="0" w:line="412" w:lineRule="auto"/>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as defined in Rule 16a-1(f), adopted or terminated a “Rule 10b5-1 trading arrangement” or a “non-Rule 10b5-1 trading arrangement,” each as defined in Regulation S-K Item 408.</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40" w:right="1079" w:bottom="1440" w:gutter="0" w:footer="0" w:header="0"/>
        </w:sectPr>
      </w:pPr>
    </w:p>
    <w:bookmarkStart w:id="84" w:name="page85"/>
    <w:bookmarkEnd w:id="8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02"/>
        </w:trPr>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r>
      <w:tr>
        <w:trPr>
          <w:trHeight w:val="238"/>
        </w:trPr>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gridSpan w:val="12"/>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Composite Amended and Restated Certificate of</w:t>
              </w:r>
            </w:hyperlink>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Incorporation of Tenaya Therapeutics, Inc., as</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amended</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gridSpan w:val="12"/>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Bylaws of Tenaya</w:t>
              </w:r>
            </w:hyperlink>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3-21-2023</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Therapeutics, Inc.</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00" w:type="dxa"/>
            <w:vAlign w:val="bottom"/>
            <w:gridSpan w:val="12"/>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Series A Warrant to Purchase Common</w:t>
              </w:r>
            </w:hyperlink>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Stock</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800" w:type="dxa"/>
            <w:vAlign w:val="bottom"/>
            <w:gridSpan w:val="12"/>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Series B Warrant to Purchase Common</w:t>
              </w:r>
            </w:hyperlink>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4.2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Stock</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60" w:type="dxa"/>
            <w:vAlign w:val="bottom"/>
            <w:tcBorders>
              <w:left w:val="single" w:sz="8" w:color="0000EE"/>
            </w:tcBorders>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Rules 13a-</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800" w:type="dxa"/>
            <w:vAlign w:val="bottom"/>
            <w:gridSpan w:val="1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Document–the instance</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 as its XBRL tags are embedded within the</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Cover page formatted as Inline XBRL and contained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both"/>
        <w:ind w:right="40" w:firstLine="8"/>
        <w:spacing w:after="0" w:line="261" w:lineRule="auto"/>
        <w:tabs>
          <w:tab w:leader="none" w:pos="1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Faraz Ali, M.B.A.</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w:t>
            </w:r>
          </w:p>
        </w:tc>
      </w:tr>
      <w:tr>
        <w:trPr>
          <w:trHeight w:val="864"/>
        </w:trPr>
        <w:tc>
          <w:tcPr>
            <w:tcW w:w="3440" w:type="dxa"/>
            <w:vAlign w:val="bottom"/>
          </w:tcPr>
          <w:p>
            <w:pPr>
              <w:spacing w:after="0"/>
              <w:rPr>
                <w:sz w:val="24"/>
                <w:szCs w:val="24"/>
                <w:color w:val="auto"/>
              </w:rPr>
            </w:pP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52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191"/>
        </w:trPr>
        <w:tc>
          <w:tcPr>
            <w:tcW w:w="6780" w:type="dxa"/>
            <w:vAlign w:val="bottom"/>
          </w:tcPr>
          <w:p>
            <w:pPr>
              <w:ind w:left="6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8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w:t>
            </w:r>
          </w:p>
        </w:tc>
      </w:tr>
      <w:tr>
        <w:trPr>
          <w:trHeight w:val="236"/>
        </w:trPr>
        <w:tc>
          <w:tcPr>
            <w:tcW w:w="678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723"/>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7" w:name="page88"/>
    <w:bookmarkEnd w:id="8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(the “Company”) for the quarterly period ended March 31, 2025,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Faraz Ali, M.B.A.</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1381760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4"/>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2"/>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21" Type="http://schemas.openxmlformats.org/officeDocument/2006/relationships/hyperlink" Target="https://www.sec.gov/Archives/edgar/data/1858848/000095017023040651/tnya-ex3_1.htm" TargetMode="External"/><Relationship Id="rId222" Type="http://schemas.openxmlformats.org/officeDocument/2006/relationships/hyperlink" Target="https://www.sec.gov/Archives/edgar/data/1858848/000095017023008934/tnya-ex3_1.htm" TargetMode="External"/><Relationship Id="rId223" Type="http://schemas.openxmlformats.org/officeDocument/2006/relationships/hyperlink" Target="https://www.sec.gov/Archives/edgar/data/1858848/000119312525045628/d878268dex41.htm" TargetMode="External"/><Relationship Id="rId224" Type="http://schemas.openxmlformats.org/officeDocument/2006/relationships/hyperlink" Target="https://www.sec.gov/Archives/edgar/data/1858848/000119312525045628/d87826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2025-05-07T15:35:11Z</dcterms:created>
  <dcterms:modified xsi:type="dcterms:W3CDTF">2025-05-07T15:35:11Z</dcterms:modified>
</cp:coreProperties>
</file>